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1.xml" ContentType="application/vnd.openxmlformats-officedocument.wordprocessingml.header+xml"/>
  <Override PartName="/word/footer19.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0.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6.xml" ContentType="application/vnd.openxmlformats-officedocument.wordprocessingml.header+xml"/>
  <Override PartName="/word/footer23.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4.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5.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26.xml" ContentType="application/vnd.openxmlformats-officedocument.wordprocessingml.footer+xml"/>
  <Override PartName="/word/header33.xml" ContentType="application/vnd.openxmlformats-officedocument.wordprocessingml.header+xml"/>
  <Override PartName="/word/footer27.xml" ContentType="application/vnd.openxmlformats-officedocument.wordprocessingml.footer+xml"/>
  <Override PartName="/word/header34.xml" ContentType="application/vnd.openxmlformats-officedocument.wordprocessingml.header+xml"/>
  <Override PartName="/word/footer28.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29.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oter30.xml" ContentType="application/vnd.openxmlformats-officedocument.wordprocessingml.footer+xml"/>
  <Override PartName="/word/header40.xml" ContentType="application/vnd.openxmlformats-officedocument.wordprocessingml.header+xml"/>
  <Override PartName="/word/footer31.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32.xml" ContentType="application/vnd.openxmlformats-officedocument.wordprocessingml.footer+xml"/>
  <Override PartName="/word/header43.xml" ContentType="application/vnd.openxmlformats-officedocument.wordprocessingml.header+xml"/>
  <Override PartName="/word/footer33.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36.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footer37.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footer38.xml" ContentType="application/vnd.openxmlformats-officedocument.wordprocessingml.footer+xml"/>
  <Override PartName="/word/header53.xml" ContentType="application/vnd.openxmlformats-officedocument.wordprocessingml.header+xml"/>
  <Override PartName="/word/header54.xml" ContentType="application/vnd.openxmlformats-officedocument.wordprocessingml.header+xml"/>
  <Override PartName="/word/footer39.xml" ContentType="application/vnd.openxmlformats-officedocument.wordprocessingml.footer+xml"/>
  <Override PartName="/word/header55.xml" ContentType="application/vnd.openxmlformats-officedocument.wordprocessingml.header+xml"/>
  <Override PartName="/word/footer40.xml" ContentType="application/vnd.openxmlformats-officedocument.wordprocessingml.footer+xml"/>
  <Override PartName="/word/header56.xml" ContentType="application/vnd.openxmlformats-officedocument.wordprocessingml.header+xml"/>
  <Override PartName="/word/footer41.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footer42.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43.xml" ContentType="application/vnd.openxmlformats-officedocument.wordprocessingml.foot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footer44.xml" ContentType="application/vnd.openxmlformats-officedocument.wordprocessingml.foot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B8E4F" w14:textId="77777777" w:rsidR="00463667" w:rsidRPr="00DF1884" w:rsidRDefault="00463667" w:rsidP="00463667">
      <w:pPr>
        <w:pStyle w:val="Breakpage"/>
      </w:pPr>
      <w:bookmarkStart w:id="0" w:name="_GoBack"/>
      <w:bookmarkEnd w:id="0"/>
    </w:p>
    <w:p w14:paraId="60BF3F91" w14:textId="77777777" w:rsidR="00463667" w:rsidRPr="00DF1884" w:rsidRDefault="00463667" w:rsidP="00463667">
      <w:pPr>
        <w:pStyle w:val="Breakpage"/>
        <w:rPr>
          <w:caps/>
        </w:rPr>
      </w:pPr>
    </w:p>
    <w:p w14:paraId="23F699D6" w14:textId="77777777" w:rsidR="00463667" w:rsidRPr="00DF1884" w:rsidRDefault="00463667" w:rsidP="00463667">
      <w:pPr>
        <w:pStyle w:val="Breakpage"/>
        <w:rPr>
          <w:caps/>
        </w:rPr>
      </w:pPr>
    </w:p>
    <w:p w14:paraId="46785965" w14:textId="77777777" w:rsidR="00463667" w:rsidRPr="00DF1884" w:rsidRDefault="00463667" w:rsidP="00463667">
      <w:pPr>
        <w:pStyle w:val="Breakpage"/>
        <w:rPr>
          <w:caps/>
        </w:rPr>
      </w:pPr>
    </w:p>
    <w:p w14:paraId="120A4971" w14:textId="77777777" w:rsidR="00463667" w:rsidRPr="00DF1884" w:rsidRDefault="00463667" w:rsidP="00463667">
      <w:pPr>
        <w:pStyle w:val="Breakpage"/>
        <w:rPr>
          <w:caps/>
        </w:rPr>
      </w:pPr>
    </w:p>
    <w:p w14:paraId="2FB02E0C" w14:textId="7FD362E2" w:rsidR="00463667" w:rsidRPr="00DF1884" w:rsidRDefault="00463667" w:rsidP="00463667">
      <w:pPr>
        <w:pStyle w:val="Breakpage"/>
      </w:pPr>
      <w:r w:rsidRPr="00DF1884">
        <w:t>Appendix</w:t>
      </w:r>
      <w:r w:rsidR="00DF1884" w:rsidRPr="00DF1884">
        <w:t xml:space="preserve"> </w:t>
      </w:r>
      <w:r w:rsidRPr="00DF1884">
        <w:rPr>
          <w:caps/>
        </w:rPr>
        <w:t>1</w:t>
      </w:r>
    </w:p>
    <w:p w14:paraId="14E34C77" w14:textId="77777777" w:rsidR="00463667" w:rsidRPr="00DF1884" w:rsidRDefault="00463667" w:rsidP="00463667">
      <w:pPr>
        <w:pStyle w:val="Breakpage"/>
      </w:pPr>
    </w:p>
    <w:p w14:paraId="6EF93D5B" w14:textId="4C42204B" w:rsidR="00463667" w:rsidRPr="00DF1884" w:rsidRDefault="00463667" w:rsidP="00463667">
      <w:pPr>
        <w:pStyle w:val="Breakpage"/>
      </w:pPr>
      <w:r w:rsidRPr="00DF1884">
        <w:t>HEDIS</w:t>
      </w:r>
      <w:r w:rsidR="00DF1884" w:rsidRPr="00DF1884">
        <w:t xml:space="preserve"> </w:t>
      </w:r>
      <w:r w:rsidR="00442111" w:rsidRPr="00DF1884">
        <w:t>2016</w:t>
      </w:r>
      <w:r w:rsidRPr="00DF1884">
        <w:br/>
        <w:t>Summary</w:t>
      </w:r>
      <w:r w:rsidR="00DF1884" w:rsidRPr="00DF1884">
        <w:t xml:space="preserve"> </w:t>
      </w:r>
      <w:r w:rsidRPr="00DF1884">
        <w:t>Table</w:t>
      </w:r>
      <w:r w:rsidR="00DF1884" w:rsidRPr="00DF1884">
        <w:t xml:space="preserve"> </w:t>
      </w:r>
      <w:r w:rsidRPr="00DF1884">
        <w:t>of</w:t>
      </w:r>
      <w:r w:rsidR="00DF1884" w:rsidRPr="00DF1884">
        <w:t xml:space="preserve"> </w:t>
      </w:r>
      <w:r w:rsidRPr="00DF1884">
        <w:t>Measures,</w:t>
      </w:r>
      <w:r w:rsidRPr="00DF1884">
        <w:br/>
        <w:t>Product</w:t>
      </w:r>
      <w:r w:rsidR="00DF1884" w:rsidRPr="00DF1884">
        <w:t xml:space="preserve"> </w:t>
      </w:r>
      <w:r w:rsidRPr="00DF1884">
        <w:t>Lines</w:t>
      </w:r>
      <w:r w:rsidR="00DF1884" w:rsidRPr="00DF1884">
        <w:t xml:space="preserve"> </w:t>
      </w:r>
      <w:r w:rsidRPr="00DF1884">
        <w:t>and</w:t>
      </w:r>
      <w:r w:rsidR="00DF1884" w:rsidRPr="00DF1884">
        <w:t xml:space="preserve"> </w:t>
      </w:r>
      <w:r w:rsidRPr="00DF1884">
        <w:t>Changes</w:t>
      </w:r>
    </w:p>
    <w:p w14:paraId="6AB3BAE0" w14:textId="77777777" w:rsidR="00463667" w:rsidRPr="00DF1884" w:rsidRDefault="00463667" w:rsidP="00463667">
      <w:pPr>
        <w:spacing w:after="240" w:line="600" w:lineRule="exact"/>
        <w:rPr>
          <w:b/>
        </w:rPr>
      </w:pPr>
    </w:p>
    <w:p w14:paraId="0C151618" w14:textId="77777777" w:rsidR="00463667" w:rsidRPr="00DF1884" w:rsidRDefault="00463667" w:rsidP="00463667">
      <w:pPr>
        <w:tabs>
          <w:tab w:val="left" w:pos="8460"/>
        </w:tabs>
        <w:spacing w:after="480"/>
        <w:rPr>
          <w:b/>
          <w:i/>
          <w:smallCaps/>
        </w:rPr>
        <w:sectPr w:rsidR="00463667" w:rsidRPr="00DF1884" w:rsidSect="0039781B">
          <w:headerReference w:type="even" r:id="rId14"/>
          <w:headerReference w:type="default" r:id="rId15"/>
          <w:footerReference w:type="even" r:id="rId16"/>
          <w:headerReference w:type="first" r:id="rId17"/>
          <w:footerReference w:type="first" r:id="rId18"/>
          <w:pgSz w:w="12240" w:h="15840" w:code="1"/>
          <w:pgMar w:top="1080" w:right="1080" w:bottom="1080" w:left="1440" w:header="720" w:footer="720" w:gutter="0"/>
          <w:pgNumType w:start="285"/>
          <w:cols w:space="720"/>
        </w:sectPr>
      </w:pPr>
    </w:p>
    <w:p w14:paraId="1FFD4DB8" w14:textId="77777777" w:rsidR="00463667" w:rsidRPr="00DF1884" w:rsidRDefault="00463667" w:rsidP="00463667">
      <w:pPr>
        <w:tabs>
          <w:tab w:val="left" w:pos="8460"/>
        </w:tabs>
        <w:spacing w:after="480"/>
        <w:rPr>
          <w:b/>
          <w:i/>
          <w:smallCaps/>
          <w:sz w:val="28"/>
        </w:rPr>
        <w:sectPr w:rsidR="00463667" w:rsidRPr="00DF1884" w:rsidSect="0039781B">
          <w:headerReference w:type="even" r:id="rId19"/>
          <w:footerReference w:type="even" r:id="rId20"/>
          <w:headerReference w:type="first" r:id="rId21"/>
          <w:footerReference w:type="first" r:id="rId22"/>
          <w:pgSz w:w="12240" w:h="15840" w:code="1"/>
          <w:pgMar w:top="1080" w:right="1080" w:bottom="1080" w:left="1440" w:header="720" w:footer="720" w:gutter="0"/>
          <w:pgNumType w:start="2"/>
          <w:cols w:space="720"/>
        </w:sectPr>
      </w:pPr>
    </w:p>
    <w:p w14:paraId="539B4BC2" w14:textId="1935881D" w:rsidR="00463667" w:rsidRPr="00DF1884" w:rsidRDefault="00463667" w:rsidP="00463667">
      <w:pPr>
        <w:jc w:val="center"/>
        <w:rPr>
          <w:b/>
          <w:bCs/>
          <w:sz w:val="32"/>
          <w:szCs w:val="32"/>
        </w:rPr>
      </w:pPr>
      <w:r w:rsidRPr="00DF1884">
        <w:rPr>
          <w:b/>
          <w:sz w:val="32"/>
          <w:szCs w:val="32"/>
        </w:rPr>
        <w:lastRenderedPageBreak/>
        <w:t>APPENDIX</w:t>
      </w:r>
      <w:r w:rsidR="00DF1884" w:rsidRPr="00DF1884">
        <w:rPr>
          <w:b/>
          <w:sz w:val="32"/>
          <w:szCs w:val="32"/>
        </w:rPr>
        <w:t xml:space="preserve"> </w:t>
      </w:r>
      <w:r w:rsidRPr="00DF1884">
        <w:rPr>
          <w:b/>
          <w:sz w:val="32"/>
          <w:szCs w:val="32"/>
        </w:rPr>
        <w:t>1</w:t>
      </w:r>
    </w:p>
    <w:p w14:paraId="07B628FF" w14:textId="392C54FB" w:rsidR="00463667" w:rsidRPr="00DF1884" w:rsidRDefault="00463667" w:rsidP="00463667">
      <w:pPr>
        <w:spacing w:after="360"/>
        <w:jc w:val="center"/>
        <w:rPr>
          <w:b/>
          <w:sz w:val="28"/>
          <w:szCs w:val="28"/>
        </w:rPr>
      </w:pPr>
      <w:r w:rsidRPr="00DF1884">
        <w:rPr>
          <w:b/>
          <w:sz w:val="28"/>
          <w:szCs w:val="28"/>
        </w:rPr>
        <w:t>SUMMARY</w:t>
      </w:r>
      <w:r w:rsidR="00DF1884" w:rsidRPr="00DF1884">
        <w:rPr>
          <w:b/>
          <w:sz w:val="28"/>
          <w:szCs w:val="28"/>
        </w:rPr>
        <w:t xml:space="preserve"> </w:t>
      </w:r>
      <w:r w:rsidRPr="00DF1884">
        <w:rPr>
          <w:b/>
          <w:sz w:val="28"/>
          <w:szCs w:val="28"/>
        </w:rPr>
        <w:t>TABLE</w:t>
      </w:r>
      <w:r w:rsidR="00DF1884" w:rsidRPr="00DF1884">
        <w:rPr>
          <w:b/>
          <w:sz w:val="28"/>
          <w:szCs w:val="28"/>
        </w:rPr>
        <w:t xml:space="preserve"> </w:t>
      </w:r>
      <w:r w:rsidRPr="00DF1884">
        <w:rPr>
          <w:b/>
          <w:sz w:val="28"/>
          <w:szCs w:val="28"/>
        </w:rPr>
        <w:t>OF</w:t>
      </w:r>
      <w:r w:rsidR="00DF1884" w:rsidRPr="00DF1884">
        <w:rPr>
          <w:b/>
          <w:sz w:val="28"/>
          <w:szCs w:val="28"/>
        </w:rPr>
        <w:t xml:space="preserve"> </w:t>
      </w:r>
      <w:r w:rsidRPr="00DF1884">
        <w:rPr>
          <w:b/>
          <w:sz w:val="28"/>
          <w:szCs w:val="28"/>
        </w:rPr>
        <w:t>MEASURES,</w:t>
      </w:r>
      <w:r w:rsidR="00DF1884" w:rsidRPr="00DF1884">
        <w:rPr>
          <w:b/>
          <w:sz w:val="28"/>
          <w:szCs w:val="28"/>
        </w:rPr>
        <w:t xml:space="preserve"> </w:t>
      </w:r>
      <w:r w:rsidRPr="00DF1884">
        <w:rPr>
          <w:b/>
          <w:sz w:val="28"/>
          <w:szCs w:val="28"/>
        </w:rPr>
        <w:t>PRODUCT</w:t>
      </w:r>
      <w:r w:rsidR="00DF1884" w:rsidRPr="00DF1884">
        <w:rPr>
          <w:b/>
          <w:sz w:val="28"/>
          <w:szCs w:val="28"/>
        </w:rPr>
        <w:t xml:space="preserve"> </w:t>
      </w:r>
      <w:r w:rsidRPr="00DF1884">
        <w:rPr>
          <w:b/>
          <w:sz w:val="28"/>
          <w:szCs w:val="28"/>
        </w:rPr>
        <w:t>LINES</w:t>
      </w:r>
      <w:r w:rsidR="00DF1884" w:rsidRPr="00DF1884">
        <w:rPr>
          <w:b/>
          <w:sz w:val="28"/>
          <w:szCs w:val="28"/>
        </w:rPr>
        <w:t xml:space="preserve"> </w:t>
      </w:r>
      <w:r w:rsidRPr="00DF1884">
        <w:rPr>
          <w:b/>
          <w:sz w:val="28"/>
          <w:szCs w:val="28"/>
        </w:rPr>
        <w:t>AND</w:t>
      </w:r>
      <w:r w:rsidR="00DF1884" w:rsidRPr="00DF1884">
        <w:rPr>
          <w:b/>
          <w:sz w:val="28"/>
          <w:szCs w:val="28"/>
        </w:rPr>
        <w:t xml:space="preserve"> </w:t>
      </w:r>
      <w:r w:rsidRPr="00DF1884">
        <w:rPr>
          <w:b/>
          <w:sz w:val="28"/>
          <w:szCs w:val="28"/>
        </w:rPr>
        <w:t>CHANGES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200"/>
        <w:gridCol w:w="1200"/>
        <w:gridCol w:w="1200"/>
        <w:gridCol w:w="7110"/>
      </w:tblGrid>
      <w:tr w:rsidR="00463667" w:rsidRPr="00DF1884" w14:paraId="14A6EE35" w14:textId="77777777" w:rsidTr="00C56CA6">
        <w:trPr>
          <w:cantSplit/>
        </w:trPr>
        <w:tc>
          <w:tcPr>
            <w:tcW w:w="2610" w:type="dxa"/>
            <w:vMerge w:val="restart"/>
            <w:tcBorders>
              <w:top w:val="single" w:sz="4" w:space="0" w:color="auto"/>
              <w:left w:val="single" w:sz="4" w:space="0" w:color="auto"/>
              <w:bottom w:val="single" w:sz="4" w:space="0" w:color="auto"/>
              <w:right w:val="single" w:sz="4" w:space="0" w:color="FFFFFF"/>
            </w:tcBorders>
            <w:shd w:val="clear" w:color="auto" w:fill="000000"/>
            <w:vAlign w:val="bottom"/>
          </w:tcPr>
          <w:p w14:paraId="724F781B" w14:textId="4210E032" w:rsidR="00463667" w:rsidRPr="00DF1884" w:rsidRDefault="00463667" w:rsidP="00C56CA6">
            <w:pPr>
              <w:pStyle w:val="TableHead"/>
              <w:rPr>
                <w:color w:val="auto"/>
              </w:rPr>
            </w:pPr>
            <w:r w:rsidRPr="00DF1884">
              <w:rPr>
                <w:color w:val="auto"/>
              </w:rPr>
              <w:t>HEDIS</w:t>
            </w:r>
            <w:r w:rsidR="00DF1884" w:rsidRPr="00DF1884">
              <w:rPr>
                <w:color w:val="auto"/>
              </w:rPr>
              <w:t xml:space="preserve"> </w:t>
            </w:r>
            <w:r w:rsidR="00442111" w:rsidRPr="00DF1884">
              <w:rPr>
                <w:color w:val="auto"/>
              </w:rPr>
              <w:t>2016</w:t>
            </w:r>
            <w:r w:rsidR="00DF1884" w:rsidRPr="00DF1884">
              <w:rPr>
                <w:color w:val="auto"/>
              </w:rPr>
              <w:t xml:space="preserve"> </w:t>
            </w:r>
            <w:r w:rsidRPr="00DF1884">
              <w:rPr>
                <w:color w:val="auto"/>
              </w:rPr>
              <w:t>Measures</w:t>
            </w:r>
          </w:p>
        </w:tc>
        <w:tc>
          <w:tcPr>
            <w:tcW w:w="3600" w:type="dxa"/>
            <w:gridSpan w:val="3"/>
            <w:tcBorders>
              <w:left w:val="nil"/>
              <w:bottom w:val="single" w:sz="4" w:space="0" w:color="FFFFFF"/>
              <w:right w:val="single" w:sz="4" w:space="0" w:color="FFFFFF"/>
            </w:tcBorders>
            <w:shd w:val="clear" w:color="auto" w:fill="000000"/>
          </w:tcPr>
          <w:p w14:paraId="6DBF89DC" w14:textId="6D31B83D" w:rsidR="00463667" w:rsidRPr="00DF1884" w:rsidRDefault="00463667" w:rsidP="00C56CA6">
            <w:pPr>
              <w:pStyle w:val="TableHead"/>
              <w:rPr>
                <w:color w:val="auto"/>
              </w:rPr>
            </w:pPr>
            <w:r w:rsidRPr="00DF1884">
              <w:rPr>
                <w:color w:val="auto"/>
              </w:rPr>
              <w:t>Applicable</w:t>
            </w:r>
            <w:r w:rsidR="00DF1884" w:rsidRPr="00DF1884">
              <w:rPr>
                <w:color w:val="auto"/>
              </w:rPr>
              <w:t xml:space="preserve"> </w:t>
            </w:r>
            <w:r w:rsidRPr="00DF1884">
              <w:rPr>
                <w:color w:val="auto"/>
              </w:rPr>
              <w:t>to:</w:t>
            </w:r>
          </w:p>
        </w:tc>
        <w:tc>
          <w:tcPr>
            <w:tcW w:w="7110" w:type="dxa"/>
            <w:vMerge w:val="restart"/>
            <w:tcBorders>
              <w:left w:val="nil"/>
              <w:bottom w:val="single" w:sz="4" w:space="0" w:color="auto"/>
            </w:tcBorders>
            <w:shd w:val="clear" w:color="auto" w:fill="000000"/>
            <w:vAlign w:val="bottom"/>
          </w:tcPr>
          <w:p w14:paraId="6818A60B" w14:textId="26C5B5DC" w:rsidR="00463667" w:rsidRPr="00DF1884" w:rsidRDefault="00463667" w:rsidP="00C56CA6">
            <w:pPr>
              <w:pStyle w:val="TableHead"/>
              <w:rPr>
                <w:color w:val="auto"/>
              </w:rPr>
            </w:pPr>
            <w:r w:rsidRPr="00DF1884">
              <w:rPr>
                <w:color w:val="auto"/>
              </w:rPr>
              <w:t>Changes</w:t>
            </w:r>
            <w:r w:rsidR="00DF1884" w:rsidRPr="00DF1884">
              <w:rPr>
                <w:color w:val="auto"/>
              </w:rPr>
              <w:t xml:space="preserve"> </w:t>
            </w:r>
            <w:r w:rsidRPr="00DF1884">
              <w:rPr>
                <w:color w:val="auto"/>
              </w:rPr>
              <w:t>to</w:t>
            </w:r>
            <w:r w:rsidR="00DF1884" w:rsidRPr="00DF1884">
              <w:rPr>
                <w:color w:val="auto"/>
              </w:rPr>
              <w:t xml:space="preserve"> </w:t>
            </w:r>
            <w:r w:rsidRPr="00DF1884">
              <w:rPr>
                <w:color w:val="auto"/>
              </w:rPr>
              <w:t>HEDIS</w:t>
            </w:r>
            <w:r w:rsidR="00DF1884" w:rsidRPr="00DF1884">
              <w:rPr>
                <w:color w:val="auto"/>
              </w:rPr>
              <w:t xml:space="preserve"> </w:t>
            </w:r>
            <w:r w:rsidR="00442111" w:rsidRPr="00DF1884">
              <w:rPr>
                <w:color w:val="auto"/>
              </w:rPr>
              <w:t>2016</w:t>
            </w:r>
          </w:p>
        </w:tc>
      </w:tr>
      <w:tr w:rsidR="00463667" w:rsidRPr="00DF1884" w14:paraId="628D4504" w14:textId="77777777" w:rsidTr="00C56CA6">
        <w:trPr>
          <w:cantSplit/>
        </w:trPr>
        <w:tc>
          <w:tcPr>
            <w:tcW w:w="2610" w:type="dxa"/>
            <w:vMerge/>
            <w:tcBorders>
              <w:top w:val="nil"/>
              <w:left w:val="single" w:sz="4" w:space="0" w:color="auto"/>
              <w:bottom w:val="nil"/>
              <w:right w:val="single" w:sz="4" w:space="0" w:color="FFFFFF"/>
            </w:tcBorders>
          </w:tcPr>
          <w:p w14:paraId="630D248B" w14:textId="77777777" w:rsidR="00463667" w:rsidRPr="00DF1884" w:rsidRDefault="00463667" w:rsidP="00C56CA6">
            <w:pPr>
              <w:pStyle w:val="TableHead"/>
              <w:rPr>
                <w:color w:val="auto"/>
              </w:rPr>
            </w:pPr>
          </w:p>
        </w:tc>
        <w:tc>
          <w:tcPr>
            <w:tcW w:w="1200" w:type="dxa"/>
            <w:tcBorders>
              <w:top w:val="nil"/>
              <w:left w:val="nil"/>
              <w:bottom w:val="nil"/>
              <w:right w:val="single" w:sz="4" w:space="0" w:color="FFFFFF"/>
            </w:tcBorders>
            <w:shd w:val="clear" w:color="auto" w:fill="000000"/>
          </w:tcPr>
          <w:p w14:paraId="0A3FD8AB" w14:textId="77777777" w:rsidR="00463667" w:rsidRPr="00DF1884" w:rsidRDefault="00463667" w:rsidP="00C56CA6">
            <w:pPr>
              <w:pStyle w:val="TableHead"/>
              <w:rPr>
                <w:color w:val="auto"/>
              </w:rPr>
            </w:pPr>
            <w:r w:rsidRPr="00DF1884">
              <w:rPr>
                <w:color w:val="auto"/>
              </w:rPr>
              <w:t>Commercial</w:t>
            </w:r>
          </w:p>
        </w:tc>
        <w:tc>
          <w:tcPr>
            <w:tcW w:w="1200" w:type="dxa"/>
            <w:tcBorders>
              <w:top w:val="nil"/>
              <w:left w:val="nil"/>
              <w:bottom w:val="nil"/>
              <w:right w:val="single" w:sz="4" w:space="0" w:color="FFFFFF"/>
            </w:tcBorders>
            <w:shd w:val="clear" w:color="auto" w:fill="000000"/>
          </w:tcPr>
          <w:p w14:paraId="4E67C860" w14:textId="77777777" w:rsidR="00463667" w:rsidRPr="00DF1884" w:rsidRDefault="00463667" w:rsidP="00C56CA6">
            <w:pPr>
              <w:pStyle w:val="TableHead"/>
              <w:rPr>
                <w:color w:val="auto"/>
              </w:rPr>
            </w:pPr>
            <w:r w:rsidRPr="00DF1884">
              <w:rPr>
                <w:color w:val="auto"/>
              </w:rPr>
              <w:t>Medicaid</w:t>
            </w:r>
          </w:p>
        </w:tc>
        <w:tc>
          <w:tcPr>
            <w:tcW w:w="1200" w:type="dxa"/>
            <w:tcBorders>
              <w:top w:val="nil"/>
              <w:left w:val="nil"/>
              <w:bottom w:val="nil"/>
              <w:right w:val="single" w:sz="4" w:space="0" w:color="FFFFFF"/>
            </w:tcBorders>
            <w:shd w:val="clear" w:color="auto" w:fill="000000"/>
          </w:tcPr>
          <w:p w14:paraId="7E7EE3D0" w14:textId="77777777" w:rsidR="00463667" w:rsidRPr="00DF1884" w:rsidRDefault="00463667" w:rsidP="00C56CA6">
            <w:pPr>
              <w:pStyle w:val="TableHead"/>
              <w:rPr>
                <w:color w:val="auto"/>
              </w:rPr>
            </w:pPr>
            <w:r w:rsidRPr="00DF1884">
              <w:rPr>
                <w:color w:val="auto"/>
              </w:rPr>
              <w:t>Medicare</w:t>
            </w:r>
          </w:p>
        </w:tc>
        <w:tc>
          <w:tcPr>
            <w:tcW w:w="7110" w:type="dxa"/>
            <w:vMerge/>
            <w:tcBorders>
              <w:top w:val="nil"/>
              <w:left w:val="nil"/>
              <w:bottom w:val="nil"/>
            </w:tcBorders>
            <w:vAlign w:val="bottom"/>
          </w:tcPr>
          <w:p w14:paraId="64F693B4" w14:textId="77777777" w:rsidR="00463667" w:rsidRPr="00DF1884" w:rsidRDefault="00463667" w:rsidP="00C56CA6">
            <w:pPr>
              <w:pStyle w:val="TableHead2"/>
              <w:rPr>
                <w:color w:val="auto"/>
              </w:rPr>
            </w:pPr>
          </w:p>
        </w:tc>
      </w:tr>
      <w:tr w:rsidR="00463667" w:rsidRPr="00DF1884" w14:paraId="3E321655" w14:textId="77777777" w:rsidTr="00C56CA6">
        <w:tc>
          <w:tcPr>
            <w:tcW w:w="2610" w:type="dxa"/>
            <w:tcBorders>
              <w:bottom w:val="single" w:sz="6" w:space="0" w:color="auto"/>
            </w:tcBorders>
          </w:tcPr>
          <w:p w14:paraId="609DA87B" w14:textId="6B01CD01" w:rsidR="00463667" w:rsidRPr="00DF1884" w:rsidRDefault="00463667" w:rsidP="00C56CA6">
            <w:pPr>
              <w:pStyle w:val="TableText"/>
            </w:pPr>
            <w:r w:rsidRPr="00DF1884">
              <w:rPr>
                <w:b/>
                <w:snapToGrid w:val="0"/>
              </w:rPr>
              <w:t>General</w:t>
            </w:r>
            <w:r w:rsidR="00DF1884" w:rsidRPr="00DF1884">
              <w:rPr>
                <w:b/>
                <w:snapToGrid w:val="0"/>
              </w:rPr>
              <w:t xml:space="preserve"> </w:t>
            </w:r>
            <w:r w:rsidRPr="00DF1884">
              <w:rPr>
                <w:b/>
                <w:snapToGrid w:val="0"/>
              </w:rPr>
              <w:t>Guidelines</w:t>
            </w:r>
            <w:r w:rsidR="00DF1884" w:rsidRPr="00DF1884">
              <w:rPr>
                <w:b/>
                <w:snapToGrid w:val="0"/>
              </w:rPr>
              <w:t xml:space="preserve"> </w:t>
            </w:r>
            <w:r w:rsidRPr="00DF1884">
              <w:rPr>
                <w:b/>
                <w:snapToGrid w:val="0"/>
              </w:rPr>
              <w:t>for</w:t>
            </w:r>
            <w:r w:rsidR="00DF1884" w:rsidRPr="00DF1884">
              <w:rPr>
                <w:b/>
                <w:snapToGrid w:val="0"/>
              </w:rPr>
              <w:t xml:space="preserve"> </w:t>
            </w:r>
            <w:r w:rsidRPr="00DF1884">
              <w:rPr>
                <w:b/>
                <w:snapToGrid w:val="0"/>
              </w:rPr>
              <w:t>Data</w:t>
            </w:r>
            <w:r w:rsidR="00DF1884" w:rsidRPr="00DF1884">
              <w:rPr>
                <w:b/>
                <w:snapToGrid w:val="0"/>
              </w:rPr>
              <w:t xml:space="preserve"> </w:t>
            </w:r>
            <w:r w:rsidRPr="00DF1884">
              <w:rPr>
                <w:b/>
                <w:snapToGrid w:val="0"/>
              </w:rPr>
              <w:t>Collection</w:t>
            </w:r>
            <w:r w:rsidR="00DF1884" w:rsidRPr="00DF1884">
              <w:rPr>
                <w:b/>
                <w:snapToGrid w:val="0"/>
              </w:rPr>
              <w:t xml:space="preserve"> </w:t>
            </w:r>
            <w:r w:rsidRPr="00DF1884">
              <w:rPr>
                <w:b/>
                <w:snapToGrid w:val="0"/>
              </w:rPr>
              <w:t>and</w:t>
            </w:r>
            <w:r w:rsidR="00DF1884" w:rsidRPr="00DF1884">
              <w:rPr>
                <w:b/>
                <w:snapToGrid w:val="0"/>
              </w:rPr>
              <w:t xml:space="preserve"> </w:t>
            </w:r>
            <w:r w:rsidRPr="00DF1884">
              <w:rPr>
                <w:b/>
                <w:snapToGrid w:val="0"/>
              </w:rPr>
              <w:t>Reporting</w:t>
            </w:r>
          </w:p>
        </w:tc>
        <w:tc>
          <w:tcPr>
            <w:tcW w:w="1200" w:type="dxa"/>
            <w:tcBorders>
              <w:bottom w:val="single" w:sz="6" w:space="0" w:color="auto"/>
            </w:tcBorders>
          </w:tcPr>
          <w:p w14:paraId="1B556475" w14:textId="77777777" w:rsidR="00463667" w:rsidRPr="00DF1884" w:rsidRDefault="00463667" w:rsidP="00C56CA6">
            <w:pPr>
              <w:spacing w:before="40" w:after="40" w:line="240" w:lineRule="exact"/>
              <w:jc w:val="center"/>
              <w:rPr>
                <w:rFonts w:ascii="Arial Narrow" w:hAnsi="Arial Narrow" w:cs="Arial"/>
                <w:sz w:val="24"/>
              </w:rPr>
            </w:pPr>
            <w:r w:rsidRPr="00DF1884">
              <w:rPr>
                <w:rFonts w:cs="Arial"/>
                <w:sz w:val="24"/>
              </w:rPr>
              <w:sym w:font="Wingdings" w:char="F0FC"/>
            </w:r>
          </w:p>
        </w:tc>
        <w:tc>
          <w:tcPr>
            <w:tcW w:w="1200" w:type="dxa"/>
            <w:tcBorders>
              <w:bottom w:val="single" w:sz="6" w:space="0" w:color="auto"/>
            </w:tcBorders>
          </w:tcPr>
          <w:p w14:paraId="35FB93F4" w14:textId="77777777" w:rsidR="00463667" w:rsidRPr="00DF1884" w:rsidRDefault="00463667" w:rsidP="00C56CA6">
            <w:pPr>
              <w:spacing w:before="40" w:after="40" w:line="240" w:lineRule="exact"/>
              <w:jc w:val="center"/>
              <w:rPr>
                <w:rFonts w:ascii="Arial Narrow" w:hAnsi="Arial Narrow" w:cs="Arial"/>
                <w:sz w:val="24"/>
              </w:rPr>
            </w:pPr>
            <w:r w:rsidRPr="00DF1884">
              <w:rPr>
                <w:rFonts w:cs="Arial"/>
                <w:sz w:val="24"/>
              </w:rPr>
              <w:sym w:font="Wingdings" w:char="F0FC"/>
            </w:r>
          </w:p>
        </w:tc>
        <w:tc>
          <w:tcPr>
            <w:tcW w:w="1200" w:type="dxa"/>
            <w:tcBorders>
              <w:bottom w:val="single" w:sz="6" w:space="0" w:color="auto"/>
            </w:tcBorders>
          </w:tcPr>
          <w:p w14:paraId="0F67BB01" w14:textId="77777777" w:rsidR="00463667" w:rsidRPr="00DF1884" w:rsidRDefault="00463667" w:rsidP="00C56CA6">
            <w:pPr>
              <w:spacing w:before="40" w:after="40" w:line="240" w:lineRule="exact"/>
              <w:jc w:val="center"/>
              <w:rPr>
                <w:rFonts w:ascii="Arial Narrow" w:hAnsi="Arial Narrow" w:cs="Arial"/>
                <w:sz w:val="24"/>
              </w:rPr>
            </w:pPr>
            <w:r w:rsidRPr="00DF1884">
              <w:rPr>
                <w:rFonts w:cs="Arial"/>
                <w:sz w:val="24"/>
              </w:rPr>
              <w:sym w:font="Wingdings" w:char="F0FC"/>
            </w:r>
          </w:p>
        </w:tc>
        <w:tc>
          <w:tcPr>
            <w:tcW w:w="7110" w:type="dxa"/>
            <w:tcBorders>
              <w:bottom w:val="single" w:sz="6" w:space="0" w:color="auto"/>
            </w:tcBorders>
          </w:tcPr>
          <w:p w14:paraId="35927C91" w14:textId="77777777" w:rsidR="00FE197C" w:rsidRPr="00B931DC" w:rsidRDefault="00FE197C" w:rsidP="00FE197C">
            <w:pPr>
              <w:pStyle w:val="TableBullet"/>
            </w:pPr>
            <w:r w:rsidRPr="00B931DC">
              <w:t xml:space="preserve">Updated deadlines in </w:t>
            </w:r>
            <w:r w:rsidRPr="00062C55">
              <w:rPr>
                <w:i/>
              </w:rPr>
              <w:t>General Guideline 9</w:t>
            </w:r>
            <w:r w:rsidRPr="00B931DC">
              <w:t>.</w:t>
            </w:r>
          </w:p>
          <w:p w14:paraId="4FC18A56" w14:textId="77777777" w:rsidR="00FE197C" w:rsidRPr="00DE4CDA" w:rsidRDefault="00FE197C" w:rsidP="00FE197C">
            <w:pPr>
              <w:pStyle w:val="TableBullet"/>
              <w:rPr>
                <w:i/>
                <w:szCs w:val="20"/>
              </w:rPr>
            </w:pPr>
            <w:r>
              <w:t>Removed the May 1 task “</w:t>
            </w:r>
            <w:r w:rsidRPr="0025337C">
              <w:t>Auditor selects measures for MMRV and informs the plan of the selections</w:t>
            </w:r>
            <w:r>
              <w:t>”</w:t>
            </w:r>
            <w:r>
              <w:rPr>
                <w:i/>
              </w:rPr>
              <w:t xml:space="preserve"> </w:t>
            </w:r>
            <w:r>
              <w:t xml:space="preserve">from the Audit Timeline in </w:t>
            </w:r>
            <w:r>
              <w:rPr>
                <w:i/>
              </w:rPr>
              <w:t>General Guideline 9.</w:t>
            </w:r>
          </w:p>
          <w:p w14:paraId="4EE4DFE8" w14:textId="77777777" w:rsidR="00FE197C" w:rsidRPr="00030FF9" w:rsidRDefault="00FE197C" w:rsidP="00FE197C">
            <w:pPr>
              <w:pStyle w:val="TableBullet"/>
              <w:rPr>
                <w:i/>
                <w:szCs w:val="20"/>
              </w:rPr>
            </w:pPr>
            <w:r>
              <w:t xml:space="preserve">Revised the audit results in </w:t>
            </w:r>
            <w:r>
              <w:rPr>
                <w:i/>
              </w:rPr>
              <w:t>General Guideline 10.</w:t>
            </w:r>
          </w:p>
          <w:p w14:paraId="3D6E98E1" w14:textId="028C5423" w:rsidR="00FE197C" w:rsidRDefault="00FE197C" w:rsidP="00FE197C">
            <w:pPr>
              <w:pStyle w:val="TableBullet"/>
              <w:rPr>
                <w:i/>
              </w:rPr>
            </w:pPr>
            <w:r>
              <w:t>Deleted the Measure Rotation guidelines</w:t>
            </w:r>
            <w:r w:rsidRPr="0025337C">
              <w:rPr>
                <w:i/>
              </w:rPr>
              <w:t xml:space="preserve"> (</w:t>
            </w:r>
            <w:r w:rsidR="001C5AA6">
              <w:t xml:space="preserve">formerly </w:t>
            </w:r>
            <w:r w:rsidRPr="0025337C">
              <w:rPr>
                <w:i/>
              </w:rPr>
              <w:t>General Guidelines 12–16).</w:t>
            </w:r>
          </w:p>
          <w:p w14:paraId="56EBC229" w14:textId="77777777" w:rsidR="00FE197C" w:rsidRPr="00A1340D" w:rsidRDefault="00FE197C" w:rsidP="00FE197C">
            <w:pPr>
              <w:pStyle w:val="TableBullet"/>
            </w:pPr>
            <w:r>
              <w:t xml:space="preserve">Revised </w:t>
            </w:r>
            <w:r w:rsidRPr="00E46605">
              <w:t>General Guideline 23</w:t>
            </w:r>
            <w:r>
              <w:t xml:space="preserve"> (</w:t>
            </w:r>
            <w:r w:rsidRPr="00E46605">
              <w:t>formerly</w:t>
            </w:r>
            <w:r>
              <w:t xml:space="preserve"> </w:t>
            </w:r>
            <w:r w:rsidRPr="00062C55">
              <w:rPr>
                <w:i/>
              </w:rPr>
              <w:t>General Guideline 28</w:t>
            </w:r>
            <w:r>
              <w:t xml:space="preserve">). </w:t>
            </w:r>
          </w:p>
          <w:p w14:paraId="2D84713E" w14:textId="77777777" w:rsidR="00FE197C" w:rsidRPr="00193C88" w:rsidRDefault="00FE197C" w:rsidP="00FE197C">
            <w:pPr>
              <w:pStyle w:val="TableBullet"/>
            </w:pPr>
            <w:r>
              <w:t xml:space="preserve">Updated submission dates in </w:t>
            </w:r>
            <w:r w:rsidRPr="00062C55">
              <w:rPr>
                <w:i/>
              </w:rPr>
              <w:t>General Guideline 30</w:t>
            </w:r>
            <w:r>
              <w:t xml:space="preserve"> (</w:t>
            </w:r>
            <w:r w:rsidRPr="00A1340D">
              <w:t>formerly</w:t>
            </w:r>
            <w:r>
              <w:t xml:space="preserve"> </w:t>
            </w:r>
            <w:r w:rsidRPr="00062C55">
              <w:rPr>
                <w:i/>
              </w:rPr>
              <w:t>General Guideline 35</w:t>
            </w:r>
            <w:r w:rsidRPr="00B1128F">
              <w:t>)</w:t>
            </w:r>
            <w:r>
              <w:t>.</w:t>
            </w:r>
          </w:p>
          <w:p w14:paraId="4CF922E7" w14:textId="77777777" w:rsidR="00FE197C" w:rsidRPr="00B1128F" w:rsidRDefault="00FE197C" w:rsidP="00FE197C">
            <w:pPr>
              <w:pStyle w:val="TableBullet"/>
              <w:rPr>
                <w:i/>
                <w:szCs w:val="20"/>
              </w:rPr>
            </w:pPr>
            <w:r>
              <w:rPr>
                <w:szCs w:val="20"/>
              </w:rPr>
              <w:t xml:space="preserve">Added </w:t>
            </w:r>
            <w:r>
              <w:t xml:space="preserve">a note to </w:t>
            </w:r>
            <w:r w:rsidRPr="00193C88">
              <w:rPr>
                <w:i/>
              </w:rPr>
              <w:t>General Guideline 33</w:t>
            </w:r>
            <w:r>
              <w:t xml:space="preserve"> (formerly </w:t>
            </w:r>
            <w:r>
              <w:rPr>
                <w:i/>
              </w:rPr>
              <w:t>General Guideline 38</w:t>
            </w:r>
            <w:r>
              <w:t>) to clarify how supplemental data numerator events are counted for EOC and EOC-like measures.</w:t>
            </w:r>
          </w:p>
          <w:p w14:paraId="46D03FF3" w14:textId="1561F4BF" w:rsidR="00463667" w:rsidRPr="00FE197C" w:rsidRDefault="00FE197C" w:rsidP="00FE197C">
            <w:pPr>
              <w:pStyle w:val="TableBullet"/>
              <w:rPr>
                <w:i/>
              </w:rPr>
            </w:pPr>
            <w:r>
              <w:t xml:space="preserve">Revised </w:t>
            </w:r>
            <w:r>
              <w:rPr>
                <w:i/>
              </w:rPr>
              <w:t xml:space="preserve">General Guideline 34 </w:t>
            </w:r>
            <w:r>
              <w:t xml:space="preserve">(formerly </w:t>
            </w:r>
            <w:r>
              <w:rPr>
                <w:i/>
              </w:rPr>
              <w:t>General Guideline 39</w:t>
            </w:r>
            <w:r>
              <w:t>) to clarify that supplemental data should be the last data source considered and to remove the requirement that supplemental data may only be used to identify e</w:t>
            </w:r>
            <w:r w:rsidRPr="00463667">
              <w:t>ligible-population</w:t>
            </w:r>
            <w:r>
              <w:t xml:space="preserve"> required exclusions related to the timing of the denominator event or diagnosis.</w:t>
            </w:r>
          </w:p>
        </w:tc>
      </w:tr>
      <w:tr w:rsidR="00463667" w:rsidRPr="00DF1884" w14:paraId="0BAEBFFC" w14:textId="77777777" w:rsidTr="00C56CA6">
        <w:tc>
          <w:tcPr>
            <w:tcW w:w="2610" w:type="dxa"/>
            <w:tcBorders>
              <w:bottom w:val="single" w:sz="6" w:space="0" w:color="auto"/>
            </w:tcBorders>
          </w:tcPr>
          <w:p w14:paraId="228F988B" w14:textId="7374E7EA" w:rsidR="00463667" w:rsidRPr="00DF1884" w:rsidRDefault="00463667" w:rsidP="00C56CA6">
            <w:pPr>
              <w:pStyle w:val="TableText"/>
              <w:rPr>
                <w:b/>
                <w:snapToGrid w:val="0"/>
              </w:rPr>
            </w:pPr>
            <w:r w:rsidRPr="00DF1884">
              <w:rPr>
                <w:b/>
                <w:snapToGrid w:val="0"/>
              </w:rPr>
              <w:t>Guidelines</w:t>
            </w:r>
            <w:r w:rsidR="00DF1884" w:rsidRPr="00DF1884">
              <w:rPr>
                <w:b/>
                <w:snapToGrid w:val="0"/>
              </w:rPr>
              <w:t xml:space="preserve"> </w:t>
            </w:r>
            <w:r w:rsidRPr="00DF1884">
              <w:rPr>
                <w:b/>
                <w:snapToGrid w:val="0"/>
              </w:rPr>
              <w:t>for</w:t>
            </w:r>
            <w:r w:rsidR="00DF1884" w:rsidRPr="00DF1884">
              <w:rPr>
                <w:b/>
                <w:snapToGrid w:val="0"/>
              </w:rPr>
              <w:t xml:space="preserve"> </w:t>
            </w:r>
            <w:r w:rsidRPr="00DF1884">
              <w:rPr>
                <w:b/>
                <w:snapToGrid w:val="0"/>
              </w:rPr>
              <w:t>Calculations</w:t>
            </w:r>
            <w:r w:rsidR="00DF1884" w:rsidRPr="00DF1884">
              <w:rPr>
                <w:b/>
                <w:snapToGrid w:val="0"/>
              </w:rPr>
              <w:t xml:space="preserve"> </w:t>
            </w:r>
            <w:r w:rsidRPr="00DF1884">
              <w:rPr>
                <w:b/>
                <w:snapToGrid w:val="0"/>
              </w:rPr>
              <w:t>and</w:t>
            </w:r>
            <w:r w:rsidR="00DF1884" w:rsidRPr="00DF1884">
              <w:rPr>
                <w:b/>
                <w:snapToGrid w:val="0"/>
              </w:rPr>
              <w:t xml:space="preserve"> </w:t>
            </w:r>
            <w:r w:rsidRPr="00DF1884">
              <w:rPr>
                <w:b/>
                <w:snapToGrid w:val="0"/>
              </w:rPr>
              <w:t>Sampling</w:t>
            </w:r>
          </w:p>
        </w:tc>
        <w:tc>
          <w:tcPr>
            <w:tcW w:w="1200" w:type="dxa"/>
            <w:tcBorders>
              <w:bottom w:val="single" w:sz="6" w:space="0" w:color="auto"/>
            </w:tcBorders>
          </w:tcPr>
          <w:p w14:paraId="79DBC1EB" w14:textId="77777777" w:rsidR="00463667" w:rsidRPr="00DF1884" w:rsidRDefault="00463667" w:rsidP="00C56CA6">
            <w:pPr>
              <w:spacing w:before="40" w:after="40" w:line="240" w:lineRule="exact"/>
              <w:jc w:val="center"/>
              <w:rPr>
                <w:rFonts w:ascii="Arial Narrow" w:hAnsi="Arial Narrow" w:cs="Arial"/>
                <w:sz w:val="24"/>
              </w:rPr>
            </w:pPr>
            <w:r w:rsidRPr="00DF1884">
              <w:rPr>
                <w:rFonts w:cs="Arial"/>
                <w:sz w:val="24"/>
              </w:rPr>
              <w:sym w:font="Wingdings" w:char="F0FC"/>
            </w:r>
          </w:p>
        </w:tc>
        <w:tc>
          <w:tcPr>
            <w:tcW w:w="1200" w:type="dxa"/>
            <w:tcBorders>
              <w:bottom w:val="single" w:sz="6" w:space="0" w:color="auto"/>
            </w:tcBorders>
          </w:tcPr>
          <w:p w14:paraId="7EAB41C3" w14:textId="77777777" w:rsidR="00463667" w:rsidRPr="00DF1884" w:rsidRDefault="00463667" w:rsidP="00C56CA6">
            <w:pPr>
              <w:spacing w:before="40" w:after="40" w:line="240" w:lineRule="exact"/>
              <w:jc w:val="center"/>
              <w:rPr>
                <w:rFonts w:ascii="Arial Narrow" w:hAnsi="Arial Narrow" w:cs="Arial"/>
                <w:sz w:val="24"/>
              </w:rPr>
            </w:pPr>
            <w:r w:rsidRPr="00DF1884">
              <w:rPr>
                <w:rFonts w:cs="Arial"/>
                <w:sz w:val="24"/>
              </w:rPr>
              <w:sym w:font="Wingdings" w:char="F0FC"/>
            </w:r>
          </w:p>
        </w:tc>
        <w:tc>
          <w:tcPr>
            <w:tcW w:w="1200" w:type="dxa"/>
            <w:tcBorders>
              <w:bottom w:val="single" w:sz="6" w:space="0" w:color="auto"/>
            </w:tcBorders>
          </w:tcPr>
          <w:p w14:paraId="0B06DD8A" w14:textId="77777777" w:rsidR="00463667" w:rsidRPr="00DF1884" w:rsidRDefault="00463667" w:rsidP="00C56CA6">
            <w:pPr>
              <w:spacing w:before="40" w:after="40" w:line="240" w:lineRule="exact"/>
              <w:jc w:val="center"/>
              <w:rPr>
                <w:rFonts w:ascii="Arial Narrow" w:hAnsi="Arial Narrow" w:cs="Arial"/>
                <w:sz w:val="24"/>
              </w:rPr>
            </w:pPr>
            <w:r w:rsidRPr="00DF1884">
              <w:rPr>
                <w:rFonts w:cs="Arial"/>
                <w:sz w:val="24"/>
              </w:rPr>
              <w:sym w:font="Wingdings" w:char="F0FC"/>
            </w:r>
          </w:p>
        </w:tc>
        <w:tc>
          <w:tcPr>
            <w:tcW w:w="7110" w:type="dxa"/>
            <w:tcBorders>
              <w:bottom w:val="single" w:sz="6" w:space="0" w:color="auto"/>
            </w:tcBorders>
          </w:tcPr>
          <w:p w14:paraId="06F1F774" w14:textId="33662C59" w:rsidR="00463667" w:rsidRPr="00DF1884" w:rsidRDefault="0055304C" w:rsidP="00463667">
            <w:pPr>
              <w:pStyle w:val="TableBullet"/>
            </w:pPr>
            <w:r w:rsidRPr="00241E7B">
              <w:t>No changes.</w:t>
            </w:r>
          </w:p>
        </w:tc>
      </w:tr>
      <w:tr w:rsidR="00463667" w:rsidRPr="00904532" w14:paraId="2CED2B34" w14:textId="77777777" w:rsidTr="00C56CA6">
        <w:tc>
          <w:tcPr>
            <w:tcW w:w="13320" w:type="dxa"/>
            <w:gridSpan w:val="5"/>
            <w:tcBorders>
              <w:bottom w:val="nil"/>
            </w:tcBorders>
            <w:shd w:val="clear" w:color="auto" w:fill="C0C0C0"/>
          </w:tcPr>
          <w:p w14:paraId="4A07EBC8" w14:textId="1DC89813" w:rsidR="00463667" w:rsidRPr="00904532" w:rsidRDefault="00904532" w:rsidP="00904532">
            <w:pPr>
              <w:pStyle w:val="TableText2"/>
              <w:jc w:val="center"/>
              <w:rPr>
                <w:b/>
                <w:snapToGrid w:val="0"/>
                <w:sz w:val="20"/>
                <w:szCs w:val="20"/>
              </w:rPr>
            </w:pPr>
            <w:r w:rsidRPr="00904532">
              <w:rPr>
                <w:b/>
                <w:snapToGrid w:val="0"/>
                <w:sz w:val="20"/>
                <w:szCs w:val="20"/>
              </w:rPr>
              <w:t>EFFECTIVENESS OF CARE</w:t>
            </w:r>
          </w:p>
        </w:tc>
      </w:tr>
      <w:tr w:rsidR="00463667" w:rsidRPr="00DF1884" w14:paraId="4F6000AC" w14:textId="77777777" w:rsidTr="00C56CA6">
        <w:tc>
          <w:tcPr>
            <w:tcW w:w="2610" w:type="dxa"/>
          </w:tcPr>
          <w:p w14:paraId="219F31AD" w14:textId="02DB5074" w:rsidR="00463667" w:rsidRPr="00DF1884" w:rsidRDefault="00463667" w:rsidP="00C56CA6">
            <w:pPr>
              <w:pStyle w:val="TableText"/>
              <w:rPr>
                <w:b/>
              </w:rPr>
            </w:pPr>
            <w:r w:rsidRPr="00DF1884">
              <w:rPr>
                <w:b/>
              </w:rPr>
              <w:t>Guidelines</w:t>
            </w:r>
            <w:r w:rsidR="00DF1884" w:rsidRPr="00DF1884">
              <w:rPr>
                <w:b/>
              </w:rPr>
              <w:t xml:space="preserve"> </w:t>
            </w:r>
            <w:r w:rsidRPr="00DF1884">
              <w:rPr>
                <w:b/>
              </w:rPr>
              <w:t>for</w:t>
            </w:r>
            <w:r w:rsidR="00DF1884" w:rsidRPr="00DF1884">
              <w:rPr>
                <w:b/>
              </w:rPr>
              <w:t xml:space="preserve"> </w:t>
            </w:r>
            <w:r w:rsidRPr="00DF1884">
              <w:rPr>
                <w:b/>
              </w:rPr>
              <w:t>Effectiveness</w:t>
            </w:r>
            <w:r w:rsidR="00DF1884" w:rsidRPr="00DF1884">
              <w:rPr>
                <w:b/>
              </w:rPr>
              <w:t xml:space="preserve"> </w:t>
            </w:r>
            <w:r w:rsidRPr="00DF1884">
              <w:rPr>
                <w:b/>
              </w:rPr>
              <w:t>of</w:t>
            </w:r>
            <w:r w:rsidR="00DF1884" w:rsidRPr="00DF1884">
              <w:rPr>
                <w:b/>
              </w:rPr>
              <w:t xml:space="preserve"> </w:t>
            </w:r>
            <w:r w:rsidRPr="00DF1884">
              <w:rPr>
                <w:b/>
              </w:rPr>
              <w:t>Care</w:t>
            </w:r>
          </w:p>
        </w:tc>
        <w:tc>
          <w:tcPr>
            <w:tcW w:w="1200" w:type="dxa"/>
          </w:tcPr>
          <w:p w14:paraId="73416DC5" w14:textId="77777777" w:rsidR="00463667" w:rsidRPr="00DF1884" w:rsidRDefault="00463667" w:rsidP="00C56CA6">
            <w:pPr>
              <w:spacing w:before="40" w:after="40" w:line="240" w:lineRule="exact"/>
              <w:jc w:val="center"/>
              <w:rPr>
                <w:rFonts w:ascii="Arial Narrow" w:hAnsi="Arial Narrow" w:cs="Arial"/>
                <w:sz w:val="24"/>
              </w:rPr>
            </w:pPr>
            <w:r w:rsidRPr="00DF1884">
              <w:rPr>
                <w:rFonts w:ascii="Arial Narrow" w:hAnsi="Arial Narrow" w:cs="Arial"/>
                <w:sz w:val="24"/>
              </w:rPr>
              <w:sym w:font="Wingdings" w:char="F0FC"/>
            </w:r>
          </w:p>
        </w:tc>
        <w:tc>
          <w:tcPr>
            <w:tcW w:w="1200" w:type="dxa"/>
          </w:tcPr>
          <w:p w14:paraId="301D1A0D" w14:textId="77777777" w:rsidR="00463667" w:rsidRPr="00DF1884" w:rsidRDefault="00463667" w:rsidP="00C56CA6">
            <w:pPr>
              <w:spacing w:before="40" w:after="40" w:line="240" w:lineRule="exact"/>
              <w:jc w:val="center"/>
              <w:rPr>
                <w:rFonts w:ascii="Arial Narrow" w:hAnsi="Arial Narrow" w:cs="Arial"/>
                <w:sz w:val="24"/>
              </w:rPr>
            </w:pPr>
            <w:r w:rsidRPr="00DF1884">
              <w:rPr>
                <w:rFonts w:ascii="Arial Narrow" w:hAnsi="Arial Narrow" w:cs="Arial"/>
                <w:sz w:val="24"/>
              </w:rPr>
              <w:sym w:font="Wingdings" w:char="F0FC"/>
            </w:r>
          </w:p>
        </w:tc>
        <w:tc>
          <w:tcPr>
            <w:tcW w:w="1200" w:type="dxa"/>
          </w:tcPr>
          <w:p w14:paraId="677D2562" w14:textId="77777777" w:rsidR="00463667" w:rsidRPr="00DF1884" w:rsidRDefault="00463667" w:rsidP="00C56CA6">
            <w:pPr>
              <w:pStyle w:val="TableText"/>
              <w:spacing w:line="240" w:lineRule="exact"/>
              <w:jc w:val="center"/>
              <w:rPr>
                <w:rFonts w:cs="Arial"/>
                <w:sz w:val="24"/>
                <w:szCs w:val="24"/>
              </w:rPr>
            </w:pPr>
            <w:r w:rsidRPr="00DF1884">
              <w:rPr>
                <w:rFonts w:cs="Arial"/>
                <w:sz w:val="24"/>
                <w:szCs w:val="24"/>
              </w:rPr>
              <w:sym w:font="Wingdings" w:char="F0FC"/>
            </w:r>
          </w:p>
        </w:tc>
        <w:tc>
          <w:tcPr>
            <w:tcW w:w="7110" w:type="dxa"/>
          </w:tcPr>
          <w:p w14:paraId="47101770" w14:textId="71C02234" w:rsidR="00463667" w:rsidRPr="00DF1884" w:rsidRDefault="0055304C" w:rsidP="00463667">
            <w:pPr>
              <w:pStyle w:val="TableBullet"/>
              <w:rPr>
                <w:i/>
              </w:rPr>
            </w:pPr>
            <w:r w:rsidRPr="00241E7B">
              <w:t>No changes.</w:t>
            </w:r>
          </w:p>
        </w:tc>
      </w:tr>
      <w:tr w:rsidR="00463667" w:rsidRPr="00DF1884" w14:paraId="66BB00EA" w14:textId="77777777" w:rsidTr="00C56CA6">
        <w:tc>
          <w:tcPr>
            <w:tcW w:w="2610" w:type="dxa"/>
          </w:tcPr>
          <w:p w14:paraId="3106B049" w14:textId="782AA4D4" w:rsidR="00463667" w:rsidRPr="00DF1884" w:rsidRDefault="00463667" w:rsidP="00C56CA6">
            <w:pPr>
              <w:pStyle w:val="TableText"/>
            </w:pPr>
            <w:r w:rsidRPr="00DF1884">
              <w:t>Adult</w:t>
            </w:r>
            <w:r w:rsidR="00DF1884" w:rsidRPr="00DF1884">
              <w:t xml:space="preserve"> </w:t>
            </w:r>
            <w:r w:rsidRPr="00DF1884">
              <w:t>BMI</w:t>
            </w:r>
            <w:r w:rsidR="00DF1884" w:rsidRPr="00DF1884">
              <w:t xml:space="preserve"> </w:t>
            </w:r>
            <w:r w:rsidRPr="00DF1884">
              <w:t>Assessment</w:t>
            </w:r>
          </w:p>
        </w:tc>
        <w:tc>
          <w:tcPr>
            <w:tcW w:w="1200" w:type="dxa"/>
          </w:tcPr>
          <w:p w14:paraId="68A5A647" w14:textId="77777777" w:rsidR="00463667" w:rsidRPr="00DF1884" w:rsidRDefault="00463667" w:rsidP="00C56CA6">
            <w:pPr>
              <w:spacing w:before="40" w:after="40" w:line="240" w:lineRule="exact"/>
              <w:jc w:val="center"/>
              <w:rPr>
                <w:rFonts w:ascii="Arial Narrow" w:hAnsi="Arial Narrow" w:cs="Arial"/>
                <w:sz w:val="24"/>
              </w:rPr>
            </w:pPr>
            <w:r w:rsidRPr="00DF1884">
              <w:rPr>
                <w:rFonts w:ascii="Arial Narrow" w:hAnsi="Arial Narrow" w:cs="Arial"/>
                <w:sz w:val="24"/>
              </w:rPr>
              <w:sym w:font="Wingdings" w:char="F0FC"/>
            </w:r>
          </w:p>
        </w:tc>
        <w:tc>
          <w:tcPr>
            <w:tcW w:w="1200" w:type="dxa"/>
          </w:tcPr>
          <w:p w14:paraId="35E8CFC1" w14:textId="77777777" w:rsidR="00463667" w:rsidRPr="00DF1884" w:rsidRDefault="00463667" w:rsidP="00C56CA6">
            <w:pPr>
              <w:spacing w:before="40" w:after="40" w:line="240" w:lineRule="exact"/>
              <w:jc w:val="center"/>
              <w:rPr>
                <w:rFonts w:ascii="Arial Narrow" w:hAnsi="Arial Narrow" w:cs="Arial"/>
                <w:sz w:val="24"/>
              </w:rPr>
            </w:pPr>
            <w:r w:rsidRPr="00DF1884">
              <w:rPr>
                <w:rFonts w:ascii="Arial Narrow" w:hAnsi="Arial Narrow" w:cs="Arial"/>
                <w:sz w:val="24"/>
              </w:rPr>
              <w:sym w:font="Wingdings" w:char="F0FC"/>
            </w:r>
          </w:p>
        </w:tc>
        <w:tc>
          <w:tcPr>
            <w:tcW w:w="1200" w:type="dxa"/>
          </w:tcPr>
          <w:p w14:paraId="3F76F069" w14:textId="77777777" w:rsidR="00463667" w:rsidRPr="00DF1884" w:rsidRDefault="00463667" w:rsidP="00C56CA6">
            <w:pPr>
              <w:pStyle w:val="TableText"/>
              <w:spacing w:line="240" w:lineRule="exact"/>
              <w:jc w:val="center"/>
              <w:rPr>
                <w:rFonts w:cs="Arial"/>
                <w:sz w:val="24"/>
                <w:szCs w:val="24"/>
              </w:rPr>
            </w:pPr>
            <w:r w:rsidRPr="00DF1884">
              <w:rPr>
                <w:rFonts w:cs="Arial"/>
                <w:sz w:val="24"/>
                <w:szCs w:val="24"/>
              </w:rPr>
              <w:sym w:font="Wingdings" w:char="F0FC"/>
            </w:r>
          </w:p>
        </w:tc>
        <w:tc>
          <w:tcPr>
            <w:tcW w:w="7110" w:type="dxa"/>
          </w:tcPr>
          <w:p w14:paraId="02E92697" w14:textId="77777777" w:rsidR="0055304C" w:rsidRPr="00A87BC1" w:rsidRDefault="0055304C" w:rsidP="0055304C">
            <w:pPr>
              <w:pStyle w:val="TableBullet"/>
              <w:rPr>
                <w:i/>
                <w:iCs/>
              </w:rPr>
            </w:pPr>
            <w:r>
              <w:t>Revised the age criteria for BMI and BMI percentile in the numerator.</w:t>
            </w:r>
          </w:p>
          <w:p w14:paraId="50F1C90E" w14:textId="48099A02" w:rsidR="00463667" w:rsidRPr="0055304C" w:rsidRDefault="0055304C" w:rsidP="0055304C">
            <w:pPr>
              <w:pStyle w:val="TableBullet"/>
              <w:rPr>
                <w:i/>
                <w:iCs/>
              </w:rPr>
            </w:pPr>
            <w:r>
              <w:t xml:space="preserve">Added “Numerator events by supplemental data” to the Data Elements for Reporting table to capture the number of members who met numerator criteria using supplemental data. </w:t>
            </w:r>
          </w:p>
        </w:tc>
      </w:tr>
      <w:tr w:rsidR="00463667" w:rsidRPr="00DF1884" w14:paraId="7960E0EC" w14:textId="77777777" w:rsidTr="00C56CA6">
        <w:tc>
          <w:tcPr>
            <w:tcW w:w="2610" w:type="dxa"/>
            <w:tcBorders>
              <w:top w:val="single" w:sz="4" w:space="0" w:color="auto"/>
              <w:left w:val="single" w:sz="4" w:space="0" w:color="auto"/>
              <w:bottom w:val="single" w:sz="4" w:space="0" w:color="auto"/>
              <w:right w:val="single" w:sz="4" w:space="0" w:color="auto"/>
            </w:tcBorders>
          </w:tcPr>
          <w:p w14:paraId="2F1F0140" w14:textId="24386900" w:rsidR="00463667" w:rsidRPr="00DF1884" w:rsidRDefault="00463667" w:rsidP="00C56CA6">
            <w:pPr>
              <w:pStyle w:val="TableText"/>
            </w:pPr>
            <w:r w:rsidRPr="00DF1884">
              <w:t>Weight</w:t>
            </w:r>
            <w:r w:rsidR="00DF1884" w:rsidRPr="00DF1884">
              <w:t xml:space="preserve"> </w:t>
            </w:r>
            <w:r w:rsidRPr="00DF1884">
              <w:t>Assessment</w:t>
            </w:r>
            <w:r w:rsidR="00DF1884" w:rsidRPr="00DF1884">
              <w:t xml:space="preserve"> </w:t>
            </w:r>
            <w:r w:rsidRPr="00DF1884">
              <w:t>and</w:t>
            </w:r>
            <w:r w:rsidR="00DF1884" w:rsidRPr="00DF1884">
              <w:t xml:space="preserve"> </w:t>
            </w:r>
            <w:r w:rsidRPr="00DF1884">
              <w:t>Counseling</w:t>
            </w:r>
            <w:r w:rsidR="00DF1884" w:rsidRPr="00DF1884">
              <w:t xml:space="preserve"> </w:t>
            </w:r>
            <w:r w:rsidRPr="00DF1884">
              <w:t>for</w:t>
            </w:r>
            <w:r w:rsidR="00DF1884" w:rsidRPr="00DF1884">
              <w:t xml:space="preserve"> </w:t>
            </w:r>
            <w:r w:rsidRPr="00DF1884">
              <w:t>Nutrition</w:t>
            </w:r>
            <w:r w:rsidR="00DF1884" w:rsidRPr="00DF1884">
              <w:t xml:space="preserve"> </w:t>
            </w:r>
            <w:r w:rsidRPr="00DF1884">
              <w:t>and</w:t>
            </w:r>
            <w:r w:rsidR="00DF1884" w:rsidRPr="00DF1884">
              <w:t xml:space="preserve"> </w:t>
            </w:r>
            <w:r w:rsidRPr="00DF1884">
              <w:t>Physical</w:t>
            </w:r>
            <w:r w:rsidR="00DF1884" w:rsidRPr="00DF1884">
              <w:t xml:space="preserve"> </w:t>
            </w:r>
            <w:r w:rsidRPr="00DF1884">
              <w:t>Activity</w:t>
            </w:r>
            <w:r w:rsidR="00DF1884" w:rsidRPr="00DF1884">
              <w:t xml:space="preserve"> </w:t>
            </w:r>
            <w:r w:rsidRPr="00DF1884">
              <w:t>for</w:t>
            </w:r>
            <w:r w:rsidR="00DF1884" w:rsidRPr="00DF1884">
              <w:t xml:space="preserve"> </w:t>
            </w:r>
            <w:r w:rsidRPr="00DF1884">
              <w:t>Children/Adolescents</w:t>
            </w:r>
          </w:p>
        </w:tc>
        <w:tc>
          <w:tcPr>
            <w:tcW w:w="1200" w:type="dxa"/>
            <w:tcBorders>
              <w:top w:val="single" w:sz="4" w:space="0" w:color="auto"/>
              <w:left w:val="single" w:sz="4" w:space="0" w:color="auto"/>
              <w:bottom w:val="single" w:sz="4" w:space="0" w:color="auto"/>
              <w:right w:val="single" w:sz="4" w:space="0" w:color="auto"/>
            </w:tcBorders>
          </w:tcPr>
          <w:p w14:paraId="537FD1D6" w14:textId="77777777" w:rsidR="00463667" w:rsidRPr="00DF1884" w:rsidRDefault="00463667" w:rsidP="00C56CA6">
            <w:pPr>
              <w:spacing w:before="40" w:after="40" w:line="240" w:lineRule="exact"/>
              <w:jc w:val="center"/>
              <w:rPr>
                <w:rFonts w:ascii="Arial Narrow" w:hAnsi="Arial Narrow" w:cs="Arial"/>
                <w:sz w:val="24"/>
              </w:rPr>
            </w:pPr>
            <w:r w:rsidRPr="00DF1884">
              <w:rPr>
                <w:rFonts w:ascii="Arial Narrow" w:hAnsi="Arial Narrow" w:cs="Arial"/>
                <w:sz w:val="24"/>
              </w:rPr>
              <w:sym w:font="Wingdings" w:char="F0FC"/>
            </w:r>
          </w:p>
        </w:tc>
        <w:tc>
          <w:tcPr>
            <w:tcW w:w="1200" w:type="dxa"/>
            <w:tcBorders>
              <w:top w:val="single" w:sz="4" w:space="0" w:color="auto"/>
              <w:left w:val="single" w:sz="4" w:space="0" w:color="auto"/>
              <w:bottom w:val="single" w:sz="4" w:space="0" w:color="auto"/>
              <w:right w:val="single" w:sz="4" w:space="0" w:color="auto"/>
            </w:tcBorders>
          </w:tcPr>
          <w:p w14:paraId="69A1D38F" w14:textId="77777777" w:rsidR="00463667" w:rsidRPr="00DF1884" w:rsidRDefault="00463667" w:rsidP="00C56CA6">
            <w:pPr>
              <w:spacing w:before="40" w:after="40" w:line="240" w:lineRule="exact"/>
              <w:jc w:val="center"/>
              <w:rPr>
                <w:rFonts w:ascii="Arial Narrow" w:hAnsi="Arial Narrow" w:cs="Arial"/>
                <w:sz w:val="24"/>
              </w:rPr>
            </w:pPr>
            <w:r w:rsidRPr="00DF1884">
              <w:rPr>
                <w:rFonts w:ascii="Arial Narrow" w:hAnsi="Arial Narrow" w:cs="Arial"/>
                <w:sz w:val="24"/>
              </w:rPr>
              <w:sym w:font="Wingdings" w:char="F0FC"/>
            </w:r>
          </w:p>
        </w:tc>
        <w:tc>
          <w:tcPr>
            <w:tcW w:w="1200" w:type="dxa"/>
            <w:tcBorders>
              <w:top w:val="single" w:sz="4" w:space="0" w:color="auto"/>
              <w:left w:val="single" w:sz="4" w:space="0" w:color="auto"/>
              <w:bottom w:val="single" w:sz="4" w:space="0" w:color="auto"/>
              <w:right w:val="single" w:sz="4" w:space="0" w:color="auto"/>
            </w:tcBorders>
          </w:tcPr>
          <w:p w14:paraId="003E0678" w14:textId="77777777" w:rsidR="00463667" w:rsidRPr="00DF1884" w:rsidRDefault="00463667" w:rsidP="00C56CA6">
            <w:pPr>
              <w:pStyle w:val="TableText"/>
              <w:spacing w:line="240" w:lineRule="exact"/>
              <w:jc w:val="center"/>
              <w:rPr>
                <w:rFonts w:cs="Arial"/>
                <w:sz w:val="24"/>
                <w:szCs w:val="24"/>
              </w:rPr>
            </w:pPr>
          </w:p>
        </w:tc>
        <w:tc>
          <w:tcPr>
            <w:tcW w:w="7110" w:type="dxa"/>
            <w:tcBorders>
              <w:top w:val="single" w:sz="4" w:space="0" w:color="auto"/>
              <w:left w:val="single" w:sz="4" w:space="0" w:color="auto"/>
              <w:bottom w:val="single" w:sz="4" w:space="0" w:color="auto"/>
              <w:right w:val="single" w:sz="4" w:space="0" w:color="auto"/>
            </w:tcBorders>
          </w:tcPr>
          <w:p w14:paraId="224281CA" w14:textId="77777777" w:rsidR="0055304C" w:rsidRPr="00A87BC1" w:rsidRDefault="0055304C" w:rsidP="0055304C">
            <w:pPr>
              <w:pStyle w:val="TableBullet"/>
              <w:rPr>
                <w:i/>
                <w:iCs/>
              </w:rPr>
            </w:pPr>
            <w:r>
              <w:t>Removed the BMI value option for members 16–17 years of age from the numerator.</w:t>
            </w:r>
          </w:p>
          <w:p w14:paraId="6C79ECC9" w14:textId="77777777" w:rsidR="0055304C" w:rsidRPr="00B3230C" w:rsidRDefault="0055304C" w:rsidP="0055304C">
            <w:pPr>
              <w:pStyle w:val="TableBullet"/>
            </w:pPr>
            <w:r>
              <w:t>Revised the physical activity requirement to indicate that n</w:t>
            </w:r>
            <w:r w:rsidRPr="00B3230C">
              <w:t>otation of anticipatory guidance related solely to safety (e.g.</w:t>
            </w:r>
            <w:r>
              <w:t>,</w:t>
            </w:r>
            <w:r w:rsidRPr="00B3230C">
              <w:t xml:space="preserve"> wears helmet or water safety) without specific mention of physical activity recommendations</w:t>
            </w:r>
            <w:r>
              <w:t xml:space="preserve"> does not meet criteria</w:t>
            </w:r>
            <w:r w:rsidRPr="00B3230C">
              <w:t xml:space="preserve">. </w:t>
            </w:r>
          </w:p>
          <w:p w14:paraId="668AE430" w14:textId="11950516" w:rsidR="00463667" w:rsidRPr="00DF1884" w:rsidRDefault="0055304C" w:rsidP="0055304C">
            <w:pPr>
              <w:pStyle w:val="TableBullet"/>
            </w:pPr>
            <w:r>
              <w:t xml:space="preserve">Added “Numerator events by supplemental data” to the Data Elements for Reporting table to capture the number of members who met numerator criteria using supplemental data. </w:t>
            </w:r>
          </w:p>
        </w:tc>
      </w:tr>
    </w:tbl>
    <w:p w14:paraId="14A1C402" w14:textId="77777777" w:rsidR="00463667" w:rsidRPr="00DF1884" w:rsidRDefault="00463667" w:rsidP="00463667">
      <w:pPr>
        <w:spacing w:before="120"/>
        <w:sectPr w:rsidR="00463667" w:rsidRPr="00DF1884" w:rsidSect="0039781B">
          <w:headerReference w:type="even" r:id="rId23"/>
          <w:headerReference w:type="default" r:id="rId24"/>
          <w:footerReference w:type="even" r:id="rId25"/>
          <w:footerReference w:type="default" r:id="rId26"/>
          <w:pgSz w:w="15840" w:h="12240" w:orient="landscape" w:code="1"/>
          <w:pgMar w:top="1080" w:right="1080" w:bottom="1080" w:left="1440" w:header="720" w:footer="720" w:gutter="0"/>
          <w:pgNumType w:start="1"/>
          <w:cols w:space="720"/>
        </w:sectPr>
      </w:pPr>
    </w:p>
    <w:p w14:paraId="1CE94763" w14:textId="267556F1" w:rsidR="00463667" w:rsidRPr="00DF1884" w:rsidRDefault="00463667" w:rsidP="00463667">
      <w:pPr>
        <w:pStyle w:val="TableHeadNotCondensed"/>
        <w:spacing w:before="0"/>
      </w:pPr>
      <w:r w:rsidRPr="00DF1884">
        <w:lastRenderedPageBreak/>
        <w:t>HEDIS</w:t>
      </w:r>
      <w:r w:rsidR="00DF1884" w:rsidRPr="00DF1884">
        <w:t xml:space="preserve"> </w:t>
      </w:r>
      <w:r w:rsidR="00442111" w:rsidRPr="00DF1884">
        <w:rPr>
          <w:iCs/>
        </w:rPr>
        <w:t>2016</w:t>
      </w:r>
      <w:r w:rsidR="00DF1884" w:rsidRPr="00DF1884">
        <w:t xml:space="preserve"> </w:t>
      </w:r>
      <w:r w:rsidRPr="00DF1884">
        <w:t>Summary</w:t>
      </w:r>
      <w:r w:rsidR="00DF1884" w:rsidRPr="00DF1884">
        <w:t xml:space="preserve"> </w:t>
      </w:r>
      <w:r w:rsidRPr="00DF1884">
        <w:t>Table</w:t>
      </w:r>
      <w:r w:rsidR="00DF1884" w:rsidRPr="00DF1884">
        <w:t xml:space="preserve"> </w:t>
      </w:r>
      <w:r w:rsidRPr="00DF1884">
        <w:t>of</w:t>
      </w:r>
      <w:r w:rsidR="00DF1884" w:rsidRPr="00DF1884">
        <w:t xml:space="preserve"> </w:t>
      </w:r>
      <w:r w:rsidRPr="00DF1884">
        <w:t>Measures,</w:t>
      </w:r>
      <w:r w:rsidR="00DF1884" w:rsidRPr="00DF1884">
        <w:t xml:space="preserve"> </w:t>
      </w:r>
      <w:r w:rsidRPr="00DF1884">
        <w:t>Product</w:t>
      </w:r>
      <w:r w:rsidR="00DF1884" w:rsidRPr="00DF1884">
        <w:t xml:space="preserve"> </w:t>
      </w:r>
      <w:r w:rsidRPr="00DF1884">
        <w:t>Lines</w:t>
      </w:r>
      <w:r w:rsidR="00DF1884" w:rsidRPr="00DF1884">
        <w:t xml:space="preserve"> </w:t>
      </w:r>
      <w:r w:rsidRPr="00DF1884">
        <w:t>and</w:t>
      </w:r>
      <w:r w:rsidR="00DF1884" w:rsidRPr="00DF1884">
        <w:t xml:space="preserve"> </w:t>
      </w:r>
      <w:r w:rsidRPr="00DF1884">
        <w:t>Changes</w:t>
      </w:r>
      <w:r w:rsidR="00DF1884" w:rsidRPr="00DF1884">
        <w:t xml:space="preserve"> </w:t>
      </w:r>
      <w:r w:rsidRPr="00DF1884">
        <w:rPr>
          <w:i/>
          <w:sz w:val="20"/>
          <w:szCs w:val="20"/>
        </w:rPr>
        <w:t>(continued)</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8"/>
        <w:gridCol w:w="1194"/>
        <w:gridCol w:w="1170"/>
        <w:gridCol w:w="1080"/>
        <w:gridCol w:w="6908"/>
      </w:tblGrid>
      <w:tr w:rsidR="00463667" w:rsidRPr="00DF1884" w14:paraId="3010379D" w14:textId="77777777" w:rsidTr="004B17A3">
        <w:trPr>
          <w:cantSplit/>
        </w:trPr>
        <w:tc>
          <w:tcPr>
            <w:tcW w:w="2968" w:type="dxa"/>
            <w:vMerge w:val="restart"/>
            <w:tcBorders>
              <w:top w:val="single" w:sz="4" w:space="0" w:color="auto"/>
              <w:left w:val="single" w:sz="4" w:space="0" w:color="auto"/>
              <w:bottom w:val="single" w:sz="4" w:space="0" w:color="auto"/>
              <w:right w:val="single" w:sz="4" w:space="0" w:color="FFFFFF"/>
            </w:tcBorders>
            <w:shd w:val="clear" w:color="auto" w:fill="000000"/>
            <w:vAlign w:val="bottom"/>
          </w:tcPr>
          <w:p w14:paraId="3C645F75" w14:textId="716F3CED" w:rsidR="00463667" w:rsidRPr="00DF1884" w:rsidRDefault="00463667" w:rsidP="00C56CA6">
            <w:pPr>
              <w:pStyle w:val="TableHead"/>
              <w:rPr>
                <w:color w:val="auto"/>
              </w:rPr>
            </w:pPr>
            <w:r w:rsidRPr="00DF1884">
              <w:rPr>
                <w:color w:val="auto"/>
              </w:rPr>
              <w:t>HEDIS</w:t>
            </w:r>
            <w:r w:rsidR="00DF1884" w:rsidRPr="00DF1884">
              <w:rPr>
                <w:color w:val="auto"/>
              </w:rPr>
              <w:t xml:space="preserve"> </w:t>
            </w:r>
            <w:r w:rsidR="00442111" w:rsidRPr="00DF1884">
              <w:rPr>
                <w:color w:val="auto"/>
              </w:rPr>
              <w:t>2016</w:t>
            </w:r>
            <w:r w:rsidR="00DF1884" w:rsidRPr="00DF1884">
              <w:rPr>
                <w:color w:val="auto"/>
              </w:rPr>
              <w:t xml:space="preserve"> </w:t>
            </w:r>
            <w:r w:rsidRPr="00DF1884">
              <w:rPr>
                <w:color w:val="auto"/>
              </w:rPr>
              <w:t>Measures</w:t>
            </w:r>
          </w:p>
        </w:tc>
        <w:tc>
          <w:tcPr>
            <w:tcW w:w="3444" w:type="dxa"/>
            <w:gridSpan w:val="3"/>
            <w:tcBorders>
              <w:left w:val="nil"/>
              <w:bottom w:val="single" w:sz="4" w:space="0" w:color="FFFFFF"/>
              <w:right w:val="single" w:sz="4" w:space="0" w:color="FFFFFF"/>
            </w:tcBorders>
            <w:shd w:val="clear" w:color="auto" w:fill="000000"/>
          </w:tcPr>
          <w:p w14:paraId="71AED1B6" w14:textId="23C72227" w:rsidR="00463667" w:rsidRPr="00DF1884" w:rsidRDefault="00463667" w:rsidP="00C56CA6">
            <w:pPr>
              <w:pStyle w:val="TableHead"/>
              <w:rPr>
                <w:color w:val="auto"/>
              </w:rPr>
            </w:pPr>
            <w:r w:rsidRPr="00DF1884">
              <w:rPr>
                <w:color w:val="auto"/>
              </w:rPr>
              <w:t>Applicable</w:t>
            </w:r>
            <w:r w:rsidR="00DF1884" w:rsidRPr="00DF1884">
              <w:rPr>
                <w:color w:val="auto"/>
              </w:rPr>
              <w:t xml:space="preserve"> </w:t>
            </w:r>
            <w:r w:rsidRPr="00DF1884">
              <w:rPr>
                <w:color w:val="auto"/>
              </w:rPr>
              <w:t>to:</w:t>
            </w:r>
          </w:p>
        </w:tc>
        <w:tc>
          <w:tcPr>
            <w:tcW w:w="6908" w:type="dxa"/>
            <w:vMerge w:val="restart"/>
            <w:tcBorders>
              <w:left w:val="nil"/>
              <w:bottom w:val="single" w:sz="4" w:space="0" w:color="auto"/>
            </w:tcBorders>
            <w:shd w:val="clear" w:color="auto" w:fill="000000"/>
            <w:vAlign w:val="bottom"/>
          </w:tcPr>
          <w:p w14:paraId="5AB01486" w14:textId="44704330" w:rsidR="00463667" w:rsidRPr="00DF1884" w:rsidRDefault="00463667" w:rsidP="00C56CA6">
            <w:pPr>
              <w:pStyle w:val="TableHead"/>
              <w:rPr>
                <w:color w:val="auto"/>
              </w:rPr>
            </w:pPr>
            <w:r w:rsidRPr="00DF1884">
              <w:rPr>
                <w:color w:val="auto"/>
              </w:rPr>
              <w:t>Changes</w:t>
            </w:r>
            <w:r w:rsidR="00DF1884" w:rsidRPr="00DF1884">
              <w:rPr>
                <w:color w:val="auto"/>
              </w:rPr>
              <w:t xml:space="preserve"> </w:t>
            </w:r>
            <w:r w:rsidRPr="00DF1884">
              <w:rPr>
                <w:color w:val="auto"/>
              </w:rPr>
              <w:t>to</w:t>
            </w:r>
            <w:r w:rsidR="00DF1884" w:rsidRPr="00DF1884">
              <w:rPr>
                <w:color w:val="auto"/>
              </w:rPr>
              <w:t xml:space="preserve"> </w:t>
            </w:r>
            <w:r w:rsidRPr="00DF1884">
              <w:rPr>
                <w:color w:val="auto"/>
              </w:rPr>
              <w:t>HEDIS</w:t>
            </w:r>
            <w:r w:rsidR="00DF1884" w:rsidRPr="00DF1884">
              <w:rPr>
                <w:color w:val="auto"/>
              </w:rPr>
              <w:t xml:space="preserve"> </w:t>
            </w:r>
            <w:r w:rsidR="00442111" w:rsidRPr="00DF1884">
              <w:rPr>
                <w:color w:val="auto"/>
              </w:rPr>
              <w:t>2016</w:t>
            </w:r>
          </w:p>
        </w:tc>
      </w:tr>
      <w:tr w:rsidR="00463667" w:rsidRPr="00DF1884" w14:paraId="765C61F0" w14:textId="77777777" w:rsidTr="004B17A3">
        <w:trPr>
          <w:cantSplit/>
        </w:trPr>
        <w:tc>
          <w:tcPr>
            <w:tcW w:w="2968" w:type="dxa"/>
            <w:vMerge/>
            <w:tcBorders>
              <w:top w:val="nil"/>
              <w:left w:val="single" w:sz="4" w:space="0" w:color="auto"/>
              <w:bottom w:val="nil"/>
              <w:right w:val="single" w:sz="4" w:space="0" w:color="FFFFFF"/>
            </w:tcBorders>
          </w:tcPr>
          <w:p w14:paraId="79326131" w14:textId="77777777" w:rsidR="00463667" w:rsidRPr="00DF1884" w:rsidRDefault="00463667" w:rsidP="00C56CA6">
            <w:pPr>
              <w:pStyle w:val="TableHead"/>
              <w:rPr>
                <w:color w:val="auto"/>
              </w:rPr>
            </w:pPr>
          </w:p>
        </w:tc>
        <w:tc>
          <w:tcPr>
            <w:tcW w:w="1194" w:type="dxa"/>
            <w:tcBorders>
              <w:top w:val="nil"/>
              <w:left w:val="nil"/>
              <w:bottom w:val="nil"/>
              <w:right w:val="single" w:sz="4" w:space="0" w:color="FFFFFF"/>
            </w:tcBorders>
            <w:shd w:val="clear" w:color="auto" w:fill="000000"/>
          </w:tcPr>
          <w:p w14:paraId="1CC788DE" w14:textId="77777777" w:rsidR="00463667" w:rsidRPr="00DF1884" w:rsidRDefault="00463667" w:rsidP="00C56CA6">
            <w:pPr>
              <w:pStyle w:val="TableHead"/>
              <w:rPr>
                <w:color w:val="auto"/>
              </w:rPr>
            </w:pPr>
            <w:r w:rsidRPr="00DF1884">
              <w:rPr>
                <w:color w:val="auto"/>
              </w:rPr>
              <w:t>Commercial</w:t>
            </w:r>
          </w:p>
        </w:tc>
        <w:tc>
          <w:tcPr>
            <w:tcW w:w="1170" w:type="dxa"/>
            <w:tcBorders>
              <w:top w:val="nil"/>
              <w:left w:val="nil"/>
              <w:bottom w:val="nil"/>
              <w:right w:val="single" w:sz="4" w:space="0" w:color="FFFFFF"/>
            </w:tcBorders>
            <w:shd w:val="clear" w:color="auto" w:fill="000000"/>
          </w:tcPr>
          <w:p w14:paraId="2DDA6E10" w14:textId="77777777" w:rsidR="00463667" w:rsidRPr="00DF1884" w:rsidRDefault="00463667" w:rsidP="00C56CA6">
            <w:pPr>
              <w:pStyle w:val="TableHead"/>
              <w:rPr>
                <w:color w:val="auto"/>
              </w:rPr>
            </w:pPr>
            <w:r w:rsidRPr="00DF1884">
              <w:rPr>
                <w:color w:val="auto"/>
              </w:rPr>
              <w:t>Medicaid</w:t>
            </w:r>
          </w:p>
        </w:tc>
        <w:tc>
          <w:tcPr>
            <w:tcW w:w="1080" w:type="dxa"/>
            <w:tcBorders>
              <w:top w:val="nil"/>
              <w:left w:val="nil"/>
              <w:bottom w:val="nil"/>
              <w:right w:val="single" w:sz="4" w:space="0" w:color="FFFFFF"/>
            </w:tcBorders>
            <w:shd w:val="clear" w:color="auto" w:fill="000000"/>
          </w:tcPr>
          <w:p w14:paraId="2FBD253E" w14:textId="77777777" w:rsidR="00463667" w:rsidRPr="00DF1884" w:rsidRDefault="00463667" w:rsidP="00C56CA6">
            <w:pPr>
              <w:pStyle w:val="TableHead"/>
              <w:rPr>
                <w:color w:val="auto"/>
              </w:rPr>
            </w:pPr>
            <w:r w:rsidRPr="00DF1884">
              <w:rPr>
                <w:color w:val="auto"/>
              </w:rPr>
              <w:t>Medicare</w:t>
            </w:r>
          </w:p>
        </w:tc>
        <w:tc>
          <w:tcPr>
            <w:tcW w:w="6908" w:type="dxa"/>
            <w:vMerge/>
            <w:tcBorders>
              <w:top w:val="nil"/>
              <w:left w:val="nil"/>
              <w:bottom w:val="nil"/>
            </w:tcBorders>
            <w:vAlign w:val="bottom"/>
          </w:tcPr>
          <w:p w14:paraId="064A95AB" w14:textId="77777777" w:rsidR="00463667" w:rsidRPr="00DF1884" w:rsidRDefault="00463667" w:rsidP="00C56CA6">
            <w:pPr>
              <w:pStyle w:val="TableHead2"/>
              <w:rPr>
                <w:color w:val="auto"/>
              </w:rPr>
            </w:pPr>
          </w:p>
        </w:tc>
      </w:tr>
      <w:tr w:rsidR="00463667" w:rsidRPr="00904532" w14:paraId="3F2B0F4E" w14:textId="77777777" w:rsidTr="00C56CA6">
        <w:tc>
          <w:tcPr>
            <w:tcW w:w="13320" w:type="dxa"/>
            <w:gridSpan w:val="5"/>
            <w:tcBorders>
              <w:bottom w:val="nil"/>
            </w:tcBorders>
            <w:shd w:val="clear" w:color="auto" w:fill="C0C0C0"/>
          </w:tcPr>
          <w:p w14:paraId="51262375" w14:textId="7B53DC1C" w:rsidR="00463667" w:rsidRPr="00904532" w:rsidRDefault="00904532" w:rsidP="00904532">
            <w:pPr>
              <w:pStyle w:val="TableText2"/>
              <w:jc w:val="center"/>
              <w:rPr>
                <w:b/>
                <w:snapToGrid w:val="0"/>
                <w:sz w:val="20"/>
                <w:szCs w:val="20"/>
              </w:rPr>
            </w:pPr>
            <w:r w:rsidRPr="00904532">
              <w:rPr>
                <w:b/>
                <w:snapToGrid w:val="0"/>
                <w:sz w:val="20"/>
                <w:szCs w:val="20"/>
              </w:rPr>
              <w:t>EFFECTIVENESS OF CARE</w:t>
            </w:r>
          </w:p>
        </w:tc>
      </w:tr>
      <w:tr w:rsidR="00463667" w:rsidRPr="00DF1884" w14:paraId="4F5B198B" w14:textId="77777777" w:rsidTr="004B17A3">
        <w:tc>
          <w:tcPr>
            <w:tcW w:w="2968" w:type="dxa"/>
            <w:tcBorders>
              <w:top w:val="single" w:sz="4" w:space="0" w:color="auto"/>
              <w:left w:val="single" w:sz="4" w:space="0" w:color="auto"/>
              <w:bottom w:val="single" w:sz="6" w:space="0" w:color="auto"/>
              <w:right w:val="single" w:sz="4" w:space="0" w:color="auto"/>
            </w:tcBorders>
          </w:tcPr>
          <w:p w14:paraId="71F6E7F8" w14:textId="7653CCFE" w:rsidR="00463667" w:rsidRPr="00DF1884" w:rsidRDefault="00463667" w:rsidP="00C56CA6">
            <w:pPr>
              <w:pStyle w:val="TableText"/>
            </w:pPr>
            <w:r w:rsidRPr="00DF1884">
              <w:t>Childhood</w:t>
            </w:r>
            <w:r w:rsidR="00DF1884" w:rsidRPr="00DF1884">
              <w:t xml:space="preserve"> </w:t>
            </w:r>
            <w:r w:rsidRPr="00DF1884">
              <w:t>Immunization</w:t>
            </w:r>
            <w:r w:rsidR="00DF1884" w:rsidRPr="00DF1884">
              <w:t xml:space="preserve"> </w:t>
            </w:r>
            <w:r w:rsidRPr="00DF1884">
              <w:t>Status</w:t>
            </w:r>
          </w:p>
        </w:tc>
        <w:tc>
          <w:tcPr>
            <w:tcW w:w="1194" w:type="dxa"/>
            <w:tcBorders>
              <w:top w:val="single" w:sz="4" w:space="0" w:color="auto"/>
              <w:left w:val="single" w:sz="4" w:space="0" w:color="auto"/>
              <w:bottom w:val="single" w:sz="6" w:space="0" w:color="auto"/>
              <w:right w:val="single" w:sz="4" w:space="0" w:color="auto"/>
            </w:tcBorders>
          </w:tcPr>
          <w:p w14:paraId="282DFD9F" w14:textId="77777777" w:rsidR="00463667" w:rsidRPr="00DF1884" w:rsidRDefault="00463667" w:rsidP="00C56CA6">
            <w:pPr>
              <w:spacing w:before="40" w:after="40" w:line="240" w:lineRule="exact"/>
              <w:jc w:val="center"/>
              <w:rPr>
                <w:rFonts w:ascii="Arial Narrow" w:hAnsi="Arial Narrow" w:cs="Arial"/>
                <w:sz w:val="24"/>
              </w:rPr>
            </w:pPr>
            <w:r w:rsidRPr="00DF1884">
              <w:rPr>
                <w:rFonts w:ascii="Arial Narrow" w:hAnsi="Arial Narrow" w:cs="Arial"/>
                <w:sz w:val="24"/>
              </w:rPr>
              <w:sym w:font="Wingdings" w:char="F0FC"/>
            </w:r>
          </w:p>
        </w:tc>
        <w:tc>
          <w:tcPr>
            <w:tcW w:w="1170" w:type="dxa"/>
            <w:tcBorders>
              <w:top w:val="single" w:sz="4" w:space="0" w:color="auto"/>
              <w:left w:val="single" w:sz="4" w:space="0" w:color="auto"/>
              <w:bottom w:val="single" w:sz="6" w:space="0" w:color="auto"/>
              <w:right w:val="single" w:sz="4" w:space="0" w:color="auto"/>
            </w:tcBorders>
          </w:tcPr>
          <w:p w14:paraId="07677F3A" w14:textId="77777777" w:rsidR="00463667" w:rsidRPr="00DF1884" w:rsidRDefault="00463667" w:rsidP="00C56CA6">
            <w:pPr>
              <w:spacing w:before="40" w:after="40" w:line="240" w:lineRule="exact"/>
              <w:jc w:val="center"/>
              <w:rPr>
                <w:rFonts w:ascii="Arial Narrow" w:hAnsi="Arial Narrow" w:cs="Arial"/>
                <w:sz w:val="24"/>
              </w:rPr>
            </w:pPr>
            <w:r w:rsidRPr="00DF1884">
              <w:rPr>
                <w:rFonts w:ascii="Arial Narrow" w:hAnsi="Arial Narrow" w:cs="Arial"/>
                <w:sz w:val="24"/>
              </w:rPr>
              <w:sym w:font="Wingdings" w:char="F0FC"/>
            </w:r>
          </w:p>
        </w:tc>
        <w:tc>
          <w:tcPr>
            <w:tcW w:w="1080" w:type="dxa"/>
            <w:tcBorders>
              <w:top w:val="single" w:sz="4" w:space="0" w:color="auto"/>
              <w:left w:val="single" w:sz="4" w:space="0" w:color="auto"/>
              <w:bottom w:val="single" w:sz="6" w:space="0" w:color="auto"/>
              <w:right w:val="nil"/>
            </w:tcBorders>
          </w:tcPr>
          <w:p w14:paraId="28888BF8" w14:textId="77777777" w:rsidR="00463667" w:rsidRPr="00DF1884" w:rsidRDefault="00463667" w:rsidP="00C56CA6">
            <w:pPr>
              <w:pStyle w:val="TableText"/>
              <w:spacing w:line="240" w:lineRule="exact"/>
              <w:jc w:val="center"/>
              <w:rPr>
                <w:rFonts w:cs="Arial"/>
                <w:sz w:val="24"/>
                <w:szCs w:val="24"/>
              </w:rPr>
            </w:pPr>
          </w:p>
        </w:tc>
        <w:tc>
          <w:tcPr>
            <w:tcW w:w="6908" w:type="dxa"/>
            <w:tcBorders>
              <w:top w:val="single" w:sz="4" w:space="0" w:color="auto"/>
              <w:left w:val="single" w:sz="4" w:space="0" w:color="auto"/>
              <w:bottom w:val="single" w:sz="6" w:space="0" w:color="auto"/>
              <w:right w:val="single" w:sz="4" w:space="0" w:color="auto"/>
            </w:tcBorders>
          </w:tcPr>
          <w:p w14:paraId="5750908A" w14:textId="1F9C4EBE" w:rsidR="00381D73" w:rsidRPr="00381D73" w:rsidRDefault="00381D73" w:rsidP="00381D73">
            <w:pPr>
              <w:pStyle w:val="TableBullet"/>
            </w:pPr>
            <w:r>
              <w:t xml:space="preserve">Added a </w:t>
            </w:r>
            <w:r w:rsidRPr="00381D73">
              <w:rPr>
                <w:i/>
                <w:iCs/>
              </w:rPr>
              <w:t>Note</w:t>
            </w:r>
            <w:r>
              <w:t xml:space="preserve"> </w:t>
            </w:r>
            <w:r w:rsidRPr="00381D73">
              <w:t>to MMR clarifying that the “14-day rule” does not apply to this vaccine.</w:t>
            </w:r>
          </w:p>
          <w:p w14:paraId="53EC33AC" w14:textId="2A7C5BD6" w:rsidR="0055304C" w:rsidRPr="00E347E7" w:rsidRDefault="0055304C" w:rsidP="00381D73">
            <w:pPr>
              <w:pStyle w:val="TableBullet"/>
              <w:rPr>
                <w:i/>
                <w:iCs/>
              </w:rPr>
            </w:pPr>
            <w:r>
              <w:t>Added a new value set to the administrative method to identify Hepatitis B vaccines administered at birth.</w:t>
            </w:r>
          </w:p>
          <w:p w14:paraId="4D945A5A" w14:textId="55D23921" w:rsidR="00463667" w:rsidRPr="00DF1884" w:rsidRDefault="0055304C" w:rsidP="0055304C">
            <w:pPr>
              <w:pStyle w:val="TableBullet"/>
            </w:pPr>
            <w:r>
              <w:t xml:space="preserve">Added “Numerator events by supplemental data” to the Data Elements for Reporting table to capture the number of members who met numerator criteria using supplemental data. </w:t>
            </w:r>
          </w:p>
        </w:tc>
      </w:tr>
      <w:tr w:rsidR="00463667" w:rsidRPr="00DF1884" w14:paraId="14F3C26D" w14:textId="77777777" w:rsidTr="004B17A3">
        <w:tc>
          <w:tcPr>
            <w:tcW w:w="2968" w:type="dxa"/>
            <w:tcBorders>
              <w:top w:val="single" w:sz="4" w:space="0" w:color="auto"/>
              <w:left w:val="single" w:sz="4" w:space="0" w:color="auto"/>
              <w:bottom w:val="single" w:sz="6" w:space="0" w:color="auto"/>
              <w:right w:val="single" w:sz="4" w:space="0" w:color="auto"/>
            </w:tcBorders>
          </w:tcPr>
          <w:p w14:paraId="74EFC415" w14:textId="48F4D6DA" w:rsidR="00463667" w:rsidRPr="00DF1884" w:rsidRDefault="00463667" w:rsidP="00C56CA6">
            <w:pPr>
              <w:pStyle w:val="TableText"/>
            </w:pPr>
            <w:r w:rsidRPr="00DF1884">
              <w:t>Immunizations</w:t>
            </w:r>
            <w:r w:rsidR="00DF1884" w:rsidRPr="00DF1884">
              <w:t xml:space="preserve"> </w:t>
            </w:r>
            <w:r w:rsidRPr="00DF1884">
              <w:t>for</w:t>
            </w:r>
            <w:r w:rsidR="00DF1884" w:rsidRPr="00DF1884">
              <w:t xml:space="preserve"> </w:t>
            </w:r>
            <w:r w:rsidRPr="00DF1884">
              <w:t>Adolescents</w:t>
            </w:r>
          </w:p>
        </w:tc>
        <w:tc>
          <w:tcPr>
            <w:tcW w:w="1194" w:type="dxa"/>
            <w:tcBorders>
              <w:top w:val="single" w:sz="4" w:space="0" w:color="auto"/>
              <w:left w:val="single" w:sz="4" w:space="0" w:color="auto"/>
              <w:bottom w:val="single" w:sz="6" w:space="0" w:color="auto"/>
              <w:right w:val="single" w:sz="4" w:space="0" w:color="auto"/>
            </w:tcBorders>
          </w:tcPr>
          <w:p w14:paraId="2D424A9F" w14:textId="77777777" w:rsidR="00463667" w:rsidRPr="00DF1884" w:rsidRDefault="00463667" w:rsidP="00C56CA6">
            <w:pPr>
              <w:spacing w:before="40" w:after="40" w:line="240" w:lineRule="exact"/>
              <w:jc w:val="center"/>
              <w:rPr>
                <w:rFonts w:ascii="Arial Narrow" w:hAnsi="Arial Narrow" w:cs="Arial"/>
                <w:sz w:val="24"/>
              </w:rPr>
            </w:pPr>
            <w:r w:rsidRPr="00DF1884">
              <w:rPr>
                <w:rFonts w:ascii="Arial Narrow" w:hAnsi="Arial Narrow" w:cs="Arial"/>
                <w:sz w:val="24"/>
              </w:rPr>
              <w:sym w:font="Wingdings" w:char="F0FC"/>
            </w:r>
          </w:p>
        </w:tc>
        <w:tc>
          <w:tcPr>
            <w:tcW w:w="1170" w:type="dxa"/>
            <w:tcBorders>
              <w:top w:val="single" w:sz="4" w:space="0" w:color="auto"/>
              <w:left w:val="single" w:sz="4" w:space="0" w:color="auto"/>
              <w:bottom w:val="single" w:sz="6" w:space="0" w:color="auto"/>
              <w:right w:val="single" w:sz="4" w:space="0" w:color="auto"/>
            </w:tcBorders>
          </w:tcPr>
          <w:p w14:paraId="63358C4D" w14:textId="77777777" w:rsidR="00463667" w:rsidRPr="00DF1884" w:rsidRDefault="00463667" w:rsidP="00C56CA6">
            <w:pPr>
              <w:spacing w:before="40" w:after="40" w:line="240" w:lineRule="exact"/>
              <w:jc w:val="center"/>
              <w:rPr>
                <w:rFonts w:ascii="Arial Narrow" w:hAnsi="Arial Narrow" w:cs="Arial"/>
                <w:sz w:val="24"/>
              </w:rPr>
            </w:pPr>
            <w:r w:rsidRPr="00DF1884">
              <w:rPr>
                <w:rFonts w:ascii="Arial Narrow" w:hAnsi="Arial Narrow" w:cs="Arial"/>
                <w:sz w:val="24"/>
              </w:rPr>
              <w:sym w:font="Wingdings" w:char="F0FC"/>
            </w:r>
          </w:p>
        </w:tc>
        <w:tc>
          <w:tcPr>
            <w:tcW w:w="1080" w:type="dxa"/>
            <w:tcBorders>
              <w:top w:val="single" w:sz="4" w:space="0" w:color="auto"/>
              <w:left w:val="single" w:sz="4" w:space="0" w:color="auto"/>
              <w:bottom w:val="single" w:sz="6" w:space="0" w:color="auto"/>
              <w:right w:val="nil"/>
            </w:tcBorders>
          </w:tcPr>
          <w:p w14:paraId="18545E4F" w14:textId="77777777" w:rsidR="00463667" w:rsidRPr="00DF1884" w:rsidRDefault="00463667" w:rsidP="00C56CA6">
            <w:pPr>
              <w:pStyle w:val="TableText"/>
              <w:spacing w:line="240" w:lineRule="exact"/>
              <w:jc w:val="center"/>
              <w:rPr>
                <w:rFonts w:cs="Arial"/>
                <w:sz w:val="24"/>
                <w:szCs w:val="24"/>
              </w:rPr>
            </w:pPr>
          </w:p>
        </w:tc>
        <w:tc>
          <w:tcPr>
            <w:tcW w:w="6908" w:type="dxa"/>
            <w:tcBorders>
              <w:top w:val="single" w:sz="4" w:space="0" w:color="auto"/>
              <w:left w:val="single" w:sz="4" w:space="0" w:color="auto"/>
              <w:bottom w:val="single" w:sz="6" w:space="0" w:color="auto"/>
              <w:right w:val="single" w:sz="4" w:space="0" w:color="auto"/>
            </w:tcBorders>
          </w:tcPr>
          <w:p w14:paraId="0C2C277E" w14:textId="7A60BE55" w:rsidR="00463667" w:rsidRPr="00DF1884" w:rsidRDefault="0055304C" w:rsidP="0055304C">
            <w:pPr>
              <w:pStyle w:val="TableBullet"/>
            </w:pPr>
            <w:r>
              <w:t xml:space="preserve">Added “Numerator events by supplemental data” to the Data Elements for Reporting table to capture the number of members who met numerator criteria using supplemental data. </w:t>
            </w:r>
          </w:p>
        </w:tc>
      </w:tr>
      <w:tr w:rsidR="00463667" w:rsidRPr="00DF1884" w14:paraId="04B50855" w14:textId="77777777" w:rsidTr="004B17A3">
        <w:tc>
          <w:tcPr>
            <w:tcW w:w="2968" w:type="dxa"/>
            <w:tcBorders>
              <w:top w:val="single" w:sz="4" w:space="0" w:color="auto"/>
              <w:left w:val="single" w:sz="4" w:space="0" w:color="auto"/>
              <w:bottom w:val="single" w:sz="6" w:space="0" w:color="auto"/>
              <w:right w:val="single" w:sz="4" w:space="0" w:color="auto"/>
            </w:tcBorders>
          </w:tcPr>
          <w:p w14:paraId="6676852B" w14:textId="0298C604" w:rsidR="00463667" w:rsidRPr="00DF1884" w:rsidRDefault="00463667" w:rsidP="00C56CA6">
            <w:pPr>
              <w:pStyle w:val="TableText"/>
            </w:pPr>
            <w:r w:rsidRPr="00DF1884">
              <w:t>Human</w:t>
            </w:r>
            <w:r w:rsidR="00DF1884" w:rsidRPr="00DF1884">
              <w:t xml:space="preserve"> </w:t>
            </w:r>
            <w:r w:rsidRPr="00DF1884">
              <w:t>Papillomavirus</w:t>
            </w:r>
            <w:r w:rsidR="00DF1884" w:rsidRPr="00DF1884">
              <w:t xml:space="preserve"> </w:t>
            </w:r>
            <w:r w:rsidRPr="00DF1884">
              <w:t>Vaccine</w:t>
            </w:r>
            <w:r w:rsidR="00DF1884" w:rsidRPr="00DF1884">
              <w:t xml:space="preserve"> </w:t>
            </w:r>
            <w:r w:rsidRPr="00DF1884">
              <w:t>for</w:t>
            </w:r>
            <w:r w:rsidR="00DF1884" w:rsidRPr="00DF1884">
              <w:t xml:space="preserve"> </w:t>
            </w:r>
            <w:r w:rsidRPr="00DF1884">
              <w:t>Female</w:t>
            </w:r>
            <w:r w:rsidR="00DF1884" w:rsidRPr="00DF1884">
              <w:t xml:space="preserve"> </w:t>
            </w:r>
            <w:r w:rsidRPr="00DF1884">
              <w:t>Adolescents</w:t>
            </w:r>
          </w:p>
        </w:tc>
        <w:tc>
          <w:tcPr>
            <w:tcW w:w="1194" w:type="dxa"/>
            <w:tcBorders>
              <w:top w:val="single" w:sz="4" w:space="0" w:color="auto"/>
              <w:left w:val="single" w:sz="4" w:space="0" w:color="auto"/>
              <w:bottom w:val="single" w:sz="6" w:space="0" w:color="auto"/>
              <w:right w:val="single" w:sz="4" w:space="0" w:color="auto"/>
            </w:tcBorders>
          </w:tcPr>
          <w:p w14:paraId="6BDFBDF3" w14:textId="77777777" w:rsidR="00463667" w:rsidRPr="00DF1884" w:rsidRDefault="00463667" w:rsidP="00C56CA6">
            <w:pPr>
              <w:spacing w:before="40" w:after="40" w:line="240" w:lineRule="exact"/>
              <w:jc w:val="center"/>
              <w:rPr>
                <w:rFonts w:ascii="Arial Narrow" w:hAnsi="Arial Narrow" w:cs="Arial"/>
                <w:sz w:val="24"/>
              </w:rPr>
            </w:pPr>
            <w:r w:rsidRPr="00DF1884">
              <w:rPr>
                <w:rFonts w:ascii="Arial Narrow" w:hAnsi="Arial Narrow" w:cs="Arial"/>
                <w:sz w:val="24"/>
              </w:rPr>
              <w:sym w:font="Wingdings" w:char="F0FC"/>
            </w:r>
          </w:p>
        </w:tc>
        <w:tc>
          <w:tcPr>
            <w:tcW w:w="1170" w:type="dxa"/>
            <w:tcBorders>
              <w:top w:val="single" w:sz="4" w:space="0" w:color="auto"/>
              <w:left w:val="single" w:sz="4" w:space="0" w:color="auto"/>
              <w:bottom w:val="single" w:sz="6" w:space="0" w:color="auto"/>
              <w:right w:val="single" w:sz="4" w:space="0" w:color="auto"/>
            </w:tcBorders>
          </w:tcPr>
          <w:p w14:paraId="018712BC" w14:textId="77777777" w:rsidR="00463667" w:rsidRPr="00DF1884" w:rsidRDefault="00463667" w:rsidP="00C56CA6">
            <w:pPr>
              <w:spacing w:before="40" w:after="40" w:line="240" w:lineRule="exact"/>
              <w:jc w:val="center"/>
              <w:rPr>
                <w:rFonts w:ascii="Arial Narrow" w:hAnsi="Arial Narrow" w:cs="Arial"/>
                <w:sz w:val="24"/>
              </w:rPr>
            </w:pPr>
            <w:r w:rsidRPr="00DF1884">
              <w:rPr>
                <w:rFonts w:ascii="Arial Narrow" w:hAnsi="Arial Narrow" w:cs="Arial"/>
                <w:sz w:val="24"/>
              </w:rPr>
              <w:sym w:font="Wingdings" w:char="F0FC"/>
            </w:r>
          </w:p>
        </w:tc>
        <w:tc>
          <w:tcPr>
            <w:tcW w:w="1080" w:type="dxa"/>
            <w:tcBorders>
              <w:top w:val="single" w:sz="4" w:space="0" w:color="auto"/>
              <w:left w:val="single" w:sz="4" w:space="0" w:color="auto"/>
              <w:bottom w:val="single" w:sz="6" w:space="0" w:color="auto"/>
              <w:right w:val="nil"/>
            </w:tcBorders>
          </w:tcPr>
          <w:p w14:paraId="35E668B9" w14:textId="77777777" w:rsidR="00463667" w:rsidRPr="00DF1884" w:rsidRDefault="00463667" w:rsidP="00C56CA6">
            <w:pPr>
              <w:pStyle w:val="TableText"/>
              <w:spacing w:line="240" w:lineRule="exact"/>
              <w:jc w:val="center"/>
              <w:rPr>
                <w:rFonts w:cs="Arial"/>
                <w:sz w:val="24"/>
                <w:szCs w:val="24"/>
              </w:rPr>
            </w:pPr>
          </w:p>
        </w:tc>
        <w:tc>
          <w:tcPr>
            <w:tcW w:w="6908" w:type="dxa"/>
            <w:tcBorders>
              <w:top w:val="single" w:sz="4" w:space="0" w:color="auto"/>
              <w:left w:val="single" w:sz="4" w:space="0" w:color="auto"/>
              <w:bottom w:val="single" w:sz="6" w:space="0" w:color="auto"/>
              <w:right w:val="single" w:sz="4" w:space="0" w:color="auto"/>
            </w:tcBorders>
          </w:tcPr>
          <w:p w14:paraId="634C6469" w14:textId="40C873A8" w:rsidR="00463667" w:rsidRPr="00DF1884" w:rsidRDefault="0079641F" w:rsidP="0079641F">
            <w:pPr>
              <w:pStyle w:val="TableBullet"/>
            </w:pPr>
            <w:r>
              <w:t xml:space="preserve">Added “Numerator events by supplemental data” to the Data Elements for Reporting table to capture the number of members who met numerator criteria using supplemental data. </w:t>
            </w:r>
          </w:p>
        </w:tc>
      </w:tr>
      <w:tr w:rsidR="00463667" w:rsidRPr="00DF1884" w14:paraId="375AA069" w14:textId="77777777" w:rsidTr="004B17A3">
        <w:tc>
          <w:tcPr>
            <w:tcW w:w="2968" w:type="dxa"/>
            <w:tcBorders>
              <w:top w:val="single" w:sz="4" w:space="0" w:color="auto"/>
              <w:left w:val="single" w:sz="4" w:space="0" w:color="auto"/>
              <w:bottom w:val="single" w:sz="6" w:space="0" w:color="auto"/>
              <w:right w:val="single" w:sz="4" w:space="0" w:color="auto"/>
            </w:tcBorders>
          </w:tcPr>
          <w:p w14:paraId="300D65D8" w14:textId="6B62F60F" w:rsidR="00463667" w:rsidRPr="00DF1884" w:rsidRDefault="00463667" w:rsidP="00C56CA6">
            <w:pPr>
              <w:pStyle w:val="TableText"/>
            </w:pPr>
            <w:r w:rsidRPr="00DF1884">
              <w:t>Lead</w:t>
            </w:r>
            <w:r w:rsidR="00DF1884" w:rsidRPr="00DF1884">
              <w:t xml:space="preserve"> </w:t>
            </w:r>
            <w:r w:rsidRPr="00DF1884">
              <w:t>Screening</w:t>
            </w:r>
            <w:r w:rsidR="00DF1884" w:rsidRPr="00DF1884">
              <w:t xml:space="preserve"> </w:t>
            </w:r>
            <w:r w:rsidRPr="00DF1884">
              <w:t>in</w:t>
            </w:r>
            <w:r w:rsidR="00DF1884" w:rsidRPr="00DF1884">
              <w:t xml:space="preserve"> </w:t>
            </w:r>
            <w:r w:rsidRPr="00DF1884">
              <w:t>Children</w:t>
            </w:r>
          </w:p>
        </w:tc>
        <w:tc>
          <w:tcPr>
            <w:tcW w:w="1194" w:type="dxa"/>
            <w:tcBorders>
              <w:top w:val="single" w:sz="4" w:space="0" w:color="auto"/>
              <w:left w:val="single" w:sz="4" w:space="0" w:color="auto"/>
              <w:bottom w:val="single" w:sz="6" w:space="0" w:color="auto"/>
              <w:right w:val="single" w:sz="4" w:space="0" w:color="auto"/>
            </w:tcBorders>
          </w:tcPr>
          <w:p w14:paraId="0D08D575" w14:textId="77777777" w:rsidR="00463667" w:rsidRPr="00DF1884" w:rsidRDefault="00463667" w:rsidP="00C56CA6">
            <w:pPr>
              <w:spacing w:before="40" w:after="40" w:line="240" w:lineRule="exact"/>
              <w:jc w:val="center"/>
              <w:rPr>
                <w:rFonts w:ascii="Arial Narrow" w:hAnsi="Arial Narrow" w:cs="Arial"/>
                <w:sz w:val="24"/>
              </w:rPr>
            </w:pPr>
          </w:p>
        </w:tc>
        <w:tc>
          <w:tcPr>
            <w:tcW w:w="1170" w:type="dxa"/>
            <w:tcBorders>
              <w:top w:val="single" w:sz="4" w:space="0" w:color="auto"/>
              <w:left w:val="single" w:sz="4" w:space="0" w:color="auto"/>
              <w:bottom w:val="single" w:sz="6" w:space="0" w:color="auto"/>
              <w:right w:val="single" w:sz="4" w:space="0" w:color="auto"/>
            </w:tcBorders>
          </w:tcPr>
          <w:p w14:paraId="26F18FA5" w14:textId="77777777" w:rsidR="00463667" w:rsidRPr="00DF1884" w:rsidRDefault="00463667" w:rsidP="00C56CA6">
            <w:pPr>
              <w:spacing w:before="40" w:after="40" w:line="240" w:lineRule="exact"/>
              <w:jc w:val="center"/>
              <w:rPr>
                <w:rFonts w:ascii="Arial Narrow" w:hAnsi="Arial Narrow" w:cs="Arial"/>
                <w:sz w:val="24"/>
              </w:rPr>
            </w:pPr>
            <w:r w:rsidRPr="00DF1884">
              <w:rPr>
                <w:rFonts w:ascii="Arial Narrow" w:hAnsi="Arial Narrow" w:cs="Arial"/>
                <w:sz w:val="24"/>
              </w:rPr>
              <w:sym w:font="Wingdings" w:char="F0FC"/>
            </w:r>
          </w:p>
        </w:tc>
        <w:tc>
          <w:tcPr>
            <w:tcW w:w="1080" w:type="dxa"/>
            <w:tcBorders>
              <w:top w:val="single" w:sz="4" w:space="0" w:color="auto"/>
              <w:left w:val="single" w:sz="4" w:space="0" w:color="auto"/>
              <w:bottom w:val="single" w:sz="6" w:space="0" w:color="auto"/>
              <w:right w:val="nil"/>
            </w:tcBorders>
          </w:tcPr>
          <w:p w14:paraId="1C2071E1" w14:textId="77777777" w:rsidR="00463667" w:rsidRPr="00DF1884" w:rsidRDefault="00463667" w:rsidP="00C56CA6">
            <w:pPr>
              <w:pStyle w:val="TableText"/>
              <w:spacing w:line="240" w:lineRule="exact"/>
              <w:jc w:val="center"/>
              <w:rPr>
                <w:rFonts w:cs="Arial"/>
                <w:sz w:val="24"/>
                <w:szCs w:val="24"/>
              </w:rPr>
            </w:pPr>
          </w:p>
        </w:tc>
        <w:tc>
          <w:tcPr>
            <w:tcW w:w="6908" w:type="dxa"/>
            <w:tcBorders>
              <w:top w:val="single" w:sz="4" w:space="0" w:color="auto"/>
              <w:left w:val="single" w:sz="4" w:space="0" w:color="auto"/>
              <w:bottom w:val="single" w:sz="6" w:space="0" w:color="auto"/>
              <w:right w:val="single" w:sz="4" w:space="0" w:color="auto"/>
            </w:tcBorders>
          </w:tcPr>
          <w:p w14:paraId="23BD7C69" w14:textId="12AC8F69" w:rsidR="00463667" w:rsidRPr="00DF1884" w:rsidRDefault="006A7578" w:rsidP="006A7578">
            <w:pPr>
              <w:pStyle w:val="TableBullet"/>
            </w:pPr>
            <w:r>
              <w:t xml:space="preserve">Added “Numerator events by supplemental data” to the Data Elements for Reporting table to capture the number of members who met numerator criteria using supplemental data. </w:t>
            </w:r>
          </w:p>
        </w:tc>
      </w:tr>
      <w:tr w:rsidR="00463667" w:rsidRPr="00DF1884" w14:paraId="115F5BE6" w14:textId="77777777" w:rsidTr="004B17A3">
        <w:tc>
          <w:tcPr>
            <w:tcW w:w="2968" w:type="dxa"/>
            <w:tcBorders>
              <w:top w:val="single" w:sz="4" w:space="0" w:color="auto"/>
              <w:left w:val="single" w:sz="4" w:space="0" w:color="auto"/>
              <w:bottom w:val="single" w:sz="6" w:space="0" w:color="auto"/>
              <w:right w:val="single" w:sz="4" w:space="0" w:color="auto"/>
            </w:tcBorders>
          </w:tcPr>
          <w:p w14:paraId="2AC8B4F0" w14:textId="5C9A793E" w:rsidR="00463667" w:rsidRPr="00DF1884" w:rsidRDefault="00463667" w:rsidP="00C56CA6">
            <w:pPr>
              <w:pStyle w:val="TableText"/>
            </w:pPr>
            <w:r w:rsidRPr="00DF1884">
              <w:t>Breast</w:t>
            </w:r>
            <w:r w:rsidR="00DF1884" w:rsidRPr="00DF1884">
              <w:t xml:space="preserve"> </w:t>
            </w:r>
            <w:r w:rsidRPr="00DF1884">
              <w:t>Cancer</w:t>
            </w:r>
            <w:r w:rsidR="00DF1884" w:rsidRPr="00DF1884">
              <w:t xml:space="preserve"> </w:t>
            </w:r>
            <w:r w:rsidRPr="00DF1884">
              <w:t>Screening</w:t>
            </w:r>
          </w:p>
        </w:tc>
        <w:tc>
          <w:tcPr>
            <w:tcW w:w="1194" w:type="dxa"/>
            <w:tcBorders>
              <w:top w:val="single" w:sz="4" w:space="0" w:color="auto"/>
              <w:left w:val="single" w:sz="4" w:space="0" w:color="auto"/>
              <w:bottom w:val="single" w:sz="6" w:space="0" w:color="auto"/>
              <w:right w:val="single" w:sz="4" w:space="0" w:color="auto"/>
            </w:tcBorders>
          </w:tcPr>
          <w:p w14:paraId="70D21807" w14:textId="77777777" w:rsidR="00463667" w:rsidRPr="00DF1884" w:rsidRDefault="00463667" w:rsidP="00C56CA6">
            <w:pPr>
              <w:spacing w:before="40" w:after="40" w:line="240" w:lineRule="exact"/>
              <w:jc w:val="center"/>
              <w:rPr>
                <w:rFonts w:ascii="Arial Narrow" w:hAnsi="Arial Narrow" w:cs="Arial"/>
                <w:sz w:val="24"/>
              </w:rPr>
            </w:pPr>
            <w:r w:rsidRPr="00DF1884">
              <w:rPr>
                <w:rFonts w:ascii="Arial Narrow" w:hAnsi="Arial Narrow" w:cs="Arial"/>
                <w:sz w:val="24"/>
              </w:rPr>
              <w:sym w:font="Wingdings" w:char="F0FC"/>
            </w:r>
          </w:p>
        </w:tc>
        <w:tc>
          <w:tcPr>
            <w:tcW w:w="1170" w:type="dxa"/>
            <w:tcBorders>
              <w:top w:val="single" w:sz="4" w:space="0" w:color="auto"/>
              <w:left w:val="single" w:sz="4" w:space="0" w:color="auto"/>
              <w:bottom w:val="single" w:sz="6" w:space="0" w:color="auto"/>
              <w:right w:val="single" w:sz="4" w:space="0" w:color="auto"/>
            </w:tcBorders>
          </w:tcPr>
          <w:p w14:paraId="46F0B144" w14:textId="77777777" w:rsidR="00463667" w:rsidRPr="00DF1884" w:rsidRDefault="00463667" w:rsidP="00C56CA6">
            <w:pPr>
              <w:spacing w:before="40" w:after="40" w:line="240" w:lineRule="exact"/>
              <w:jc w:val="center"/>
              <w:rPr>
                <w:rFonts w:ascii="Arial Narrow" w:hAnsi="Arial Narrow" w:cs="Arial"/>
                <w:sz w:val="24"/>
              </w:rPr>
            </w:pPr>
            <w:r w:rsidRPr="00DF1884">
              <w:rPr>
                <w:rFonts w:ascii="Arial Narrow" w:hAnsi="Arial Narrow" w:cs="Arial"/>
                <w:sz w:val="24"/>
              </w:rPr>
              <w:sym w:font="Wingdings" w:char="F0FC"/>
            </w:r>
          </w:p>
        </w:tc>
        <w:tc>
          <w:tcPr>
            <w:tcW w:w="1080" w:type="dxa"/>
            <w:tcBorders>
              <w:top w:val="single" w:sz="4" w:space="0" w:color="auto"/>
              <w:left w:val="single" w:sz="4" w:space="0" w:color="auto"/>
              <w:bottom w:val="single" w:sz="6" w:space="0" w:color="auto"/>
              <w:right w:val="nil"/>
            </w:tcBorders>
          </w:tcPr>
          <w:p w14:paraId="1ACD46C3" w14:textId="77777777" w:rsidR="00463667" w:rsidRPr="00DF1884" w:rsidRDefault="00463667" w:rsidP="00C56CA6">
            <w:pPr>
              <w:pStyle w:val="TableText"/>
              <w:spacing w:line="240" w:lineRule="exact"/>
              <w:jc w:val="center"/>
              <w:rPr>
                <w:rFonts w:cs="Arial"/>
                <w:sz w:val="24"/>
                <w:szCs w:val="24"/>
              </w:rPr>
            </w:pPr>
            <w:r w:rsidRPr="00DF1884">
              <w:rPr>
                <w:rFonts w:cs="Arial"/>
                <w:sz w:val="24"/>
                <w:szCs w:val="24"/>
              </w:rPr>
              <w:sym w:font="Wingdings" w:char="F0FC"/>
            </w:r>
          </w:p>
        </w:tc>
        <w:tc>
          <w:tcPr>
            <w:tcW w:w="6908" w:type="dxa"/>
            <w:tcBorders>
              <w:top w:val="single" w:sz="4" w:space="0" w:color="auto"/>
              <w:left w:val="single" w:sz="4" w:space="0" w:color="auto"/>
              <w:bottom w:val="single" w:sz="6" w:space="0" w:color="auto"/>
              <w:right w:val="single" w:sz="4" w:space="0" w:color="auto"/>
            </w:tcBorders>
          </w:tcPr>
          <w:p w14:paraId="2F6434C9" w14:textId="77777777" w:rsidR="006A7578" w:rsidRPr="00E347E7" w:rsidRDefault="006A7578" w:rsidP="006A7578">
            <w:pPr>
              <w:pStyle w:val="TableBullet"/>
              <w:rPr>
                <w:i/>
                <w:iCs/>
              </w:rPr>
            </w:pPr>
            <w:r>
              <w:t>Added new value sets to identify bilateral mastectomy.</w:t>
            </w:r>
          </w:p>
          <w:p w14:paraId="04C84082" w14:textId="4EC6041F" w:rsidR="00463667" w:rsidRPr="00DF1884" w:rsidRDefault="006A7578" w:rsidP="006A7578">
            <w:pPr>
              <w:pStyle w:val="TableBullet"/>
            </w:pPr>
            <w:r>
              <w:t xml:space="preserve">Added “Numerator events by supplemental data” to the Data Elements for Reporting table to capture the number of members who met numerator criteria using supplemental data. </w:t>
            </w:r>
          </w:p>
        </w:tc>
      </w:tr>
      <w:tr w:rsidR="00463667" w:rsidRPr="00DF1884" w14:paraId="4C99AB9D" w14:textId="77777777" w:rsidTr="004B17A3">
        <w:tc>
          <w:tcPr>
            <w:tcW w:w="2968" w:type="dxa"/>
            <w:tcBorders>
              <w:bottom w:val="single" w:sz="6" w:space="0" w:color="auto"/>
            </w:tcBorders>
          </w:tcPr>
          <w:p w14:paraId="12554187" w14:textId="21E2A5B8" w:rsidR="00463667" w:rsidRPr="00DF1884" w:rsidRDefault="00463667" w:rsidP="00C56CA6">
            <w:pPr>
              <w:pStyle w:val="TableText"/>
            </w:pPr>
            <w:r w:rsidRPr="00DF1884">
              <w:t>Cervical</w:t>
            </w:r>
            <w:r w:rsidR="00DF1884" w:rsidRPr="00DF1884">
              <w:t xml:space="preserve"> </w:t>
            </w:r>
            <w:r w:rsidRPr="00DF1884">
              <w:t>Cancer</w:t>
            </w:r>
            <w:r w:rsidR="00DF1884" w:rsidRPr="00DF1884">
              <w:t xml:space="preserve"> </w:t>
            </w:r>
            <w:r w:rsidRPr="00DF1884">
              <w:t>Screening</w:t>
            </w:r>
          </w:p>
        </w:tc>
        <w:tc>
          <w:tcPr>
            <w:tcW w:w="1194" w:type="dxa"/>
            <w:tcBorders>
              <w:bottom w:val="single" w:sz="6" w:space="0" w:color="auto"/>
            </w:tcBorders>
          </w:tcPr>
          <w:p w14:paraId="6BBF89A5" w14:textId="77777777" w:rsidR="00463667" w:rsidRPr="00DF1884" w:rsidRDefault="00463667" w:rsidP="00C56CA6">
            <w:pPr>
              <w:spacing w:before="40" w:after="40" w:line="240" w:lineRule="exact"/>
              <w:jc w:val="center"/>
              <w:rPr>
                <w:rFonts w:ascii="Arial Narrow" w:hAnsi="Arial Narrow" w:cs="Arial"/>
                <w:sz w:val="24"/>
              </w:rPr>
            </w:pPr>
            <w:r w:rsidRPr="00DF1884">
              <w:rPr>
                <w:rFonts w:ascii="Arial Narrow" w:hAnsi="Arial Narrow" w:cs="Arial"/>
                <w:sz w:val="24"/>
              </w:rPr>
              <w:sym w:font="Wingdings" w:char="F0FC"/>
            </w:r>
          </w:p>
        </w:tc>
        <w:tc>
          <w:tcPr>
            <w:tcW w:w="1170" w:type="dxa"/>
            <w:tcBorders>
              <w:bottom w:val="single" w:sz="6" w:space="0" w:color="auto"/>
            </w:tcBorders>
          </w:tcPr>
          <w:p w14:paraId="2E106239" w14:textId="77777777" w:rsidR="00463667" w:rsidRPr="00DF1884" w:rsidRDefault="00463667" w:rsidP="00C56CA6">
            <w:pPr>
              <w:spacing w:before="40" w:after="40" w:line="240" w:lineRule="exact"/>
              <w:jc w:val="center"/>
              <w:rPr>
                <w:rFonts w:ascii="Arial Narrow" w:hAnsi="Arial Narrow" w:cs="Arial"/>
                <w:sz w:val="24"/>
              </w:rPr>
            </w:pPr>
            <w:r w:rsidRPr="00DF1884">
              <w:rPr>
                <w:rFonts w:ascii="Arial Narrow" w:hAnsi="Arial Narrow" w:cs="Arial"/>
                <w:sz w:val="24"/>
              </w:rPr>
              <w:sym w:font="Wingdings" w:char="F0FC"/>
            </w:r>
          </w:p>
        </w:tc>
        <w:tc>
          <w:tcPr>
            <w:tcW w:w="1080" w:type="dxa"/>
            <w:tcBorders>
              <w:bottom w:val="single" w:sz="6" w:space="0" w:color="auto"/>
              <w:right w:val="nil"/>
            </w:tcBorders>
          </w:tcPr>
          <w:p w14:paraId="4594F21C" w14:textId="77777777" w:rsidR="00463667" w:rsidRPr="00DF1884" w:rsidRDefault="00463667" w:rsidP="00C56CA6">
            <w:pPr>
              <w:pStyle w:val="TableText"/>
              <w:spacing w:line="240" w:lineRule="exact"/>
              <w:jc w:val="center"/>
              <w:rPr>
                <w:rFonts w:cs="Arial"/>
                <w:sz w:val="24"/>
                <w:szCs w:val="24"/>
              </w:rPr>
            </w:pPr>
          </w:p>
        </w:tc>
        <w:tc>
          <w:tcPr>
            <w:tcW w:w="6908" w:type="dxa"/>
            <w:tcBorders>
              <w:top w:val="single" w:sz="4" w:space="0" w:color="auto"/>
              <w:left w:val="single" w:sz="4" w:space="0" w:color="auto"/>
              <w:bottom w:val="single" w:sz="6" w:space="0" w:color="auto"/>
              <w:right w:val="single" w:sz="4" w:space="0" w:color="auto"/>
            </w:tcBorders>
          </w:tcPr>
          <w:p w14:paraId="0CF9B724" w14:textId="62F3A8D5" w:rsidR="00062C55" w:rsidRDefault="00062C55" w:rsidP="006A7578">
            <w:pPr>
              <w:pStyle w:val="TableBullet"/>
            </w:pPr>
            <w:r>
              <w:t>Added an example to the optional exclusions of the hybrid specification.</w:t>
            </w:r>
          </w:p>
          <w:p w14:paraId="52DB92C0" w14:textId="38A0DB88" w:rsidR="00463667" w:rsidRPr="00DF1884" w:rsidRDefault="006A7578" w:rsidP="00062C55">
            <w:pPr>
              <w:pStyle w:val="TableBullet"/>
            </w:pPr>
            <w:r>
              <w:t xml:space="preserve">Added “Numerator events by supplemental data” to the Data Elements for Reporting table to capture the number of members who met numerator criteria using supplemental data. </w:t>
            </w:r>
          </w:p>
        </w:tc>
      </w:tr>
      <w:tr w:rsidR="004B17A3" w:rsidRPr="00DF1884" w14:paraId="6C7707DF" w14:textId="77777777" w:rsidTr="004B17A3">
        <w:tc>
          <w:tcPr>
            <w:tcW w:w="2968" w:type="dxa"/>
            <w:tcBorders>
              <w:top w:val="single" w:sz="4" w:space="0" w:color="auto"/>
              <w:left w:val="single" w:sz="4" w:space="0" w:color="auto"/>
              <w:bottom w:val="single" w:sz="6" w:space="0" w:color="auto"/>
              <w:right w:val="single" w:sz="4" w:space="0" w:color="auto"/>
            </w:tcBorders>
          </w:tcPr>
          <w:p w14:paraId="3AC74545" w14:textId="77777777" w:rsidR="004B17A3" w:rsidRPr="00DF1884" w:rsidRDefault="004B17A3" w:rsidP="001123ED">
            <w:pPr>
              <w:pStyle w:val="TableText"/>
            </w:pPr>
            <w:r w:rsidRPr="00DF1884">
              <w:t>Colorectal Cancer Screening</w:t>
            </w:r>
          </w:p>
        </w:tc>
        <w:tc>
          <w:tcPr>
            <w:tcW w:w="1194" w:type="dxa"/>
            <w:tcBorders>
              <w:top w:val="single" w:sz="4" w:space="0" w:color="auto"/>
              <w:left w:val="single" w:sz="4" w:space="0" w:color="auto"/>
              <w:bottom w:val="single" w:sz="6" w:space="0" w:color="auto"/>
              <w:right w:val="single" w:sz="4" w:space="0" w:color="auto"/>
            </w:tcBorders>
          </w:tcPr>
          <w:p w14:paraId="09B932A0" w14:textId="77777777" w:rsidR="004B17A3" w:rsidRPr="004B17A3" w:rsidRDefault="004B17A3" w:rsidP="004B17A3">
            <w:pPr>
              <w:spacing w:line="240" w:lineRule="exact"/>
              <w:jc w:val="center"/>
              <w:rPr>
                <w:rFonts w:ascii="Arial Narrow" w:hAnsi="Arial Narrow" w:cs="Arial"/>
                <w:sz w:val="24"/>
              </w:rPr>
            </w:pPr>
            <w:r w:rsidRPr="004B17A3">
              <w:rPr>
                <w:rFonts w:ascii="Arial Narrow" w:hAnsi="Arial Narrow" w:cs="Arial"/>
                <w:sz w:val="24"/>
              </w:rPr>
              <w:sym w:font="Wingdings" w:char="F0FC"/>
            </w:r>
          </w:p>
        </w:tc>
        <w:tc>
          <w:tcPr>
            <w:tcW w:w="1170" w:type="dxa"/>
            <w:tcBorders>
              <w:top w:val="single" w:sz="4" w:space="0" w:color="auto"/>
              <w:left w:val="single" w:sz="4" w:space="0" w:color="auto"/>
              <w:bottom w:val="single" w:sz="6" w:space="0" w:color="auto"/>
              <w:right w:val="single" w:sz="4" w:space="0" w:color="auto"/>
            </w:tcBorders>
          </w:tcPr>
          <w:p w14:paraId="20D7CD56" w14:textId="77777777" w:rsidR="004B17A3" w:rsidRPr="004B17A3" w:rsidRDefault="004B17A3" w:rsidP="004B17A3">
            <w:pPr>
              <w:spacing w:line="240" w:lineRule="exact"/>
              <w:rPr>
                <w:rFonts w:ascii="Arial Narrow" w:hAnsi="Arial Narrow" w:cs="Arial"/>
                <w:sz w:val="24"/>
              </w:rPr>
            </w:pPr>
          </w:p>
        </w:tc>
        <w:tc>
          <w:tcPr>
            <w:tcW w:w="1080" w:type="dxa"/>
            <w:tcBorders>
              <w:top w:val="single" w:sz="4" w:space="0" w:color="auto"/>
              <w:left w:val="single" w:sz="4" w:space="0" w:color="auto"/>
              <w:bottom w:val="single" w:sz="6" w:space="0" w:color="auto"/>
              <w:right w:val="nil"/>
            </w:tcBorders>
          </w:tcPr>
          <w:p w14:paraId="11ED3257" w14:textId="77777777" w:rsidR="004B17A3" w:rsidRPr="00DF1884" w:rsidRDefault="004B17A3" w:rsidP="004B17A3">
            <w:pPr>
              <w:pStyle w:val="TableText"/>
              <w:spacing w:line="240" w:lineRule="exact"/>
              <w:jc w:val="center"/>
              <w:rPr>
                <w:rFonts w:cs="Arial"/>
                <w:sz w:val="24"/>
                <w:szCs w:val="24"/>
              </w:rPr>
            </w:pPr>
            <w:r w:rsidRPr="00DF1884">
              <w:rPr>
                <w:rFonts w:cs="Arial"/>
                <w:sz w:val="24"/>
                <w:szCs w:val="24"/>
              </w:rPr>
              <w:sym w:font="Wingdings" w:char="F0FC"/>
            </w:r>
          </w:p>
        </w:tc>
        <w:tc>
          <w:tcPr>
            <w:tcW w:w="6908" w:type="dxa"/>
            <w:tcBorders>
              <w:top w:val="single" w:sz="4" w:space="0" w:color="auto"/>
              <w:left w:val="single" w:sz="4" w:space="0" w:color="auto"/>
              <w:bottom w:val="single" w:sz="6" w:space="0" w:color="auto"/>
              <w:right w:val="single" w:sz="4" w:space="0" w:color="auto"/>
            </w:tcBorders>
          </w:tcPr>
          <w:p w14:paraId="53B0DBC4" w14:textId="77777777" w:rsidR="004B17A3" w:rsidRPr="004B17A3" w:rsidRDefault="004B17A3" w:rsidP="001123ED">
            <w:pPr>
              <w:pStyle w:val="TableBullet"/>
            </w:pPr>
            <w:r>
              <w:t xml:space="preserve">Clarified in the Hybrid Specification that </w:t>
            </w:r>
            <w:r w:rsidRPr="009B7F83">
              <w:t>FOBT tests performed in an office setting or performed on a sample collected via</w:t>
            </w:r>
            <w:r>
              <w:t xml:space="preserve"> a digital rectal exam</w:t>
            </w:r>
            <w:r w:rsidRPr="009B7F83">
              <w:t xml:space="preserve"> </w:t>
            </w:r>
            <w:r>
              <w:t>(</w:t>
            </w:r>
            <w:r w:rsidRPr="009B7F83">
              <w:t>DRE</w:t>
            </w:r>
            <w:r>
              <w:t>)</w:t>
            </w:r>
            <w:r w:rsidRPr="009B7F83">
              <w:t xml:space="preserve"> do not meet criteria.</w:t>
            </w:r>
          </w:p>
          <w:p w14:paraId="42EBD5D4" w14:textId="77777777" w:rsidR="004B17A3" w:rsidRPr="00DF1884" w:rsidRDefault="004B17A3" w:rsidP="001123ED">
            <w:pPr>
              <w:pStyle w:val="TableBullet"/>
            </w:pPr>
            <w:r>
              <w:t xml:space="preserve">Added “Numerator events by supplemental data” to the Data Elements for Reporting table to capture the number of members who met numerator criteria using supplemental data. </w:t>
            </w:r>
          </w:p>
        </w:tc>
      </w:tr>
      <w:tr w:rsidR="004B17A3" w:rsidRPr="00DF1884" w14:paraId="5C6AFC66" w14:textId="77777777" w:rsidTr="004B17A3">
        <w:tc>
          <w:tcPr>
            <w:tcW w:w="2968" w:type="dxa"/>
            <w:tcBorders>
              <w:top w:val="single" w:sz="4" w:space="0" w:color="auto"/>
              <w:left w:val="single" w:sz="4" w:space="0" w:color="auto"/>
              <w:bottom w:val="single" w:sz="6" w:space="0" w:color="auto"/>
              <w:right w:val="single" w:sz="4" w:space="0" w:color="auto"/>
            </w:tcBorders>
          </w:tcPr>
          <w:p w14:paraId="2D75D865" w14:textId="77777777" w:rsidR="004B17A3" w:rsidRPr="00DF1884" w:rsidRDefault="004B17A3" w:rsidP="001123ED">
            <w:pPr>
              <w:pStyle w:val="TableText"/>
            </w:pPr>
            <w:r w:rsidRPr="00DF1884">
              <w:t>Chlamydia Screening in Women</w:t>
            </w:r>
          </w:p>
        </w:tc>
        <w:tc>
          <w:tcPr>
            <w:tcW w:w="1194" w:type="dxa"/>
            <w:tcBorders>
              <w:top w:val="single" w:sz="4" w:space="0" w:color="auto"/>
              <w:left w:val="single" w:sz="4" w:space="0" w:color="auto"/>
              <w:bottom w:val="single" w:sz="6" w:space="0" w:color="auto"/>
              <w:right w:val="single" w:sz="4" w:space="0" w:color="auto"/>
            </w:tcBorders>
          </w:tcPr>
          <w:p w14:paraId="1CFB6134" w14:textId="77777777" w:rsidR="004B17A3" w:rsidRPr="004B17A3" w:rsidRDefault="004B17A3" w:rsidP="004B17A3">
            <w:pPr>
              <w:spacing w:line="240" w:lineRule="exact"/>
              <w:jc w:val="center"/>
              <w:rPr>
                <w:rFonts w:ascii="Arial Narrow" w:hAnsi="Arial Narrow" w:cs="Arial"/>
                <w:sz w:val="24"/>
              </w:rPr>
            </w:pPr>
            <w:r w:rsidRPr="004B17A3">
              <w:rPr>
                <w:rFonts w:ascii="Arial Narrow" w:hAnsi="Arial Narrow" w:cs="Arial"/>
                <w:sz w:val="24"/>
              </w:rPr>
              <w:sym w:font="Wingdings" w:char="F0FC"/>
            </w:r>
          </w:p>
        </w:tc>
        <w:tc>
          <w:tcPr>
            <w:tcW w:w="1170" w:type="dxa"/>
            <w:tcBorders>
              <w:top w:val="single" w:sz="4" w:space="0" w:color="auto"/>
              <w:left w:val="single" w:sz="4" w:space="0" w:color="auto"/>
              <w:bottom w:val="single" w:sz="6" w:space="0" w:color="auto"/>
              <w:right w:val="single" w:sz="4" w:space="0" w:color="auto"/>
            </w:tcBorders>
          </w:tcPr>
          <w:p w14:paraId="72CCB871" w14:textId="77777777" w:rsidR="004B17A3" w:rsidRPr="004B17A3" w:rsidRDefault="004B17A3" w:rsidP="004B17A3">
            <w:pPr>
              <w:spacing w:line="240" w:lineRule="exact"/>
              <w:jc w:val="center"/>
              <w:rPr>
                <w:rFonts w:ascii="Arial Narrow" w:hAnsi="Arial Narrow" w:cs="Arial"/>
                <w:sz w:val="24"/>
              </w:rPr>
            </w:pPr>
            <w:r w:rsidRPr="004B17A3">
              <w:rPr>
                <w:rFonts w:ascii="Arial Narrow" w:hAnsi="Arial Narrow" w:cs="Arial"/>
                <w:sz w:val="24"/>
              </w:rPr>
              <w:sym w:font="Wingdings" w:char="F0FC"/>
            </w:r>
          </w:p>
        </w:tc>
        <w:tc>
          <w:tcPr>
            <w:tcW w:w="1080" w:type="dxa"/>
            <w:tcBorders>
              <w:top w:val="single" w:sz="4" w:space="0" w:color="auto"/>
              <w:left w:val="single" w:sz="4" w:space="0" w:color="auto"/>
              <w:bottom w:val="single" w:sz="6" w:space="0" w:color="auto"/>
              <w:right w:val="nil"/>
            </w:tcBorders>
          </w:tcPr>
          <w:p w14:paraId="32CCBBDD" w14:textId="77777777" w:rsidR="004B17A3" w:rsidRPr="00DF1884" w:rsidRDefault="004B17A3" w:rsidP="004B17A3">
            <w:pPr>
              <w:pStyle w:val="TableText"/>
              <w:spacing w:line="240" w:lineRule="exact"/>
              <w:jc w:val="center"/>
              <w:rPr>
                <w:rFonts w:cs="Arial"/>
                <w:sz w:val="24"/>
                <w:szCs w:val="24"/>
              </w:rPr>
            </w:pPr>
          </w:p>
        </w:tc>
        <w:tc>
          <w:tcPr>
            <w:tcW w:w="6908" w:type="dxa"/>
            <w:tcBorders>
              <w:top w:val="single" w:sz="4" w:space="0" w:color="auto"/>
              <w:left w:val="single" w:sz="4" w:space="0" w:color="auto"/>
              <w:bottom w:val="single" w:sz="6" w:space="0" w:color="auto"/>
              <w:right w:val="single" w:sz="4" w:space="0" w:color="auto"/>
            </w:tcBorders>
          </w:tcPr>
          <w:p w14:paraId="734FEE04" w14:textId="77777777" w:rsidR="004B17A3" w:rsidRPr="00DF1884" w:rsidRDefault="004B17A3" w:rsidP="001123ED">
            <w:pPr>
              <w:pStyle w:val="TableBullet"/>
            </w:pPr>
            <w:r>
              <w:t xml:space="preserve">Added “Numerator events by supplemental data” to the Data Elements for Reporting table to capture the number of members who met numerator criteria using supplemental data. </w:t>
            </w:r>
          </w:p>
        </w:tc>
      </w:tr>
      <w:tr w:rsidR="004B17A3" w:rsidRPr="00DF1884" w14:paraId="3FF5D5F9" w14:textId="77777777" w:rsidTr="004B17A3">
        <w:tc>
          <w:tcPr>
            <w:tcW w:w="2968" w:type="dxa"/>
            <w:tcBorders>
              <w:top w:val="single" w:sz="6" w:space="0" w:color="auto"/>
              <w:bottom w:val="single" w:sz="4" w:space="0" w:color="auto"/>
            </w:tcBorders>
          </w:tcPr>
          <w:p w14:paraId="29309FC2" w14:textId="77777777" w:rsidR="004B17A3" w:rsidRPr="00DF1884" w:rsidRDefault="004B17A3" w:rsidP="001123ED">
            <w:pPr>
              <w:pStyle w:val="TableText"/>
            </w:pPr>
            <w:r w:rsidRPr="00DF1884">
              <w:t>Care for Older Adults</w:t>
            </w:r>
          </w:p>
        </w:tc>
        <w:tc>
          <w:tcPr>
            <w:tcW w:w="1194" w:type="dxa"/>
            <w:tcBorders>
              <w:top w:val="single" w:sz="6" w:space="0" w:color="auto"/>
              <w:bottom w:val="single" w:sz="4" w:space="0" w:color="auto"/>
            </w:tcBorders>
          </w:tcPr>
          <w:p w14:paraId="496DAD84" w14:textId="77777777" w:rsidR="004B17A3" w:rsidRPr="00DF1884" w:rsidRDefault="004B17A3" w:rsidP="001123ED">
            <w:pPr>
              <w:pStyle w:val="TableText"/>
              <w:jc w:val="center"/>
              <w:rPr>
                <w:rFonts w:cs="Arial"/>
                <w:sz w:val="24"/>
              </w:rPr>
            </w:pPr>
          </w:p>
        </w:tc>
        <w:tc>
          <w:tcPr>
            <w:tcW w:w="1170" w:type="dxa"/>
            <w:tcBorders>
              <w:top w:val="single" w:sz="6" w:space="0" w:color="auto"/>
              <w:bottom w:val="single" w:sz="4" w:space="0" w:color="auto"/>
            </w:tcBorders>
          </w:tcPr>
          <w:p w14:paraId="0FA68B34" w14:textId="77777777" w:rsidR="004B17A3" w:rsidRPr="00DF1884" w:rsidRDefault="004B17A3" w:rsidP="001123ED">
            <w:pPr>
              <w:pStyle w:val="TableText"/>
              <w:jc w:val="center"/>
              <w:rPr>
                <w:rFonts w:cs="Arial"/>
                <w:sz w:val="24"/>
              </w:rPr>
            </w:pPr>
          </w:p>
        </w:tc>
        <w:tc>
          <w:tcPr>
            <w:tcW w:w="1080" w:type="dxa"/>
            <w:tcBorders>
              <w:top w:val="single" w:sz="6" w:space="0" w:color="auto"/>
              <w:bottom w:val="single" w:sz="4" w:space="0" w:color="auto"/>
              <w:right w:val="nil"/>
            </w:tcBorders>
          </w:tcPr>
          <w:p w14:paraId="03371319" w14:textId="77777777" w:rsidR="004B17A3" w:rsidRPr="00DF1884" w:rsidRDefault="004B17A3" w:rsidP="001123ED">
            <w:pPr>
              <w:pStyle w:val="TableText"/>
              <w:jc w:val="center"/>
              <w:rPr>
                <w:rFonts w:cs="Arial"/>
                <w:sz w:val="24"/>
              </w:rPr>
            </w:pPr>
            <w:r w:rsidRPr="00DF1884">
              <w:rPr>
                <w:rFonts w:cs="Arial"/>
                <w:sz w:val="24"/>
              </w:rPr>
              <w:sym w:font="Wingdings" w:char="F0FC"/>
            </w:r>
            <w:r w:rsidRPr="00DF1884">
              <w:rPr>
                <w:rFonts w:cs="Arial"/>
                <w:sz w:val="24"/>
              </w:rPr>
              <w:t xml:space="preserve"> </w:t>
            </w:r>
            <w:r w:rsidRPr="00DF1884">
              <w:rPr>
                <w:rFonts w:cs="Arial"/>
                <w:sz w:val="24"/>
              </w:rPr>
              <w:br/>
            </w:r>
            <w:r w:rsidRPr="00DF1884">
              <w:rPr>
                <w:szCs w:val="24"/>
              </w:rPr>
              <w:t>(SNP only)</w:t>
            </w:r>
          </w:p>
        </w:tc>
        <w:tc>
          <w:tcPr>
            <w:tcW w:w="6908" w:type="dxa"/>
            <w:tcBorders>
              <w:top w:val="single" w:sz="6" w:space="0" w:color="auto"/>
              <w:left w:val="single" w:sz="4" w:space="0" w:color="auto"/>
              <w:bottom w:val="single" w:sz="4" w:space="0" w:color="auto"/>
              <w:right w:val="single" w:sz="4" w:space="0" w:color="auto"/>
            </w:tcBorders>
          </w:tcPr>
          <w:p w14:paraId="72E46B50" w14:textId="77777777" w:rsidR="004B17A3" w:rsidRPr="00DF1884" w:rsidRDefault="004B17A3" w:rsidP="001123ED">
            <w:pPr>
              <w:pStyle w:val="TableBullet"/>
            </w:pPr>
            <w:r w:rsidRPr="002F4083">
              <w:t xml:space="preserve">Added “Numerator events by supplemental data” to the Data Elements for Reporting table to capture </w:t>
            </w:r>
            <w:r>
              <w:t xml:space="preserve">the number of </w:t>
            </w:r>
            <w:r w:rsidRPr="002F4083">
              <w:t xml:space="preserve">members who met numerator criteria using supplemental data. </w:t>
            </w:r>
          </w:p>
        </w:tc>
      </w:tr>
      <w:tr w:rsidR="004B17A3" w:rsidRPr="00DF1884" w14:paraId="3CF3FA31" w14:textId="77777777" w:rsidTr="00904532">
        <w:tc>
          <w:tcPr>
            <w:tcW w:w="2968" w:type="dxa"/>
            <w:tcBorders>
              <w:top w:val="single" w:sz="4" w:space="0" w:color="auto"/>
              <w:left w:val="single" w:sz="4" w:space="0" w:color="auto"/>
              <w:bottom w:val="single" w:sz="4" w:space="0" w:color="auto"/>
              <w:right w:val="single" w:sz="4" w:space="0" w:color="auto"/>
            </w:tcBorders>
          </w:tcPr>
          <w:p w14:paraId="551E903E" w14:textId="77777777" w:rsidR="004B17A3" w:rsidRPr="00DF1884" w:rsidRDefault="004B17A3" w:rsidP="001123ED">
            <w:pPr>
              <w:pStyle w:val="TableText"/>
            </w:pPr>
            <w:r w:rsidRPr="00DF1884">
              <w:t>Appropriate Testing for Children With Pharyngitis</w:t>
            </w:r>
          </w:p>
        </w:tc>
        <w:tc>
          <w:tcPr>
            <w:tcW w:w="1194" w:type="dxa"/>
            <w:tcBorders>
              <w:top w:val="single" w:sz="4" w:space="0" w:color="auto"/>
              <w:left w:val="single" w:sz="4" w:space="0" w:color="auto"/>
              <w:bottom w:val="single" w:sz="4" w:space="0" w:color="auto"/>
              <w:right w:val="single" w:sz="4" w:space="0" w:color="auto"/>
            </w:tcBorders>
          </w:tcPr>
          <w:p w14:paraId="10906BC0" w14:textId="77777777" w:rsidR="004B17A3" w:rsidRPr="00DF1884" w:rsidRDefault="004B17A3" w:rsidP="001123ED">
            <w:pPr>
              <w:pStyle w:val="TableText"/>
              <w:jc w:val="center"/>
              <w:rPr>
                <w:rFonts w:cs="Arial"/>
                <w:sz w:val="24"/>
              </w:rPr>
            </w:pPr>
            <w:r w:rsidRPr="00DF1884">
              <w:rPr>
                <w:rFonts w:cs="Arial"/>
                <w:sz w:val="24"/>
              </w:rPr>
              <w:sym w:font="Wingdings" w:char="F0FC"/>
            </w:r>
          </w:p>
        </w:tc>
        <w:tc>
          <w:tcPr>
            <w:tcW w:w="1170" w:type="dxa"/>
            <w:tcBorders>
              <w:top w:val="single" w:sz="4" w:space="0" w:color="auto"/>
              <w:left w:val="single" w:sz="4" w:space="0" w:color="auto"/>
              <w:bottom w:val="single" w:sz="4" w:space="0" w:color="auto"/>
              <w:right w:val="single" w:sz="4" w:space="0" w:color="auto"/>
            </w:tcBorders>
          </w:tcPr>
          <w:p w14:paraId="0F825455" w14:textId="77777777" w:rsidR="004B17A3" w:rsidRPr="00DF1884" w:rsidRDefault="004B17A3" w:rsidP="001123ED">
            <w:pPr>
              <w:pStyle w:val="TableText"/>
              <w:jc w:val="center"/>
              <w:rPr>
                <w:rFonts w:cs="Arial"/>
                <w:sz w:val="24"/>
              </w:rPr>
            </w:pPr>
            <w:r w:rsidRPr="00DF1884">
              <w:rPr>
                <w:rFonts w:cs="Arial"/>
                <w:sz w:val="24"/>
              </w:rPr>
              <w:sym w:font="Wingdings" w:char="F0FC"/>
            </w:r>
          </w:p>
        </w:tc>
        <w:tc>
          <w:tcPr>
            <w:tcW w:w="1080" w:type="dxa"/>
            <w:tcBorders>
              <w:top w:val="single" w:sz="4" w:space="0" w:color="auto"/>
              <w:left w:val="single" w:sz="4" w:space="0" w:color="auto"/>
              <w:bottom w:val="single" w:sz="4" w:space="0" w:color="auto"/>
              <w:right w:val="nil"/>
            </w:tcBorders>
          </w:tcPr>
          <w:p w14:paraId="15EA0178" w14:textId="77777777" w:rsidR="004B17A3" w:rsidRPr="00DF1884" w:rsidRDefault="004B17A3" w:rsidP="001123ED">
            <w:pPr>
              <w:pStyle w:val="TableText"/>
              <w:jc w:val="center"/>
              <w:rPr>
                <w:rFonts w:cs="Arial"/>
                <w:sz w:val="24"/>
                <w:szCs w:val="24"/>
              </w:rPr>
            </w:pPr>
          </w:p>
        </w:tc>
        <w:tc>
          <w:tcPr>
            <w:tcW w:w="6908" w:type="dxa"/>
            <w:tcBorders>
              <w:top w:val="single" w:sz="4" w:space="0" w:color="auto"/>
              <w:left w:val="single" w:sz="4" w:space="0" w:color="auto"/>
              <w:bottom w:val="single" w:sz="4" w:space="0" w:color="auto"/>
              <w:right w:val="single" w:sz="4" w:space="0" w:color="auto"/>
            </w:tcBorders>
          </w:tcPr>
          <w:p w14:paraId="4D472219" w14:textId="77777777" w:rsidR="004B17A3" w:rsidRPr="00DF1884" w:rsidRDefault="004B17A3" w:rsidP="001123ED">
            <w:pPr>
              <w:pStyle w:val="TableBullet"/>
            </w:pPr>
            <w:r>
              <w:t xml:space="preserve">Added “Numerator events by supplemental data” to the Data Elements for Reporting table to capture the number of members who met numerator criteria using supplemental data. </w:t>
            </w:r>
          </w:p>
        </w:tc>
      </w:tr>
      <w:tr w:rsidR="00904532" w:rsidRPr="00DF1884" w14:paraId="150E27B5" w14:textId="77777777" w:rsidTr="004B17A3">
        <w:tc>
          <w:tcPr>
            <w:tcW w:w="2968" w:type="dxa"/>
            <w:tcBorders>
              <w:top w:val="single" w:sz="4" w:space="0" w:color="auto"/>
              <w:left w:val="single" w:sz="4" w:space="0" w:color="auto"/>
              <w:bottom w:val="single" w:sz="6" w:space="0" w:color="auto"/>
              <w:right w:val="single" w:sz="4" w:space="0" w:color="auto"/>
            </w:tcBorders>
          </w:tcPr>
          <w:p w14:paraId="7A280D26" w14:textId="271321CA" w:rsidR="00904532" w:rsidRPr="00DF1884" w:rsidRDefault="00904532" w:rsidP="00904532">
            <w:pPr>
              <w:pStyle w:val="TableText"/>
            </w:pPr>
            <w:r w:rsidRPr="00DF1884">
              <w:t>Use of Spirometry Testing in the Assessment and Diagnosis of COPD</w:t>
            </w:r>
          </w:p>
        </w:tc>
        <w:tc>
          <w:tcPr>
            <w:tcW w:w="1194" w:type="dxa"/>
            <w:tcBorders>
              <w:top w:val="single" w:sz="4" w:space="0" w:color="auto"/>
              <w:left w:val="single" w:sz="4" w:space="0" w:color="auto"/>
              <w:bottom w:val="single" w:sz="6" w:space="0" w:color="auto"/>
              <w:right w:val="single" w:sz="4" w:space="0" w:color="auto"/>
            </w:tcBorders>
          </w:tcPr>
          <w:p w14:paraId="6D8D73FF" w14:textId="24040C7D" w:rsidR="00904532" w:rsidRPr="00DF1884" w:rsidRDefault="00904532" w:rsidP="00904532">
            <w:pPr>
              <w:pStyle w:val="TableText"/>
              <w:jc w:val="center"/>
              <w:rPr>
                <w:rFonts w:cs="Arial"/>
                <w:sz w:val="24"/>
              </w:rPr>
            </w:pPr>
            <w:r w:rsidRPr="00DF1884">
              <w:rPr>
                <w:rFonts w:cs="Arial"/>
                <w:sz w:val="24"/>
              </w:rPr>
              <w:sym w:font="Wingdings" w:char="F0FC"/>
            </w:r>
          </w:p>
        </w:tc>
        <w:tc>
          <w:tcPr>
            <w:tcW w:w="1170" w:type="dxa"/>
            <w:tcBorders>
              <w:top w:val="single" w:sz="4" w:space="0" w:color="auto"/>
              <w:left w:val="single" w:sz="4" w:space="0" w:color="auto"/>
              <w:bottom w:val="single" w:sz="6" w:space="0" w:color="auto"/>
              <w:right w:val="single" w:sz="4" w:space="0" w:color="auto"/>
            </w:tcBorders>
          </w:tcPr>
          <w:p w14:paraId="66A7EDF4" w14:textId="4A5FE389" w:rsidR="00904532" w:rsidRPr="00DF1884" w:rsidRDefault="00904532" w:rsidP="00904532">
            <w:pPr>
              <w:pStyle w:val="TableText"/>
              <w:jc w:val="center"/>
              <w:rPr>
                <w:rFonts w:cs="Arial"/>
                <w:sz w:val="24"/>
              </w:rPr>
            </w:pPr>
            <w:r w:rsidRPr="00DF1884">
              <w:rPr>
                <w:rFonts w:cs="Arial"/>
                <w:sz w:val="24"/>
              </w:rPr>
              <w:sym w:font="Wingdings" w:char="F0FC"/>
            </w:r>
          </w:p>
        </w:tc>
        <w:tc>
          <w:tcPr>
            <w:tcW w:w="1080" w:type="dxa"/>
            <w:tcBorders>
              <w:top w:val="single" w:sz="4" w:space="0" w:color="auto"/>
              <w:left w:val="single" w:sz="4" w:space="0" w:color="auto"/>
              <w:bottom w:val="single" w:sz="6" w:space="0" w:color="auto"/>
              <w:right w:val="nil"/>
            </w:tcBorders>
          </w:tcPr>
          <w:p w14:paraId="53608E45" w14:textId="5BA8ED96" w:rsidR="00904532" w:rsidRPr="00DF1884" w:rsidRDefault="00904532" w:rsidP="00904532">
            <w:pPr>
              <w:pStyle w:val="TableText"/>
              <w:jc w:val="center"/>
              <w:rPr>
                <w:rFonts w:cs="Arial"/>
                <w:sz w:val="24"/>
                <w:szCs w:val="24"/>
              </w:rPr>
            </w:pPr>
            <w:r w:rsidRPr="00DF1884">
              <w:rPr>
                <w:rFonts w:cs="Arial"/>
                <w:sz w:val="24"/>
              </w:rPr>
              <w:sym w:font="Wingdings" w:char="F0FC"/>
            </w:r>
          </w:p>
        </w:tc>
        <w:tc>
          <w:tcPr>
            <w:tcW w:w="6908" w:type="dxa"/>
            <w:tcBorders>
              <w:top w:val="single" w:sz="4" w:space="0" w:color="auto"/>
              <w:left w:val="single" w:sz="4" w:space="0" w:color="auto"/>
              <w:bottom w:val="single" w:sz="6" w:space="0" w:color="auto"/>
              <w:right w:val="single" w:sz="4" w:space="0" w:color="auto"/>
            </w:tcBorders>
          </w:tcPr>
          <w:p w14:paraId="7AAF8621" w14:textId="77777777" w:rsidR="00904532" w:rsidRPr="00002D28" w:rsidRDefault="00904532" w:rsidP="00904532">
            <w:pPr>
              <w:pStyle w:val="TableBullet"/>
              <w:rPr>
                <w:i/>
              </w:rPr>
            </w:pPr>
            <w:r>
              <w:t>Revised the method and value sets to identify acute inpatient events for steps 1 and 2 of the event/diagnosis.</w:t>
            </w:r>
          </w:p>
          <w:p w14:paraId="3AB99CBF" w14:textId="77777777" w:rsidR="00904532" w:rsidRPr="00F64299" w:rsidRDefault="00904532" w:rsidP="00904532">
            <w:pPr>
              <w:pStyle w:val="TableBullet"/>
              <w:rPr>
                <w:i/>
              </w:rPr>
            </w:pPr>
            <w:r>
              <w:t xml:space="preserve">Clarified when to use admission or discharge dates when determining Negative Diagnosis History. </w:t>
            </w:r>
          </w:p>
          <w:p w14:paraId="3A3EC4BC" w14:textId="7DBF0F7E" w:rsidR="00904532" w:rsidRDefault="00904532" w:rsidP="00904532">
            <w:pPr>
              <w:pStyle w:val="TableBullet"/>
            </w:pPr>
            <w:r w:rsidRPr="006E2FBD">
              <w:t xml:space="preserve">Added “Numerator events by supplemental data” to the Data Elements for Reporting table to capture </w:t>
            </w:r>
            <w:r>
              <w:t xml:space="preserve">the number of </w:t>
            </w:r>
            <w:r w:rsidRPr="006E2FBD">
              <w:t xml:space="preserve">members who met numerator criteria using supplemental data. </w:t>
            </w:r>
          </w:p>
        </w:tc>
      </w:tr>
    </w:tbl>
    <w:p w14:paraId="3E597409" w14:textId="77777777" w:rsidR="00463667" w:rsidRPr="00DF1884" w:rsidRDefault="00463667" w:rsidP="00463667">
      <w:pPr>
        <w:sectPr w:rsidR="00463667" w:rsidRPr="00DF1884" w:rsidSect="0039781B">
          <w:pgSz w:w="15840" w:h="12240" w:orient="landscape" w:code="1"/>
          <w:pgMar w:top="1080" w:right="1080" w:bottom="1080" w:left="1440" w:header="720" w:footer="720" w:gutter="0"/>
          <w:cols w:space="720"/>
        </w:sectPr>
      </w:pPr>
    </w:p>
    <w:p w14:paraId="08C55A7C" w14:textId="25481E83" w:rsidR="00463667" w:rsidRPr="00DF1884" w:rsidRDefault="00463667" w:rsidP="00463667">
      <w:pPr>
        <w:pStyle w:val="TableHeadNotCondensed"/>
        <w:spacing w:before="0"/>
      </w:pPr>
      <w:r w:rsidRPr="00DF1884">
        <w:lastRenderedPageBreak/>
        <w:t>HEDIS</w:t>
      </w:r>
      <w:r w:rsidR="00DF1884" w:rsidRPr="00DF1884">
        <w:t xml:space="preserve"> </w:t>
      </w:r>
      <w:r w:rsidR="00442111" w:rsidRPr="00DF1884">
        <w:rPr>
          <w:iCs/>
        </w:rPr>
        <w:t>2016</w:t>
      </w:r>
      <w:r w:rsidR="00DF1884" w:rsidRPr="00DF1884">
        <w:t xml:space="preserve"> </w:t>
      </w:r>
      <w:r w:rsidRPr="00DF1884">
        <w:t>Summary</w:t>
      </w:r>
      <w:r w:rsidR="00DF1884" w:rsidRPr="00DF1884">
        <w:t xml:space="preserve"> </w:t>
      </w:r>
      <w:r w:rsidRPr="00DF1884">
        <w:t>Table</w:t>
      </w:r>
      <w:r w:rsidR="00DF1884" w:rsidRPr="00DF1884">
        <w:t xml:space="preserve"> </w:t>
      </w:r>
      <w:r w:rsidRPr="00DF1884">
        <w:t>of</w:t>
      </w:r>
      <w:r w:rsidR="00DF1884" w:rsidRPr="00DF1884">
        <w:t xml:space="preserve"> </w:t>
      </w:r>
      <w:r w:rsidRPr="00DF1884">
        <w:t>Measures,</w:t>
      </w:r>
      <w:r w:rsidR="00DF1884" w:rsidRPr="00DF1884">
        <w:t xml:space="preserve"> </w:t>
      </w:r>
      <w:r w:rsidRPr="00DF1884">
        <w:t>Product</w:t>
      </w:r>
      <w:r w:rsidR="00DF1884" w:rsidRPr="00DF1884">
        <w:t xml:space="preserve"> </w:t>
      </w:r>
      <w:r w:rsidRPr="00DF1884">
        <w:t>Lines</w:t>
      </w:r>
      <w:r w:rsidR="00DF1884" w:rsidRPr="00DF1884">
        <w:t xml:space="preserve"> </w:t>
      </w:r>
      <w:r w:rsidRPr="00DF1884">
        <w:t>and</w:t>
      </w:r>
      <w:r w:rsidR="00DF1884" w:rsidRPr="00DF1884">
        <w:t xml:space="preserve"> </w:t>
      </w:r>
      <w:r w:rsidRPr="00DF1884">
        <w:t>Changes</w:t>
      </w:r>
      <w:r w:rsidR="00DF1884" w:rsidRPr="00DF1884">
        <w:t xml:space="preserve"> </w:t>
      </w:r>
      <w:r w:rsidRPr="00DF1884">
        <w:rPr>
          <w:i/>
          <w:sz w:val="20"/>
          <w:szCs w:val="20"/>
        </w:rPr>
        <w:t>(continued)</w:t>
      </w:r>
    </w:p>
    <w:tbl>
      <w:tblPr>
        <w:tblW w:w="13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6"/>
        <w:gridCol w:w="1259"/>
        <w:gridCol w:w="1260"/>
        <w:gridCol w:w="1260"/>
        <w:gridCol w:w="7294"/>
        <w:gridCol w:w="23"/>
      </w:tblGrid>
      <w:tr w:rsidR="00463667" w:rsidRPr="00DF1884" w14:paraId="6B428C29" w14:textId="77777777" w:rsidTr="00904532">
        <w:trPr>
          <w:gridAfter w:val="1"/>
          <w:wAfter w:w="23" w:type="dxa"/>
          <w:cantSplit/>
        </w:trPr>
        <w:tc>
          <w:tcPr>
            <w:tcW w:w="2246" w:type="dxa"/>
            <w:vMerge w:val="restart"/>
            <w:tcBorders>
              <w:top w:val="single" w:sz="4" w:space="0" w:color="auto"/>
              <w:left w:val="single" w:sz="4" w:space="0" w:color="auto"/>
              <w:bottom w:val="single" w:sz="4" w:space="0" w:color="auto"/>
              <w:right w:val="single" w:sz="4" w:space="0" w:color="FFFFFF"/>
            </w:tcBorders>
            <w:shd w:val="clear" w:color="auto" w:fill="000000"/>
            <w:vAlign w:val="bottom"/>
          </w:tcPr>
          <w:p w14:paraId="162CF907" w14:textId="6155E47F" w:rsidR="00463667" w:rsidRPr="00DF1884" w:rsidRDefault="00463667" w:rsidP="00C56CA6">
            <w:pPr>
              <w:pStyle w:val="TableHead"/>
              <w:rPr>
                <w:color w:val="auto"/>
              </w:rPr>
            </w:pPr>
            <w:r w:rsidRPr="00DF1884">
              <w:rPr>
                <w:color w:val="auto"/>
              </w:rPr>
              <w:t>HEDIS</w:t>
            </w:r>
            <w:r w:rsidR="00DF1884" w:rsidRPr="00DF1884">
              <w:rPr>
                <w:color w:val="auto"/>
              </w:rPr>
              <w:t xml:space="preserve"> </w:t>
            </w:r>
            <w:r w:rsidR="00442111" w:rsidRPr="00DF1884">
              <w:rPr>
                <w:color w:val="auto"/>
              </w:rPr>
              <w:t>2016</w:t>
            </w:r>
            <w:r w:rsidR="00DF1884" w:rsidRPr="00DF1884">
              <w:rPr>
                <w:color w:val="auto"/>
              </w:rPr>
              <w:t xml:space="preserve"> </w:t>
            </w:r>
            <w:r w:rsidRPr="00DF1884">
              <w:rPr>
                <w:color w:val="auto"/>
              </w:rPr>
              <w:t>Measures</w:t>
            </w:r>
          </w:p>
        </w:tc>
        <w:tc>
          <w:tcPr>
            <w:tcW w:w="3779" w:type="dxa"/>
            <w:gridSpan w:val="3"/>
            <w:tcBorders>
              <w:left w:val="nil"/>
              <w:bottom w:val="single" w:sz="4" w:space="0" w:color="FFFFFF"/>
              <w:right w:val="single" w:sz="4" w:space="0" w:color="FFFFFF"/>
            </w:tcBorders>
            <w:shd w:val="clear" w:color="auto" w:fill="000000"/>
          </w:tcPr>
          <w:p w14:paraId="565A3AF0" w14:textId="279FB391" w:rsidR="00463667" w:rsidRPr="00DF1884" w:rsidRDefault="00463667" w:rsidP="00C56CA6">
            <w:pPr>
              <w:pStyle w:val="TableHead"/>
              <w:rPr>
                <w:color w:val="auto"/>
              </w:rPr>
            </w:pPr>
            <w:r w:rsidRPr="00DF1884">
              <w:rPr>
                <w:color w:val="auto"/>
              </w:rPr>
              <w:t>Applicable</w:t>
            </w:r>
            <w:r w:rsidR="00DF1884" w:rsidRPr="00DF1884">
              <w:rPr>
                <w:color w:val="auto"/>
              </w:rPr>
              <w:t xml:space="preserve"> </w:t>
            </w:r>
            <w:r w:rsidRPr="00DF1884">
              <w:rPr>
                <w:color w:val="auto"/>
              </w:rPr>
              <w:t>to:</w:t>
            </w:r>
          </w:p>
        </w:tc>
        <w:tc>
          <w:tcPr>
            <w:tcW w:w="7294" w:type="dxa"/>
            <w:vMerge w:val="restart"/>
            <w:tcBorders>
              <w:left w:val="nil"/>
              <w:bottom w:val="single" w:sz="4" w:space="0" w:color="auto"/>
            </w:tcBorders>
            <w:shd w:val="clear" w:color="auto" w:fill="000000"/>
            <w:vAlign w:val="bottom"/>
          </w:tcPr>
          <w:p w14:paraId="5E93E845" w14:textId="2936EDD9" w:rsidR="00463667" w:rsidRPr="00DF1884" w:rsidRDefault="00463667" w:rsidP="00C56CA6">
            <w:pPr>
              <w:pStyle w:val="TableHead"/>
              <w:rPr>
                <w:color w:val="auto"/>
              </w:rPr>
            </w:pPr>
            <w:r w:rsidRPr="00DF1884">
              <w:rPr>
                <w:color w:val="auto"/>
              </w:rPr>
              <w:t>Changes</w:t>
            </w:r>
            <w:r w:rsidR="00DF1884" w:rsidRPr="00DF1884">
              <w:rPr>
                <w:color w:val="auto"/>
              </w:rPr>
              <w:t xml:space="preserve"> </w:t>
            </w:r>
            <w:r w:rsidRPr="00DF1884">
              <w:rPr>
                <w:color w:val="auto"/>
              </w:rPr>
              <w:t>to</w:t>
            </w:r>
            <w:r w:rsidR="00DF1884" w:rsidRPr="00DF1884">
              <w:rPr>
                <w:color w:val="auto"/>
              </w:rPr>
              <w:t xml:space="preserve"> </w:t>
            </w:r>
            <w:r w:rsidRPr="00DF1884">
              <w:rPr>
                <w:color w:val="auto"/>
              </w:rPr>
              <w:t>HEDIS</w:t>
            </w:r>
            <w:r w:rsidR="00DF1884" w:rsidRPr="00DF1884">
              <w:rPr>
                <w:color w:val="auto"/>
              </w:rPr>
              <w:t xml:space="preserve"> </w:t>
            </w:r>
            <w:r w:rsidR="00442111" w:rsidRPr="00DF1884">
              <w:rPr>
                <w:color w:val="auto"/>
              </w:rPr>
              <w:t>2016</w:t>
            </w:r>
          </w:p>
        </w:tc>
      </w:tr>
      <w:tr w:rsidR="00463667" w:rsidRPr="00DF1884" w14:paraId="71D7662B" w14:textId="77777777" w:rsidTr="00904532">
        <w:trPr>
          <w:gridAfter w:val="1"/>
          <w:wAfter w:w="23" w:type="dxa"/>
          <w:cantSplit/>
        </w:trPr>
        <w:tc>
          <w:tcPr>
            <w:tcW w:w="2246" w:type="dxa"/>
            <w:vMerge/>
            <w:tcBorders>
              <w:top w:val="nil"/>
              <w:left w:val="single" w:sz="4" w:space="0" w:color="auto"/>
              <w:bottom w:val="nil"/>
              <w:right w:val="single" w:sz="4" w:space="0" w:color="FFFFFF"/>
            </w:tcBorders>
          </w:tcPr>
          <w:p w14:paraId="7307ECB7" w14:textId="77777777" w:rsidR="00463667" w:rsidRPr="00DF1884" w:rsidRDefault="00463667" w:rsidP="00C56CA6">
            <w:pPr>
              <w:pStyle w:val="TableHead"/>
              <w:rPr>
                <w:color w:val="auto"/>
              </w:rPr>
            </w:pPr>
          </w:p>
        </w:tc>
        <w:tc>
          <w:tcPr>
            <w:tcW w:w="1259" w:type="dxa"/>
            <w:tcBorders>
              <w:top w:val="nil"/>
              <w:left w:val="nil"/>
              <w:bottom w:val="nil"/>
              <w:right w:val="single" w:sz="4" w:space="0" w:color="FFFFFF"/>
            </w:tcBorders>
            <w:shd w:val="clear" w:color="auto" w:fill="000000"/>
          </w:tcPr>
          <w:p w14:paraId="12111102" w14:textId="77777777" w:rsidR="00463667" w:rsidRPr="00DF1884" w:rsidRDefault="00463667" w:rsidP="00C56CA6">
            <w:pPr>
              <w:pStyle w:val="TableHead"/>
              <w:rPr>
                <w:color w:val="auto"/>
              </w:rPr>
            </w:pPr>
            <w:r w:rsidRPr="00DF1884">
              <w:rPr>
                <w:color w:val="auto"/>
              </w:rPr>
              <w:t>Commercial</w:t>
            </w:r>
          </w:p>
        </w:tc>
        <w:tc>
          <w:tcPr>
            <w:tcW w:w="1260" w:type="dxa"/>
            <w:tcBorders>
              <w:top w:val="nil"/>
              <w:left w:val="nil"/>
              <w:bottom w:val="nil"/>
              <w:right w:val="single" w:sz="4" w:space="0" w:color="FFFFFF"/>
            </w:tcBorders>
            <w:shd w:val="clear" w:color="auto" w:fill="000000"/>
          </w:tcPr>
          <w:p w14:paraId="33C63C30" w14:textId="77777777" w:rsidR="00463667" w:rsidRPr="00DF1884" w:rsidRDefault="00463667" w:rsidP="00C56CA6">
            <w:pPr>
              <w:pStyle w:val="TableHead"/>
              <w:rPr>
                <w:color w:val="auto"/>
              </w:rPr>
            </w:pPr>
            <w:r w:rsidRPr="00DF1884">
              <w:rPr>
                <w:color w:val="auto"/>
              </w:rPr>
              <w:t>Medicaid</w:t>
            </w:r>
          </w:p>
        </w:tc>
        <w:tc>
          <w:tcPr>
            <w:tcW w:w="1260" w:type="dxa"/>
            <w:tcBorders>
              <w:top w:val="nil"/>
              <w:left w:val="nil"/>
              <w:bottom w:val="nil"/>
              <w:right w:val="single" w:sz="4" w:space="0" w:color="FFFFFF"/>
            </w:tcBorders>
            <w:shd w:val="clear" w:color="auto" w:fill="000000"/>
          </w:tcPr>
          <w:p w14:paraId="56FFDBB2" w14:textId="77777777" w:rsidR="00463667" w:rsidRPr="00DF1884" w:rsidRDefault="00463667" w:rsidP="00C56CA6">
            <w:pPr>
              <w:pStyle w:val="TableHead"/>
              <w:rPr>
                <w:color w:val="auto"/>
              </w:rPr>
            </w:pPr>
            <w:r w:rsidRPr="00DF1884">
              <w:rPr>
                <w:color w:val="auto"/>
              </w:rPr>
              <w:t>Medicare</w:t>
            </w:r>
          </w:p>
        </w:tc>
        <w:tc>
          <w:tcPr>
            <w:tcW w:w="7294" w:type="dxa"/>
            <w:vMerge/>
            <w:tcBorders>
              <w:top w:val="nil"/>
              <w:left w:val="nil"/>
              <w:bottom w:val="nil"/>
            </w:tcBorders>
            <w:vAlign w:val="bottom"/>
          </w:tcPr>
          <w:p w14:paraId="309C28D6" w14:textId="77777777" w:rsidR="00463667" w:rsidRPr="00DF1884" w:rsidRDefault="00463667" w:rsidP="00C56CA6">
            <w:pPr>
              <w:pStyle w:val="TableHead2"/>
              <w:rPr>
                <w:color w:val="auto"/>
              </w:rPr>
            </w:pPr>
          </w:p>
        </w:tc>
      </w:tr>
      <w:tr w:rsidR="00463667" w:rsidRPr="00904532" w14:paraId="52424382" w14:textId="77777777" w:rsidTr="00904532">
        <w:trPr>
          <w:gridAfter w:val="1"/>
          <w:wAfter w:w="23" w:type="dxa"/>
        </w:trPr>
        <w:tc>
          <w:tcPr>
            <w:tcW w:w="13319" w:type="dxa"/>
            <w:gridSpan w:val="5"/>
            <w:tcBorders>
              <w:bottom w:val="nil"/>
            </w:tcBorders>
            <w:shd w:val="clear" w:color="auto" w:fill="C0C0C0"/>
          </w:tcPr>
          <w:p w14:paraId="6F7763F3" w14:textId="7EB2F70A" w:rsidR="00463667" w:rsidRPr="00904532" w:rsidRDefault="00904532" w:rsidP="00904532">
            <w:pPr>
              <w:pStyle w:val="TableText2"/>
              <w:jc w:val="center"/>
              <w:rPr>
                <w:b/>
                <w:snapToGrid w:val="0"/>
                <w:sz w:val="20"/>
                <w:szCs w:val="20"/>
              </w:rPr>
            </w:pPr>
            <w:r w:rsidRPr="00904532">
              <w:rPr>
                <w:b/>
                <w:snapToGrid w:val="0"/>
                <w:sz w:val="20"/>
                <w:szCs w:val="20"/>
              </w:rPr>
              <w:t>EFFECTIVENESS OF CARE</w:t>
            </w:r>
          </w:p>
        </w:tc>
      </w:tr>
      <w:tr w:rsidR="00463667" w:rsidRPr="00DF1884" w14:paraId="588C8EDE" w14:textId="77777777" w:rsidTr="00904532">
        <w:tc>
          <w:tcPr>
            <w:tcW w:w="2246" w:type="dxa"/>
            <w:tcBorders>
              <w:top w:val="single" w:sz="4" w:space="0" w:color="auto"/>
              <w:left w:val="single" w:sz="4" w:space="0" w:color="auto"/>
              <w:bottom w:val="single" w:sz="6" w:space="0" w:color="auto"/>
              <w:right w:val="single" w:sz="4" w:space="0" w:color="auto"/>
            </w:tcBorders>
          </w:tcPr>
          <w:p w14:paraId="777974E8" w14:textId="17B530E1" w:rsidR="00463667" w:rsidRPr="00DF1884" w:rsidRDefault="00463667" w:rsidP="00C56CA6">
            <w:pPr>
              <w:pStyle w:val="TableText"/>
            </w:pPr>
            <w:r w:rsidRPr="00DF1884">
              <w:t>Pharmacotherapy</w:t>
            </w:r>
            <w:r w:rsidR="00DF1884" w:rsidRPr="00DF1884">
              <w:t xml:space="preserve"> </w:t>
            </w:r>
            <w:r w:rsidRPr="00DF1884">
              <w:t>Management</w:t>
            </w:r>
            <w:r w:rsidR="00DF1884" w:rsidRPr="00DF1884">
              <w:t xml:space="preserve"> </w:t>
            </w:r>
            <w:r w:rsidRPr="00DF1884">
              <w:t>of</w:t>
            </w:r>
            <w:r w:rsidR="00DF1884" w:rsidRPr="00DF1884">
              <w:t xml:space="preserve"> </w:t>
            </w:r>
            <w:r w:rsidRPr="00DF1884">
              <w:t>COPD</w:t>
            </w:r>
            <w:r w:rsidR="00DF1884" w:rsidRPr="00DF1884">
              <w:t xml:space="preserve"> </w:t>
            </w:r>
            <w:r w:rsidRPr="00DF1884">
              <w:t>Exacerbation</w:t>
            </w:r>
          </w:p>
        </w:tc>
        <w:tc>
          <w:tcPr>
            <w:tcW w:w="1259" w:type="dxa"/>
            <w:tcBorders>
              <w:top w:val="single" w:sz="4" w:space="0" w:color="auto"/>
              <w:left w:val="single" w:sz="4" w:space="0" w:color="auto"/>
              <w:bottom w:val="single" w:sz="6" w:space="0" w:color="auto"/>
              <w:right w:val="single" w:sz="4" w:space="0" w:color="auto"/>
            </w:tcBorders>
          </w:tcPr>
          <w:p w14:paraId="0986DF0C"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260" w:type="dxa"/>
            <w:tcBorders>
              <w:top w:val="single" w:sz="4" w:space="0" w:color="auto"/>
              <w:left w:val="single" w:sz="4" w:space="0" w:color="auto"/>
              <w:bottom w:val="single" w:sz="6" w:space="0" w:color="auto"/>
              <w:right w:val="single" w:sz="4" w:space="0" w:color="auto"/>
            </w:tcBorders>
          </w:tcPr>
          <w:p w14:paraId="16278AA1"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260" w:type="dxa"/>
            <w:tcBorders>
              <w:top w:val="single" w:sz="4" w:space="0" w:color="auto"/>
              <w:left w:val="single" w:sz="4" w:space="0" w:color="auto"/>
              <w:bottom w:val="single" w:sz="6" w:space="0" w:color="auto"/>
              <w:right w:val="nil"/>
            </w:tcBorders>
          </w:tcPr>
          <w:p w14:paraId="05FE0FF8"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7317" w:type="dxa"/>
            <w:gridSpan w:val="2"/>
            <w:tcBorders>
              <w:top w:val="single" w:sz="4" w:space="0" w:color="auto"/>
              <w:left w:val="single" w:sz="4" w:space="0" w:color="auto"/>
              <w:bottom w:val="single" w:sz="6" w:space="0" w:color="auto"/>
              <w:right w:val="single" w:sz="4" w:space="0" w:color="auto"/>
            </w:tcBorders>
          </w:tcPr>
          <w:p w14:paraId="3992B026" w14:textId="77777777" w:rsidR="006A7578" w:rsidRPr="00E73E51" w:rsidRDefault="006A7578" w:rsidP="00E73E51">
            <w:pPr>
              <w:pStyle w:val="TableBullet"/>
              <w:rPr>
                <w:i/>
              </w:rPr>
            </w:pPr>
            <w:r>
              <w:t>Revised the method and value sets to identify acute and nonacute inpatient events for steps 1, 3 and 4 of the event/diagnosis.</w:t>
            </w:r>
          </w:p>
          <w:p w14:paraId="6129E606" w14:textId="4EA3FC57" w:rsidR="00E73E51" w:rsidRPr="00002D28" w:rsidRDefault="00E73E51" w:rsidP="00E73E51">
            <w:pPr>
              <w:pStyle w:val="TableBullet"/>
            </w:pPr>
            <w:r w:rsidRPr="00C85473">
              <w:t xml:space="preserve">Added </w:t>
            </w:r>
            <w:r>
              <w:t>o</w:t>
            </w:r>
            <w:r w:rsidRPr="00C85473">
              <w:t>lodaterol hydrochloride to the description of “Beta 2-agonists” in Table PCE-D.</w:t>
            </w:r>
          </w:p>
          <w:p w14:paraId="7EB74986" w14:textId="676DEBDE" w:rsidR="00463667" w:rsidRPr="00DF1884" w:rsidRDefault="006A7578" w:rsidP="00E73E51">
            <w:pPr>
              <w:pStyle w:val="TableBullet"/>
            </w:pPr>
            <w:r>
              <w:t xml:space="preserve">Added “Numerator events by supplemental data” to the Data Elements for Reporting table to capture the number of members who met numerator criteria using supplemental data. </w:t>
            </w:r>
          </w:p>
        </w:tc>
      </w:tr>
      <w:tr w:rsidR="00463667" w:rsidRPr="00DF1884" w14:paraId="69D3B78F" w14:textId="77777777" w:rsidTr="00904532">
        <w:tc>
          <w:tcPr>
            <w:tcW w:w="2246" w:type="dxa"/>
            <w:tcBorders>
              <w:top w:val="single" w:sz="4" w:space="0" w:color="auto"/>
              <w:left w:val="single" w:sz="4" w:space="0" w:color="auto"/>
              <w:bottom w:val="single" w:sz="6" w:space="0" w:color="auto"/>
              <w:right w:val="single" w:sz="4" w:space="0" w:color="auto"/>
            </w:tcBorders>
          </w:tcPr>
          <w:p w14:paraId="09F53F67" w14:textId="42CABFF1" w:rsidR="00463667" w:rsidRPr="00DF1884" w:rsidRDefault="00463667" w:rsidP="00C56CA6">
            <w:pPr>
              <w:pStyle w:val="TableText"/>
            </w:pPr>
            <w:r w:rsidRPr="00DF1884">
              <w:t>Medication</w:t>
            </w:r>
            <w:r w:rsidR="00DF1884" w:rsidRPr="00DF1884">
              <w:t xml:space="preserve"> </w:t>
            </w:r>
            <w:r w:rsidRPr="00DF1884">
              <w:t>Management</w:t>
            </w:r>
            <w:r w:rsidR="00DF1884" w:rsidRPr="00DF1884">
              <w:t xml:space="preserve"> </w:t>
            </w:r>
            <w:r w:rsidRPr="00DF1884">
              <w:t>for</w:t>
            </w:r>
            <w:r w:rsidR="00DF1884" w:rsidRPr="00DF1884">
              <w:t xml:space="preserve"> </w:t>
            </w:r>
            <w:r w:rsidRPr="00DF1884">
              <w:t>People</w:t>
            </w:r>
            <w:r w:rsidR="00DF1884" w:rsidRPr="00DF1884">
              <w:t xml:space="preserve"> </w:t>
            </w:r>
            <w:r w:rsidRPr="00DF1884">
              <w:t>With</w:t>
            </w:r>
            <w:r w:rsidR="00DF1884" w:rsidRPr="00DF1884">
              <w:t xml:space="preserve"> </w:t>
            </w:r>
            <w:r w:rsidRPr="00DF1884">
              <w:t>Asthma</w:t>
            </w:r>
          </w:p>
        </w:tc>
        <w:tc>
          <w:tcPr>
            <w:tcW w:w="1259" w:type="dxa"/>
            <w:tcBorders>
              <w:top w:val="single" w:sz="4" w:space="0" w:color="auto"/>
              <w:left w:val="single" w:sz="4" w:space="0" w:color="auto"/>
              <w:bottom w:val="single" w:sz="6" w:space="0" w:color="auto"/>
              <w:right w:val="single" w:sz="4" w:space="0" w:color="auto"/>
            </w:tcBorders>
          </w:tcPr>
          <w:p w14:paraId="208E0718"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260" w:type="dxa"/>
            <w:tcBorders>
              <w:top w:val="single" w:sz="4" w:space="0" w:color="auto"/>
              <w:left w:val="single" w:sz="4" w:space="0" w:color="auto"/>
              <w:bottom w:val="single" w:sz="6" w:space="0" w:color="auto"/>
              <w:right w:val="single" w:sz="4" w:space="0" w:color="auto"/>
            </w:tcBorders>
          </w:tcPr>
          <w:p w14:paraId="03B2F1CC"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260" w:type="dxa"/>
            <w:tcBorders>
              <w:top w:val="single" w:sz="4" w:space="0" w:color="auto"/>
              <w:left w:val="single" w:sz="4" w:space="0" w:color="auto"/>
              <w:bottom w:val="single" w:sz="6" w:space="0" w:color="auto"/>
              <w:right w:val="nil"/>
            </w:tcBorders>
          </w:tcPr>
          <w:p w14:paraId="02F2DCEE" w14:textId="13EEEE19" w:rsidR="00463667" w:rsidRPr="00DF1884" w:rsidRDefault="00B41C18" w:rsidP="00C56CA6">
            <w:pPr>
              <w:pStyle w:val="TableText"/>
              <w:jc w:val="center"/>
              <w:rPr>
                <w:rFonts w:cs="Arial"/>
                <w:sz w:val="24"/>
              </w:rPr>
            </w:pPr>
            <w:r w:rsidRPr="00DF1884">
              <w:rPr>
                <w:rFonts w:cs="Arial"/>
                <w:sz w:val="24"/>
              </w:rPr>
              <w:sym w:font="Wingdings" w:char="F0FC"/>
            </w:r>
          </w:p>
        </w:tc>
        <w:tc>
          <w:tcPr>
            <w:tcW w:w="7317" w:type="dxa"/>
            <w:gridSpan w:val="2"/>
            <w:tcBorders>
              <w:top w:val="single" w:sz="4" w:space="0" w:color="auto"/>
              <w:left w:val="single" w:sz="4" w:space="0" w:color="auto"/>
              <w:bottom w:val="single" w:sz="6" w:space="0" w:color="auto"/>
              <w:right w:val="single" w:sz="4" w:space="0" w:color="auto"/>
            </w:tcBorders>
          </w:tcPr>
          <w:p w14:paraId="0F53B935" w14:textId="77777777" w:rsidR="006A7578" w:rsidRDefault="006A7578" w:rsidP="006A7578">
            <w:pPr>
              <w:pStyle w:val="TableBullet"/>
            </w:pPr>
            <w:r>
              <w:t>Expanded age range up to 85 years for the commercial product line.</w:t>
            </w:r>
          </w:p>
          <w:p w14:paraId="19F4EE43" w14:textId="77777777" w:rsidR="006A7578" w:rsidRDefault="006A7578" w:rsidP="006A7578">
            <w:pPr>
              <w:pStyle w:val="TableBullet"/>
            </w:pPr>
            <w:r>
              <w:t>Added the Medicare product line.</w:t>
            </w:r>
          </w:p>
          <w:p w14:paraId="6465492B" w14:textId="77777777" w:rsidR="006A7578" w:rsidRDefault="006A7578" w:rsidP="006A7578">
            <w:pPr>
              <w:pStyle w:val="TableBullet"/>
            </w:pPr>
            <w:r>
              <w:t xml:space="preserve">Added </w:t>
            </w:r>
            <w:r w:rsidRPr="00FF31C0">
              <w:t>Table MMA-A: Asthma Medications</w:t>
            </w:r>
            <w:r>
              <w:t xml:space="preserve"> and </w:t>
            </w:r>
            <w:r w:rsidRPr="00082E43">
              <w:t>Table MMA-B: Asthma Controller Medications</w:t>
            </w:r>
            <w:r>
              <w:t>.</w:t>
            </w:r>
          </w:p>
          <w:p w14:paraId="1CB4E5BE" w14:textId="77777777" w:rsidR="006A7578" w:rsidRDefault="006A7578" w:rsidP="006A7578">
            <w:pPr>
              <w:pStyle w:val="TableBullet"/>
            </w:pPr>
            <w:r>
              <w:t>Deleted all “</w:t>
            </w:r>
            <w:r>
              <w:rPr>
                <w:snapToGrid w:val="0"/>
              </w:rPr>
              <w:t>L</w:t>
            </w:r>
            <w:r w:rsidRPr="00463667">
              <w:rPr>
                <w:snapToGrid w:val="0"/>
              </w:rPr>
              <w:t>ong-acting, inhaled beta-2 agonist</w:t>
            </w:r>
            <w:r>
              <w:rPr>
                <w:snapToGrid w:val="0"/>
              </w:rPr>
              <w:t xml:space="preserve">s” from Table MMA-A. </w:t>
            </w:r>
          </w:p>
          <w:p w14:paraId="62DE6BCF" w14:textId="77777777" w:rsidR="006A7578" w:rsidRPr="00463667" w:rsidRDefault="006A7578" w:rsidP="006A7578">
            <w:pPr>
              <w:pStyle w:val="TableBullet"/>
              <w:rPr>
                <w:i/>
                <w:iCs/>
              </w:rPr>
            </w:pPr>
            <w:r>
              <w:t xml:space="preserve">Replaced all references of Table ASM-C to Table MMA-A in </w:t>
            </w:r>
            <w:r w:rsidRPr="00FD5D9E">
              <w:t>step 1.</w:t>
            </w:r>
            <w:r>
              <w:t xml:space="preserve"> </w:t>
            </w:r>
          </w:p>
          <w:p w14:paraId="09DAD079" w14:textId="77777777" w:rsidR="006A7578" w:rsidRPr="00FF31C0" w:rsidRDefault="006A7578" w:rsidP="006A7578">
            <w:pPr>
              <w:pStyle w:val="TableBullet"/>
            </w:pPr>
            <w:r>
              <w:t>Replaced all references of Table ASM-D to Table MMA-B throughout the measure specification.</w:t>
            </w:r>
          </w:p>
          <w:p w14:paraId="3A124451" w14:textId="6075B67F" w:rsidR="00463667" w:rsidRPr="00DF1884" w:rsidRDefault="006A7578" w:rsidP="006A7578">
            <w:pPr>
              <w:pStyle w:val="TableBullet"/>
            </w:pPr>
            <w:r>
              <w:t>Added “Numerator events by supplemental data” to the Data Elements for Reporting table to capture the number of members who met numerator criteria using supplemental data.</w:t>
            </w:r>
          </w:p>
        </w:tc>
      </w:tr>
      <w:tr w:rsidR="00463667" w:rsidRPr="00DF1884" w14:paraId="205AF0E4" w14:textId="77777777" w:rsidTr="00904532">
        <w:tc>
          <w:tcPr>
            <w:tcW w:w="2246" w:type="dxa"/>
            <w:tcBorders>
              <w:top w:val="single" w:sz="4" w:space="0" w:color="auto"/>
              <w:left w:val="single" w:sz="4" w:space="0" w:color="auto"/>
              <w:bottom w:val="single" w:sz="6" w:space="0" w:color="auto"/>
              <w:right w:val="single" w:sz="4" w:space="0" w:color="auto"/>
            </w:tcBorders>
          </w:tcPr>
          <w:p w14:paraId="7A35DB83" w14:textId="12E9D591" w:rsidR="00463667" w:rsidRPr="00DF1884" w:rsidRDefault="00463667" w:rsidP="00C56CA6">
            <w:pPr>
              <w:pStyle w:val="TableText"/>
            </w:pPr>
            <w:r w:rsidRPr="00DF1884">
              <w:t>Asthma</w:t>
            </w:r>
            <w:r w:rsidR="00DF1884" w:rsidRPr="00DF1884">
              <w:t xml:space="preserve"> </w:t>
            </w:r>
            <w:r w:rsidRPr="00DF1884">
              <w:t>Medication</w:t>
            </w:r>
            <w:r w:rsidR="00DF1884" w:rsidRPr="00DF1884">
              <w:t xml:space="preserve"> </w:t>
            </w:r>
            <w:r w:rsidRPr="00DF1884">
              <w:t>Ratio</w:t>
            </w:r>
          </w:p>
        </w:tc>
        <w:tc>
          <w:tcPr>
            <w:tcW w:w="1259" w:type="dxa"/>
            <w:tcBorders>
              <w:top w:val="single" w:sz="4" w:space="0" w:color="auto"/>
              <w:left w:val="single" w:sz="4" w:space="0" w:color="auto"/>
              <w:bottom w:val="single" w:sz="6" w:space="0" w:color="auto"/>
              <w:right w:val="single" w:sz="4" w:space="0" w:color="auto"/>
            </w:tcBorders>
          </w:tcPr>
          <w:p w14:paraId="7F332660"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260" w:type="dxa"/>
            <w:tcBorders>
              <w:top w:val="single" w:sz="4" w:space="0" w:color="auto"/>
              <w:left w:val="single" w:sz="4" w:space="0" w:color="auto"/>
              <w:bottom w:val="single" w:sz="6" w:space="0" w:color="auto"/>
              <w:right w:val="single" w:sz="4" w:space="0" w:color="auto"/>
            </w:tcBorders>
          </w:tcPr>
          <w:p w14:paraId="68541F64"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260" w:type="dxa"/>
            <w:tcBorders>
              <w:top w:val="single" w:sz="4" w:space="0" w:color="auto"/>
              <w:left w:val="single" w:sz="4" w:space="0" w:color="auto"/>
              <w:bottom w:val="single" w:sz="6" w:space="0" w:color="auto"/>
              <w:right w:val="nil"/>
            </w:tcBorders>
          </w:tcPr>
          <w:p w14:paraId="7E453C88" w14:textId="50310076" w:rsidR="00463667" w:rsidRPr="00DF1884" w:rsidRDefault="00B41C18" w:rsidP="00C56CA6">
            <w:pPr>
              <w:pStyle w:val="TableText"/>
              <w:jc w:val="center"/>
              <w:rPr>
                <w:rFonts w:cs="Arial"/>
                <w:sz w:val="24"/>
              </w:rPr>
            </w:pPr>
            <w:r w:rsidRPr="00DF1884">
              <w:rPr>
                <w:rFonts w:cs="Arial"/>
                <w:sz w:val="24"/>
              </w:rPr>
              <w:sym w:font="Wingdings" w:char="F0FC"/>
            </w:r>
          </w:p>
        </w:tc>
        <w:tc>
          <w:tcPr>
            <w:tcW w:w="7317" w:type="dxa"/>
            <w:gridSpan w:val="2"/>
            <w:tcBorders>
              <w:top w:val="single" w:sz="4" w:space="0" w:color="auto"/>
              <w:left w:val="single" w:sz="4" w:space="0" w:color="auto"/>
              <w:bottom w:val="single" w:sz="6" w:space="0" w:color="auto"/>
              <w:right w:val="single" w:sz="4" w:space="0" w:color="auto"/>
            </w:tcBorders>
          </w:tcPr>
          <w:p w14:paraId="53FE9F7B" w14:textId="125B19BD" w:rsidR="006A7578" w:rsidRPr="00313003" w:rsidRDefault="006A7578" w:rsidP="006A7578">
            <w:pPr>
              <w:pStyle w:val="TableBullet"/>
            </w:pPr>
            <w:r w:rsidRPr="00313003">
              <w:t>Expanded age range up to 85 years</w:t>
            </w:r>
            <w:r w:rsidR="0000679A">
              <w:t xml:space="preserve"> for the commercial product line</w:t>
            </w:r>
            <w:r w:rsidRPr="00313003">
              <w:t>.</w:t>
            </w:r>
          </w:p>
          <w:p w14:paraId="6A390CCB" w14:textId="77777777" w:rsidR="006A7578" w:rsidRDefault="006A7578" w:rsidP="006A7578">
            <w:pPr>
              <w:pStyle w:val="TableBullet"/>
            </w:pPr>
            <w:r w:rsidRPr="00313003">
              <w:t>Added the Medicare product line.</w:t>
            </w:r>
          </w:p>
          <w:p w14:paraId="29ACC328" w14:textId="77777777" w:rsidR="006A7578" w:rsidRPr="00FC64A8" w:rsidRDefault="006A7578" w:rsidP="006A7578">
            <w:pPr>
              <w:pStyle w:val="TableBullet"/>
              <w:rPr>
                <w:i/>
                <w:iCs/>
              </w:rPr>
            </w:pPr>
            <w:r>
              <w:t xml:space="preserve">Replaced all references of Table ASM-C to Table MMA-A in </w:t>
            </w:r>
            <w:r w:rsidRPr="00786FD8">
              <w:t xml:space="preserve">step 1. </w:t>
            </w:r>
          </w:p>
          <w:p w14:paraId="6D924B2D" w14:textId="06A24F23" w:rsidR="00463667" w:rsidRPr="00DF1884" w:rsidRDefault="006A7578" w:rsidP="006A7578">
            <w:pPr>
              <w:pStyle w:val="TableBullet"/>
            </w:pPr>
            <w:r w:rsidRPr="00106FBD">
              <w:t>Added “Numerator events by supplemental data” to the Data Elements for Reporting table to capture the number of</w:t>
            </w:r>
            <w:r>
              <w:t xml:space="preserve"> members who met numerator criteria using supplemental data. </w:t>
            </w:r>
          </w:p>
        </w:tc>
      </w:tr>
      <w:tr w:rsidR="00463667" w:rsidRPr="00DF1884" w14:paraId="002C261C" w14:textId="77777777" w:rsidTr="00904532">
        <w:tc>
          <w:tcPr>
            <w:tcW w:w="2246" w:type="dxa"/>
            <w:tcBorders>
              <w:top w:val="single" w:sz="4" w:space="0" w:color="auto"/>
              <w:left w:val="single" w:sz="4" w:space="0" w:color="auto"/>
              <w:bottom w:val="single" w:sz="6" w:space="0" w:color="auto"/>
              <w:right w:val="single" w:sz="4" w:space="0" w:color="auto"/>
            </w:tcBorders>
          </w:tcPr>
          <w:p w14:paraId="5BD811E6" w14:textId="03DB446D" w:rsidR="00463667" w:rsidRPr="00DF1884" w:rsidRDefault="00463667" w:rsidP="00C56CA6">
            <w:pPr>
              <w:pStyle w:val="TableText"/>
            </w:pPr>
            <w:r w:rsidRPr="00DF1884">
              <w:t>Controlling</w:t>
            </w:r>
            <w:r w:rsidR="00DF1884" w:rsidRPr="00DF1884">
              <w:t xml:space="preserve"> </w:t>
            </w:r>
            <w:r w:rsidRPr="00DF1884">
              <w:t>High</w:t>
            </w:r>
            <w:r w:rsidR="00DF1884" w:rsidRPr="00DF1884">
              <w:t xml:space="preserve"> </w:t>
            </w:r>
            <w:r w:rsidRPr="00DF1884">
              <w:t>Blood</w:t>
            </w:r>
            <w:r w:rsidR="00DF1884" w:rsidRPr="00DF1884">
              <w:t xml:space="preserve"> </w:t>
            </w:r>
            <w:r w:rsidRPr="00DF1884">
              <w:t>Pressure</w:t>
            </w:r>
          </w:p>
        </w:tc>
        <w:tc>
          <w:tcPr>
            <w:tcW w:w="1259" w:type="dxa"/>
            <w:tcBorders>
              <w:top w:val="single" w:sz="4" w:space="0" w:color="auto"/>
              <w:left w:val="single" w:sz="4" w:space="0" w:color="auto"/>
              <w:bottom w:val="single" w:sz="6" w:space="0" w:color="auto"/>
              <w:right w:val="single" w:sz="4" w:space="0" w:color="auto"/>
            </w:tcBorders>
          </w:tcPr>
          <w:p w14:paraId="0B3391CE"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260" w:type="dxa"/>
            <w:tcBorders>
              <w:top w:val="single" w:sz="4" w:space="0" w:color="auto"/>
              <w:left w:val="single" w:sz="4" w:space="0" w:color="auto"/>
              <w:bottom w:val="single" w:sz="6" w:space="0" w:color="auto"/>
              <w:right w:val="single" w:sz="4" w:space="0" w:color="auto"/>
            </w:tcBorders>
          </w:tcPr>
          <w:p w14:paraId="546D38DE"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260" w:type="dxa"/>
            <w:tcBorders>
              <w:top w:val="single" w:sz="4" w:space="0" w:color="auto"/>
              <w:left w:val="single" w:sz="4" w:space="0" w:color="auto"/>
              <w:bottom w:val="single" w:sz="6" w:space="0" w:color="auto"/>
              <w:right w:val="nil"/>
            </w:tcBorders>
          </w:tcPr>
          <w:p w14:paraId="7D2B7CDA"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7317" w:type="dxa"/>
            <w:gridSpan w:val="2"/>
            <w:tcBorders>
              <w:top w:val="single" w:sz="4" w:space="0" w:color="auto"/>
              <w:left w:val="single" w:sz="4" w:space="0" w:color="auto"/>
              <w:bottom w:val="single" w:sz="6" w:space="0" w:color="auto"/>
              <w:right w:val="single" w:sz="4" w:space="0" w:color="auto"/>
            </w:tcBorders>
          </w:tcPr>
          <w:p w14:paraId="471B7A2E" w14:textId="77777777" w:rsidR="006A7578" w:rsidRPr="006A7578" w:rsidRDefault="006A7578" w:rsidP="00BC302B">
            <w:pPr>
              <w:pStyle w:val="TableBullet"/>
              <w:spacing w:after="0"/>
              <w:rPr>
                <w:iCs/>
              </w:rPr>
            </w:pPr>
            <w:r w:rsidRPr="006A7578">
              <w:rPr>
                <w:iCs/>
              </w:rPr>
              <w:t>Revised a value set used to identify the event/diagnosis.</w:t>
            </w:r>
          </w:p>
          <w:p w14:paraId="042B15E0" w14:textId="77777777" w:rsidR="001123ED" w:rsidRPr="006A7578" w:rsidRDefault="00900898" w:rsidP="00BC302B">
            <w:pPr>
              <w:pStyle w:val="TableDash"/>
            </w:pPr>
            <w:r w:rsidRPr="006A7578">
              <w:t>Added HCPCS codes to identify outpatient visits.</w:t>
            </w:r>
          </w:p>
          <w:p w14:paraId="03F2D9B7" w14:textId="77777777" w:rsidR="001123ED" w:rsidRPr="006A7578" w:rsidRDefault="00900898" w:rsidP="00BC302B">
            <w:pPr>
              <w:pStyle w:val="TableDash"/>
            </w:pPr>
            <w:r w:rsidRPr="006A7578">
              <w:t xml:space="preserve">Renamed the </w:t>
            </w:r>
            <w:r w:rsidRPr="006A7578">
              <w:rPr>
                <w:u w:val="single"/>
              </w:rPr>
              <w:t>Outpatient CPT Value Set</w:t>
            </w:r>
            <w:r w:rsidRPr="006A7578">
              <w:t xml:space="preserve"> to </w:t>
            </w:r>
            <w:r w:rsidRPr="006A7578">
              <w:rPr>
                <w:u w:val="single"/>
              </w:rPr>
              <w:t>Outpatient Without UBREV Value Set</w:t>
            </w:r>
            <w:r w:rsidRPr="006A7578">
              <w:t>.</w:t>
            </w:r>
          </w:p>
          <w:p w14:paraId="169702D2" w14:textId="77777777" w:rsidR="006A7578" w:rsidRPr="006A7578" w:rsidRDefault="006A7578" w:rsidP="006A7578">
            <w:pPr>
              <w:pStyle w:val="TableBullet"/>
              <w:rPr>
                <w:iCs/>
              </w:rPr>
            </w:pPr>
            <w:r w:rsidRPr="006A7578">
              <w:rPr>
                <w:iCs/>
              </w:rPr>
              <w:t>Clarified how to assign the diabetes flag.</w:t>
            </w:r>
          </w:p>
          <w:p w14:paraId="3A53F4C0" w14:textId="77777777" w:rsidR="006A7578" w:rsidRPr="006A7578" w:rsidRDefault="006A7578" w:rsidP="006A7578">
            <w:pPr>
              <w:pStyle w:val="TableBullet"/>
              <w:rPr>
                <w:iCs/>
              </w:rPr>
            </w:pPr>
            <w:r w:rsidRPr="006A7578">
              <w:rPr>
                <w:iCs/>
              </w:rPr>
              <w:t>Removed the criteria for polycystic ovaries when assigning a flag of “not diabetic” in the event/diagnosis.</w:t>
            </w:r>
          </w:p>
          <w:p w14:paraId="41E14803" w14:textId="77777777" w:rsidR="006A7578" w:rsidRPr="006A7578" w:rsidRDefault="006A7578" w:rsidP="006A7578">
            <w:pPr>
              <w:pStyle w:val="TableBullet"/>
              <w:rPr>
                <w:iCs/>
              </w:rPr>
            </w:pPr>
            <w:r w:rsidRPr="006A7578">
              <w:rPr>
                <w:iCs/>
              </w:rPr>
              <w:t>Clarified the denominator section of the Hybrid Specification to state that if the hypertension diagnosis is not confirmed, the member is excluded and replaced by a member from the oversample.</w:t>
            </w:r>
          </w:p>
          <w:p w14:paraId="7A9461E5" w14:textId="77777777" w:rsidR="006A7578" w:rsidRPr="006A7578" w:rsidRDefault="006A7578" w:rsidP="006A7578">
            <w:pPr>
              <w:pStyle w:val="TableBullet"/>
              <w:rPr>
                <w:iCs/>
              </w:rPr>
            </w:pPr>
            <w:r w:rsidRPr="006A7578">
              <w:rPr>
                <w:iCs/>
              </w:rPr>
              <w:t>Added a method and value sets to identify nonacute inpatient admissions for optional exclusions.</w:t>
            </w:r>
          </w:p>
          <w:p w14:paraId="44CCCEF3" w14:textId="24D930A8" w:rsidR="00463667" w:rsidRPr="00DF1884" w:rsidRDefault="006A7578" w:rsidP="006A7578">
            <w:pPr>
              <w:pStyle w:val="TableBullet"/>
              <w:rPr>
                <w:iCs/>
              </w:rPr>
            </w:pPr>
            <w:r w:rsidRPr="006A7578">
              <w:rPr>
                <w:iCs/>
              </w:rPr>
              <w:t xml:space="preserve">Added a </w:t>
            </w:r>
            <w:r w:rsidRPr="006A7578">
              <w:rPr>
                <w:i/>
                <w:iCs/>
              </w:rPr>
              <w:t xml:space="preserve">Note </w:t>
            </w:r>
            <w:r w:rsidRPr="006A7578">
              <w:rPr>
                <w:iCs/>
              </w:rPr>
              <w:t xml:space="preserve">to clarify when organizations may change the diabetes flag that was assigned based on administrative data. </w:t>
            </w:r>
          </w:p>
        </w:tc>
      </w:tr>
    </w:tbl>
    <w:p w14:paraId="2897CC88" w14:textId="77777777" w:rsidR="00904532" w:rsidRDefault="00904532">
      <w:pPr>
        <w:sectPr w:rsidR="00904532" w:rsidSect="0039781B">
          <w:pgSz w:w="15840" w:h="12240" w:orient="landscape" w:code="1"/>
          <w:pgMar w:top="1080" w:right="1080" w:bottom="1080" w:left="1440" w:header="720" w:footer="720" w:gutter="0"/>
          <w:cols w:space="720"/>
        </w:sectPr>
      </w:pPr>
    </w:p>
    <w:p w14:paraId="7731DF5F" w14:textId="0796891F" w:rsidR="00463667" w:rsidRPr="00DF1884" w:rsidRDefault="00463667" w:rsidP="00463667">
      <w:pPr>
        <w:pStyle w:val="TableHeadNotCondensed"/>
        <w:spacing w:before="0"/>
      </w:pPr>
      <w:r w:rsidRPr="00DF1884">
        <w:lastRenderedPageBreak/>
        <w:t>HEDIS</w:t>
      </w:r>
      <w:r w:rsidR="00DF1884" w:rsidRPr="00DF1884">
        <w:t xml:space="preserve"> </w:t>
      </w:r>
      <w:r w:rsidR="00442111" w:rsidRPr="00DF1884">
        <w:rPr>
          <w:iCs/>
        </w:rPr>
        <w:t>2016</w:t>
      </w:r>
      <w:r w:rsidR="00DF1884" w:rsidRPr="00DF1884">
        <w:t xml:space="preserve"> </w:t>
      </w:r>
      <w:r w:rsidRPr="00DF1884">
        <w:t>Summary</w:t>
      </w:r>
      <w:r w:rsidR="00DF1884" w:rsidRPr="00DF1884">
        <w:t xml:space="preserve"> </w:t>
      </w:r>
      <w:r w:rsidRPr="00DF1884">
        <w:t>Table</w:t>
      </w:r>
      <w:r w:rsidR="00DF1884" w:rsidRPr="00DF1884">
        <w:t xml:space="preserve"> </w:t>
      </w:r>
      <w:r w:rsidRPr="00DF1884">
        <w:t>of</w:t>
      </w:r>
      <w:r w:rsidR="00DF1884" w:rsidRPr="00DF1884">
        <w:t xml:space="preserve"> </w:t>
      </w:r>
      <w:r w:rsidRPr="00DF1884">
        <w:t>Measures,</w:t>
      </w:r>
      <w:r w:rsidR="00DF1884" w:rsidRPr="00DF1884">
        <w:t xml:space="preserve"> </w:t>
      </w:r>
      <w:r w:rsidRPr="00DF1884">
        <w:t>Product</w:t>
      </w:r>
      <w:r w:rsidR="00DF1884" w:rsidRPr="00DF1884">
        <w:t xml:space="preserve"> </w:t>
      </w:r>
      <w:r w:rsidRPr="00DF1884">
        <w:t>Lines</w:t>
      </w:r>
      <w:r w:rsidR="00DF1884" w:rsidRPr="00DF1884">
        <w:t xml:space="preserve"> </w:t>
      </w:r>
      <w:r w:rsidRPr="00DF1884">
        <w:t>and</w:t>
      </w:r>
      <w:r w:rsidR="00DF1884" w:rsidRPr="00DF1884">
        <w:t xml:space="preserve"> </w:t>
      </w:r>
      <w:r w:rsidRPr="00DF1884">
        <w:t>Changes</w:t>
      </w:r>
      <w:r w:rsidR="00DF1884" w:rsidRPr="00DF1884">
        <w:t xml:space="preserve"> </w:t>
      </w:r>
      <w:r w:rsidRPr="00DF1884">
        <w:rPr>
          <w:i/>
          <w:sz w:val="20"/>
          <w:szCs w:val="20"/>
        </w:rPr>
        <w:t>(continued)</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260"/>
        <w:gridCol w:w="990"/>
        <w:gridCol w:w="1080"/>
        <w:gridCol w:w="7740"/>
      </w:tblGrid>
      <w:tr w:rsidR="00463667" w:rsidRPr="00DF1884" w14:paraId="45EF21B5" w14:textId="77777777" w:rsidTr="007D7E28">
        <w:trPr>
          <w:cantSplit/>
        </w:trPr>
        <w:tc>
          <w:tcPr>
            <w:tcW w:w="2250" w:type="dxa"/>
            <w:vMerge w:val="restart"/>
            <w:tcBorders>
              <w:top w:val="single" w:sz="4" w:space="0" w:color="auto"/>
              <w:left w:val="single" w:sz="4" w:space="0" w:color="auto"/>
              <w:bottom w:val="single" w:sz="4" w:space="0" w:color="auto"/>
              <w:right w:val="single" w:sz="4" w:space="0" w:color="FFFFFF"/>
            </w:tcBorders>
            <w:shd w:val="clear" w:color="auto" w:fill="000000"/>
            <w:vAlign w:val="bottom"/>
          </w:tcPr>
          <w:p w14:paraId="4F5335F9" w14:textId="16325CC1" w:rsidR="00463667" w:rsidRPr="00DF1884" w:rsidRDefault="00463667" w:rsidP="00C56CA6">
            <w:pPr>
              <w:pStyle w:val="TableHead"/>
              <w:rPr>
                <w:color w:val="auto"/>
              </w:rPr>
            </w:pPr>
            <w:r w:rsidRPr="00DF1884">
              <w:rPr>
                <w:color w:val="auto"/>
              </w:rPr>
              <w:t>HEDIS</w:t>
            </w:r>
            <w:r w:rsidR="00DF1884" w:rsidRPr="00DF1884">
              <w:rPr>
                <w:color w:val="auto"/>
              </w:rPr>
              <w:t xml:space="preserve"> </w:t>
            </w:r>
            <w:r w:rsidR="00442111" w:rsidRPr="00DF1884">
              <w:rPr>
                <w:color w:val="auto"/>
              </w:rPr>
              <w:t>2016</w:t>
            </w:r>
            <w:r w:rsidR="00DF1884" w:rsidRPr="00DF1884">
              <w:rPr>
                <w:color w:val="auto"/>
              </w:rPr>
              <w:t xml:space="preserve"> </w:t>
            </w:r>
            <w:r w:rsidRPr="00DF1884">
              <w:rPr>
                <w:color w:val="auto"/>
              </w:rPr>
              <w:t>Measures</w:t>
            </w:r>
          </w:p>
        </w:tc>
        <w:tc>
          <w:tcPr>
            <w:tcW w:w="3330" w:type="dxa"/>
            <w:gridSpan w:val="3"/>
            <w:tcBorders>
              <w:left w:val="nil"/>
              <w:bottom w:val="single" w:sz="4" w:space="0" w:color="FFFFFF"/>
              <w:right w:val="single" w:sz="4" w:space="0" w:color="FFFFFF"/>
            </w:tcBorders>
            <w:shd w:val="clear" w:color="auto" w:fill="000000"/>
          </w:tcPr>
          <w:p w14:paraId="464A720A" w14:textId="69DEC8A8" w:rsidR="00463667" w:rsidRPr="00DF1884" w:rsidRDefault="00463667" w:rsidP="00C56CA6">
            <w:pPr>
              <w:pStyle w:val="TableHead"/>
              <w:rPr>
                <w:color w:val="auto"/>
              </w:rPr>
            </w:pPr>
            <w:r w:rsidRPr="00DF1884">
              <w:rPr>
                <w:color w:val="auto"/>
              </w:rPr>
              <w:t>Applicable</w:t>
            </w:r>
            <w:r w:rsidR="00DF1884" w:rsidRPr="00DF1884">
              <w:rPr>
                <w:color w:val="auto"/>
              </w:rPr>
              <w:t xml:space="preserve"> </w:t>
            </w:r>
            <w:r w:rsidRPr="00DF1884">
              <w:rPr>
                <w:color w:val="auto"/>
              </w:rPr>
              <w:t>to:</w:t>
            </w:r>
          </w:p>
        </w:tc>
        <w:tc>
          <w:tcPr>
            <w:tcW w:w="7740" w:type="dxa"/>
            <w:vMerge w:val="restart"/>
            <w:tcBorders>
              <w:left w:val="nil"/>
              <w:bottom w:val="single" w:sz="4" w:space="0" w:color="auto"/>
            </w:tcBorders>
            <w:shd w:val="clear" w:color="auto" w:fill="000000"/>
            <w:vAlign w:val="bottom"/>
          </w:tcPr>
          <w:p w14:paraId="3105C8A5" w14:textId="6C059762" w:rsidR="00463667" w:rsidRPr="00DF1884" w:rsidRDefault="00463667" w:rsidP="00C56CA6">
            <w:pPr>
              <w:pStyle w:val="TableHead"/>
              <w:rPr>
                <w:color w:val="auto"/>
              </w:rPr>
            </w:pPr>
            <w:r w:rsidRPr="00DF1884">
              <w:rPr>
                <w:color w:val="auto"/>
              </w:rPr>
              <w:t>Changes</w:t>
            </w:r>
            <w:r w:rsidR="00DF1884" w:rsidRPr="00DF1884">
              <w:rPr>
                <w:color w:val="auto"/>
              </w:rPr>
              <w:t xml:space="preserve"> </w:t>
            </w:r>
            <w:r w:rsidRPr="00DF1884">
              <w:rPr>
                <w:color w:val="auto"/>
              </w:rPr>
              <w:t>to</w:t>
            </w:r>
            <w:r w:rsidR="00DF1884" w:rsidRPr="00DF1884">
              <w:rPr>
                <w:color w:val="auto"/>
              </w:rPr>
              <w:t xml:space="preserve"> </w:t>
            </w:r>
            <w:r w:rsidRPr="00DF1884">
              <w:rPr>
                <w:color w:val="auto"/>
              </w:rPr>
              <w:t>HEDIS</w:t>
            </w:r>
            <w:r w:rsidR="00DF1884" w:rsidRPr="00DF1884">
              <w:rPr>
                <w:color w:val="auto"/>
              </w:rPr>
              <w:t xml:space="preserve"> </w:t>
            </w:r>
            <w:r w:rsidR="00442111" w:rsidRPr="00DF1884">
              <w:rPr>
                <w:color w:val="auto"/>
              </w:rPr>
              <w:t>2016</w:t>
            </w:r>
          </w:p>
        </w:tc>
      </w:tr>
      <w:tr w:rsidR="00463667" w:rsidRPr="00DF1884" w14:paraId="2C2C8F5A" w14:textId="77777777" w:rsidTr="007D7E28">
        <w:trPr>
          <w:cantSplit/>
        </w:trPr>
        <w:tc>
          <w:tcPr>
            <w:tcW w:w="2250" w:type="dxa"/>
            <w:vMerge/>
            <w:tcBorders>
              <w:top w:val="nil"/>
              <w:left w:val="single" w:sz="4" w:space="0" w:color="auto"/>
              <w:bottom w:val="nil"/>
              <w:right w:val="single" w:sz="4" w:space="0" w:color="FFFFFF"/>
            </w:tcBorders>
          </w:tcPr>
          <w:p w14:paraId="01ECE656" w14:textId="77777777" w:rsidR="00463667" w:rsidRPr="00DF1884" w:rsidRDefault="00463667" w:rsidP="00C56CA6">
            <w:pPr>
              <w:pStyle w:val="TableHead"/>
              <w:rPr>
                <w:color w:val="auto"/>
              </w:rPr>
            </w:pPr>
          </w:p>
        </w:tc>
        <w:tc>
          <w:tcPr>
            <w:tcW w:w="1260" w:type="dxa"/>
            <w:tcBorders>
              <w:top w:val="nil"/>
              <w:left w:val="nil"/>
              <w:bottom w:val="nil"/>
              <w:right w:val="single" w:sz="4" w:space="0" w:color="FFFFFF"/>
            </w:tcBorders>
            <w:shd w:val="clear" w:color="auto" w:fill="000000"/>
          </w:tcPr>
          <w:p w14:paraId="784D32F4" w14:textId="77777777" w:rsidR="00463667" w:rsidRPr="00DF1884" w:rsidRDefault="00463667" w:rsidP="00C56CA6">
            <w:pPr>
              <w:pStyle w:val="TableHead"/>
              <w:rPr>
                <w:color w:val="auto"/>
              </w:rPr>
            </w:pPr>
            <w:r w:rsidRPr="00DF1884">
              <w:rPr>
                <w:color w:val="auto"/>
              </w:rPr>
              <w:t>Commercial</w:t>
            </w:r>
          </w:p>
        </w:tc>
        <w:tc>
          <w:tcPr>
            <w:tcW w:w="990" w:type="dxa"/>
            <w:tcBorders>
              <w:top w:val="nil"/>
              <w:left w:val="nil"/>
              <w:bottom w:val="nil"/>
              <w:right w:val="single" w:sz="4" w:space="0" w:color="FFFFFF"/>
            </w:tcBorders>
            <w:shd w:val="clear" w:color="auto" w:fill="000000"/>
          </w:tcPr>
          <w:p w14:paraId="44A89FF2" w14:textId="77777777" w:rsidR="00463667" w:rsidRPr="00DF1884" w:rsidRDefault="00463667" w:rsidP="00C56CA6">
            <w:pPr>
              <w:pStyle w:val="TableHead"/>
              <w:rPr>
                <w:color w:val="auto"/>
              </w:rPr>
            </w:pPr>
            <w:r w:rsidRPr="00DF1884">
              <w:rPr>
                <w:color w:val="auto"/>
              </w:rPr>
              <w:t>Medicaid</w:t>
            </w:r>
          </w:p>
        </w:tc>
        <w:tc>
          <w:tcPr>
            <w:tcW w:w="1080" w:type="dxa"/>
            <w:tcBorders>
              <w:top w:val="nil"/>
              <w:left w:val="nil"/>
              <w:bottom w:val="nil"/>
              <w:right w:val="single" w:sz="4" w:space="0" w:color="FFFFFF"/>
            </w:tcBorders>
            <w:shd w:val="clear" w:color="auto" w:fill="000000"/>
          </w:tcPr>
          <w:p w14:paraId="140CE7A6" w14:textId="77777777" w:rsidR="00463667" w:rsidRPr="00DF1884" w:rsidRDefault="00463667" w:rsidP="00C56CA6">
            <w:pPr>
              <w:pStyle w:val="TableHead"/>
              <w:rPr>
                <w:color w:val="auto"/>
              </w:rPr>
            </w:pPr>
            <w:r w:rsidRPr="00DF1884">
              <w:rPr>
                <w:color w:val="auto"/>
              </w:rPr>
              <w:t>Medicare</w:t>
            </w:r>
          </w:p>
        </w:tc>
        <w:tc>
          <w:tcPr>
            <w:tcW w:w="7740" w:type="dxa"/>
            <w:vMerge/>
            <w:tcBorders>
              <w:top w:val="nil"/>
              <w:left w:val="nil"/>
              <w:bottom w:val="nil"/>
            </w:tcBorders>
            <w:vAlign w:val="bottom"/>
          </w:tcPr>
          <w:p w14:paraId="4E1F91E3" w14:textId="77777777" w:rsidR="00463667" w:rsidRPr="00DF1884" w:rsidRDefault="00463667" w:rsidP="00C56CA6">
            <w:pPr>
              <w:pStyle w:val="TableHead2"/>
              <w:rPr>
                <w:color w:val="auto"/>
              </w:rPr>
            </w:pPr>
          </w:p>
        </w:tc>
      </w:tr>
      <w:tr w:rsidR="00463667" w:rsidRPr="00904532" w14:paraId="1FB2D937" w14:textId="77777777" w:rsidTr="007D7E28">
        <w:tc>
          <w:tcPr>
            <w:tcW w:w="13320" w:type="dxa"/>
            <w:gridSpan w:val="5"/>
            <w:tcBorders>
              <w:bottom w:val="nil"/>
            </w:tcBorders>
            <w:shd w:val="clear" w:color="auto" w:fill="C0C0C0"/>
          </w:tcPr>
          <w:p w14:paraId="44843A06" w14:textId="10A64F1F" w:rsidR="00463667" w:rsidRPr="00904532" w:rsidRDefault="00904532" w:rsidP="00904532">
            <w:pPr>
              <w:pStyle w:val="TableText2"/>
              <w:jc w:val="center"/>
              <w:rPr>
                <w:b/>
                <w:snapToGrid w:val="0"/>
                <w:sz w:val="20"/>
                <w:szCs w:val="20"/>
              </w:rPr>
            </w:pPr>
            <w:r w:rsidRPr="00904532">
              <w:rPr>
                <w:b/>
                <w:snapToGrid w:val="0"/>
                <w:sz w:val="20"/>
                <w:szCs w:val="20"/>
              </w:rPr>
              <w:t>EFFECTIVENESS OF CARE</w:t>
            </w:r>
          </w:p>
        </w:tc>
      </w:tr>
      <w:tr w:rsidR="00904532" w:rsidRPr="00DF1884" w14:paraId="7DDA21E5" w14:textId="77777777" w:rsidTr="007D7E28">
        <w:tc>
          <w:tcPr>
            <w:tcW w:w="2250" w:type="dxa"/>
          </w:tcPr>
          <w:p w14:paraId="4FA9AB31" w14:textId="15611376" w:rsidR="00904532" w:rsidRPr="00DF1884" w:rsidRDefault="00904532" w:rsidP="00904532">
            <w:pPr>
              <w:pStyle w:val="TableText"/>
            </w:pPr>
            <w:r w:rsidRPr="00DF1884">
              <w:t>Persistence of Beta-Blocker Treatment After a Heart Attack</w:t>
            </w:r>
          </w:p>
        </w:tc>
        <w:tc>
          <w:tcPr>
            <w:tcW w:w="1260" w:type="dxa"/>
          </w:tcPr>
          <w:p w14:paraId="3B19683E" w14:textId="48345A91" w:rsidR="00904532" w:rsidRPr="00DF1884" w:rsidRDefault="00904532" w:rsidP="00904532">
            <w:pPr>
              <w:pStyle w:val="TableText"/>
              <w:jc w:val="center"/>
              <w:rPr>
                <w:rFonts w:cs="Arial"/>
                <w:sz w:val="24"/>
              </w:rPr>
            </w:pPr>
            <w:r w:rsidRPr="00DF1884">
              <w:rPr>
                <w:rFonts w:cs="Arial"/>
                <w:sz w:val="24"/>
              </w:rPr>
              <w:sym w:font="Wingdings" w:char="F0FC"/>
            </w:r>
          </w:p>
        </w:tc>
        <w:tc>
          <w:tcPr>
            <w:tcW w:w="990" w:type="dxa"/>
          </w:tcPr>
          <w:p w14:paraId="58C0EC83" w14:textId="1B834CEC" w:rsidR="00904532" w:rsidRPr="00DF1884" w:rsidRDefault="00904532" w:rsidP="00904532">
            <w:pPr>
              <w:pStyle w:val="TableText"/>
              <w:jc w:val="center"/>
              <w:rPr>
                <w:rFonts w:cs="Arial"/>
                <w:sz w:val="24"/>
              </w:rPr>
            </w:pPr>
            <w:r w:rsidRPr="00DF1884">
              <w:rPr>
                <w:rFonts w:cs="Arial"/>
                <w:sz w:val="24"/>
              </w:rPr>
              <w:sym w:font="Wingdings" w:char="F0FC"/>
            </w:r>
          </w:p>
        </w:tc>
        <w:tc>
          <w:tcPr>
            <w:tcW w:w="1080" w:type="dxa"/>
          </w:tcPr>
          <w:p w14:paraId="7C3E3D32" w14:textId="172ACC9C" w:rsidR="00904532" w:rsidRPr="00DF1884" w:rsidRDefault="00904532" w:rsidP="00904532">
            <w:pPr>
              <w:pStyle w:val="TableText"/>
              <w:jc w:val="center"/>
              <w:rPr>
                <w:rFonts w:cs="Arial"/>
                <w:sz w:val="24"/>
              </w:rPr>
            </w:pPr>
            <w:r w:rsidRPr="00DF1884">
              <w:rPr>
                <w:rFonts w:cs="Arial"/>
                <w:sz w:val="24"/>
              </w:rPr>
              <w:sym w:font="Wingdings" w:char="F0FC"/>
            </w:r>
          </w:p>
        </w:tc>
        <w:tc>
          <w:tcPr>
            <w:tcW w:w="7740" w:type="dxa"/>
            <w:tcBorders>
              <w:top w:val="single" w:sz="4" w:space="0" w:color="auto"/>
              <w:bottom w:val="single" w:sz="4" w:space="0" w:color="auto"/>
              <w:right w:val="single" w:sz="6" w:space="0" w:color="auto"/>
            </w:tcBorders>
          </w:tcPr>
          <w:p w14:paraId="5FF82C1A" w14:textId="77777777" w:rsidR="00904532" w:rsidRPr="00002D28" w:rsidRDefault="00904532" w:rsidP="00904532">
            <w:pPr>
              <w:pStyle w:val="TableBullet"/>
              <w:rPr>
                <w:i/>
              </w:rPr>
            </w:pPr>
            <w:r>
              <w:t>Added a method and value sets to identify acute inpatient discharges and transfer setting (acute or nonacute inpatient) for the event/diagnosis.</w:t>
            </w:r>
          </w:p>
          <w:p w14:paraId="7ABE9EAC" w14:textId="4EC0BA76" w:rsidR="00904532" w:rsidRDefault="00904532" w:rsidP="00904532">
            <w:pPr>
              <w:pStyle w:val="TableBullet"/>
            </w:pPr>
            <w:r>
              <w:t xml:space="preserve">Added “Numerator events by supplemental data” to the Data Elements for Reporting table to capture the number of members who met numerator criteria using supplemental data. </w:t>
            </w:r>
          </w:p>
        </w:tc>
      </w:tr>
      <w:tr w:rsidR="00904532" w:rsidRPr="00DF1884" w14:paraId="1E6F3E6D" w14:textId="77777777" w:rsidTr="007D7E28">
        <w:tc>
          <w:tcPr>
            <w:tcW w:w="2250" w:type="dxa"/>
          </w:tcPr>
          <w:p w14:paraId="3E4AB422" w14:textId="52BE129D" w:rsidR="00904532" w:rsidRPr="00DF1884" w:rsidRDefault="00904532" w:rsidP="00904532">
            <w:pPr>
              <w:pStyle w:val="TableText"/>
            </w:pPr>
            <w:r>
              <w:t>Statin Therapy for Patients With Cardiovascular Disease</w:t>
            </w:r>
          </w:p>
        </w:tc>
        <w:tc>
          <w:tcPr>
            <w:tcW w:w="1260" w:type="dxa"/>
          </w:tcPr>
          <w:p w14:paraId="52ED4003" w14:textId="60DCF164" w:rsidR="00904532" w:rsidRPr="00DF1884" w:rsidRDefault="00904532" w:rsidP="00904532">
            <w:pPr>
              <w:pStyle w:val="TableText"/>
              <w:jc w:val="center"/>
              <w:rPr>
                <w:rFonts w:cs="Arial"/>
                <w:sz w:val="24"/>
              </w:rPr>
            </w:pPr>
            <w:r w:rsidRPr="000A196C">
              <w:rPr>
                <w:rFonts w:cs="Arial"/>
                <w:sz w:val="24"/>
              </w:rPr>
              <w:sym w:font="Wingdings" w:char="F0FC"/>
            </w:r>
          </w:p>
        </w:tc>
        <w:tc>
          <w:tcPr>
            <w:tcW w:w="990" w:type="dxa"/>
          </w:tcPr>
          <w:p w14:paraId="72BD8DC0" w14:textId="172579CC" w:rsidR="00904532" w:rsidRPr="00DF1884" w:rsidRDefault="00904532" w:rsidP="00904532">
            <w:pPr>
              <w:pStyle w:val="TableText"/>
              <w:jc w:val="center"/>
              <w:rPr>
                <w:rFonts w:cs="Arial"/>
                <w:sz w:val="24"/>
              </w:rPr>
            </w:pPr>
            <w:r w:rsidRPr="000A196C">
              <w:rPr>
                <w:rFonts w:cs="Arial"/>
                <w:sz w:val="24"/>
              </w:rPr>
              <w:sym w:font="Wingdings" w:char="F0FC"/>
            </w:r>
          </w:p>
        </w:tc>
        <w:tc>
          <w:tcPr>
            <w:tcW w:w="1080" w:type="dxa"/>
          </w:tcPr>
          <w:p w14:paraId="6CF3F6B5" w14:textId="13BE533D" w:rsidR="00904532" w:rsidRPr="00DF1884" w:rsidRDefault="00904532" w:rsidP="00904532">
            <w:pPr>
              <w:pStyle w:val="TableText"/>
              <w:jc w:val="center"/>
              <w:rPr>
                <w:rFonts w:cs="Arial"/>
                <w:sz w:val="24"/>
              </w:rPr>
            </w:pPr>
            <w:r w:rsidRPr="000A196C">
              <w:rPr>
                <w:rFonts w:cs="Arial"/>
                <w:sz w:val="24"/>
              </w:rPr>
              <w:sym w:font="Wingdings" w:char="F0FC"/>
            </w:r>
          </w:p>
        </w:tc>
        <w:tc>
          <w:tcPr>
            <w:tcW w:w="7740" w:type="dxa"/>
            <w:tcBorders>
              <w:top w:val="single" w:sz="4" w:space="0" w:color="auto"/>
              <w:bottom w:val="single" w:sz="4" w:space="0" w:color="auto"/>
              <w:right w:val="single" w:sz="6" w:space="0" w:color="auto"/>
            </w:tcBorders>
          </w:tcPr>
          <w:p w14:paraId="664C769C" w14:textId="078C139F" w:rsidR="00904532" w:rsidRDefault="00904532" w:rsidP="00904532">
            <w:pPr>
              <w:pStyle w:val="TableBullet"/>
            </w:pPr>
            <w:r>
              <w:rPr>
                <w:iCs/>
              </w:rPr>
              <w:t>First-year measure.</w:t>
            </w:r>
          </w:p>
        </w:tc>
      </w:tr>
      <w:tr w:rsidR="00904532" w:rsidRPr="00DF1884" w14:paraId="60A6EFC9" w14:textId="77777777" w:rsidTr="007D7E28">
        <w:tc>
          <w:tcPr>
            <w:tcW w:w="2250" w:type="dxa"/>
          </w:tcPr>
          <w:p w14:paraId="2B43CF13" w14:textId="356BD424" w:rsidR="00904532" w:rsidRPr="00DF1884" w:rsidRDefault="00904532" w:rsidP="00904532">
            <w:pPr>
              <w:pStyle w:val="TableText"/>
            </w:pPr>
            <w:r w:rsidRPr="00DF1884">
              <w:t>Comprehensive Diabetes Care</w:t>
            </w:r>
          </w:p>
        </w:tc>
        <w:tc>
          <w:tcPr>
            <w:tcW w:w="1260" w:type="dxa"/>
          </w:tcPr>
          <w:p w14:paraId="636BD94D" w14:textId="77777777" w:rsidR="00904532" w:rsidRPr="00DF1884" w:rsidRDefault="00904532" w:rsidP="00904532">
            <w:pPr>
              <w:pStyle w:val="TableText"/>
              <w:jc w:val="center"/>
              <w:rPr>
                <w:rFonts w:cs="Arial"/>
                <w:sz w:val="24"/>
              </w:rPr>
            </w:pPr>
            <w:r w:rsidRPr="00DF1884">
              <w:rPr>
                <w:rFonts w:cs="Arial"/>
                <w:sz w:val="24"/>
              </w:rPr>
              <w:sym w:font="Wingdings" w:char="F0FC"/>
            </w:r>
          </w:p>
        </w:tc>
        <w:tc>
          <w:tcPr>
            <w:tcW w:w="990" w:type="dxa"/>
          </w:tcPr>
          <w:p w14:paraId="3B7C512A" w14:textId="77777777" w:rsidR="00904532" w:rsidRPr="00DF1884" w:rsidRDefault="00904532" w:rsidP="00904532">
            <w:pPr>
              <w:pStyle w:val="TableText"/>
              <w:jc w:val="center"/>
              <w:rPr>
                <w:rFonts w:cs="Arial"/>
                <w:sz w:val="24"/>
              </w:rPr>
            </w:pPr>
            <w:r w:rsidRPr="00DF1884">
              <w:rPr>
                <w:rFonts w:cs="Arial"/>
                <w:sz w:val="24"/>
              </w:rPr>
              <w:sym w:font="Wingdings" w:char="F0FC"/>
            </w:r>
          </w:p>
        </w:tc>
        <w:tc>
          <w:tcPr>
            <w:tcW w:w="1080" w:type="dxa"/>
          </w:tcPr>
          <w:p w14:paraId="2B428B34" w14:textId="77777777" w:rsidR="00904532" w:rsidRPr="00DF1884" w:rsidRDefault="00904532" w:rsidP="00904532">
            <w:pPr>
              <w:pStyle w:val="TableText"/>
              <w:jc w:val="center"/>
              <w:rPr>
                <w:rFonts w:cs="Arial"/>
                <w:sz w:val="24"/>
              </w:rPr>
            </w:pPr>
            <w:r w:rsidRPr="00DF1884">
              <w:rPr>
                <w:rFonts w:cs="Arial"/>
                <w:sz w:val="24"/>
              </w:rPr>
              <w:sym w:font="Wingdings" w:char="F0FC"/>
            </w:r>
          </w:p>
        </w:tc>
        <w:tc>
          <w:tcPr>
            <w:tcW w:w="7740" w:type="dxa"/>
            <w:tcBorders>
              <w:top w:val="single" w:sz="4" w:space="0" w:color="auto"/>
              <w:bottom w:val="single" w:sz="4" w:space="0" w:color="auto"/>
              <w:right w:val="single" w:sz="6" w:space="0" w:color="auto"/>
            </w:tcBorders>
          </w:tcPr>
          <w:p w14:paraId="373B96CB" w14:textId="77777777" w:rsidR="00904532" w:rsidRPr="00866766" w:rsidRDefault="00904532" w:rsidP="00904532">
            <w:pPr>
              <w:pStyle w:val="TableBullet"/>
              <w:rPr>
                <w:i/>
              </w:rPr>
            </w:pPr>
            <w:r>
              <w:t xml:space="preserve">Added a method and value sets to identify discharges for the applicable required exclusions for the </w:t>
            </w:r>
            <w:r>
              <w:rPr>
                <w:i/>
              </w:rPr>
              <w:t>HbA1c Control (&lt;7.0%) for a Selected P</w:t>
            </w:r>
            <w:r w:rsidRPr="00866766">
              <w:rPr>
                <w:i/>
              </w:rPr>
              <w:t xml:space="preserve">opulation </w:t>
            </w:r>
            <w:r>
              <w:t>indicator.</w:t>
            </w:r>
          </w:p>
          <w:p w14:paraId="0414B31B" w14:textId="77777777" w:rsidR="00904532" w:rsidRPr="002C18E2" w:rsidRDefault="00904532" w:rsidP="00904532">
            <w:pPr>
              <w:pStyle w:val="TableBullet"/>
              <w:rPr>
                <w:i/>
                <w:iCs/>
              </w:rPr>
            </w:pPr>
            <w:r w:rsidRPr="340E3474">
              <w:t xml:space="preserve">Revised the requirements for urine protein testing for the </w:t>
            </w:r>
            <w:r w:rsidRPr="340E3474">
              <w:rPr>
                <w:i/>
                <w:iCs/>
              </w:rPr>
              <w:t xml:space="preserve">Medical Attention for Nephropathy </w:t>
            </w:r>
            <w:r w:rsidRPr="340E3474">
              <w:t>indicator; a screening or monitoring test meets criteria, whether the result is positive or negative.</w:t>
            </w:r>
          </w:p>
          <w:p w14:paraId="2927BF9E" w14:textId="77777777" w:rsidR="00904532" w:rsidRPr="0078262E" w:rsidRDefault="00904532" w:rsidP="00904532">
            <w:pPr>
              <w:pStyle w:val="TableBullet"/>
              <w:rPr>
                <w:i/>
                <w:iCs/>
              </w:rPr>
            </w:pPr>
            <w:r w:rsidRPr="530BC1D6">
              <w:t>Removed the optional exclusion for polycystic ovaries.</w:t>
            </w:r>
          </w:p>
          <w:p w14:paraId="74EEDBB3" w14:textId="77777777" w:rsidR="00904532" w:rsidRPr="00EB00B0" w:rsidRDefault="00904532" w:rsidP="00904532">
            <w:pPr>
              <w:pStyle w:val="TableBullet"/>
              <w:rPr>
                <w:i/>
                <w:iCs/>
              </w:rPr>
            </w:pPr>
            <w:r>
              <w:t xml:space="preserve">Added a </w:t>
            </w:r>
            <w:r w:rsidRPr="00775B11">
              <w:rPr>
                <w:i/>
              </w:rPr>
              <w:t>Note</w:t>
            </w:r>
            <w:r>
              <w:t xml:space="preserve"> clarifying optional exclusions.</w:t>
            </w:r>
          </w:p>
          <w:p w14:paraId="0559C9FF" w14:textId="259B3F50" w:rsidR="00904532" w:rsidRPr="00DF1884" w:rsidRDefault="00904532" w:rsidP="00904532">
            <w:pPr>
              <w:pStyle w:val="TableBullet"/>
            </w:pPr>
            <w:r>
              <w:t xml:space="preserve">Added “Numerator events by supplemental data” to the Data Elements for Reporting table to capture the number of members who met numerator criteria using supplemental data. </w:t>
            </w:r>
          </w:p>
        </w:tc>
      </w:tr>
      <w:tr w:rsidR="00904532" w:rsidRPr="00DF1884" w14:paraId="54E47F2C" w14:textId="77777777" w:rsidTr="007D7E28">
        <w:tc>
          <w:tcPr>
            <w:tcW w:w="2250" w:type="dxa"/>
          </w:tcPr>
          <w:p w14:paraId="2D10BCE1" w14:textId="5CEFABFA" w:rsidR="00904532" w:rsidRPr="00DF1884" w:rsidRDefault="00904532" w:rsidP="00904532">
            <w:pPr>
              <w:pStyle w:val="TableText"/>
            </w:pPr>
            <w:r>
              <w:t>Statin Therapy for Patients With Diabetes</w:t>
            </w:r>
          </w:p>
        </w:tc>
        <w:tc>
          <w:tcPr>
            <w:tcW w:w="1260" w:type="dxa"/>
          </w:tcPr>
          <w:p w14:paraId="762AD28F" w14:textId="40347691" w:rsidR="00904532" w:rsidRPr="00DF1884" w:rsidRDefault="00904532" w:rsidP="00904532">
            <w:pPr>
              <w:pStyle w:val="TableText"/>
              <w:jc w:val="center"/>
              <w:rPr>
                <w:rFonts w:cs="Arial"/>
                <w:sz w:val="24"/>
              </w:rPr>
            </w:pPr>
            <w:r w:rsidRPr="00DF1884">
              <w:rPr>
                <w:rFonts w:cs="Arial"/>
                <w:sz w:val="24"/>
              </w:rPr>
              <w:sym w:font="Wingdings" w:char="F0FC"/>
            </w:r>
          </w:p>
        </w:tc>
        <w:tc>
          <w:tcPr>
            <w:tcW w:w="990" w:type="dxa"/>
          </w:tcPr>
          <w:p w14:paraId="63DCBB72" w14:textId="37B567A7" w:rsidR="00904532" w:rsidRPr="00DF1884" w:rsidRDefault="00904532" w:rsidP="00904532">
            <w:pPr>
              <w:pStyle w:val="TableText"/>
              <w:jc w:val="center"/>
              <w:rPr>
                <w:rFonts w:cs="Arial"/>
                <w:sz w:val="24"/>
              </w:rPr>
            </w:pPr>
            <w:r w:rsidRPr="00DF1884">
              <w:rPr>
                <w:rFonts w:cs="Arial"/>
                <w:sz w:val="24"/>
              </w:rPr>
              <w:sym w:font="Wingdings" w:char="F0FC"/>
            </w:r>
          </w:p>
        </w:tc>
        <w:tc>
          <w:tcPr>
            <w:tcW w:w="1080" w:type="dxa"/>
          </w:tcPr>
          <w:p w14:paraId="260FFC3A" w14:textId="45563661" w:rsidR="00904532" w:rsidRPr="00DF1884" w:rsidRDefault="00904532" w:rsidP="00904532">
            <w:pPr>
              <w:pStyle w:val="TableText"/>
              <w:jc w:val="center"/>
              <w:rPr>
                <w:rFonts w:cs="Arial"/>
                <w:sz w:val="24"/>
              </w:rPr>
            </w:pPr>
            <w:r w:rsidRPr="00DF1884">
              <w:rPr>
                <w:rFonts w:cs="Arial"/>
                <w:sz w:val="24"/>
              </w:rPr>
              <w:sym w:font="Wingdings" w:char="F0FC"/>
            </w:r>
          </w:p>
        </w:tc>
        <w:tc>
          <w:tcPr>
            <w:tcW w:w="7740" w:type="dxa"/>
            <w:tcBorders>
              <w:top w:val="single" w:sz="4" w:space="0" w:color="auto"/>
              <w:bottom w:val="single" w:sz="4" w:space="0" w:color="auto"/>
              <w:right w:val="single" w:sz="6" w:space="0" w:color="auto"/>
            </w:tcBorders>
          </w:tcPr>
          <w:p w14:paraId="4E4C018E" w14:textId="71A56C5C" w:rsidR="00904532" w:rsidRPr="00DF1884" w:rsidRDefault="00904532" w:rsidP="00904532">
            <w:pPr>
              <w:pStyle w:val="TableBullet"/>
              <w:rPr>
                <w:i/>
                <w:iCs/>
              </w:rPr>
            </w:pPr>
            <w:r>
              <w:rPr>
                <w:iCs/>
              </w:rPr>
              <w:t>First-year measure.</w:t>
            </w:r>
          </w:p>
        </w:tc>
      </w:tr>
      <w:tr w:rsidR="00904532" w:rsidRPr="00DF1884" w14:paraId="6ECC53DF" w14:textId="77777777" w:rsidTr="007D7E28">
        <w:tc>
          <w:tcPr>
            <w:tcW w:w="2250" w:type="dxa"/>
            <w:tcBorders>
              <w:top w:val="single" w:sz="4" w:space="0" w:color="auto"/>
              <w:left w:val="single" w:sz="4" w:space="0" w:color="auto"/>
              <w:bottom w:val="single" w:sz="4" w:space="0" w:color="auto"/>
              <w:right w:val="single" w:sz="4" w:space="0" w:color="auto"/>
            </w:tcBorders>
          </w:tcPr>
          <w:p w14:paraId="7F49DC0A" w14:textId="164A4B2B" w:rsidR="00904532" w:rsidRPr="00DF1884" w:rsidRDefault="00904532" w:rsidP="00904532">
            <w:pPr>
              <w:pStyle w:val="TableText"/>
            </w:pPr>
            <w:r w:rsidRPr="00DF1884">
              <w:t>Disease-Modifying Anti-Rheumatic Drug Therapy for Rheumatoid Arthritis</w:t>
            </w:r>
          </w:p>
        </w:tc>
        <w:tc>
          <w:tcPr>
            <w:tcW w:w="1260" w:type="dxa"/>
            <w:tcBorders>
              <w:top w:val="single" w:sz="4" w:space="0" w:color="auto"/>
              <w:left w:val="single" w:sz="4" w:space="0" w:color="auto"/>
              <w:bottom w:val="single" w:sz="4" w:space="0" w:color="auto"/>
              <w:right w:val="single" w:sz="4" w:space="0" w:color="auto"/>
            </w:tcBorders>
          </w:tcPr>
          <w:p w14:paraId="4F8B6CA9" w14:textId="77777777" w:rsidR="00904532" w:rsidRPr="00DF1884" w:rsidRDefault="00904532" w:rsidP="00904532">
            <w:pPr>
              <w:pStyle w:val="TableText"/>
              <w:jc w:val="center"/>
              <w:rPr>
                <w:rFonts w:cs="Arial"/>
                <w:sz w:val="24"/>
              </w:rPr>
            </w:pPr>
            <w:r w:rsidRPr="00DF1884">
              <w:rPr>
                <w:rFonts w:cs="Arial"/>
                <w:sz w:val="24"/>
              </w:rPr>
              <w:sym w:font="Wingdings" w:char="F0FC"/>
            </w:r>
          </w:p>
        </w:tc>
        <w:tc>
          <w:tcPr>
            <w:tcW w:w="990" w:type="dxa"/>
            <w:tcBorders>
              <w:top w:val="single" w:sz="4" w:space="0" w:color="auto"/>
              <w:left w:val="single" w:sz="4" w:space="0" w:color="auto"/>
              <w:bottom w:val="single" w:sz="4" w:space="0" w:color="auto"/>
              <w:right w:val="single" w:sz="4" w:space="0" w:color="auto"/>
            </w:tcBorders>
          </w:tcPr>
          <w:p w14:paraId="32D46124" w14:textId="77777777" w:rsidR="00904532" w:rsidRPr="00DF1884" w:rsidRDefault="00904532" w:rsidP="00904532">
            <w:pPr>
              <w:pStyle w:val="TableText"/>
              <w:jc w:val="center"/>
              <w:rPr>
                <w:rFonts w:cs="Arial"/>
                <w:sz w:val="24"/>
              </w:rPr>
            </w:pPr>
            <w:r w:rsidRPr="00DF1884">
              <w:rPr>
                <w:rFonts w:cs="Arial"/>
                <w:sz w:val="24"/>
              </w:rPr>
              <w:sym w:font="Wingdings" w:char="F0FC"/>
            </w:r>
          </w:p>
        </w:tc>
        <w:tc>
          <w:tcPr>
            <w:tcW w:w="1080" w:type="dxa"/>
            <w:tcBorders>
              <w:top w:val="single" w:sz="4" w:space="0" w:color="auto"/>
              <w:left w:val="single" w:sz="4" w:space="0" w:color="auto"/>
              <w:bottom w:val="single" w:sz="4" w:space="0" w:color="auto"/>
              <w:right w:val="single" w:sz="4" w:space="0" w:color="auto"/>
            </w:tcBorders>
          </w:tcPr>
          <w:p w14:paraId="189F8270" w14:textId="77777777" w:rsidR="00904532" w:rsidRPr="00DF1884" w:rsidRDefault="00904532" w:rsidP="00904532">
            <w:pPr>
              <w:pStyle w:val="TableText"/>
              <w:jc w:val="center"/>
              <w:rPr>
                <w:rFonts w:cs="Arial"/>
                <w:sz w:val="24"/>
              </w:rPr>
            </w:pPr>
            <w:r w:rsidRPr="00DF1884">
              <w:rPr>
                <w:rFonts w:cs="Arial"/>
                <w:sz w:val="24"/>
              </w:rPr>
              <w:sym w:font="Wingdings" w:char="F0FC"/>
            </w:r>
          </w:p>
        </w:tc>
        <w:tc>
          <w:tcPr>
            <w:tcW w:w="7740" w:type="dxa"/>
            <w:tcBorders>
              <w:top w:val="single" w:sz="4" w:space="0" w:color="auto"/>
              <w:left w:val="single" w:sz="4" w:space="0" w:color="auto"/>
              <w:bottom w:val="single" w:sz="4" w:space="0" w:color="auto"/>
              <w:right w:val="single" w:sz="6" w:space="0" w:color="auto"/>
            </w:tcBorders>
          </w:tcPr>
          <w:p w14:paraId="2D3F253D" w14:textId="77777777" w:rsidR="00904532" w:rsidRPr="00002D28" w:rsidRDefault="00904532" w:rsidP="00904532">
            <w:pPr>
              <w:pStyle w:val="TableBullet"/>
              <w:rPr>
                <w:i/>
              </w:rPr>
            </w:pPr>
            <w:r>
              <w:t>Added a method and value sets to identify nonacute inpatient discharges for the event/diagnosis.</w:t>
            </w:r>
          </w:p>
          <w:p w14:paraId="3A5BCCCB" w14:textId="697CD829" w:rsidR="00904532" w:rsidRPr="00DF1884" w:rsidRDefault="00904532" w:rsidP="00904532">
            <w:pPr>
              <w:pStyle w:val="TableBullet"/>
            </w:pPr>
            <w:r>
              <w:t xml:space="preserve">Added “Numerator events by supplemental data” to the Data Elements for Reporting table to capture the number of members who met numerator criteria using supplemental data. </w:t>
            </w:r>
          </w:p>
        </w:tc>
      </w:tr>
      <w:tr w:rsidR="00904532" w:rsidRPr="00DF1884" w14:paraId="2B1A91E7" w14:textId="77777777" w:rsidTr="007D7E28">
        <w:tc>
          <w:tcPr>
            <w:tcW w:w="2250" w:type="dxa"/>
            <w:tcBorders>
              <w:top w:val="single" w:sz="4" w:space="0" w:color="auto"/>
              <w:left w:val="single" w:sz="4" w:space="0" w:color="auto"/>
              <w:bottom w:val="single" w:sz="4" w:space="0" w:color="auto"/>
              <w:right w:val="single" w:sz="4" w:space="0" w:color="auto"/>
            </w:tcBorders>
          </w:tcPr>
          <w:p w14:paraId="2FBA80D5" w14:textId="54E67575" w:rsidR="00904532" w:rsidRPr="00DF1884" w:rsidRDefault="00904532" w:rsidP="00904532">
            <w:pPr>
              <w:pStyle w:val="TableText"/>
            </w:pPr>
            <w:r w:rsidRPr="00DF1884">
              <w:t>Osteoporosis Management in Women Who Had a Fracture</w:t>
            </w:r>
          </w:p>
        </w:tc>
        <w:tc>
          <w:tcPr>
            <w:tcW w:w="1260" w:type="dxa"/>
            <w:tcBorders>
              <w:top w:val="single" w:sz="4" w:space="0" w:color="auto"/>
              <w:left w:val="single" w:sz="4" w:space="0" w:color="auto"/>
              <w:bottom w:val="single" w:sz="4" w:space="0" w:color="auto"/>
              <w:right w:val="single" w:sz="4" w:space="0" w:color="auto"/>
            </w:tcBorders>
          </w:tcPr>
          <w:p w14:paraId="20ED37BC" w14:textId="77777777" w:rsidR="00904532" w:rsidRPr="00DF1884" w:rsidRDefault="00904532" w:rsidP="00904532">
            <w:pPr>
              <w:pStyle w:val="TableText"/>
              <w:jc w:val="center"/>
              <w:rPr>
                <w:rFonts w:cs="Arial"/>
                <w:sz w:val="24"/>
              </w:rPr>
            </w:pPr>
          </w:p>
        </w:tc>
        <w:tc>
          <w:tcPr>
            <w:tcW w:w="990" w:type="dxa"/>
            <w:tcBorders>
              <w:top w:val="single" w:sz="4" w:space="0" w:color="auto"/>
              <w:left w:val="single" w:sz="4" w:space="0" w:color="auto"/>
              <w:bottom w:val="single" w:sz="4" w:space="0" w:color="auto"/>
              <w:right w:val="single" w:sz="4" w:space="0" w:color="auto"/>
            </w:tcBorders>
          </w:tcPr>
          <w:p w14:paraId="477FDE4B" w14:textId="77777777" w:rsidR="00904532" w:rsidRPr="00DF1884" w:rsidRDefault="00904532" w:rsidP="00904532">
            <w:pPr>
              <w:pStyle w:val="TableText"/>
              <w:jc w:val="center"/>
              <w:rPr>
                <w:rFonts w:cs="Arial"/>
                <w:sz w:val="24"/>
              </w:rPr>
            </w:pPr>
          </w:p>
        </w:tc>
        <w:tc>
          <w:tcPr>
            <w:tcW w:w="1080" w:type="dxa"/>
            <w:tcBorders>
              <w:top w:val="single" w:sz="4" w:space="0" w:color="auto"/>
              <w:left w:val="single" w:sz="4" w:space="0" w:color="auto"/>
              <w:bottom w:val="single" w:sz="4" w:space="0" w:color="auto"/>
              <w:right w:val="single" w:sz="4" w:space="0" w:color="auto"/>
            </w:tcBorders>
          </w:tcPr>
          <w:p w14:paraId="0F7FC987" w14:textId="77777777" w:rsidR="00904532" w:rsidRPr="00DF1884" w:rsidRDefault="00904532" w:rsidP="00904532">
            <w:pPr>
              <w:pStyle w:val="TableText"/>
              <w:jc w:val="center"/>
              <w:rPr>
                <w:rFonts w:cs="Arial"/>
                <w:sz w:val="24"/>
              </w:rPr>
            </w:pPr>
            <w:r w:rsidRPr="00DF1884">
              <w:rPr>
                <w:rFonts w:cs="Arial"/>
                <w:sz w:val="24"/>
              </w:rPr>
              <w:sym w:font="Wingdings" w:char="F0FC"/>
            </w:r>
          </w:p>
        </w:tc>
        <w:tc>
          <w:tcPr>
            <w:tcW w:w="7740" w:type="dxa"/>
            <w:tcBorders>
              <w:top w:val="single" w:sz="4" w:space="0" w:color="auto"/>
              <w:left w:val="single" w:sz="4" w:space="0" w:color="auto"/>
              <w:bottom w:val="single" w:sz="4" w:space="0" w:color="auto"/>
              <w:right w:val="single" w:sz="6" w:space="0" w:color="auto"/>
            </w:tcBorders>
          </w:tcPr>
          <w:p w14:paraId="6A6F7E14" w14:textId="77777777" w:rsidR="00904532" w:rsidRPr="00573857" w:rsidRDefault="00904532" w:rsidP="00904532">
            <w:pPr>
              <w:pStyle w:val="TableBullet"/>
              <w:rPr>
                <w:i/>
              </w:rPr>
            </w:pPr>
            <w:r>
              <w:t xml:space="preserve">Defined “active prescription.” </w:t>
            </w:r>
          </w:p>
          <w:p w14:paraId="5244C744" w14:textId="77777777" w:rsidR="00904532" w:rsidRPr="00002D28" w:rsidRDefault="00904532" w:rsidP="00904532">
            <w:pPr>
              <w:pStyle w:val="TableBullet"/>
              <w:rPr>
                <w:i/>
              </w:rPr>
            </w:pPr>
            <w:r>
              <w:t>Revised the method and value sets to identify acute and nonacute inpatient events for steps 1 and 2 of the event/diagnosis.</w:t>
            </w:r>
          </w:p>
          <w:p w14:paraId="339D5B2A" w14:textId="77777777" w:rsidR="00904532" w:rsidRPr="00EE0F3A" w:rsidRDefault="00904532" w:rsidP="00904532">
            <w:pPr>
              <w:pStyle w:val="TableBullet"/>
              <w:rPr>
                <w:i/>
              </w:rPr>
            </w:pPr>
            <w:r>
              <w:t xml:space="preserve">Clarified when to use admission or discharge dates when determining Negative Diagnosis History. </w:t>
            </w:r>
          </w:p>
          <w:p w14:paraId="36BF1D78" w14:textId="77777777" w:rsidR="00904532" w:rsidRPr="00BF5068" w:rsidRDefault="00904532" w:rsidP="00904532">
            <w:pPr>
              <w:pStyle w:val="TableBullet"/>
              <w:rPr>
                <w:i/>
              </w:rPr>
            </w:pPr>
            <w:r>
              <w:t xml:space="preserve">Clarified that bone mineral density tests that occur in an inpatient setting (either during an inpatient IESD or during the </w:t>
            </w:r>
            <w:r w:rsidRPr="00463667">
              <w:t>180-day (6-month) period after the IESD</w:t>
            </w:r>
            <w:r>
              <w:t xml:space="preserve">) meet numerator criteria. </w:t>
            </w:r>
          </w:p>
          <w:p w14:paraId="5CDA5BCF" w14:textId="77777777" w:rsidR="00904532" w:rsidRPr="00573857" w:rsidRDefault="00904532" w:rsidP="00904532">
            <w:pPr>
              <w:pStyle w:val="TableBullet"/>
              <w:rPr>
                <w:i/>
              </w:rPr>
            </w:pPr>
            <w:r>
              <w:t>Added long-acting osteoporosis therapy administered during an inpatient IESD to the numerator.</w:t>
            </w:r>
          </w:p>
          <w:p w14:paraId="36350556" w14:textId="2A4D375F" w:rsidR="00904532" w:rsidRPr="00DF1884" w:rsidRDefault="00904532" w:rsidP="00904532">
            <w:pPr>
              <w:pStyle w:val="TableBullet"/>
            </w:pPr>
            <w:r>
              <w:t xml:space="preserve">Added “Numerator events by supplemental data” to the Data Elements for Reporting table to capture the number of members who met numerator criteria using supplemental data. </w:t>
            </w:r>
          </w:p>
        </w:tc>
      </w:tr>
      <w:tr w:rsidR="00904532" w:rsidRPr="00DF1884" w14:paraId="1A3D8BDD" w14:textId="77777777" w:rsidTr="007D7E28">
        <w:tc>
          <w:tcPr>
            <w:tcW w:w="2250" w:type="dxa"/>
            <w:tcBorders>
              <w:top w:val="single" w:sz="4" w:space="0" w:color="auto"/>
              <w:left w:val="single" w:sz="4" w:space="0" w:color="auto"/>
              <w:bottom w:val="single" w:sz="4" w:space="0" w:color="auto"/>
              <w:right w:val="single" w:sz="4" w:space="0" w:color="auto"/>
            </w:tcBorders>
          </w:tcPr>
          <w:p w14:paraId="7095C334" w14:textId="620F923A" w:rsidR="00904532" w:rsidRPr="00DF1884" w:rsidRDefault="00904532" w:rsidP="00904532">
            <w:pPr>
              <w:pStyle w:val="TableText"/>
            </w:pPr>
            <w:r w:rsidRPr="00DF1884">
              <w:t>Antidepressant Medication Management</w:t>
            </w:r>
          </w:p>
        </w:tc>
        <w:tc>
          <w:tcPr>
            <w:tcW w:w="1260" w:type="dxa"/>
            <w:tcBorders>
              <w:top w:val="single" w:sz="4" w:space="0" w:color="auto"/>
              <w:left w:val="single" w:sz="4" w:space="0" w:color="auto"/>
              <w:bottom w:val="single" w:sz="4" w:space="0" w:color="auto"/>
              <w:right w:val="single" w:sz="4" w:space="0" w:color="auto"/>
            </w:tcBorders>
          </w:tcPr>
          <w:p w14:paraId="3C6E9F52" w14:textId="77777777" w:rsidR="00904532" w:rsidRPr="00DF1884" w:rsidRDefault="00904532" w:rsidP="00904532">
            <w:pPr>
              <w:pStyle w:val="TableText"/>
              <w:jc w:val="center"/>
              <w:rPr>
                <w:rFonts w:cs="Arial"/>
                <w:sz w:val="24"/>
              </w:rPr>
            </w:pPr>
            <w:r w:rsidRPr="00DF1884">
              <w:rPr>
                <w:rFonts w:cs="Arial"/>
                <w:sz w:val="24"/>
              </w:rPr>
              <w:sym w:font="Wingdings" w:char="F0FC"/>
            </w:r>
          </w:p>
        </w:tc>
        <w:tc>
          <w:tcPr>
            <w:tcW w:w="990" w:type="dxa"/>
            <w:tcBorders>
              <w:top w:val="single" w:sz="4" w:space="0" w:color="auto"/>
              <w:left w:val="single" w:sz="4" w:space="0" w:color="auto"/>
              <w:bottom w:val="single" w:sz="4" w:space="0" w:color="auto"/>
              <w:right w:val="single" w:sz="4" w:space="0" w:color="auto"/>
            </w:tcBorders>
          </w:tcPr>
          <w:p w14:paraId="7AE2E952" w14:textId="77777777" w:rsidR="00904532" w:rsidRPr="00DF1884" w:rsidRDefault="00904532" w:rsidP="00904532">
            <w:pPr>
              <w:pStyle w:val="TableText"/>
              <w:jc w:val="center"/>
              <w:rPr>
                <w:rFonts w:cs="Arial"/>
                <w:sz w:val="24"/>
              </w:rPr>
            </w:pPr>
            <w:r w:rsidRPr="00DF1884">
              <w:rPr>
                <w:rFonts w:cs="Arial"/>
                <w:sz w:val="24"/>
              </w:rPr>
              <w:sym w:font="Wingdings" w:char="F0FC"/>
            </w:r>
          </w:p>
        </w:tc>
        <w:tc>
          <w:tcPr>
            <w:tcW w:w="1080" w:type="dxa"/>
            <w:tcBorders>
              <w:top w:val="single" w:sz="4" w:space="0" w:color="auto"/>
              <w:left w:val="single" w:sz="4" w:space="0" w:color="auto"/>
              <w:bottom w:val="single" w:sz="4" w:space="0" w:color="auto"/>
              <w:right w:val="single" w:sz="4" w:space="0" w:color="auto"/>
            </w:tcBorders>
          </w:tcPr>
          <w:p w14:paraId="6E1DFB80" w14:textId="77777777" w:rsidR="00904532" w:rsidRPr="00DF1884" w:rsidRDefault="00904532" w:rsidP="00904532">
            <w:pPr>
              <w:pStyle w:val="TableText"/>
              <w:jc w:val="center"/>
              <w:rPr>
                <w:rFonts w:cs="Arial"/>
                <w:sz w:val="24"/>
              </w:rPr>
            </w:pPr>
            <w:r w:rsidRPr="00DF1884">
              <w:rPr>
                <w:rFonts w:cs="Arial"/>
                <w:sz w:val="24"/>
              </w:rPr>
              <w:sym w:font="Wingdings" w:char="F0FC"/>
            </w:r>
          </w:p>
        </w:tc>
        <w:tc>
          <w:tcPr>
            <w:tcW w:w="7740" w:type="dxa"/>
            <w:tcBorders>
              <w:top w:val="single" w:sz="4" w:space="0" w:color="auto"/>
              <w:left w:val="single" w:sz="4" w:space="0" w:color="auto"/>
              <w:bottom w:val="single" w:sz="4" w:space="0" w:color="auto"/>
              <w:right w:val="single" w:sz="6" w:space="0" w:color="auto"/>
            </w:tcBorders>
          </w:tcPr>
          <w:p w14:paraId="3B7F7CE1" w14:textId="77777777" w:rsidR="00904532" w:rsidRPr="00E73E51" w:rsidRDefault="00904532" w:rsidP="00970617">
            <w:pPr>
              <w:pStyle w:val="TableBullet"/>
              <w:rPr>
                <w:i/>
              </w:rPr>
            </w:pPr>
            <w:r>
              <w:t>Added a method and value sets to identify acute and nonacute inpatient discharges for required exclusions (step 2).</w:t>
            </w:r>
          </w:p>
          <w:p w14:paraId="3A44F73D" w14:textId="77777777" w:rsidR="00970617" w:rsidRPr="009F1193" w:rsidRDefault="00970617" w:rsidP="00970617">
            <w:pPr>
              <w:pStyle w:val="TableBullet"/>
              <w:rPr>
                <w:i/>
                <w:iCs/>
              </w:rPr>
            </w:pPr>
            <w:r>
              <w:rPr>
                <w:iCs/>
              </w:rPr>
              <w:t>Changed the description of “</w:t>
            </w:r>
            <w:r>
              <w:t>SS</w:t>
            </w:r>
            <w:r w:rsidRPr="00463667">
              <w:t>NRI antidepressants</w:t>
            </w:r>
            <w:r>
              <w:t xml:space="preserve">” to “SNRI </w:t>
            </w:r>
            <w:r w:rsidRPr="00463667">
              <w:t>antidepressants</w:t>
            </w:r>
            <w:r>
              <w:t>” in Table AMM-C.</w:t>
            </w:r>
          </w:p>
          <w:p w14:paraId="28391694" w14:textId="3EDC9AE5" w:rsidR="00E73E51" w:rsidRPr="00002D28" w:rsidRDefault="00E73E51" w:rsidP="00970617">
            <w:pPr>
              <w:pStyle w:val="TableBullet"/>
            </w:pPr>
            <w:r w:rsidRPr="009F1193">
              <w:t xml:space="preserve">Added </w:t>
            </w:r>
            <w:r>
              <w:t>l</w:t>
            </w:r>
            <w:r w:rsidRPr="009F1193">
              <w:t>evomilnacipran</w:t>
            </w:r>
            <w:r>
              <w:t xml:space="preserve"> </w:t>
            </w:r>
            <w:r w:rsidRPr="009F1193">
              <w:t>to the description of “</w:t>
            </w:r>
            <w:r>
              <w:t xml:space="preserve">SNRI </w:t>
            </w:r>
            <w:r w:rsidRPr="00463667">
              <w:t>antidepressants</w:t>
            </w:r>
            <w:r w:rsidRPr="009F1193">
              <w:t>” in Table</w:t>
            </w:r>
            <w:r w:rsidRPr="009F1193">
              <w:rPr>
                <w:i/>
                <w:iCs/>
              </w:rPr>
              <w:t xml:space="preserve"> </w:t>
            </w:r>
            <w:r>
              <w:t>AMM-C</w:t>
            </w:r>
            <w:r w:rsidRPr="009F1193">
              <w:t>.</w:t>
            </w:r>
          </w:p>
          <w:p w14:paraId="0F466280" w14:textId="19CFD65B" w:rsidR="00904532" w:rsidRPr="00DF1884" w:rsidRDefault="00904532" w:rsidP="00970617">
            <w:pPr>
              <w:pStyle w:val="TableBullet"/>
            </w:pPr>
            <w:r>
              <w:t xml:space="preserve">Added “Numerator events by supplemental data” to the Data Elements for Reporting table to capture the number of members who met numerator criteria using supplemental data. </w:t>
            </w:r>
          </w:p>
        </w:tc>
      </w:tr>
    </w:tbl>
    <w:p w14:paraId="2A38B29E" w14:textId="77777777" w:rsidR="00463667" w:rsidRPr="00DF1884" w:rsidRDefault="00463667" w:rsidP="00463667">
      <w:pPr>
        <w:sectPr w:rsidR="00463667" w:rsidRPr="00DF1884" w:rsidSect="0039781B">
          <w:headerReference w:type="even" r:id="rId27"/>
          <w:headerReference w:type="default" r:id="rId28"/>
          <w:footerReference w:type="even" r:id="rId29"/>
          <w:footerReference w:type="default" r:id="rId30"/>
          <w:pgSz w:w="15840" w:h="12240" w:orient="landscape" w:code="1"/>
          <w:pgMar w:top="1080" w:right="1080" w:bottom="1080" w:left="1440" w:header="720" w:footer="720" w:gutter="0"/>
          <w:cols w:space="720"/>
        </w:sectPr>
      </w:pPr>
    </w:p>
    <w:p w14:paraId="5C2910CB" w14:textId="5B257457" w:rsidR="00463667" w:rsidRPr="00DF1884" w:rsidRDefault="00463667" w:rsidP="00463667">
      <w:pPr>
        <w:pStyle w:val="TableHeadNotCondensed"/>
        <w:spacing w:before="0"/>
      </w:pPr>
      <w:r w:rsidRPr="00DF1884">
        <w:lastRenderedPageBreak/>
        <w:t>HEDIS</w:t>
      </w:r>
      <w:r w:rsidR="00DF1884" w:rsidRPr="00DF1884">
        <w:t xml:space="preserve"> </w:t>
      </w:r>
      <w:r w:rsidR="00442111" w:rsidRPr="00DF1884">
        <w:rPr>
          <w:iCs/>
        </w:rPr>
        <w:t>2016</w:t>
      </w:r>
      <w:r w:rsidR="00DF1884" w:rsidRPr="00DF1884">
        <w:t xml:space="preserve"> </w:t>
      </w:r>
      <w:r w:rsidRPr="00DF1884">
        <w:t>Summary</w:t>
      </w:r>
      <w:r w:rsidR="00DF1884" w:rsidRPr="00DF1884">
        <w:t xml:space="preserve"> </w:t>
      </w:r>
      <w:r w:rsidRPr="00DF1884">
        <w:t>Table</w:t>
      </w:r>
      <w:r w:rsidR="00DF1884" w:rsidRPr="00DF1884">
        <w:t xml:space="preserve"> </w:t>
      </w:r>
      <w:r w:rsidRPr="00DF1884">
        <w:t>of</w:t>
      </w:r>
      <w:r w:rsidR="00DF1884" w:rsidRPr="00DF1884">
        <w:t xml:space="preserve"> </w:t>
      </w:r>
      <w:r w:rsidRPr="00DF1884">
        <w:t>Measures,</w:t>
      </w:r>
      <w:r w:rsidR="00DF1884" w:rsidRPr="00DF1884">
        <w:t xml:space="preserve"> </w:t>
      </w:r>
      <w:r w:rsidRPr="00DF1884">
        <w:t>Product</w:t>
      </w:r>
      <w:r w:rsidR="00DF1884" w:rsidRPr="00DF1884">
        <w:t xml:space="preserve"> </w:t>
      </w:r>
      <w:r w:rsidRPr="00DF1884">
        <w:t>Lines</w:t>
      </w:r>
      <w:r w:rsidR="00DF1884" w:rsidRPr="00DF1884">
        <w:t xml:space="preserve"> </w:t>
      </w:r>
      <w:r w:rsidRPr="00DF1884">
        <w:t>and</w:t>
      </w:r>
      <w:r w:rsidR="00DF1884" w:rsidRPr="00DF1884">
        <w:t xml:space="preserve"> </w:t>
      </w:r>
      <w:r w:rsidRPr="00DF1884">
        <w:t>Changes</w:t>
      </w:r>
      <w:r w:rsidR="00DF1884" w:rsidRPr="00DF1884">
        <w:t xml:space="preserve"> </w:t>
      </w:r>
      <w:r w:rsidRPr="00DF1884">
        <w:rPr>
          <w:i/>
          <w:sz w:val="20"/>
          <w:szCs w:val="20"/>
        </w:rPr>
        <w:t>(continued)</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1290"/>
        <w:gridCol w:w="1290"/>
        <w:gridCol w:w="1290"/>
        <w:gridCol w:w="6480"/>
      </w:tblGrid>
      <w:tr w:rsidR="00463667" w:rsidRPr="00DF1884" w14:paraId="38D8C5B9" w14:textId="77777777" w:rsidTr="00C56CA6">
        <w:trPr>
          <w:cantSplit/>
        </w:trPr>
        <w:tc>
          <w:tcPr>
            <w:tcW w:w="2970" w:type="dxa"/>
            <w:vMerge w:val="restart"/>
            <w:tcBorders>
              <w:top w:val="single" w:sz="4" w:space="0" w:color="auto"/>
              <w:left w:val="single" w:sz="4" w:space="0" w:color="auto"/>
              <w:bottom w:val="single" w:sz="4" w:space="0" w:color="auto"/>
              <w:right w:val="single" w:sz="4" w:space="0" w:color="FFFFFF"/>
            </w:tcBorders>
            <w:shd w:val="clear" w:color="auto" w:fill="000000"/>
            <w:vAlign w:val="bottom"/>
          </w:tcPr>
          <w:p w14:paraId="2E761AD5" w14:textId="5EBE1FDE" w:rsidR="00463667" w:rsidRPr="00DF1884" w:rsidRDefault="00463667" w:rsidP="00C56CA6">
            <w:pPr>
              <w:pStyle w:val="TableHead"/>
              <w:rPr>
                <w:color w:val="auto"/>
              </w:rPr>
            </w:pPr>
            <w:r w:rsidRPr="00DF1884">
              <w:rPr>
                <w:color w:val="auto"/>
              </w:rPr>
              <w:t>HEDIS</w:t>
            </w:r>
            <w:r w:rsidR="00DF1884" w:rsidRPr="00DF1884">
              <w:rPr>
                <w:color w:val="auto"/>
              </w:rPr>
              <w:t xml:space="preserve"> </w:t>
            </w:r>
            <w:r w:rsidR="00442111" w:rsidRPr="00DF1884">
              <w:rPr>
                <w:color w:val="auto"/>
              </w:rPr>
              <w:t>2016</w:t>
            </w:r>
            <w:r w:rsidR="00DF1884" w:rsidRPr="00DF1884">
              <w:rPr>
                <w:color w:val="auto"/>
              </w:rPr>
              <w:t xml:space="preserve"> </w:t>
            </w:r>
            <w:r w:rsidRPr="00DF1884">
              <w:rPr>
                <w:color w:val="auto"/>
              </w:rPr>
              <w:t>Measures</w:t>
            </w:r>
          </w:p>
        </w:tc>
        <w:tc>
          <w:tcPr>
            <w:tcW w:w="3870" w:type="dxa"/>
            <w:gridSpan w:val="3"/>
            <w:tcBorders>
              <w:left w:val="nil"/>
              <w:bottom w:val="single" w:sz="4" w:space="0" w:color="FFFFFF"/>
              <w:right w:val="single" w:sz="4" w:space="0" w:color="FFFFFF"/>
            </w:tcBorders>
            <w:shd w:val="clear" w:color="auto" w:fill="000000"/>
          </w:tcPr>
          <w:p w14:paraId="03F0241D" w14:textId="366C33D7" w:rsidR="00463667" w:rsidRPr="00DF1884" w:rsidRDefault="00463667" w:rsidP="00C56CA6">
            <w:pPr>
              <w:pStyle w:val="TableHead"/>
              <w:rPr>
                <w:color w:val="auto"/>
              </w:rPr>
            </w:pPr>
            <w:r w:rsidRPr="00DF1884">
              <w:rPr>
                <w:color w:val="auto"/>
              </w:rPr>
              <w:t>Applicable</w:t>
            </w:r>
            <w:r w:rsidR="00DF1884" w:rsidRPr="00DF1884">
              <w:rPr>
                <w:color w:val="auto"/>
              </w:rPr>
              <w:t xml:space="preserve"> </w:t>
            </w:r>
            <w:r w:rsidRPr="00DF1884">
              <w:rPr>
                <w:color w:val="auto"/>
              </w:rPr>
              <w:t>to:</w:t>
            </w:r>
          </w:p>
        </w:tc>
        <w:tc>
          <w:tcPr>
            <w:tcW w:w="6480" w:type="dxa"/>
            <w:vMerge w:val="restart"/>
            <w:tcBorders>
              <w:left w:val="nil"/>
              <w:bottom w:val="single" w:sz="4" w:space="0" w:color="auto"/>
            </w:tcBorders>
            <w:shd w:val="clear" w:color="auto" w:fill="000000"/>
            <w:vAlign w:val="bottom"/>
          </w:tcPr>
          <w:p w14:paraId="2EA631FF" w14:textId="48E2FCD2" w:rsidR="00463667" w:rsidRPr="00DF1884" w:rsidRDefault="00463667" w:rsidP="00C56CA6">
            <w:pPr>
              <w:pStyle w:val="TableHead"/>
              <w:rPr>
                <w:color w:val="auto"/>
              </w:rPr>
            </w:pPr>
            <w:r w:rsidRPr="00DF1884">
              <w:rPr>
                <w:color w:val="auto"/>
              </w:rPr>
              <w:t>Changes</w:t>
            </w:r>
            <w:r w:rsidR="00DF1884" w:rsidRPr="00DF1884">
              <w:rPr>
                <w:color w:val="auto"/>
              </w:rPr>
              <w:t xml:space="preserve"> </w:t>
            </w:r>
            <w:r w:rsidRPr="00DF1884">
              <w:rPr>
                <w:color w:val="auto"/>
              </w:rPr>
              <w:t>to</w:t>
            </w:r>
            <w:r w:rsidR="00DF1884" w:rsidRPr="00DF1884">
              <w:rPr>
                <w:color w:val="auto"/>
              </w:rPr>
              <w:t xml:space="preserve"> </w:t>
            </w:r>
            <w:r w:rsidRPr="00DF1884">
              <w:rPr>
                <w:color w:val="auto"/>
              </w:rPr>
              <w:t>HEDIS</w:t>
            </w:r>
            <w:r w:rsidR="00DF1884" w:rsidRPr="00DF1884">
              <w:rPr>
                <w:color w:val="auto"/>
              </w:rPr>
              <w:t xml:space="preserve"> </w:t>
            </w:r>
            <w:r w:rsidR="00442111" w:rsidRPr="00DF1884">
              <w:rPr>
                <w:color w:val="auto"/>
              </w:rPr>
              <w:t>2016</w:t>
            </w:r>
          </w:p>
        </w:tc>
      </w:tr>
      <w:tr w:rsidR="00463667" w:rsidRPr="00DF1884" w14:paraId="4CA3D845" w14:textId="77777777" w:rsidTr="00C56CA6">
        <w:trPr>
          <w:cantSplit/>
        </w:trPr>
        <w:tc>
          <w:tcPr>
            <w:tcW w:w="2970" w:type="dxa"/>
            <w:vMerge/>
            <w:tcBorders>
              <w:top w:val="nil"/>
              <w:left w:val="single" w:sz="4" w:space="0" w:color="auto"/>
              <w:bottom w:val="single" w:sz="4" w:space="0" w:color="auto"/>
              <w:right w:val="single" w:sz="4" w:space="0" w:color="FFFFFF"/>
            </w:tcBorders>
          </w:tcPr>
          <w:p w14:paraId="6F262BFC" w14:textId="77777777" w:rsidR="00463667" w:rsidRPr="00DF1884" w:rsidRDefault="00463667" w:rsidP="00C56CA6">
            <w:pPr>
              <w:pStyle w:val="TableHead"/>
              <w:rPr>
                <w:color w:val="auto"/>
              </w:rPr>
            </w:pPr>
          </w:p>
        </w:tc>
        <w:tc>
          <w:tcPr>
            <w:tcW w:w="1290" w:type="dxa"/>
            <w:tcBorders>
              <w:top w:val="nil"/>
              <w:left w:val="nil"/>
              <w:bottom w:val="single" w:sz="4" w:space="0" w:color="auto"/>
              <w:right w:val="single" w:sz="4" w:space="0" w:color="FFFFFF"/>
            </w:tcBorders>
            <w:shd w:val="clear" w:color="auto" w:fill="000000"/>
          </w:tcPr>
          <w:p w14:paraId="26726453" w14:textId="77777777" w:rsidR="00463667" w:rsidRPr="00DF1884" w:rsidRDefault="00463667" w:rsidP="00C56CA6">
            <w:pPr>
              <w:pStyle w:val="TableHead"/>
              <w:rPr>
                <w:color w:val="auto"/>
              </w:rPr>
            </w:pPr>
            <w:r w:rsidRPr="00DF1884">
              <w:rPr>
                <w:color w:val="auto"/>
              </w:rPr>
              <w:t>Commercial</w:t>
            </w:r>
          </w:p>
        </w:tc>
        <w:tc>
          <w:tcPr>
            <w:tcW w:w="1290" w:type="dxa"/>
            <w:tcBorders>
              <w:top w:val="nil"/>
              <w:left w:val="nil"/>
              <w:bottom w:val="single" w:sz="4" w:space="0" w:color="auto"/>
              <w:right w:val="single" w:sz="4" w:space="0" w:color="FFFFFF"/>
            </w:tcBorders>
            <w:shd w:val="clear" w:color="auto" w:fill="000000"/>
          </w:tcPr>
          <w:p w14:paraId="0D7F8EB6" w14:textId="77777777" w:rsidR="00463667" w:rsidRPr="00DF1884" w:rsidRDefault="00463667" w:rsidP="00C56CA6">
            <w:pPr>
              <w:pStyle w:val="TableHead"/>
              <w:rPr>
                <w:color w:val="auto"/>
              </w:rPr>
            </w:pPr>
            <w:r w:rsidRPr="00DF1884">
              <w:rPr>
                <w:color w:val="auto"/>
              </w:rPr>
              <w:t>Medicaid</w:t>
            </w:r>
          </w:p>
        </w:tc>
        <w:tc>
          <w:tcPr>
            <w:tcW w:w="1290" w:type="dxa"/>
            <w:tcBorders>
              <w:top w:val="nil"/>
              <w:left w:val="nil"/>
              <w:bottom w:val="single" w:sz="4" w:space="0" w:color="auto"/>
              <w:right w:val="single" w:sz="4" w:space="0" w:color="FFFFFF"/>
            </w:tcBorders>
            <w:shd w:val="clear" w:color="auto" w:fill="000000"/>
          </w:tcPr>
          <w:p w14:paraId="71928553" w14:textId="77777777" w:rsidR="00463667" w:rsidRPr="00DF1884" w:rsidRDefault="00463667" w:rsidP="00C56CA6">
            <w:pPr>
              <w:pStyle w:val="TableHead"/>
              <w:rPr>
                <w:color w:val="auto"/>
              </w:rPr>
            </w:pPr>
            <w:r w:rsidRPr="00DF1884">
              <w:rPr>
                <w:color w:val="auto"/>
              </w:rPr>
              <w:t>Medicare</w:t>
            </w:r>
          </w:p>
        </w:tc>
        <w:tc>
          <w:tcPr>
            <w:tcW w:w="6480" w:type="dxa"/>
            <w:vMerge/>
            <w:tcBorders>
              <w:top w:val="nil"/>
              <w:left w:val="nil"/>
              <w:bottom w:val="single" w:sz="4" w:space="0" w:color="auto"/>
            </w:tcBorders>
            <w:vAlign w:val="bottom"/>
          </w:tcPr>
          <w:p w14:paraId="1D11BD9C" w14:textId="77777777" w:rsidR="00463667" w:rsidRPr="00DF1884" w:rsidRDefault="00463667" w:rsidP="00C56CA6">
            <w:pPr>
              <w:pStyle w:val="TableHead2"/>
              <w:rPr>
                <w:color w:val="auto"/>
              </w:rPr>
            </w:pPr>
          </w:p>
        </w:tc>
      </w:tr>
      <w:tr w:rsidR="00463667" w:rsidRPr="00904532" w14:paraId="31F4DA22" w14:textId="77777777" w:rsidTr="00C56CA6">
        <w:tc>
          <w:tcPr>
            <w:tcW w:w="13320" w:type="dxa"/>
            <w:gridSpan w:val="5"/>
            <w:tcBorders>
              <w:bottom w:val="single" w:sz="6" w:space="0" w:color="auto"/>
            </w:tcBorders>
            <w:shd w:val="clear" w:color="auto" w:fill="C0C0C0"/>
          </w:tcPr>
          <w:p w14:paraId="44ACBDA9" w14:textId="06C8117A" w:rsidR="00463667" w:rsidRPr="00904532" w:rsidRDefault="00904532" w:rsidP="00904532">
            <w:pPr>
              <w:pStyle w:val="TableText2"/>
              <w:jc w:val="center"/>
              <w:rPr>
                <w:b/>
                <w:snapToGrid w:val="0"/>
                <w:sz w:val="20"/>
                <w:szCs w:val="20"/>
              </w:rPr>
            </w:pPr>
            <w:r w:rsidRPr="00904532">
              <w:rPr>
                <w:b/>
                <w:snapToGrid w:val="0"/>
                <w:sz w:val="20"/>
                <w:szCs w:val="20"/>
              </w:rPr>
              <w:t>EFFECTIVENESS OF CARE</w:t>
            </w:r>
          </w:p>
        </w:tc>
      </w:tr>
      <w:tr w:rsidR="00904532" w:rsidRPr="00DF1884" w14:paraId="4AC08B2D" w14:textId="77777777" w:rsidTr="00C56CA6">
        <w:tc>
          <w:tcPr>
            <w:tcW w:w="2970" w:type="dxa"/>
            <w:tcBorders>
              <w:top w:val="single" w:sz="4" w:space="0" w:color="auto"/>
              <w:left w:val="single" w:sz="4" w:space="0" w:color="auto"/>
              <w:bottom w:val="single" w:sz="4" w:space="0" w:color="auto"/>
              <w:right w:val="single" w:sz="4" w:space="0" w:color="auto"/>
            </w:tcBorders>
          </w:tcPr>
          <w:p w14:paraId="74C76147" w14:textId="6DB77531" w:rsidR="00904532" w:rsidRPr="00DF1884" w:rsidRDefault="00904532" w:rsidP="00904532">
            <w:pPr>
              <w:pStyle w:val="TableText"/>
            </w:pPr>
            <w:r w:rsidRPr="00DF1884">
              <w:t>Follow-Up Care for Children Prescribed ADHD Medication</w:t>
            </w:r>
          </w:p>
        </w:tc>
        <w:tc>
          <w:tcPr>
            <w:tcW w:w="1290" w:type="dxa"/>
            <w:tcBorders>
              <w:top w:val="single" w:sz="4" w:space="0" w:color="auto"/>
              <w:left w:val="single" w:sz="4" w:space="0" w:color="auto"/>
              <w:bottom w:val="single" w:sz="4" w:space="0" w:color="auto"/>
              <w:right w:val="single" w:sz="4" w:space="0" w:color="auto"/>
            </w:tcBorders>
          </w:tcPr>
          <w:p w14:paraId="1FEBEA24" w14:textId="3217B8EF" w:rsidR="00904532" w:rsidRPr="00DF1884" w:rsidRDefault="00904532" w:rsidP="00904532">
            <w:pPr>
              <w:pStyle w:val="TableText"/>
              <w:jc w:val="center"/>
              <w:rPr>
                <w:rFonts w:cs="Arial"/>
                <w:sz w:val="24"/>
              </w:rPr>
            </w:pPr>
            <w:r w:rsidRPr="00DF1884">
              <w:rPr>
                <w:rFonts w:cs="Arial"/>
                <w:sz w:val="24"/>
              </w:rPr>
              <w:sym w:font="Wingdings" w:char="F0FC"/>
            </w:r>
          </w:p>
        </w:tc>
        <w:tc>
          <w:tcPr>
            <w:tcW w:w="1290" w:type="dxa"/>
            <w:tcBorders>
              <w:top w:val="single" w:sz="4" w:space="0" w:color="auto"/>
              <w:left w:val="single" w:sz="4" w:space="0" w:color="auto"/>
              <w:bottom w:val="single" w:sz="4" w:space="0" w:color="auto"/>
              <w:right w:val="single" w:sz="4" w:space="0" w:color="auto"/>
            </w:tcBorders>
          </w:tcPr>
          <w:p w14:paraId="3882189B" w14:textId="531E8476" w:rsidR="00904532" w:rsidRPr="00DF1884" w:rsidRDefault="00904532" w:rsidP="00904532">
            <w:pPr>
              <w:pStyle w:val="TableText"/>
              <w:jc w:val="center"/>
              <w:rPr>
                <w:rFonts w:cs="Arial"/>
                <w:sz w:val="24"/>
              </w:rPr>
            </w:pPr>
            <w:r w:rsidRPr="00DF1884">
              <w:rPr>
                <w:rFonts w:cs="Arial"/>
                <w:sz w:val="24"/>
              </w:rPr>
              <w:sym w:font="Wingdings" w:char="F0FC"/>
            </w:r>
          </w:p>
        </w:tc>
        <w:tc>
          <w:tcPr>
            <w:tcW w:w="1290" w:type="dxa"/>
            <w:tcBorders>
              <w:top w:val="single" w:sz="4" w:space="0" w:color="auto"/>
              <w:left w:val="single" w:sz="4" w:space="0" w:color="auto"/>
              <w:bottom w:val="single" w:sz="4" w:space="0" w:color="auto"/>
              <w:right w:val="single" w:sz="4" w:space="0" w:color="auto"/>
            </w:tcBorders>
          </w:tcPr>
          <w:p w14:paraId="71F6CE9E" w14:textId="77777777" w:rsidR="00904532" w:rsidRPr="00DF1884" w:rsidRDefault="00904532" w:rsidP="00904532">
            <w:pPr>
              <w:pStyle w:val="TableText"/>
              <w:jc w:val="center"/>
              <w:rPr>
                <w:rFonts w:cs="Arial"/>
                <w:sz w:val="24"/>
              </w:rPr>
            </w:pPr>
          </w:p>
        </w:tc>
        <w:tc>
          <w:tcPr>
            <w:tcW w:w="6480" w:type="dxa"/>
            <w:tcBorders>
              <w:top w:val="single" w:sz="4" w:space="0" w:color="auto"/>
              <w:left w:val="single" w:sz="4" w:space="0" w:color="auto"/>
              <w:bottom w:val="single" w:sz="4" w:space="0" w:color="auto"/>
              <w:right w:val="single" w:sz="6" w:space="0" w:color="auto"/>
            </w:tcBorders>
          </w:tcPr>
          <w:p w14:paraId="54CC8253" w14:textId="77777777" w:rsidR="00904532" w:rsidRPr="00002D28" w:rsidRDefault="00904532" w:rsidP="00904532">
            <w:pPr>
              <w:pStyle w:val="TableBullet"/>
              <w:rPr>
                <w:i/>
              </w:rPr>
            </w:pPr>
            <w:r>
              <w:t>Added value sets to identify acute inpatient encounters for step 4 of the event/diagnosis (for both Initiation and C&amp;M Phase).</w:t>
            </w:r>
          </w:p>
          <w:p w14:paraId="24617B36" w14:textId="44B093BA" w:rsidR="00904532" w:rsidRDefault="00904532" w:rsidP="00904532">
            <w:pPr>
              <w:pStyle w:val="TableBullet"/>
            </w:pPr>
            <w:r>
              <w:t xml:space="preserve">Added “Numerator events by supplemental data” to the Data Elements for Reporting table to capture the number of members who met numerator criteria using supplemental data. </w:t>
            </w:r>
          </w:p>
        </w:tc>
      </w:tr>
      <w:tr w:rsidR="00904532" w:rsidRPr="00DF1884" w14:paraId="1F85AD85" w14:textId="77777777" w:rsidTr="00C56CA6">
        <w:tc>
          <w:tcPr>
            <w:tcW w:w="2970" w:type="dxa"/>
            <w:tcBorders>
              <w:top w:val="single" w:sz="4" w:space="0" w:color="auto"/>
              <w:left w:val="single" w:sz="4" w:space="0" w:color="auto"/>
              <w:bottom w:val="single" w:sz="4" w:space="0" w:color="auto"/>
              <w:right w:val="single" w:sz="4" w:space="0" w:color="auto"/>
            </w:tcBorders>
          </w:tcPr>
          <w:p w14:paraId="196106BF" w14:textId="06574FC2" w:rsidR="00904532" w:rsidRPr="00DF1884" w:rsidRDefault="00904532" w:rsidP="00904532">
            <w:pPr>
              <w:pStyle w:val="TableText"/>
            </w:pPr>
            <w:r w:rsidRPr="00DF1884">
              <w:t>Follow-Up After Hospitalization for Mental Illness</w:t>
            </w:r>
          </w:p>
        </w:tc>
        <w:tc>
          <w:tcPr>
            <w:tcW w:w="1290" w:type="dxa"/>
            <w:tcBorders>
              <w:top w:val="single" w:sz="4" w:space="0" w:color="auto"/>
              <w:left w:val="single" w:sz="4" w:space="0" w:color="auto"/>
              <w:bottom w:val="single" w:sz="4" w:space="0" w:color="auto"/>
              <w:right w:val="single" w:sz="4" w:space="0" w:color="auto"/>
            </w:tcBorders>
          </w:tcPr>
          <w:p w14:paraId="3A4C904C" w14:textId="77777777" w:rsidR="00904532" w:rsidRPr="00DF1884" w:rsidRDefault="00904532" w:rsidP="00904532">
            <w:pPr>
              <w:pStyle w:val="TableText"/>
              <w:jc w:val="center"/>
              <w:rPr>
                <w:rFonts w:cs="Arial"/>
                <w:sz w:val="24"/>
              </w:rPr>
            </w:pPr>
            <w:r w:rsidRPr="00DF1884">
              <w:rPr>
                <w:rFonts w:cs="Arial"/>
                <w:sz w:val="24"/>
              </w:rPr>
              <w:sym w:font="Wingdings" w:char="F0FC"/>
            </w:r>
          </w:p>
        </w:tc>
        <w:tc>
          <w:tcPr>
            <w:tcW w:w="1290" w:type="dxa"/>
            <w:tcBorders>
              <w:top w:val="single" w:sz="4" w:space="0" w:color="auto"/>
              <w:left w:val="single" w:sz="4" w:space="0" w:color="auto"/>
              <w:bottom w:val="single" w:sz="4" w:space="0" w:color="auto"/>
              <w:right w:val="single" w:sz="4" w:space="0" w:color="auto"/>
            </w:tcBorders>
          </w:tcPr>
          <w:p w14:paraId="26489551" w14:textId="77777777" w:rsidR="00904532" w:rsidRPr="00DF1884" w:rsidRDefault="00904532" w:rsidP="00904532">
            <w:pPr>
              <w:pStyle w:val="TableText"/>
              <w:jc w:val="center"/>
              <w:rPr>
                <w:rFonts w:cs="Arial"/>
                <w:sz w:val="24"/>
              </w:rPr>
            </w:pPr>
            <w:r w:rsidRPr="00DF1884">
              <w:rPr>
                <w:rFonts w:cs="Arial"/>
                <w:sz w:val="24"/>
              </w:rPr>
              <w:sym w:font="Wingdings" w:char="F0FC"/>
            </w:r>
          </w:p>
        </w:tc>
        <w:tc>
          <w:tcPr>
            <w:tcW w:w="1290" w:type="dxa"/>
            <w:tcBorders>
              <w:top w:val="single" w:sz="4" w:space="0" w:color="auto"/>
              <w:left w:val="single" w:sz="4" w:space="0" w:color="auto"/>
              <w:bottom w:val="single" w:sz="4" w:space="0" w:color="auto"/>
              <w:right w:val="single" w:sz="4" w:space="0" w:color="auto"/>
            </w:tcBorders>
          </w:tcPr>
          <w:p w14:paraId="499518DF" w14:textId="77777777" w:rsidR="00904532" w:rsidRPr="00DF1884" w:rsidRDefault="00904532" w:rsidP="00904532">
            <w:pPr>
              <w:pStyle w:val="TableText"/>
              <w:jc w:val="center"/>
              <w:rPr>
                <w:rFonts w:cs="Arial"/>
                <w:sz w:val="24"/>
              </w:rPr>
            </w:pPr>
            <w:r w:rsidRPr="00DF1884">
              <w:rPr>
                <w:rFonts w:cs="Arial"/>
                <w:sz w:val="24"/>
              </w:rPr>
              <w:sym w:font="Wingdings" w:char="F0FC"/>
            </w:r>
          </w:p>
        </w:tc>
        <w:tc>
          <w:tcPr>
            <w:tcW w:w="6480" w:type="dxa"/>
            <w:tcBorders>
              <w:top w:val="single" w:sz="4" w:space="0" w:color="auto"/>
              <w:left w:val="single" w:sz="4" w:space="0" w:color="auto"/>
              <w:bottom w:val="single" w:sz="4" w:space="0" w:color="auto"/>
              <w:right w:val="single" w:sz="6" w:space="0" w:color="auto"/>
            </w:tcBorders>
          </w:tcPr>
          <w:p w14:paraId="29D94189" w14:textId="77777777" w:rsidR="00904532" w:rsidRPr="002250A1" w:rsidRDefault="00904532" w:rsidP="00904532">
            <w:pPr>
              <w:pStyle w:val="TableBullet"/>
              <w:rPr>
                <w:i/>
                <w:iCs/>
              </w:rPr>
            </w:pPr>
            <w:r>
              <w:t>Added value sets to identify acute inpatient discharges, readmissions and transfer settings for the Event/diagnosis.</w:t>
            </w:r>
          </w:p>
          <w:p w14:paraId="7A516467" w14:textId="26DEC4A6" w:rsidR="00904532" w:rsidRPr="00DF1884" w:rsidRDefault="00904532" w:rsidP="00904532">
            <w:pPr>
              <w:pStyle w:val="TableBullet"/>
            </w:pPr>
            <w:r>
              <w:t xml:space="preserve">Added “Numerator events by supplemental data” to the Data Elements for Reporting table to capture the number of members who met numerator criteria using supplemental data. </w:t>
            </w:r>
          </w:p>
        </w:tc>
      </w:tr>
      <w:tr w:rsidR="00904532" w:rsidRPr="00DF1884" w14:paraId="6F85E535" w14:textId="77777777" w:rsidTr="00C56CA6">
        <w:tc>
          <w:tcPr>
            <w:tcW w:w="2970" w:type="dxa"/>
            <w:tcBorders>
              <w:top w:val="single" w:sz="4" w:space="0" w:color="auto"/>
              <w:left w:val="single" w:sz="4" w:space="0" w:color="auto"/>
              <w:bottom w:val="single" w:sz="4" w:space="0" w:color="auto"/>
              <w:right w:val="single" w:sz="4" w:space="0" w:color="auto"/>
            </w:tcBorders>
          </w:tcPr>
          <w:p w14:paraId="665E8295" w14:textId="4CC4FE27" w:rsidR="00904532" w:rsidRPr="00DF1884" w:rsidRDefault="00904532" w:rsidP="00904532">
            <w:pPr>
              <w:pStyle w:val="TableText"/>
            </w:pPr>
            <w:r w:rsidRPr="00DF1884">
              <w:t>Diabetes Screening for People With Schizophrenia or Bipolar Disorder Who Are Using Antipsychotic Medications</w:t>
            </w:r>
          </w:p>
        </w:tc>
        <w:tc>
          <w:tcPr>
            <w:tcW w:w="1290" w:type="dxa"/>
            <w:tcBorders>
              <w:top w:val="single" w:sz="4" w:space="0" w:color="auto"/>
              <w:left w:val="single" w:sz="4" w:space="0" w:color="auto"/>
              <w:bottom w:val="single" w:sz="4" w:space="0" w:color="auto"/>
              <w:right w:val="single" w:sz="4" w:space="0" w:color="auto"/>
            </w:tcBorders>
          </w:tcPr>
          <w:p w14:paraId="52C481F8" w14:textId="77777777" w:rsidR="00904532" w:rsidRPr="00DF1884" w:rsidRDefault="00904532" w:rsidP="00904532">
            <w:pPr>
              <w:pStyle w:val="TableText"/>
              <w:jc w:val="center"/>
              <w:rPr>
                <w:rFonts w:cs="Arial"/>
                <w:sz w:val="24"/>
              </w:rPr>
            </w:pPr>
          </w:p>
        </w:tc>
        <w:tc>
          <w:tcPr>
            <w:tcW w:w="1290" w:type="dxa"/>
            <w:tcBorders>
              <w:top w:val="single" w:sz="4" w:space="0" w:color="auto"/>
              <w:left w:val="single" w:sz="4" w:space="0" w:color="auto"/>
              <w:bottom w:val="single" w:sz="4" w:space="0" w:color="auto"/>
              <w:right w:val="single" w:sz="4" w:space="0" w:color="auto"/>
            </w:tcBorders>
          </w:tcPr>
          <w:p w14:paraId="57BAD9E3" w14:textId="77777777" w:rsidR="00904532" w:rsidRPr="00DF1884" w:rsidRDefault="00904532" w:rsidP="00904532">
            <w:pPr>
              <w:pStyle w:val="TableText"/>
              <w:jc w:val="center"/>
              <w:rPr>
                <w:rFonts w:cs="Arial"/>
                <w:sz w:val="24"/>
              </w:rPr>
            </w:pPr>
            <w:r w:rsidRPr="00DF1884">
              <w:rPr>
                <w:rFonts w:cs="Arial"/>
                <w:sz w:val="24"/>
              </w:rPr>
              <w:sym w:font="Wingdings" w:char="F0FC"/>
            </w:r>
          </w:p>
        </w:tc>
        <w:tc>
          <w:tcPr>
            <w:tcW w:w="1290" w:type="dxa"/>
            <w:tcBorders>
              <w:top w:val="single" w:sz="4" w:space="0" w:color="auto"/>
              <w:left w:val="single" w:sz="4" w:space="0" w:color="auto"/>
              <w:bottom w:val="single" w:sz="4" w:space="0" w:color="auto"/>
              <w:right w:val="single" w:sz="4" w:space="0" w:color="auto"/>
            </w:tcBorders>
          </w:tcPr>
          <w:p w14:paraId="3645CEA7" w14:textId="77777777" w:rsidR="00904532" w:rsidRPr="00DF1884" w:rsidRDefault="00904532" w:rsidP="00904532">
            <w:pPr>
              <w:pStyle w:val="TableText"/>
              <w:jc w:val="center"/>
              <w:rPr>
                <w:rFonts w:cs="Arial"/>
                <w:sz w:val="24"/>
              </w:rPr>
            </w:pPr>
          </w:p>
        </w:tc>
        <w:tc>
          <w:tcPr>
            <w:tcW w:w="6480" w:type="dxa"/>
            <w:tcBorders>
              <w:top w:val="single" w:sz="4" w:space="0" w:color="auto"/>
              <w:left w:val="single" w:sz="4" w:space="0" w:color="auto"/>
              <w:bottom w:val="single" w:sz="4" w:space="0" w:color="auto"/>
              <w:right w:val="single" w:sz="6" w:space="0" w:color="auto"/>
            </w:tcBorders>
          </w:tcPr>
          <w:p w14:paraId="42327042" w14:textId="77777777" w:rsidR="00904532" w:rsidRPr="00554EA5" w:rsidRDefault="00904532" w:rsidP="00904532">
            <w:pPr>
              <w:pStyle w:val="TableBullet"/>
              <w:rPr>
                <w:i/>
                <w:iCs/>
              </w:rPr>
            </w:pPr>
            <w:r>
              <w:t xml:space="preserve">Added </w:t>
            </w:r>
            <w:r w:rsidRPr="00554EA5">
              <w:rPr>
                <w:u w:val="single"/>
              </w:rPr>
              <w:t>Other Bipolar Disorders Value Set</w:t>
            </w:r>
            <w:r>
              <w:t xml:space="preserve"> to step 1 of the event/diagnosis.</w:t>
            </w:r>
          </w:p>
          <w:p w14:paraId="2F15B9CE" w14:textId="1037F919" w:rsidR="00904532" w:rsidRPr="00DF1884" w:rsidRDefault="00904532" w:rsidP="00904532">
            <w:pPr>
              <w:pStyle w:val="TableBullet"/>
            </w:pPr>
            <w:r>
              <w:t xml:space="preserve">Added “Numerator events by supplemental data” to the Data Elements for Reporting table to capture the number of members who met numerator criteria using supplemental data. </w:t>
            </w:r>
          </w:p>
        </w:tc>
      </w:tr>
      <w:tr w:rsidR="00904532" w:rsidRPr="00DF1884" w14:paraId="287389F3" w14:textId="77777777" w:rsidTr="00C56CA6">
        <w:tc>
          <w:tcPr>
            <w:tcW w:w="2970" w:type="dxa"/>
            <w:tcBorders>
              <w:top w:val="single" w:sz="4" w:space="0" w:color="auto"/>
              <w:left w:val="single" w:sz="4" w:space="0" w:color="auto"/>
              <w:bottom w:val="single" w:sz="4" w:space="0" w:color="auto"/>
              <w:right w:val="single" w:sz="4" w:space="0" w:color="auto"/>
            </w:tcBorders>
          </w:tcPr>
          <w:p w14:paraId="7EB70621" w14:textId="75613116" w:rsidR="00904532" w:rsidRPr="00DF1884" w:rsidRDefault="00904532" w:rsidP="00904532">
            <w:pPr>
              <w:pStyle w:val="TableText"/>
            </w:pPr>
            <w:r w:rsidRPr="00DF1884">
              <w:t>Diabetes Monitoring for People With Diabetes and Schizophrenia</w:t>
            </w:r>
          </w:p>
        </w:tc>
        <w:tc>
          <w:tcPr>
            <w:tcW w:w="1290" w:type="dxa"/>
            <w:tcBorders>
              <w:top w:val="single" w:sz="4" w:space="0" w:color="auto"/>
              <w:left w:val="single" w:sz="4" w:space="0" w:color="auto"/>
              <w:bottom w:val="single" w:sz="4" w:space="0" w:color="auto"/>
              <w:right w:val="single" w:sz="4" w:space="0" w:color="auto"/>
            </w:tcBorders>
          </w:tcPr>
          <w:p w14:paraId="4E732523" w14:textId="77777777" w:rsidR="00904532" w:rsidRPr="00DF1884" w:rsidRDefault="00904532" w:rsidP="00904532">
            <w:pPr>
              <w:pStyle w:val="TableText"/>
              <w:jc w:val="center"/>
              <w:rPr>
                <w:rFonts w:cs="Arial"/>
                <w:sz w:val="24"/>
              </w:rPr>
            </w:pPr>
          </w:p>
        </w:tc>
        <w:tc>
          <w:tcPr>
            <w:tcW w:w="1290" w:type="dxa"/>
            <w:tcBorders>
              <w:top w:val="single" w:sz="4" w:space="0" w:color="auto"/>
              <w:left w:val="single" w:sz="4" w:space="0" w:color="auto"/>
              <w:bottom w:val="single" w:sz="4" w:space="0" w:color="auto"/>
              <w:right w:val="single" w:sz="4" w:space="0" w:color="auto"/>
            </w:tcBorders>
          </w:tcPr>
          <w:p w14:paraId="32648103" w14:textId="77777777" w:rsidR="00904532" w:rsidRPr="00DF1884" w:rsidRDefault="00904532" w:rsidP="00904532">
            <w:pPr>
              <w:pStyle w:val="TableText"/>
              <w:jc w:val="center"/>
              <w:rPr>
                <w:rFonts w:cs="Arial"/>
                <w:sz w:val="24"/>
              </w:rPr>
            </w:pPr>
            <w:r w:rsidRPr="00DF1884">
              <w:rPr>
                <w:rFonts w:cs="Arial"/>
                <w:sz w:val="24"/>
              </w:rPr>
              <w:sym w:font="Wingdings" w:char="F0FC"/>
            </w:r>
          </w:p>
        </w:tc>
        <w:tc>
          <w:tcPr>
            <w:tcW w:w="1290" w:type="dxa"/>
            <w:tcBorders>
              <w:top w:val="single" w:sz="4" w:space="0" w:color="auto"/>
              <w:left w:val="single" w:sz="4" w:space="0" w:color="auto"/>
              <w:bottom w:val="single" w:sz="4" w:space="0" w:color="auto"/>
              <w:right w:val="single" w:sz="4" w:space="0" w:color="auto"/>
            </w:tcBorders>
          </w:tcPr>
          <w:p w14:paraId="54B62D00" w14:textId="77777777" w:rsidR="00904532" w:rsidRPr="00DF1884" w:rsidRDefault="00904532" w:rsidP="00904532">
            <w:pPr>
              <w:pStyle w:val="TableText"/>
              <w:jc w:val="center"/>
              <w:rPr>
                <w:rFonts w:cs="Arial"/>
                <w:sz w:val="24"/>
              </w:rPr>
            </w:pPr>
          </w:p>
        </w:tc>
        <w:tc>
          <w:tcPr>
            <w:tcW w:w="6480" w:type="dxa"/>
            <w:tcBorders>
              <w:top w:val="single" w:sz="4" w:space="0" w:color="auto"/>
              <w:left w:val="single" w:sz="4" w:space="0" w:color="auto"/>
              <w:bottom w:val="single" w:sz="4" w:space="0" w:color="auto"/>
              <w:right w:val="single" w:sz="6" w:space="0" w:color="auto"/>
            </w:tcBorders>
          </w:tcPr>
          <w:p w14:paraId="032E7D47" w14:textId="77777777" w:rsidR="00904532" w:rsidRPr="003979CA" w:rsidRDefault="00904532" w:rsidP="00904532">
            <w:pPr>
              <w:pStyle w:val="TableBullet"/>
              <w:rPr>
                <w:i/>
              </w:rPr>
            </w:pPr>
            <w:r>
              <w:t>Removed the optional exclusion for polycystic ovaries.</w:t>
            </w:r>
          </w:p>
          <w:p w14:paraId="0CE0D5B7" w14:textId="4DDBDFA5" w:rsidR="00904532" w:rsidRPr="00DF1884" w:rsidRDefault="00904532" w:rsidP="00904532">
            <w:pPr>
              <w:pStyle w:val="TableBullet"/>
            </w:pPr>
            <w:r>
              <w:t xml:space="preserve">Added “Numerator events by supplemental data” to the Data Elements for Reporting table to capture the number of members who met numerator criteria using supplemental data. </w:t>
            </w:r>
          </w:p>
        </w:tc>
      </w:tr>
      <w:tr w:rsidR="00904532" w:rsidRPr="00DF1884" w14:paraId="683112E8" w14:textId="77777777" w:rsidTr="00C56CA6">
        <w:tc>
          <w:tcPr>
            <w:tcW w:w="2970" w:type="dxa"/>
            <w:tcBorders>
              <w:top w:val="single" w:sz="4" w:space="0" w:color="auto"/>
              <w:left w:val="single" w:sz="4" w:space="0" w:color="auto"/>
              <w:bottom w:val="single" w:sz="4" w:space="0" w:color="auto"/>
              <w:right w:val="single" w:sz="4" w:space="0" w:color="auto"/>
            </w:tcBorders>
          </w:tcPr>
          <w:p w14:paraId="737FF927" w14:textId="04BB4C34" w:rsidR="00904532" w:rsidRPr="00DF1884" w:rsidRDefault="00904532" w:rsidP="00904532">
            <w:pPr>
              <w:pStyle w:val="TableText"/>
            </w:pPr>
            <w:r w:rsidRPr="00DF1884">
              <w:t>Cardiovascular Monitoring for People With Cardiovascular Disease and Schizophrenia</w:t>
            </w:r>
          </w:p>
        </w:tc>
        <w:tc>
          <w:tcPr>
            <w:tcW w:w="1290" w:type="dxa"/>
            <w:tcBorders>
              <w:top w:val="single" w:sz="4" w:space="0" w:color="auto"/>
              <w:left w:val="single" w:sz="4" w:space="0" w:color="auto"/>
              <w:bottom w:val="single" w:sz="4" w:space="0" w:color="auto"/>
              <w:right w:val="single" w:sz="4" w:space="0" w:color="auto"/>
            </w:tcBorders>
          </w:tcPr>
          <w:p w14:paraId="0F86511F" w14:textId="77777777" w:rsidR="00904532" w:rsidRPr="00DF1884" w:rsidRDefault="00904532" w:rsidP="00904532">
            <w:pPr>
              <w:pStyle w:val="TableText"/>
              <w:jc w:val="center"/>
              <w:rPr>
                <w:rFonts w:cs="Arial"/>
                <w:sz w:val="24"/>
              </w:rPr>
            </w:pPr>
          </w:p>
        </w:tc>
        <w:tc>
          <w:tcPr>
            <w:tcW w:w="1290" w:type="dxa"/>
            <w:tcBorders>
              <w:top w:val="single" w:sz="4" w:space="0" w:color="auto"/>
              <w:left w:val="single" w:sz="4" w:space="0" w:color="auto"/>
              <w:bottom w:val="single" w:sz="4" w:space="0" w:color="auto"/>
              <w:right w:val="single" w:sz="4" w:space="0" w:color="auto"/>
            </w:tcBorders>
          </w:tcPr>
          <w:p w14:paraId="2EE2C0CB" w14:textId="77777777" w:rsidR="00904532" w:rsidRPr="00DF1884" w:rsidRDefault="00904532" w:rsidP="00904532">
            <w:pPr>
              <w:pStyle w:val="TableText"/>
              <w:jc w:val="center"/>
              <w:rPr>
                <w:rFonts w:cs="Arial"/>
                <w:sz w:val="24"/>
              </w:rPr>
            </w:pPr>
            <w:r w:rsidRPr="00DF1884">
              <w:rPr>
                <w:rFonts w:cs="Arial"/>
                <w:sz w:val="24"/>
              </w:rPr>
              <w:sym w:font="Wingdings" w:char="F0FC"/>
            </w:r>
          </w:p>
        </w:tc>
        <w:tc>
          <w:tcPr>
            <w:tcW w:w="1290" w:type="dxa"/>
            <w:tcBorders>
              <w:top w:val="single" w:sz="4" w:space="0" w:color="auto"/>
              <w:left w:val="single" w:sz="4" w:space="0" w:color="auto"/>
              <w:bottom w:val="single" w:sz="4" w:space="0" w:color="auto"/>
              <w:right w:val="single" w:sz="4" w:space="0" w:color="auto"/>
            </w:tcBorders>
          </w:tcPr>
          <w:p w14:paraId="4C0AFDDE" w14:textId="77777777" w:rsidR="00904532" w:rsidRPr="00DF1884" w:rsidRDefault="00904532" w:rsidP="00904532">
            <w:pPr>
              <w:pStyle w:val="TableText"/>
              <w:jc w:val="center"/>
              <w:rPr>
                <w:rFonts w:cs="Arial"/>
                <w:sz w:val="24"/>
              </w:rPr>
            </w:pPr>
          </w:p>
        </w:tc>
        <w:tc>
          <w:tcPr>
            <w:tcW w:w="6480" w:type="dxa"/>
            <w:tcBorders>
              <w:top w:val="single" w:sz="4" w:space="0" w:color="auto"/>
              <w:left w:val="single" w:sz="4" w:space="0" w:color="auto"/>
              <w:bottom w:val="single" w:sz="4" w:space="0" w:color="auto"/>
              <w:right w:val="single" w:sz="6" w:space="0" w:color="auto"/>
            </w:tcBorders>
          </w:tcPr>
          <w:p w14:paraId="40DE1597" w14:textId="4AFE908C" w:rsidR="00904532" w:rsidRPr="00866766" w:rsidRDefault="00904532" w:rsidP="00904532">
            <w:pPr>
              <w:pStyle w:val="TableBullet"/>
              <w:rPr>
                <w:i/>
              </w:rPr>
            </w:pPr>
            <w:r>
              <w:t>Added a method and value sets to identify discharges for</w:t>
            </w:r>
            <w:r w:rsidR="000637D8">
              <w:t xml:space="preserve"> step 2 of</w:t>
            </w:r>
            <w:r>
              <w:t xml:space="preserve"> the event/diagnosis.</w:t>
            </w:r>
          </w:p>
          <w:p w14:paraId="5CBA0A7C" w14:textId="2A594C70" w:rsidR="00904532" w:rsidRPr="00DF1884" w:rsidRDefault="00904532" w:rsidP="00904532">
            <w:pPr>
              <w:pStyle w:val="TableBullet"/>
            </w:pPr>
            <w:r>
              <w:t xml:space="preserve">Added “Numerator events by supplemental data” to the Data Elements for Reporting table to capture the number of members who met numerator criteria using supplemental data. </w:t>
            </w:r>
          </w:p>
        </w:tc>
      </w:tr>
      <w:tr w:rsidR="00904532" w:rsidRPr="00DF1884" w14:paraId="5B7562A8" w14:textId="77777777" w:rsidTr="00C56CA6">
        <w:tc>
          <w:tcPr>
            <w:tcW w:w="2970" w:type="dxa"/>
            <w:tcBorders>
              <w:top w:val="single" w:sz="4" w:space="0" w:color="auto"/>
              <w:left w:val="single" w:sz="4" w:space="0" w:color="auto"/>
              <w:bottom w:val="single" w:sz="4" w:space="0" w:color="auto"/>
              <w:right w:val="single" w:sz="4" w:space="0" w:color="auto"/>
            </w:tcBorders>
          </w:tcPr>
          <w:p w14:paraId="3DAF42A5" w14:textId="49BBC6BF" w:rsidR="00904532" w:rsidRPr="00DF1884" w:rsidRDefault="00904532" w:rsidP="00904532">
            <w:pPr>
              <w:pStyle w:val="TableText"/>
            </w:pPr>
            <w:r w:rsidRPr="00DF1884">
              <w:t>Adherence to Antipsychotic Medications for Individuals With Schizophrenia</w:t>
            </w:r>
          </w:p>
        </w:tc>
        <w:tc>
          <w:tcPr>
            <w:tcW w:w="1290" w:type="dxa"/>
            <w:tcBorders>
              <w:top w:val="single" w:sz="4" w:space="0" w:color="auto"/>
              <w:left w:val="single" w:sz="4" w:space="0" w:color="auto"/>
              <w:bottom w:val="single" w:sz="4" w:space="0" w:color="auto"/>
              <w:right w:val="single" w:sz="4" w:space="0" w:color="auto"/>
            </w:tcBorders>
          </w:tcPr>
          <w:p w14:paraId="079C9128" w14:textId="77777777" w:rsidR="00904532" w:rsidRPr="00DF1884" w:rsidRDefault="00904532" w:rsidP="00904532">
            <w:pPr>
              <w:pStyle w:val="TableText"/>
              <w:jc w:val="center"/>
              <w:rPr>
                <w:rFonts w:cs="Arial"/>
                <w:sz w:val="24"/>
              </w:rPr>
            </w:pPr>
          </w:p>
        </w:tc>
        <w:tc>
          <w:tcPr>
            <w:tcW w:w="1290" w:type="dxa"/>
            <w:tcBorders>
              <w:top w:val="single" w:sz="4" w:space="0" w:color="auto"/>
              <w:left w:val="single" w:sz="4" w:space="0" w:color="auto"/>
              <w:bottom w:val="single" w:sz="4" w:space="0" w:color="auto"/>
              <w:right w:val="single" w:sz="4" w:space="0" w:color="auto"/>
            </w:tcBorders>
          </w:tcPr>
          <w:p w14:paraId="1C795D83" w14:textId="77777777" w:rsidR="00904532" w:rsidRPr="00DF1884" w:rsidRDefault="00904532" w:rsidP="00904532">
            <w:pPr>
              <w:pStyle w:val="TableText"/>
              <w:jc w:val="center"/>
              <w:rPr>
                <w:rFonts w:cs="Arial"/>
                <w:sz w:val="24"/>
              </w:rPr>
            </w:pPr>
            <w:r w:rsidRPr="00DF1884">
              <w:rPr>
                <w:rFonts w:cs="Arial"/>
                <w:sz w:val="24"/>
              </w:rPr>
              <w:sym w:font="Wingdings" w:char="F0FC"/>
            </w:r>
          </w:p>
        </w:tc>
        <w:tc>
          <w:tcPr>
            <w:tcW w:w="1290" w:type="dxa"/>
            <w:tcBorders>
              <w:top w:val="single" w:sz="4" w:space="0" w:color="auto"/>
              <w:left w:val="single" w:sz="4" w:space="0" w:color="auto"/>
              <w:bottom w:val="single" w:sz="4" w:space="0" w:color="auto"/>
              <w:right w:val="single" w:sz="4" w:space="0" w:color="auto"/>
            </w:tcBorders>
          </w:tcPr>
          <w:p w14:paraId="770523FB" w14:textId="77777777" w:rsidR="00904532" w:rsidRPr="00DF1884" w:rsidRDefault="00904532" w:rsidP="00904532">
            <w:pPr>
              <w:pStyle w:val="TableText"/>
              <w:jc w:val="center"/>
              <w:rPr>
                <w:rFonts w:cs="Arial"/>
                <w:sz w:val="24"/>
              </w:rPr>
            </w:pPr>
          </w:p>
        </w:tc>
        <w:tc>
          <w:tcPr>
            <w:tcW w:w="6480" w:type="dxa"/>
            <w:tcBorders>
              <w:top w:val="single" w:sz="4" w:space="0" w:color="auto"/>
              <w:left w:val="single" w:sz="4" w:space="0" w:color="auto"/>
              <w:bottom w:val="single" w:sz="4" w:space="0" w:color="auto"/>
              <w:right w:val="single" w:sz="6" w:space="0" w:color="auto"/>
            </w:tcBorders>
          </w:tcPr>
          <w:p w14:paraId="3B418915" w14:textId="77777777" w:rsidR="00904532" w:rsidRPr="00A61681" w:rsidRDefault="00904532" w:rsidP="00904532">
            <w:pPr>
              <w:pStyle w:val="TableBullet"/>
              <w:rPr>
                <w:i/>
              </w:rPr>
            </w:pPr>
            <w:r>
              <w:t>Revised the IPSD time frame.</w:t>
            </w:r>
          </w:p>
          <w:p w14:paraId="1B4259A2" w14:textId="480D459B" w:rsidR="00904532" w:rsidRPr="00DF1884" w:rsidRDefault="00904532" w:rsidP="00904532">
            <w:pPr>
              <w:pStyle w:val="TableBullet"/>
            </w:pPr>
            <w:r>
              <w:t xml:space="preserve">Added “Numerator events by supplemental data” to the Data Elements for Reporting table to capture the number of members who met numerator criteria using supplemental data. </w:t>
            </w:r>
          </w:p>
        </w:tc>
      </w:tr>
      <w:tr w:rsidR="00904532" w:rsidRPr="00DF1884" w14:paraId="7626B73B" w14:textId="77777777" w:rsidTr="00C56CA6">
        <w:tc>
          <w:tcPr>
            <w:tcW w:w="2970" w:type="dxa"/>
            <w:tcBorders>
              <w:top w:val="single" w:sz="4" w:space="0" w:color="auto"/>
              <w:left w:val="single" w:sz="4" w:space="0" w:color="auto"/>
              <w:bottom w:val="single" w:sz="4" w:space="0" w:color="auto"/>
              <w:right w:val="single" w:sz="4" w:space="0" w:color="auto"/>
            </w:tcBorders>
          </w:tcPr>
          <w:p w14:paraId="51D6E175" w14:textId="3EBD56F2" w:rsidR="00904532" w:rsidRPr="00DF1884" w:rsidRDefault="00904532" w:rsidP="00904532">
            <w:pPr>
              <w:pStyle w:val="TableText"/>
            </w:pPr>
            <w:r w:rsidRPr="00DF1884">
              <w:t>Metabolic Monitoring for Children and Adolescents on Antipsychotics</w:t>
            </w:r>
          </w:p>
        </w:tc>
        <w:tc>
          <w:tcPr>
            <w:tcW w:w="1290" w:type="dxa"/>
            <w:tcBorders>
              <w:top w:val="single" w:sz="4" w:space="0" w:color="auto"/>
              <w:left w:val="single" w:sz="4" w:space="0" w:color="auto"/>
              <w:bottom w:val="single" w:sz="4" w:space="0" w:color="auto"/>
              <w:right w:val="single" w:sz="4" w:space="0" w:color="auto"/>
            </w:tcBorders>
          </w:tcPr>
          <w:p w14:paraId="3B942018" w14:textId="77777777" w:rsidR="00904532" w:rsidRPr="00DF1884" w:rsidRDefault="00904532" w:rsidP="00904532">
            <w:pPr>
              <w:pStyle w:val="TableText"/>
              <w:jc w:val="center"/>
              <w:rPr>
                <w:rFonts w:cs="Arial"/>
                <w:sz w:val="24"/>
              </w:rPr>
            </w:pPr>
            <w:r w:rsidRPr="00DF1884">
              <w:rPr>
                <w:rFonts w:cs="Arial"/>
                <w:sz w:val="24"/>
              </w:rPr>
              <w:sym w:font="Wingdings" w:char="F0FC"/>
            </w:r>
          </w:p>
        </w:tc>
        <w:tc>
          <w:tcPr>
            <w:tcW w:w="1290" w:type="dxa"/>
            <w:tcBorders>
              <w:top w:val="single" w:sz="4" w:space="0" w:color="auto"/>
              <w:left w:val="single" w:sz="4" w:space="0" w:color="auto"/>
              <w:bottom w:val="single" w:sz="4" w:space="0" w:color="auto"/>
              <w:right w:val="single" w:sz="4" w:space="0" w:color="auto"/>
            </w:tcBorders>
          </w:tcPr>
          <w:p w14:paraId="3CA00359" w14:textId="77777777" w:rsidR="00904532" w:rsidRPr="00DF1884" w:rsidRDefault="00904532" w:rsidP="00904532">
            <w:pPr>
              <w:pStyle w:val="TableText"/>
              <w:jc w:val="center"/>
              <w:rPr>
                <w:rFonts w:cs="Arial"/>
                <w:sz w:val="24"/>
              </w:rPr>
            </w:pPr>
            <w:r w:rsidRPr="00DF1884">
              <w:rPr>
                <w:rFonts w:cs="Arial"/>
                <w:sz w:val="24"/>
              </w:rPr>
              <w:sym w:font="Wingdings" w:char="F0FC"/>
            </w:r>
          </w:p>
        </w:tc>
        <w:tc>
          <w:tcPr>
            <w:tcW w:w="1290" w:type="dxa"/>
            <w:tcBorders>
              <w:top w:val="single" w:sz="4" w:space="0" w:color="auto"/>
              <w:left w:val="single" w:sz="4" w:space="0" w:color="auto"/>
              <w:bottom w:val="single" w:sz="4" w:space="0" w:color="auto"/>
              <w:right w:val="single" w:sz="4" w:space="0" w:color="auto"/>
            </w:tcBorders>
          </w:tcPr>
          <w:p w14:paraId="61AD43DF" w14:textId="77777777" w:rsidR="00904532" w:rsidRPr="00DF1884" w:rsidRDefault="00904532" w:rsidP="00904532">
            <w:pPr>
              <w:pStyle w:val="TableText"/>
              <w:jc w:val="center"/>
              <w:rPr>
                <w:rFonts w:cs="Arial"/>
                <w:sz w:val="24"/>
              </w:rPr>
            </w:pPr>
          </w:p>
        </w:tc>
        <w:tc>
          <w:tcPr>
            <w:tcW w:w="6480" w:type="dxa"/>
            <w:tcBorders>
              <w:top w:val="single" w:sz="4" w:space="0" w:color="auto"/>
              <w:left w:val="single" w:sz="4" w:space="0" w:color="auto"/>
              <w:bottom w:val="single" w:sz="4" w:space="0" w:color="auto"/>
              <w:right w:val="single" w:sz="6" w:space="0" w:color="auto"/>
            </w:tcBorders>
          </w:tcPr>
          <w:p w14:paraId="4F11BA59" w14:textId="03F6EE30" w:rsidR="00904532" w:rsidRPr="00DF1884" w:rsidRDefault="00904532" w:rsidP="00904532">
            <w:pPr>
              <w:pStyle w:val="TableBullet"/>
            </w:pPr>
            <w:r>
              <w:t xml:space="preserve">Added “Numerator events by supplemental data” to the Data Elements for Reporting table to capture the number of members who met numerator criteria using supplemental data. </w:t>
            </w:r>
          </w:p>
        </w:tc>
      </w:tr>
      <w:tr w:rsidR="00904532" w:rsidRPr="00DF1884" w14:paraId="649B3DE3" w14:textId="77777777" w:rsidTr="00904532">
        <w:tc>
          <w:tcPr>
            <w:tcW w:w="2970" w:type="dxa"/>
            <w:tcBorders>
              <w:top w:val="single" w:sz="4" w:space="0" w:color="auto"/>
              <w:left w:val="single" w:sz="4" w:space="0" w:color="auto"/>
              <w:bottom w:val="single" w:sz="4" w:space="0" w:color="auto"/>
              <w:right w:val="single" w:sz="4" w:space="0" w:color="auto"/>
            </w:tcBorders>
          </w:tcPr>
          <w:p w14:paraId="03A143EB" w14:textId="77777777" w:rsidR="00904532" w:rsidRPr="00DF1884" w:rsidRDefault="00904532" w:rsidP="001123ED">
            <w:pPr>
              <w:pStyle w:val="TableText"/>
            </w:pPr>
            <w:r w:rsidRPr="00DF1884">
              <w:t>Annual Monitoring for Patients on Persistent Medications</w:t>
            </w:r>
          </w:p>
        </w:tc>
        <w:tc>
          <w:tcPr>
            <w:tcW w:w="1290" w:type="dxa"/>
            <w:tcBorders>
              <w:top w:val="single" w:sz="4" w:space="0" w:color="auto"/>
              <w:left w:val="single" w:sz="4" w:space="0" w:color="auto"/>
              <w:bottom w:val="single" w:sz="4" w:space="0" w:color="auto"/>
              <w:right w:val="single" w:sz="4" w:space="0" w:color="auto"/>
            </w:tcBorders>
          </w:tcPr>
          <w:p w14:paraId="5CB749DD" w14:textId="77777777" w:rsidR="00904532" w:rsidRPr="00DF1884" w:rsidRDefault="00904532" w:rsidP="001123ED">
            <w:pPr>
              <w:pStyle w:val="TableText"/>
              <w:jc w:val="center"/>
              <w:rPr>
                <w:rFonts w:cs="Arial"/>
                <w:sz w:val="24"/>
              </w:rPr>
            </w:pPr>
            <w:r w:rsidRPr="00DF1884">
              <w:rPr>
                <w:rFonts w:cs="Arial"/>
                <w:sz w:val="24"/>
              </w:rPr>
              <w:sym w:font="Wingdings" w:char="F0FC"/>
            </w:r>
          </w:p>
        </w:tc>
        <w:tc>
          <w:tcPr>
            <w:tcW w:w="1290" w:type="dxa"/>
            <w:tcBorders>
              <w:top w:val="single" w:sz="4" w:space="0" w:color="auto"/>
              <w:left w:val="single" w:sz="4" w:space="0" w:color="auto"/>
              <w:bottom w:val="single" w:sz="4" w:space="0" w:color="auto"/>
              <w:right w:val="single" w:sz="4" w:space="0" w:color="auto"/>
            </w:tcBorders>
          </w:tcPr>
          <w:p w14:paraId="7E9985AA" w14:textId="77777777" w:rsidR="00904532" w:rsidRPr="00DF1884" w:rsidRDefault="00904532" w:rsidP="001123ED">
            <w:pPr>
              <w:pStyle w:val="TableText"/>
              <w:jc w:val="center"/>
              <w:rPr>
                <w:rFonts w:cs="Arial"/>
                <w:sz w:val="24"/>
              </w:rPr>
            </w:pPr>
            <w:r w:rsidRPr="00DF1884">
              <w:rPr>
                <w:rFonts w:cs="Arial"/>
                <w:sz w:val="24"/>
              </w:rPr>
              <w:sym w:font="Wingdings" w:char="F0FC"/>
            </w:r>
          </w:p>
        </w:tc>
        <w:tc>
          <w:tcPr>
            <w:tcW w:w="1290" w:type="dxa"/>
            <w:tcBorders>
              <w:top w:val="single" w:sz="4" w:space="0" w:color="auto"/>
              <w:left w:val="single" w:sz="4" w:space="0" w:color="auto"/>
              <w:bottom w:val="single" w:sz="4" w:space="0" w:color="auto"/>
              <w:right w:val="single" w:sz="4" w:space="0" w:color="auto"/>
            </w:tcBorders>
          </w:tcPr>
          <w:p w14:paraId="62A9B78D" w14:textId="77777777" w:rsidR="00904532" w:rsidRPr="00DF1884" w:rsidRDefault="00904532" w:rsidP="001123ED">
            <w:pPr>
              <w:pStyle w:val="TableText"/>
              <w:jc w:val="center"/>
              <w:rPr>
                <w:rFonts w:cs="Arial"/>
                <w:sz w:val="24"/>
              </w:rPr>
            </w:pPr>
            <w:r w:rsidRPr="00DF1884">
              <w:rPr>
                <w:rFonts w:cs="Arial"/>
                <w:sz w:val="24"/>
              </w:rPr>
              <w:sym w:font="Wingdings" w:char="F0FC"/>
            </w:r>
          </w:p>
        </w:tc>
        <w:tc>
          <w:tcPr>
            <w:tcW w:w="6480" w:type="dxa"/>
            <w:tcBorders>
              <w:top w:val="single" w:sz="4" w:space="0" w:color="auto"/>
              <w:left w:val="single" w:sz="4" w:space="0" w:color="auto"/>
              <w:bottom w:val="single" w:sz="4" w:space="0" w:color="auto"/>
              <w:right w:val="single" w:sz="6" w:space="0" w:color="auto"/>
            </w:tcBorders>
          </w:tcPr>
          <w:p w14:paraId="23F39289" w14:textId="77777777" w:rsidR="00904532" w:rsidRPr="00904532" w:rsidRDefault="00904532" w:rsidP="001123ED">
            <w:pPr>
              <w:pStyle w:val="TableBullet"/>
            </w:pPr>
            <w:r>
              <w:t>Added value sets to identify acute and nonacute inpatient encounters for the optional exclusions.</w:t>
            </w:r>
          </w:p>
          <w:p w14:paraId="52496457" w14:textId="77777777" w:rsidR="00904532" w:rsidRPr="00DF1884" w:rsidRDefault="00904532" w:rsidP="001123ED">
            <w:pPr>
              <w:pStyle w:val="TableBullet"/>
            </w:pPr>
            <w:r>
              <w:t xml:space="preserve">Added “Numerator events by supplemental data” to the Data Elements for Reporting table to capture the number of members who met numerator criteria using supplemental data. </w:t>
            </w:r>
          </w:p>
        </w:tc>
      </w:tr>
    </w:tbl>
    <w:p w14:paraId="4650368A" w14:textId="77777777" w:rsidR="00463667" w:rsidRPr="00DF1884" w:rsidRDefault="00463667" w:rsidP="00463667">
      <w:pPr>
        <w:pStyle w:val="Heading3"/>
        <w:spacing w:before="0"/>
        <w:sectPr w:rsidR="00463667" w:rsidRPr="00DF1884" w:rsidSect="0039781B">
          <w:headerReference w:type="even" r:id="rId31"/>
          <w:headerReference w:type="default" r:id="rId32"/>
          <w:footerReference w:type="even" r:id="rId33"/>
          <w:footerReference w:type="default" r:id="rId34"/>
          <w:pgSz w:w="15840" w:h="12240" w:orient="landscape" w:code="1"/>
          <w:pgMar w:top="1080" w:right="1080" w:bottom="1080" w:left="1440" w:header="720" w:footer="720" w:gutter="0"/>
          <w:cols w:space="720"/>
        </w:sectPr>
      </w:pPr>
    </w:p>
    <w:p w14:paraId="255FA8DC" w14:textId="51737051" w:rsidR="00463667" w:rsidRPr="00DF1884" w:rsidRDefault="00463667" w:rsidP="00463667">
      <w:pPr>
        <w:pStyle w:val="TableHeadNotCondensed"/>
        <w:spacing w:before="0"/>
      </w:pPr>
      <w:r w:rsidRPr="00DF1884">
        <w:lastRenderedPageBreak/>
        <w:t>HEDIS</w:t>
      </w:r>
      <w:r w:rsidR="00DF1884" w:rsidRPr="00DF1884">
        <w:t xml:space="preserve"> </w:t>
      </w:r>
      <w:r w:rsidR="00442111" w:rsidRPr="00DF1884">
        <w:rPr>
          <w:iCs/>
        </w:rPr>
        <w:t>2016</w:t>
      </w:r>
      <w:r w:rsidR="00DF1884" w:rsidRPr="00DF1884">
        <w:t xml:space="preserve"> </w:t>
      </w:r>
      <w:r w:rsidRPr="00DF1884">
        <w:t>Summary</w:t>
      </w:r>
      <w:r w:rsidR="00DF1884" w:rsidRPr="00DF1884">
        <w:t xml:space="preserve"> </w:t>
      </w:r>
      <w:r w:rsidRPr="00DF1884">
        <w:t>Table</w:t>
      </w:r>
      <w:r w:rsidR="00DF1884" w:rsidRPr="00DF1884">
        <w:t xml:space="preserve"> </w:t>
      </w:r>
      <w:r w:rsidRPr="00DF1884">
        <w:t>of</w:t>
      </w:r>
      <w:r w:rsidR="00DF1884" w:rsidRPr="00DF1884">
        <w:t xml:space="preserve"> </w:t>
      </w:r>
      <w:r w:rsidRPr="00DF1884">
        <w:t>Measures,</w:t>
      </w:r>
      <w:r w:rsidR="00DF1884" w:rsidRPr="00DF1884">
        <w:t xml:space="preserve"> </w:t>
      </w:r>
      <w:r w:rsidRPr="00DF1884">
        <w:t>Product</w:t>
      </w:r>
      <w:r w:rsidR="00DF1884" w:rsidRPr="00DF1884">
        <w:t xml:space="preserve"> </w:t>
      </w:r>
      <w:r w:rsidRPr="00DF1884">
        <w:t>Lines</w:t>
      </w:r>
      <w:r w:rsidR="00DF1884" w:rsidRPr="00DF1884">
        <w:t xml:space="preserve"> </w:t>
      </w:r>
      <w:r w:rsidRPr="00DF1884">
        <w:t>and</w:t>
      </w:r>
      <w:r w:rsidR="00DF1884" w:rsidRPr="00DF1884">
        <w:t xml:space="preserve"> </w:t>
      </w:r>
      <w:r w:rsidRPr="00DF1884">
        <w:t>Changes</w:t>
      </w:r>
      <w:r w:rsidR="00DF1884" w:rsidRPr="00DF1884">
        <w:t xml:space="preserve"> </w:t>
      </w:r>
      <w:r w:rsidRPr="00DF1884">
        <w:rPr>
          <w:i/>
          <w:sz w:val="20"/>
          <w:szCs w:val="20"/>
        </w:rPr>
        <w:t>(continued)</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57"/>
        <w:gridCol w:w="1260"/>
        <w:gridCol w:w="1350"/>
        <w:gridCol w:w="1178"/>
        <w:gridCol w:w="16"/>
        <w:gridCol w:w="6459"/>
      </w:tblGrid>
      <w:tr w:rsidR="00463667" w:rsidRPr="00DF1884" w14:paraId="5419103E" w14:textId="77777777" w:rsidTr="00C56CA6">
        <w:trPr>
          <w:cantSplit/>
        </w:trPr>
        <w:tc>
          <w:tcPr>
            <w:tcW w:w="3057" w:type="dxa"/>
            <w:vMerge w:val="restart"/>
            <w:tcBorders>
              <w:top w:val="single" w:sz="4" w:space="0" w:color="auto"/>
              <w:left w:val="single" w:sz="4" w:space="0" w:color="auto"/>
              <w:bottom w:val="single" w:sz="4" w:space="0" w:color="auto"/>
              <w:right w:val="single" w:sz="4" w:space="0" w:color="FFFFFF"/>
            </w:tcBorders>
            <w:shd w:val="clear" w:color="auto" w:fill="000000"/>
            <w:vAlign w:val="bottom"/>
          </w:tcPr>
          <w:p w14:paraId="61DDB4BF" w14:textId="3DBE1CC5" w:rsidR="00463667" w:rsidRPr="00DF1884" w:rsidRDefault="00463667" w:rsidP="00C56CA6">
            <w:pPr>
              <w:pStyle w:val="TableHead"/>
              <w:rPr>
                <w:color w:val="auto"/>
              </w:rPr>
            </w:pPr>
            <w:r w:rsidRPr="00DF1884">
              <w:rPr>
                <w:color w:val="auto"/>
              </w:rPr>
              <w:t>HEDIS</w:t>
            </w:r>
            <w:r w:rsidR="00DF1884" w:rsidRPr="00DF1884">
              <w:rPr>
                <w:color w:val="auto"/>
              </w:rPr>
              <w:t xml:space="preserve"> </w:t>
            </w:r>
            <w:r w:rsidR="00442111" w:rsidRPr="00DF1884">
              <w:rPr>
                <w:color w:val="auto"/>
              </w:rPr>
              <w:t>2016</w:t>
            </w:r>
            <w:r w:rsidR="00DF1884" w:rsidRPr="00DF1884">
              <w:rPr>
                <w:color w:val="auto"/>
              </w:rPr>
              <w:t xml:space="preserve"> </w:t>
            </w:r>
            <w:r w:rsidRPr="00DF1884">
              <w:rPr>
                <w:color w:val="auto"/>
              </w:rPr>
              <w:t>Measures</w:t>
            </w:r>
          </w:p>
        </w:tc>
        <w:tc>
          <w:tcPr>
            <w:tcW w:w="3804" w:type="dxa"/>
            <w:gridSpan w:val="4"/>
            <w:tcBorders>
              <w:left w:val="nil"/>
              <w:bottom w:val="single" w:sz="4" w:space="0" w:color="FFFFFF"/>
              <w:right w:val="single" w:sz="4" w:space="0" w:color="FFFFFF"/>
            </w:tcBorders>
            <w:shd w:val="clear" w:color="auto" w:fill="000000"/>
          </w:tcPr>
          <w:p w14:paraId="116BDF67" w14:textId="79438C37" w:rsidR="00463667" w:rsidRPr="00DF1884" w:rsidRDefault="00463667" w:rsidP="00C56CA6">
            <w:pPr>
              <w:pStyle w:val="TableHead"/>
              <w:rPr>
                <w:color w:val="auto"/>
              </w:rPr>
            </w:pPr>
            <w:r w:rsidRPr="00DF1884">
              <w:rPr>
                <w:color w:val="auto"/>
              </w:rPr>
              <w:t>Applicable</w:t>
            </w:r>
            <w:r w:rsidR="00DF1884" w:rsidRPr="00DF1884">
              <w:rPr>
                <w:color w:val="auto"/>
              </w:rPr>
              <w:t xml:space="preserve"> </w:t>
            </w:r>
            <w:r w:rsidRPr="00DF1884">
              <w:rPr>
                <w:color w:val="auto"/>
              </w:rPr>
              <w:t>to:</w:t>
            </w:r>
          </w:p>
        </w:tc>
        <w:tc>
          <w:tcPr>
            <w:tcW w:w="6459" w:type="dxa"/>
            <w:vMerge w:val="restart"/>
            <w:tcBorders>
              <w:left w:val="nil"/>
              <w:bottom w:val="single" w:sz="4" w:space="0" w:color="auto"/>
            </w:tcBorders>
            <w:shd w:val="clear" w:color="auto" w:fill="000000"/>
            <w:vAlign w:val="bottom"/>
          </w:tcPr>
          <w:p w14:paraId="726627FD" w14:textId="64CD2EA1" w:rsidR="00463667" w:rsidRPr="00DF1884" w:rsidRDefault="00463667" w:rsidP="00C56CA6">
            <w:pPr>
              <w:pStyle w:val="TableHead"/>
              <w:rPr>
                <w:color w:val="auto"/>
              </w:rPr>
            </w:pPr>
            <w:r w:rsidRPr="00DF1884">
              <w:rPr>
                <w:color w:val="auto"/>
              </w:rPr>
              <w:t>Changes</w:t>
            </w:r>
            <w:r w:rsidR="00DF1884" w:rsidRPr="00DF1884">
              <w:rPr>
                <w:color w:val="auto"/>
              </w:rPr>
              <w:t xml:space="preserve"> </w:t>
            </w:r>
            <w:r w:rsidRPr="00DF1884">
              <w:rPr>
                <w:color w:val="auto"/>
              </w:rPr>
              <w:t>to</w:t>
            </w:r>
            <w:r w:rsidR="00DF1884" w:rsidRPr="00DF1884">
              <w:rPr>
                <w:color w:val="auto"/>
              </w:rPr>
              <w:t xml:space="preserve"> </w:t>
            </w:r>
            <w:r w:rsidRPr="00DF1884">
              <w:rPr>
                <w:color w:val="auto"/>
              </w:rPr>
              <w:t>HEDIS</w:t>
            </w:r>
            <w:r w:rsidR="00DF1884" w:rsidRPr="00DF1884">
              <w:rPr>
                <w:color w:val="auto"/>
              </w:rPr>
              <w:t xml:space="preserve"> </w:t>
            </w:r>
            <w:r w:rsidR="00442111" w:rsidRPr="00DF1884">
              <w:rPr>
                <w:color w:val="auto"/>
              </w:rPr>
              <w:t>2016</w:t>
            </w:r>
          </w:p>
        </w:tc>
      </w:tr>
      <w:tr w:rsidR="00463667" w:rsidRPr="00DF1884" w14:paraId="280663DA" w14:textId="77777777" w:rsidTr="00C56CA6">
        <w:trPr>
          <w:cantSplit/>
        </w:trPr>
        <w:tc>
          <w:tcPr>
            <w:tcW w:w="3057" w:type="dxa"/>
            <w:vMerge/>
            <w:tcBorders>
              <w:top w:val="nil"/>
              <w:left w:val="single" w:sz="4" w:space="0" w:color="auto"/>
              <w:bottom w:val="single" w:sz="4" w:space="0" w:color="auto"/>
              <w:right w:val="single" w:sz="4" w:space="0" w:color="FFFFFF"/>
            </w:tcBorders>
          </w:tcPr>
          <w:p w14:paraId="6090F3C3" w14:textId="77777777" w:rsidR="00463667" w:rsidRPr="00DF1884" w:rsidRDefault="00463667" w:rsidP="00C56CA6">
            <w:pPr>
              <w:pStyle w:val="TableHead"/>
              <w:rPr>
                <w:color w:val="auto"/>
              </w:rPr>
            </w:pPr>
          </w:p>
        </w:tc>
        <w:tc>
          <w:tcPr>
            <w:tcW w:w="1260" w:type="dxa"/>
            <w:tcBorders>
              <w:top w:val="nil"/>
              <w:left w:val="nil"/>
              <w:bottom w:val="single" w:sz="4" w:space="0" w:color="auto"/>
              <w:right w:val="single" w:sz="4" w:space="0" w:color="FFFFFF"/>
            </w:tcBorders>
            <w:shd w:val="clear" w:color="auto" w:fill="000000"/>
          </w:tcPr>
          <w:p w14:paraId="33E4667E" w14:textId="77777777" w:rsidR="00463667" w:rsidRPr="00DF1884" w:rsidRDefault="00463667" w:rsidP="00C56CA6">
            <w:pPr>
              <w:pStyle w:val="TableHead"/>
              <w:rPr>
                <w:color w:val="auto"/>
              </w:rPr>
            </w:pPr>
            <w:r w:rsidRPr="00DF1884">
              <w:rPr>
                <w:color w:val="auto"/>
              </w:rPr>
              <w:t>Commercial</w:t>
            </w:r>
          </w:p>
        </w:tc>
        <w:tc>
          <w:tcPr>
            <w:tcW w:w="1350" w:type="dxa"/>
            <w:tcBorders>
              <w:top w:val="nil"/>
              <w:left w:val="nil"/>
              <w:bottom w:val="single" w:sz="4" w:space="0" w:color="auto"/>
              <w:right w:val="single" w:sz="4" w:space="0" w:color="FFFFFF"/>
            </w:tcBorders>
            <w:shd w:val="clear" w:color="auto" w:fill="000000"/>
          </w:tcPr>
          <w:p w14:paraId="5C3CC3C4" w14:textId="77777777" w:rsidR="00463667" w:rsidRPr="00DF1884" w:rsidRDefault="00463667" w:rsidP="00C56CA6">
            <w:pPr>
              <w:pStyle w:val="TableHead"/>
              <w:rPr>
                <w:color w:val="auto"/>
              </w:rPr>
            </w:pPr>
            <w:r w:rsidRPr="00DF1884">
              <w:rPr>
                <w:color w:val="auto"/>
              </w:rPr>
              <w:t>Medicaid</w:t>
            </w:r>
          </w:p>
        </w:tc>
        <w:tc>
          <w:tcPr>
            <w:tcW w:w="1194" w:type="dxa"/>
            <w:gridSpan w:val="2"/>
            <w:tcBorders>
              <w:top w:val="nil"/>
              <w:left w:val="nil"/>
              <w:bottom w:val="single" w:sz="4" w:space="0" w:color="auto"/>
              <w:right w:val="single" w:sz="4" w:space="0" w:color="FFFFFF"/>
            </w:tcBorders>
            <w:shd w:val="clear" w:color="auto" w:fill="000000"/>
          </w:tcPr>
          <w:p w14:paraId="222F27CC" w14:textId="77777777" w:rsidR="00463667" w:rsidRPr="00DF1884" w:rsidRDefault="00463667" w:rsidP="00C56CA6">
            <w:pPr>
              <w:pStyle w:val="TableHead"/>
              <w:rPr>
                <w:color w:val="auto"/>
              </w:rPr>
            </w:pPr>
            <w:r w:rsidRPr="00DF1884">
              <w:rPr>
                <w:color w:val="auto"/>
              </w:rPr>
              <w:t>Medicare</w:t>
            </w:r>
          </w:p>
        </w:tc>
        <w:tc>
          <w:tcPr>
            <w:tcW w:w="6459" w:type="dxa"/>
            <w:vMerge/>
            <w:tcBorders>
              <w:top w:val="nil"/>
              <w:left w:val="nil"/>
              <w:bottom w:val="single" w:sz="4" w:space="0" w:color="auto"/>
            </w:tcBorders>
            <w:vAlign w:val="bottom"/>
          </w:tcPr>
          <w:p w14:paraId="06167EAD" w14:textId="77777777" w:rsidR="00463667" w:rsidRPr="00DF1884" w:rsidRDefault="00463667" w:rsidP="00C56CA6">
            <w:pPr>
              <w:pStyle w:val="TableHead2"/>
              <w:rPr>
                <w:color w:val="auto"/>
              </w:rPr>
            </w:pPr>
          </w:p>
        </w:tc>
      </w:tr>
      <w:tr w:rsidR="00463667" w:rsidRPr="00904532" w14:paraId="3C3F84A7" w14:textId="77777777" w:rsidTr="00C56CA6">
        <w:tc>
          <w:tcPr>
            <w:tcW w:w="13320" w:type="dxa"/>
            <w:gridSpan w:val="6"/>
            <w:tcBorders>
              <w:bottom w:val="single" w:sz="6" w:space="0" w:color="auto"/>
            </w:tcBorders>
            <w:shd w:val="clear" w:color="auto" w:fill="C0C0C0"/>
          </w:tcPr>
          <w:p w14:paraId="18317418" w14:textId="1F5856F2" w:rsidR="00463667" w:rsidRPr="00904532" w:rsidRDefault="00904532" w:rsidP="00904532">
            <w:pPr>
              <w:pStyle w:val="TableText2"/>
              <w:jc w:val="center"/>
              <w:rPr>
                <w:b/>
                <w:sz w:val="20"/>
                <w:szCs w:val="20"/>
              </w:rPr>
            </w:pPr>
            <w:r w:rsidRPr="00904532">
              <w:rPr>
                <w:b/>
                <w:sz w:val="20"/>
                <w:szCs w:val="20"/>
              </w:rPr>
              <w:t>EFFECTIVENESS OF CARE</w:t>
            </w:r>
          </w:p>
        </w:tc>
      </w:tr>
      <w:tr w:rsidR="00463667" w:rsidRPr="00DF1884" w14:paraId="5AAE9FA4" w14:textId="77777777" w:rsidTr="00C56CA6">
        <w:tc>
          <w:tcPr>
            <w:tcW w:w="3057" w:type="dxa"/>
            <w:tcBorders>
              <w:top w:val="single" w:sz="4" w:space="0" w:color="auto"/>
              <w:left w:val="single" w:sz="4" w:space="0" w:color="auto"/>
              <w:bottom w:val="single" w:sz="4" w:space="0" w:color="auto"/>
              <w:right w:val="single" w:sz="4" w:space="0" w:color="auto"/>
            </w:tcBorders>
          </w:tcPr>
          <w:p w14:paraId="0D2B822B" w14:textId="6D4AE3BE" w:rsidR="00463667" w:rsidRPr="00DF1884" w:rsidRDefault="00463667" w:rsidP="00C56CA6">
            <w:pPr>
              <w:pStyle w:val="TableText"/>
            </w:pPr>
            <w:r w:rsidRPr="00DF1884">
              <w:t>Medication</w:t>
            </w:r>
            <w:r w:rsidR="00DF1884" w:rsidRPr="00DF1884">
              <w:t xml:space="preserve"> </w:t>
            </w:r>
            <w:r w:rsidRPr="00DF1884">
              <w:t>Reconciliation</w:t>
            </w:r>
            <w:r w:rsidR="00DF1884" w:rsidRPr="00DF1884">
              <w:t xml:space="preserve"> </w:t>
            </w:r>
            <w:r w:rsidRPr="00DF1884">
              <w:t>Post-Discharge</w:t>
            </w:r>
          </w:p>
        </w:tc>
        <w:tc>
          <w:tcPr>
            <w:tcW w:w="1260" w:type="dxa"/>
            <w:tcBorders>
              <w:top w:val="single" w:sz="4" w:space="0" w:color="auto"/>
              <w:left w:val="single" w:sz="4" w:space="0" w:color="auto"/>
              <w:bottom w:val="single" w:sz="4" w:space="0" w:color="auto"/>
              <w:right w:val="single" w:sz="4" w:space="0" w:color="auto"/>
            </w:tcBorders>
          </w:tcPr>
          <w:p w14:paraId="592D6038" w14:textId="77777777" w:rsidR="00463667" w:rsidRPr="00DF1884" w:rsidRDefault="00463667" w:rsidP="00C56CA6">
            <w:pPr>
              <w:pStyle w:val="TableText"/>
              <w:jc w:val="center"/>
              <w:rPr>
                <w:rFonts w:cs="Arial"/>
                <w:sz w:val="24"/>
              </w:rPr>
            </w:pPr>
          </w:p>
        </w:tc>
        <w:tc>
          <w:tcPr>
            <w:tcW w:w="1350" w:type="dxa"/>
            <w:tcBorders>
              <w:top w:val="single" w:sz="4" w:space="0" w:color="auto"/>
              <w:left w:val="single" w:sz="4" w:space="0" w:color="auto"/>
              <w:bottom w:val="single" w:sz="4" w:space="0" w:color="auto"/>
              <w:right w:val="single" w:sz="4" w:space="0" w:color="auto"/>
            </w:tcBorders>
          </w:tcPr>
          <w:p w14:paraId="3CD131D1" w14:textId="77777777" w:rsidR="00463667" w:rsidRPr="00DF1884" w:rsidRDefault="00463667" w:rsidP="00C56CA6">
            <w:pPr>
              <w:pStyle w:val="TableText"/>
              <w:jc w:val="center"/>
              <w:rPr>
                <w:rFonts w:cs="Arial"/>
                <w:sz w:val="24"/>
              </w:rPr>
            </w:pPr>
          </w:p>
        </w:tc>
        <w:tc>
          <w:tcPr>
            <w:tcW w:w="1178" w:type="dxa"/>
            <w:tcBorders>
              <w:top w:val="single" w:sz="4" w:space="0" w:color="auto"/>
              <w:left w:val="single" w:sz="4" w:space="0" w:color="auto"/>
              <w:bottom w:val="single" w:sz="4" w:space="0" w:color="auto"/>
              <w:right w:val="single" w:sz="4" w:space="0" w:color="auto"/>
            </w:tcBorders>
          </w:tcPr>
          <w:p w14:paraId="4070E0DD" w14:textId="29B986BC" w:rsidR="00463667" w:rsidRPr="00DF1884" w:rsidRDefault="00463667" w:rsidP="00843FE0">
            <w:pPr>
              <w:pStyle w:val="TableText"/>
              <w:jc w:val="center"/>
              <w:rPr>
                <w:rFonts w:cs="Arial"/>
                <w:sz w:val="24"/>
              </w:rPr>
            </w:pPr>
            <w:r w:rsidRPr="00DF1884">
              <w:rPr>
                <w:rFonts w:cs="Arial"/>
                <w:sz w:val="24"/>
              </w:rPr>
              <w:sym w:font="Wingdings" w:char="F0FC"/>
            </w:r>
          </w:p>
        </w:tc>
        <w:tc>
          <w:tcPr>
            <w:tcW w:w="6475" w:type="dxa"/>
            <w:gridSpan w:val="2"/>
            <w:tcBorders>
              <w:top w:val="single" w:sz="4" w:space="0" w:color="auto"/>
              <w:left w:val="single" w:sz="4" w:space="0" w:color="auto"/>
              <w:bottom w:val="single" w:sz="4" w:space="0" w:color="auto"/>
              <w:right w:val="single" w:sz="6" w:space="0" w:color="auto"/>
            </w:tcBorders>
          </w:tcPr>
          <w:p w14:paraId="701C823F" w14:textId="77777777" w:rsidR="00936481" w:rsidRPr="00633C69" w:rsidRDefault="00936481" w:rsidP="00936481">
            <w:pPr>
              <w:pStyle w:val="TableBullet"/>
            </w:pPr>
            <w:r w:rsidRPr="00633C69">
              <w:t>Added Medicare as a product line.</w:t>
            </w:r>
          </w:p>
          <w:p w14:paraId="10BDAADE" w14:textId="77777777" w:rsidR="00936481" w:rsidRPr="00633C69" w:rsidRDefault="00936481" w:rsidP="00936481">
            <w:pPr>
              <w:pStyle w:val="TableBullet"/>
            </w:pPr>
            <w:r w:rsidRPr="00633C69">
              <w:t xml:space="preserve">Expanded </w:t>
            </w:r>
            <w:r>
              <w:t xml:space="preserve">the </w:t>
            </w:r>
            <w:r w:rsidRPr="00633C69">
              <w:t>age range to include Medicare beneficiaries 18 years and older.</w:t>
            </w:r>
          </w:p>
          <w:p w14:paraId="5750C36A" w14:textId="77777777" w:rsidR="00936481" w:rsidRPr="00587AD2" w:rsidRDefault="00936481" w:rsidP="00936481">
            <w:pPr>
              <w:pStyle w:val="TableBullet"/>
              <w:rPr>
                <w:i/>
                <w:iCs/>
              </w:rPr>
            </w:pPr>
            <w:r>
              <w:t xml:space="preserve">Clarified that the time frame for medication reconciliation is the discharge date through 30 days after discharge (31 days total). </w:t>
            </w:r>
          </w:p>
          <w:p w14:paraId="50659F42" w14:textId="77777777" w:rsidR="00936481" w:rsidRPr="00587AD2" w:rsidRDefault="00936481" w:rsidP="00936481">
            <w:pPr>
              <w:pStyle w:val="TableBullet"/>
              <w:rPr>
                <w:i/>
                <w:iCs/>
              </w:rPr>
            </w:pPr>
            <w:r>
              <w:t>Added value sets to identify acute and nonacute inpatient discharges, readmissions and transfer setting for the event/diagnosis.</w:t>
            </w:r>
          </w:p>
          <w:p w14:paraId="659B9A70" w14:textId="77777777" w:rsidR="00936481" w:rsidRPr="00587AD2" w:rsidRDefault="00936481" w:rsidP="00936481">
            <w:pPr>
              <w:pStyle w:val="TableBullet"/>
            </w:pPr>
            <w:r>
              <w:t>Clarified medical record documentation requirements for</w:t>
            </w:r>
            <w:r w:rsidRPr="00633C69">
              <w:t xml:space="preserve"> medication reconciliation.</w:t>
            </w:r>
          </w:p>
          <w:p w14:paraId="456F5221" w14:textId="7C63BD20" w:rsidR="00463667" w:rsidRPr="00DF1884" w:rsidRDefault="00936481" w:rsidP="00936481">
            <w:pPr>
              <w:pStyle w:val="TableBullet"/>
            </w:pPr>
            <w:r>
              <w:t xml:space="preserve">Added “Numerator events by supplemental data” to the Data Elements for Reporting table to capture the number of members who met numerator criteria using supplemental data. </w:t>
            </w:r>
          </w:p>
        </w:tc>
      </w:tr>
      <w:tr w:rsidR="007756D8" w:rsidRPr="00DF1884" w14:paraId="42CEA088" w14:textId="77777777" w:rsidTr="00C56CA6">
        <w:tc>
          <w:tcPr>
            <w:tcW w:w="3057" w:type="dxa"/>
            <w:tcBorders>
              <w:top w:val="single" w:sz="4" w:space="0" w:color="auto"/>
              <w:left w:val="single" w:sz="4" w:space="0" w:color="auto"/>
              <w:bottom w:val="single" w:sz="4" w:space="0" w:color="auto"/>
              <w:right w:val="single" w:sz="4" w:space="0" w:color="auto"/>
            </w:tcBorders>
          </w:tcPr>
          <w:p w14:paraId="0BBD1CA3" w14:textId="071ADC57" w:rsidR="007756D8" w:rsidRPr="00DF1884" w:rsidRDefault="007756D8" w:rsidP="007756D8">
            <w:pPr>
              <w:pStyle w:val="TableText"/>
            </w:pPr>
            <w:r w:rsidRPr="00DF1884">
              <w:t>Non-Recommended Cervical Cancer Screening in Adolescent Females</w:t>
            </w:r>
          </w:p>
        </w:tc>
        <w:tc>
          <w:tcPr>
            <w:tcW w:w="1260" w:type="dxa"/>
            <w:tcBorders>
              <w:top w:val="single" w:sz="4" w:space="0" w:color="auto"/>
              <w:left w:val="single" w:sz="4" w:space="0" w:color="auto"/>
              <w:bottom w:val="single" w:sz="4" w:space="0" w:color="auto"/>
              <w:right w:val="single" w:sz="4" w:space="0" w:color="auto"/>
            </w:tcBorders>
          </w:tcPr>
          <w:p w14:paraId="71004F03" w14:textId="2C83B020" w:rsidR="007756D8" w:rsidRPr="00DF1884" w:rsidRDefault="007756D8" w:rsidP="007756D8">
            <w:pPr>
              <w:pStyle w:val="TableText"/>
              <w:jc w:val="center"/>
              <w:rPr>
                <w:rFonts w:cs="Arial"/>
                <w:sz w:val="24"/>
              </w:rPr>
            </w:pPr>
            <w:r w:rsidRPr="00DF1884">
              <w:rPr>
                <w:rFonts w:cs="Arial"/>
                <w:sz w:val="24"/>
              </w:rPr>
              <w:sym w:font="Wingdings" w:char="F0FC"/>
            </w:r>
          </w:p>
        </w:tc>
        <w:tc>
          <w:tcPr>
            <w:tcW w:w="1350" w:type="dxa"/>
            <w:tcBorders>
              <w:top w:val="single" w:sz="4" w:space="0" w:color="auto"/>
              <w:left w:val="single" w:sz="4" w:space="0" w:color="auto"/>
              <w:bottom w:val="single" w:sz="4" w:space="0" w:color="auto"/>
              <w:right w:val="single" w:sz="4" w:space="0" w:color="auto"/>
            </w:tcBorders>
          </w:tcPr>
          <w:p w14:paraId="33E40FF7" w14:textId="53089025" w:rsidR="007756D8" w:rsidRPr="00DF1884" w:rsidRDefault="007756D8" w:rsidP="007756D8">
            <w:pPr>
              <w:pStyle w:val="TableText"/>
              <w:jc w:val="center"/>
              <w:rPr>
                <w:rFonts w:cs="Arial"/>
                <w:sz w:val="24"/>
              </w:rPr>
            </w:pPr>
            <w:r w:rsidRPr="00DF1884">
              <w:rPr>
                <w:rFonts w:cs="Arial"/>
                <w:sz w:val="24"/>
              </w:rPr>
              <w:sym w:font="Wingdings" w:char="F0FC"/>
            </w:r>
          </w:p>
        </w:tc>
        <w:tc>
          <w:tcPr>
            <w:tcW w:w="1178" w:type="dxa"/>
            <w:tcBorders>
              <w:top w:val="single" w:sz="4" w:space="0" w:color="auto"/>
              <w:left w:val="single" w:sz="4" w:space="0" w:color="auto"/>
              <w:bottom w:val="single" w:sz="4" w:space="0" w:color="auto"/>
              <w:right w:val="single" w:sz="4" w:space="0" w:color="auto"/>
            </w:tcBorders>
          </w:tcPr>
          <w:p w14:paraId="4F454388" w14:textId="77777777" w:rsidR="007756D8" w:rsidRPr="00DF1884" w:rsidRDefault="007756D8" w:rsidP="007756D8">
            <w:pPr>
              <w:pStyle w:val="TableText"/>
              <w:jc w:val="center"/>
              <w:rPr>
                <w:rFonts w:cs="Arial"/>
                <w:sz w:val="24"/>
              </w:rPr>
            </w:pPr>
          </w:p>
        </w:tc>
        <w:tc>
          <w:tcPr>
            <w:tcW w:w="6475" w:type="dxa"/>
            <w:gridSpan w:val="2"/>
            <w:tcBorders>
              <w:top w:val="single" w:sz="4" w:space="0" w:color="auto"/>
              <w:left w:val="single" w:sz="4" w:space="0" w:color="auto"/>
              <w:bottom w:val="single" w:sz="4" w:space="0" w:color="auto"/>
              <w:right w:val="single" w:sz="6" w:space="0" w:color="auto"/>
            </w:tcBorders>
          </w:tcPr>
          <w:p w14:paraId="7E6B1352" w14:textId="77777777" w:rsidR="00DE3F10" w:rsidRPr="000A3C74" w:rsidRDefault="00DE3F10" w:rsidP="00DE3F10">
            <w:pPr>
              <w:pStyle w:val="TableBullet"/>
            </w:pPr>
            <w:r w:rsidRPr="00E92884">
              <w:t xml:space="preserve">Added a requirement to not include denied claims in the numerator. </w:t>
            </w:r>
          </w:p>
          <w:p w14:paraId="2F3C9937" w14:textId="47C110F4" w:rsidR="007756D8" w:rsidRPr="00DF1884" w:rsidRDefault="00DE3F10" w:rsidP="00DE3F10">
            <w:pPr>
              <w:pStyle w:val="TableBullet"/>
            </w:pPr>
            <w:r>
              <w:t>Added “Numerator events by supplemental data” to the Data Elements for Reporting table to capture the number of members who met numerator criteria using supplemental data.</w:t>
            </w:r>
          </w:p>
        </w:tc>
      </w:tr>
      <w:tr w:rsidR="007756D8" w:rsidRPr="00DF1884" w14:paraId="5B3FD19A" w14:textId="77777777" w:rsidTr="00C56CA6">
        <w:tc>
          <w:tcPr>
            <w:tcW w:w="3057" w:type="dxa"/>
            <w:tcBorders>
              <w:top w:val="single" w:sz="4" w:space="0" w:color="auto"/>
              <w:left w:val="single" w:sz="4" w:space="0" w:color="auto"/>
              <w:bottom w:val="single" w:sz="4" w:space="0" w:color="auto"/>
              <w:right w:val="single" w:sz="4" w:space="0" w:color="auto"/>
            </w:tcBorders>
          </w:tcPr>
          <w:p w14:paraId="549ED7F1" w14:textId="5F99DBCB" w:rsidR="007756D8" w:rsidRPr="00DF1884" w:rsidRDefault="007756D8" w:rsidP="007756D8">
            <w:pPr>
              <w:pStyle w:val="TableText"/>
            </w:pPr>
            <w:r w:rsidRPr="00DF1884">
              <w:t>Non-Recommended PSA-Based Screening in Older Men</w:t>
            </w:r>
          </w:p>
        </w:tc>
        <w:tc>
          <w:tcPr>
            <w:tcW w:w="1260" w:type="dxa"/>
            <w:tcBorders>
              <w:top w:val="single" w:sz="4" w:space="0" w:color="auto"/>
              <w:left w:val="single" w:sz="4" w:space="0" w:color="auto"/>
              <w:bottom w:val="single" w:sz="4" w:space="0" w:color="auto"/>
              <w:right w:val="single" w:sz="4" w:space="0" w:color="auto"/>
            </w:tcBorders>
          </w:tcPr>
          <w:p w14:paraId="6CCF20BC" w14:textId="77777777" w:rsidR="007756D8" w:rsidRPr="00DF1884" w:rsidRDefault="007756D8" w:rsidP="007756D8">
            <w:pPr>
              <w:pStyle w:val="TableText"/>
              <w:jc w:val="center"/>
              <w:rPr>
                <w:rFonts w:cs="Arial"/>
                <w:sz w:val="24"/>
              </w:rPr>
            </w:pPr>
          </w:p>
        </w:tc>
        <w:tc>
          <w:tcPr>
            <w:tcW w:w="1350" w:type="dxa"/>
            <w:tcBorders>
              <w:top w:val="single" w:sz="4" w:space="0" w:color="auto"/>
              <w:left w:val="single" w:sz="4" w:space="0" w:color="auto"/>
              <w:bottom w:val="single" w:sz="4" w:space="0" w:color="auto"/>
              <w:right w:val="single" w:sz="4" w:space="0" w:color="auto"/>
            </w:tcBorders>
          </w:tcPr>
          <w:p w14:paraId="6127CF45" w14:textId="77777777" w:rsidR="007756D8" w:rsidRPr="00DF1884" w:rsidRDefault="007756D8" w:rsidP="007756D8">
            <w:pPr>
              <w:pStyle w:val="TableText"/>
              <w:jc w:val="center"/>
              <w:rPr>
                <w:rFonts w:cs="Arial"/>
                <w:sz w:val="24"/>
              </w:rPr>
            </w:pPr>
          </w:p>
        </w:tc>
        <w:tc>
          <w:tcPr>
            <w:tcW w:w="1178" w:type="dxa"/>
            <w:tcBorders>
              <w:top w:val="single" w:sz="4" w:space="0" w:color="auto"/>
              <w:left w:val="single" w:sz="4" w:space="0" w:color="auto"/>
              <w:bottom w:val="single" w:sz="4" w:space="0" w:color="auto"/>
              <w:right w:val="single" w:sz="4" w:space="0" w:color="auto"/>
            </w:tcBorders>
          </w:tcPr>
          <w:p w14:paraId="4F477763" w14:textId="2C91D38A" w:rsidR="007756D8" w:rsidRPr="00DF1884" w:rsidRDefault="007756D8" w:rsidP="007756D8">
            <w:pPr>
              <w:pStyle w:val="TableText"/>
              <w:jc w:val="center"/>
              <w:rPr>
                <w:rFonts w:cs="Arial"/>
                <w:sz w:val="24"/>
              </w:rPr>
            </w:pPr>
            <w:r w:rsidRPr="00DF1884">
              <w:rPr>
                <w:rFonts w:cs="Arial"/>
                <w:sz w:val="24"/>
              </w:rPr>
              <w:sym w:font="Wingdings" w:char="F0FC"/>
            </w:r>
          </w:p>
        </w:tc>
        <w:tc>
          <w:tcPr>
            <w:tcW w:w="6475" w:type="dxa"/>
            <w:gridSpan w:val="2"/>
            <w:tcBorders>
              <w:top w:val="single" w:sz="4" w:space="0" w:color="auto"/>
              <w:left w:val="single" w:sz="4" w:space="0" w:color="auto"/>
              <w:bottom w:val="single" w:sz="4" w:space="0" w:color="auto"/>
              <w:right w:val="single" w:sz="6" w:space="0" w:color="auto"/>
            </w:tcBorders>
          </w:tcPr>
          <w:p w14:paraId="42146BB2" w14:textId="77777777" w:rsidR="00DE3F10" w:rsidRPr="000A3C74" w:rsidRDefault="00DE3F10" w:rsidP="00DE3F10">
            <w:pPr>
              <w:pStyle w:val="TableBullet"/>
            </w:pPr>
            <w:r w:rsidRPr="00277640">
              <w:t xml:space="preserve">Added a requirement to not include denied claims in the numerator. </w:t>
            </w:r>
          </w:p>
          <w:p w14:paraId="03BBEB55" w14:textId="1645956B" w:rsidR="007756D8" w:rsidRPr="00DF1884" w:rsidRDefault="00DE3F10" w:rsidP="00DE3F10">
            <w:pPr>
              <w:pStyle w:val="TableBullet"/>
            </w:pPr>
            <w:r>
              <w:t xml:space="preserve">Added “Numerator events by supplemental data” to the Data Elements for Reporting table to capture the number of members who met numerator criteria using supplemental data. </w:t>
            </w:r>
          </w:p>
        </w:tc>
      </w:tr>
      <w:tr w:rsidR="007D7E28" w:rsidRPr="00DF1884" w14:paraId="0DD71238" w14:textId="77777777" w:rsidTr="00C56CA6">
        <w:tc>
          <w:tcPr>
            <w:tcW w:w="3057" w:type="dxa"/>
            <w:tcBorders>
              <w:top w:val="single" w:sz="4" w:space="0" w:color="auto"/>
              <w:left w:val="single" w:sz="4" w:space="0" w:color="auto"/>
              <w:bottom w:val="single" w:sz="4" w:space="0" w:color="auto"/>
              <w:right w:val="single" w:sz="4" w:space="0" w:color="auto"/>
            </w:tcBorders>
          </w:tcPr>
          <w:p w14:paraId="2FC10A98" w14:textId="1A8DCFCB" w:rsidR="007D7E28" w:rsidRPr="00DF1884" w:rsidRDefault="007D7E28" w:rsidP="007D7E28">
            <w:pPr>
              <w:pStyle w:val="TableText"/>
            </w:pPr>
            <w:r w:rsidRPr="00DF1884">
              <w:t>Appropriate Treatment for Children With Upper Respiratory Infection</w:t>
            </w:r>
          </w:p>
        </w:tc>
        <w:tc>
          <w:tcPr>
            <w:tcW w:w="1260" w:type="dxa"/>
            <w:tcBorders>
              <w:top w:val="single" w:sz="4" w:space="0" w:color="auto"/>
              <w:left w:val="single" w:sz="4" w:space="0" w:color="auto"/>
              <w:bottom w:val="single" w:sz="4" w:space="0" w:color="auto"/>
              <w:right w:val="single" w:sz="4" w:space="0" w:color="auto"/>
            </w:tcBorders>
          </w:tcPr>
          <w:p w14:paraId="1BC03653" w14:textId="4D69555E" w:rsidR="007D7E28" w:rsidRPr="00DF1884" w:rsidRDefault="007D7E28" w:rsidP="007D7E28">
            <w:pPr>
              <w:pStyle w:val="TableText"/>
              <w:jc w:val="center"/>
              <w:rPr>
                <w:rFonts w:cs="Arial"/>
                <w:sz w:val="24"/>
              </w:rPr>
            </w:pPr>
            <w:r w:rsidRPr="00DF1884">
              <w:rPr>
                <w:rFonts w:cs="Arial"/>
                <w:sz w:val="24"/>
              </w:rPr>
              <w:sym w:font="Wingdings" w:char="F0FC"/>
            </w:r>
          </w:p>
        </w:tc>
        <w:tc>
          <w:tcPr>
            <w:tcW w:w="1350" w:type="dxa"/>
            <w:tcBorders>
              <w:top w:val="single" w:sz="4" w:space="0" w:color="auto"/>
              <w:left w:val="single" w:sz="4" w:space="0" w:color="auto"/>
              <w:bottom w:val="single" w:sz="4" w:space="0" w:color="auto"/>
              <w:right w:val="single" w:sz="4" w:space="0" w:color="auto"/>
            </w:tcBorders>
          </w:tcPr>
          <w:p w14:paraId="37F0BE1B" w14:textId="5CFCE0F2" w:rsidR="007D7E28" w:rsidRPr="00DF1884" w:rsidRDefault="007D7E28" w:rsidP="007D7E28">
            <w:pPr>
              <w:pStyle w:val="TableText"/>
              <w:jc w:val="center"/>
              <w:rPr>
                <w:rFonts w:cs="Arial"/>
                <w:sz w:val="24"/>
              </w:rPr>
            </w:pPr>
            <w:r w:rsidRPr="00DF1884">
              <w:rPr>
                <w:rFonts w:cs="Arial"/>
                <w:sz w:val="24"/>
              </w:rPr>
              <w:sym w:font="Wingdings" w:char="F0FC"/>
            </w:r>
          </w:p>
        </w:tc>
        <w:tc>
          <w:tcPr>
            <w:tcW w:w="1178" w:type="dxa"/>
            <w:tcBorders>
              <w:top w:val="single" w:sz="4" w:space="0" w:color="auto"/>
              <w:left w:val="single" w:sz="4" w:space="0" w:color="auto"/>
              <w:bottom w:val="single" w:sz="4" w:space="0" w:color="auto"/>
              <w:right w:val="single" w:sz="4" w:space="0" w:color="auto"/>
            </w:tcBorders>
          </w:tcPr>
          <w:p w14:paraId="29B9F53D" w14:textId="77777777" w:rsidR="007D7E28" w:rsidRPr="00DF1884" w:rsidRDefault="007D7E28" w:rsidP="007D7E28">
            <w:pPr>
              <w:pStyle w:val="TableText"/>
              <w:jc w:val="center"/>
              <w:rPr>
                <w:rFonts w:cs="Arial"/>
                <w:sz w:val="24"/>
              </w:rPr>
            </w:pPr>
          </w:p>
        </w:tc>
        <w:tc>
          <w:tcPr>
            <w:tcW w:w="6475" w:type="dxa"/>
            <w:gridSpan w:val="2"/>
            <w:tcBorders>
              <w:top w:val="single" w:sz="4" w:space="0" w:color="auto"/>
              <w:left w:val="single" w:sz="4" w:space="0" w:color="auto"/>
              <w:bottom w:val="single" w:sz="4" w:space="0" w:color="auto"/>
              <w:right w:val="single" w:sz="6" w:space="0" w:color="auto"/>
            </w:tcBorders>
          </w:tcPr>
          <w:p w14:paraId="5E02006C" w14:textId="58958371" w:rsidR="007D7E28" w:rsidRPr="00DF1884" w:rsidRDefault="00DE3F10" w:rsidP="00DE3F10">
            <w:pPr>
              <w:pStyle w:val="TableBullet"/>
            </w:pPr>
            <w:r>
              <w:t xml:space="preserve">Added “Numerator events by supplemental data” to the Data Elements for Reporting table to capture the number of members who met numerator criteria using supplemental data. </w:t>
            </w:r>
          </w:p>
        </w:tc>
      </w:tr>
      <w:tr w:rsidR="007D7E28" w:rsidRPr="00DF1884" w14:paraId="5FF8997E" w14:textId="77777777" w:rsidTr="00C56CA6">
        <w:tc>
          <w:tcPr>
            <w:tcW w:w="3057" w:type="dxa"/>
            <w:tcBorders>
              <w:top w:val="single" w:sz="4" w:space="0" w:color="auto"/>
              <w:left w:val="single" w:sz="4" w:space="0" w:color="auto"/>
              <w:bottom w:val="single" w:sz="4" w:space="0" w:color="auto"/>
              <w:right w:val="single" w:sz="4" w:space="0" w:color="auto"/>
            </w:tcBorders>
          </w:tcPr>
          <w:p w14:paraId="71BC187B" w14:textId="6C4E9009" w:rsidR="007D7E28" w:rsidRPr="00DF1884" w:rsidRDefault="007D7E28" w:rsidP="007D7E28">
            <w:pPr>
              <w:pStyle w:val="TableText"/>
            </w:pPr>
            <w:r w:rsidRPr="00DF1884">
              <w:t>Avoidance of Antibiotic Treatment in Adults With Acute Bronchitis</w:t>
            </w:r>
          </w:p>
        </w:tc>
        <w:tc>
          <w:tcPr>
            <w:tcW w:w="1260" w:type="dxa"/>
            <w:tcBorders>
              <w:top w:val="single" w:sz="4" w:space="0" w:color="auto"/>
              <w:left w:val="single" w:sz="4" w:space="0" w:color="auto"/>
              <w:bottom w:val="single" w:sz="4" w:space="0" w:color="auto"/>
              <w:right w:val="single" w:sz="4" w:space="0" w:color="auto"/>
            </w:tcBorders>
          </w:tcPr>
          <w:p w14:paraId="5804216A" w14:textId="1CF8873B" w:rsidR="007D7E28" w:rsidRPr="00DF1884" w:rsidRDefault="007D7E28" w:rsidP="007D7E28">
            <w:pPr>
              <w:pStyle w:val="TableText"/>
              <w:jc w:val="center"/>
              <w:rPr>
                <w:rFonts w:cs="Arial"/>
                <w:sz w:val="24"/>
              </w:rPr>
            </w:pPr>
            <w:r w:rsidRPr="00DF1884">
              <w:rPr>
                <w:rFonts w:cs="Arial"/>
                <w:sz w:val="24"/>
              </w:rPr>
              <w:sym w:font="Wingdings" w:char="F0FC"/>
            </w:r>
          </w:p>
        </w:tc>
        <w:tc>
          <w:tcPr>
            <w:tcW w:w="1350" w:type="dxa"/>
            <w:tcBorders>
              <w:top w:val="single" w:sz="4" w:space="0" w:color="auto"/>
              <w:left w:val="single" w:sz="4" w:space="0" w:color="auto"/>
              <w:bottom w:val="single" w:sz="4" w:space="0" w:color="auto"/>
              <w:right w:val="single" w:sz="4" w:space="0" w:color="auto"/>
            </w:tcBorders>
          </w:tcPr>
          <w:p w14:paraId="3182CDBB" w14:textId="0568B3E2" w:rsidR="007D7E28" w:rsidRPr="00DF1884" w:rsidRDefault="007D7E28" w:rsidP="007D7E28">
            <w:pPr>
              <w:pStyle w:val="TableText"/>
              <w:jc w:val="center"/>
              <w:rPr>
                <w:rFonts w:cs="Arial"/>
                <w:sz w:val="24"/>
              </w:rPr>
            </w:pPr>
            <w:r w:rsidRPr="00DF1884">
              <w:rPr>
                <w:rFonts w:cs="Arial"/>
                <w:sz w:val="24"/>
              </w:rPr>
              <w:sym w:font="Wingdings" w:char="F0FC"/>
            </w:r>
          </w:p>
        </w:tc>
        <w:tc>
          <w:tcPr>
            <w:tcW w:w="1178" w:type="dxa"/>
            <w:tcBorders>
              <w:top w:val="single" w:sz="4" w:space="0" w:color="auto"/>
              <w:left w:val="single" w:sz="4" w:space="0" w:color="auto"/>
              <w:bottom w:val="single" w:sz="4" w:space="0" w:color="auto"/>
              <w:right w:val="single" w:sz="4" w:space="0" w:color="auto"/>
            </w:tcBorders>
          </w:tcPr>
          <w:p w14:paraId="021B39D5" w14:textId="77777777" w:rsidR="007D7E28" w:rsidRPr="00DF1884" w:rsidRDefault="007D7E28" w:rsidP="007D7E28">
            <w:pPr>
              <w:pStyle w:val="TableText"/>
              <w:jc w:val="center"/>
              <w:rPr>
                <w:rFonts w:cs="Arial"/>
                <w:sz w:val="24"/>
              </w:rPr>
            </w:pPr>
          </w:p>
        </w:tc>
        <w:tc>
          <w:tcPr>
            <w:tcW w:w="6475" w:type="dxa"/>
            <w:gridSpan w:val="2"/>
            <w:tcBorders>
              <w:top w:val="single" w:sz="4" w:space="0" w:color="auto"/>
              <w:left w:val="single" w:sz="4" w:space="0" w:color="auto"/>
              <w:bottom w:val="single" w:sz="4" w:space="0" w:color="auto"/>
              <w:right w:val="single" w:sz="6" w:space="0" w:color="auto"/>
            </w:tcBorders>
          </w:tcPr>
          <w:p w14:paraId="69864B03" w14:textId="77DF44CB" w:rsidR="007D7E28" w:rsidRPr="00DF1884" w:rsidRDefault="00DE3F10" w:rsidP="00DE3F10">
            <w:pPr>
              <w:pStyle w:val="TableBullet"/>
            </w:pPr>
            <w:r>
              <w:t xml:space="preserve">Added “Numerator events by supplemental data” to the Data Elements for Reporting table to capture the number of members who met numerator criteria using supplemental data. </w:t>
            </w:r>
          </w:p>
        </w:tc>
      </w:tr>
      <w:tr w:rsidR="007D7E28" w:rsidRPr="00DF1884" w14:paraId="751F10F3" w14:textId="77777777" w:rsidTr="00C56CA6">
        <w:tc>
          <w:tcPr>
            <w:tcW w:w="3057" w:type="dxa"/>
            <w:tcBorders>
              <w:top w:val="single" w:sz="4" w:space="0" w:color="auto"/>
              <w:left w:val="single" w:sz="4" w:space="0" w:color="auto"/>
              <w:bottom w:val="single" w:sz="4" w:space="0" w:color="auto"/>
              <w:right w:val="single" w:sz="4" w:space="0" w:color="auto"/>
            </w:tcBorders>
          </w:tcPr>
          <w:p w14:paraId="3E0A5BD7" w14:textId="09DA6D07" w:rsidR="007D7E28" w:rsidRPr="00DF1884" w:rsidRDefault="007D7E28" w:rsidP="007D7E28">
            <w:pPr>
              <w:pStyle w:val="TableText"/>
            </w:pPr>
            <w:r w:rsidRPr="00DF1884">
              <w:t>Use of Imaging Studies for Low Back Pain</w:t>
            </w:r>
          </w:p>
        </w:tc>
        <w:tc>
          <w:tcPr>
            <w:tcW w:w="1260" w:type="dxa"/>
            <w:tcBorders>
              <w:top w:val="single" w:sz="4" w:space="0" w:color="auto"/>
              <w:left w:val="single" w:sz="4" w:space="0" w:color="auto"/>
              <w:bottom w:val="single" w:sz="4" w:space="0" w:color="auto"/>
              <w:right w:val="single" w:sz="4" w:space="0" w:color="auto"/>
            </w:tcBorders>
          </w:tcPr>
          <w:p w14:paraId="2E72201F" w14:textId="1B955D84" w:rsidR="007D7E28" w:rsidRPr="00DF1884" w:rsidRDefault="007D7E28" w:rsidP="007D7E28">
            <w:pPr>
              <w:pStyle w:val="TableText"/>
              <w:jc w:val="center"/>
              <w:rPr>
                <w:rFonts w:cs="Arial"/>
                <w:sz w:val="24"/>
              </w:rPr>
            </w:pPr>
            <w:r w:rsidRPr="00DF1884">
              <w:rPr>
                <w:rFonts w:cs="Arial"/>
                <w:sz w:val="24"/>
              </w:rPr>
              <w:sym w:font="Wingdings" w:char="F0FC"/>
            </w:r>
          </w:p>
        </w:tc>
        <w:tc>
          <w:tcPr>
            <w:tcW w:w="1350" w:type="dxa"/>
            <w:tcBorders>
              <w:top w:val="single" w:sz="4" w:space="0" w:color="auto"/>
              <w:left w:val="single" w:sz="4" w:space="0" w:color="auto"/>
              <w:bottom w:val="single" w:sz="4" w:space="0" w:color="auto"/>
              <w:right w:val="single" w:sz="4" w:space="0" w:color="auto"/>
            </w:tcBorders>
          </w:tcPr>
          <w:p w14:paraId="6B471702" w14:textId="4C315EBA" w:rsidR="007D7E28" w:rsidRPr="00DF1884" w:rsidRDefault="007D7E28" w:rsidP="007D7E28">
            <w:pPr>
              <w:pStyle w:val="TableText"/>
              <w:jc w:val="center"/>
              <w:rPr>
                <w:rFonts w:cs="Arial"/>
                <w:sz w:val="24"/>
              </w:rPr>
            </w:pPr>
            <w:r w:rsidRPr="00DF1884">
              <w:rPr>
                <w:rFonts w:cs="Arial"/>
                <w:sz w:val="24"/>
              </w:rPr>
              <w:sym w:font="Wingdings" w:char="F0FC"/>
            </w:r>
          </w:p>
        </w:tc>
        <w:tc>
          <w:tcPr>
            <w:tcW w:w="1178" w:type="dxa"/>
            <w:tcBorders>
              <w:top w:val="single" w:sz="4" w:space="0" w:color="auto"/>
              <w:left w:val="single" w:sz="4" w:space="0" w:color="auto"/>
              <w:bottom w:val="single" w:sz="4" w:space="0" w:color="auto"/>
              <w:right w:val="single" w:sz="4" w:space="0" w:color="auto"/>
            </w:tcBorders>
          </w:tcPr>
          <w:p w14:paraId="214A8816" w14:textId="77777777" w:rsidR="007D7E28" w:rsidRPr="00DF1884" w:rsidRDefault="007D7E28" w:rsidP="007D7E28">
            <w:pPr>
              <w:pStyle w:val="TableText"/>
              <w:jc w:val="center"/>
              <w:rPr>
                <w:rFonts w:cs="Arial"/>
                <w:sz w:val="24"/>
              </w:rPr>
            </w:pPr>
          </w:p>
        </w:tc>
        <w:tc>
          <w:tcPr>
            <w:tcW w:w="6475" w:type="dxa"/>
            <w:gridSpan w:val="2"/>
            <w:tcBorders>
              <w:top w:val="single" w:sz="4" w:space="0" w:color="auto"/>
              <w:left w:val="single" w:sz="4" w:space="0" w:color="auto"/>
              <w:bottom w:val="single" w:sz="4" w:space="0" w:color="auto"/>
              <w:right w:val="single" w:sz="6" w:space="0" w:color="auto"/>
            </w:tcBorders>
          </w:tcPr>
          <w:p w14:paraId="43537E3F" w14:textId="0D53ECF2" w:rsidR="007D7E28" w:rsidRPr="00DF1884" w:rsidRDefault="00DE3F10" w:rsidP="00DE3F10">
            <w:pPr>
              <w:pStyle w:val="TableBullet"/>
            </w:pPr>
            <w:r>
              <w:t xml:space="preserve">Added “Numerator events by supplemental data” to the Data Elements for Reporting table to capture the number of members who met numerator criteria using supplemental data. </w:t>
            </w:r>
          </w:p>
        </w:tc>
      </w:tr>
      <w:tr w:rsidR="007D7E28" w:rsidRPr="00DF1884" w14:paraId="528D7016" w14:textId="77777777" w:rsidTr="00C56CA6">
        <w:tc>
          <w:tcPr>
            <w:tcW w:w="3057" w:type="dxa"/>
            <w:tcBorders>
              <w:top w:val="single" w:sz="4" w:space="0" w:color="auto"/>
              <w:left w:val="single" w:sz="4" w:space="0" w:color="auto"/>
              <w:bottom w:val="single" w:sz="4" w:space="0" w:color="auto"/>
              <w:right w:val="single" w:sz="4" w:space="0" w:color="auto"/>
            </w:tcBorders>
          </w:tcPr>
          <w:p w14:paraId="127AEF3D" w14:textId="5D34B67A" w:rsidR="007D7E28" w:rsidRPr="00DF1884" w:rsidRDefault="007D7E28" w:rsidP="007D7E28">
            <w:pPr>
              <w:pStyle w:val="TableText"/>
            </w:pPr>
            <w:r w:rsidRPr="00DF1884">
              <w:t>Use of Multiple Concurrent Antipsychotics in Children and Adolescents</w:t>
            </w:r>
          </w:p>
        </w:tc>
        <w:tc>
          <w:tcPr>
            <w:tcW w:w="1260" w:type="dxa"/>
            <w:tcBorders>
              <w:top w:val="single" w:sz="4" w:space="0" w:color="auto"/>
              <w:left w:val="single" w:sz="4" w:space="0" w:color="auto"/>
              <w:bottom w:val="single" w:sz="4" w:space="0" w:color="auto"/>
              <w:right w:val="single" w:sz="4" w:space="0" w:color="auto"/>
            </w:tcBorders>
          </w:tcPr>
          <w:p w14:paraId="1138B19B" w14:textId="4A495656" w:rsidR="007D7E28" w:rsidRPr="00DF1884" w:rsidRDefault="007D7E28" w:rsidP="007D7E28">
            <w:pPr>
              <w:pStyle w:val="TableText"/>
              <w:jc w:val="center"/>
              <w:rPr>
                <w:rFonts w:cs="Arial"/>
                <w:sz w:val="24"/>
              </w:rPr>
            </w:pPr>
            <w:r w:rsidRPr="00DF1884">
              <w:rPr>
                <w:rFonts w:cs="Arial"/>
                <w:sz w:val="24"/>
              </w:rPr>
              <w:sym w:font="Wingdings" w:char="F0FC"/>
            </w:r>
          </w:p>
        </w:tc>
        <w:tc>
          <w:tcPr>
            <w:tcW w:w="1350" w:type="dxa"/>
            <w:tcBorders>
              <w:top w:val="single" w:sz="4" w:space="0" w:color="auto"/>
              <w:left w:val="single" w:sz="4" w:space="0" w:color="auto"/>
              <w:bottom w:val="single" w:sz="4" w:space="0" w:color="auto"/>
              <w:right w:val="single" w:sz="4" w:space="0" w:color="auto"/>
            </w:tcBorders>
          </w:tcPr>
          <w:p w14:paraId="470254DC" w14:textId="7A821048" w:rsidR="007D7E28" w:rsidRPr="00DF1884" w:rsidRDefault="007D7E28" w:rsidP="007D7E28">
            <w:pPr>
              <w:pStyle w:val="TableText"/>
              <w:jc w:val="center"/>
              <w:rPr>
                <w:rFonts w:cs="Arial"/>
                <w:sz w:val="24"/>
              </w:rPr>
            </w:pPr>
            <w:r w:rsidRPr="00DF1884">
              <w:rPr>
                <w:rFonts w:cs="Arial"/>
                <w:sz w:val="24"/>
              </w:rPr>
              <w:sym w:font="Wingdings" w:char="F0FC"/>
            </w:r>
          </w:p>
        </w:tc>
        <w:tc>
          <w:tcPr>
            <w:tcW w:w="1178" w:type="dxa"/>
            <w:tcBorders>
              <w:top w:val="single" w:sz="4" w:space="0" w:color="auto"/>
              <w:left w:val="single" w:sz="4" w:space="0" w:color="auto"/>
              <w:bottom w:val="single" w:sz="4" w:space="0" w:color="auto"/>
              <w:right w:val="single" w:sz="4" w:space="0" w:color="auto"/>
            </w:tcBorders>
          </w:tcPr>
          <w:p w14:paraId="3F7E55B0" w14:textId="77777777" w:rsidR="007D7E28" w:rsidRPr="00DF1884" w:rsidRDefault="007D7E28" w:rsidP="007D7E28">
            <w:pPr>
              <w:pStyle w:val="TableText"/>
              <w:jc w:val="center"/>
              <w:rPr>
                <w:rFonts w:cs="Arial"/>
                <w:sz w:val="24"/>
              </w:rPr>
            </w:pPr>
          </w:p>
        </w:tc>
        <w:tc>
          <w:tcPr>
            <w:tcW w:w="6475" w:type="dxa"/>
            <w:gridSpan w:val="2"/>
            <w:tcBorders>
              <w:top w:val="single" w:sz="4" w:space="0" w:color="auto"/>
              <w:left w:val="single" w:sz="4" w:space="0" w:color="auto"/>
              <w:bottom w:val="single" w:sz="4" w:space="0" w:color="auto"/>
              <w:right w:val="single" w:sz="6" w:space="0" w:color="auto"/>
            </w:tcBorders>
          </w:tcPr>
          <w:p w14:paraId="6CAA0BA3" w14:textId="40EF3A6C" w:rsidR="007D7E28" w:rsidRPr="00DF1884" w:rsidRDefault="00DE3F10" w:rsidP="00DE3F10">
            <w:pPr>
              <w:pStyle w:val="TableBullet"/>
            </w:pPr>
            <w:r>
              <w:t xml:space="preserve">Added “Numerator events by supplemental data” to the Data Elements for Reporting table to capture the number of members who met numerator criteria using supplemental data. </w:t>
            </w:r>
          </w:p>
        </w:tc>
      </w:tr>
    </w:tbl>
    <w:p w14:paraId="371F5244" w14:textId="77777777" w:rsidR="00904532" w:rsidRDefault="00904532">
      <w:pPr>
        <w:sectPr w:rsidR="00904532" w:rsidSect="0039781B">
          <w:headerReference w:type="even" r:id="rId35"/>
          <w:headerReference w:type="default" r:id="rId36"/>
          <w:footerReference w:type="even" r:id="rId37"/>
          <w:footerReference w:type="default" r:id="rId38"/>
          <w:pgSz w:w="15840" w:h="12240" w:orient="landscape" w:code="1"/>
          <w:pgMar w:top="1080" w:right="1080" w:bottom="1080" w:left="1440" w:header="720" w:footer="720" w:gutter="0"/>
          <w:cols w:space="720"/>
        </w:sectPr>
      </w:pP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57"/>
        <w:gridCol w:w="1260"/>
        <w:gridCol w:w="1350"/>
        <w:gridCol w:w="1178"/>
        <w:gridCol w:w="16"/>
        <w:gridCol w:w="6459"/>
      </w:tblGrid>
      <w:tr w:rsidR="00904532" w:rsidRPr="00DF1884" w14:paraId="5A923083" w14:textId="77777777" w:rsidTr="001123ED">
        <w:trPr>
          <w:cantSplit/>
        </w:trPr>
        <w:tc>
          <w:tcPr>
            <w:tcW w:w="3057" w:type="dxa"/>
            <w:vMerge w:val="restart"/>
            <w:tcBorders>
              <w:top w:val="single" w:sz="4" w:space="0" w:color="auto"/>
              <w:left w:val="single" w:sz="4" w:space="0" w:color="auto"/>
              <w:bottom w:val="single" w:sz="4" w:space="0" w:color="auto"/>
              <w:right w:val="single" w:sz="4" w:space="0" w:color="FFFFFF"/>
            </w:tcBorders>
            <w:shd w:val="clear" w:color="auto" w:fill="000000"/>
            <w:vAlign w:val="bottom"/>
          </w:tcPr>
          <w:p w14:paraId="388F3010" w14:textId="77777777" w:rsidR="00904532" w:rsidRPr="00DF1884" w:rsidRDefault="00904532" w:rsidP="001123ED">
            <w:pPr>
              <w:pStyle w:val="TableHead"/>
              <w:rPr>
                <w:color w:val="auto"/>
              </w:rPr>
            </w:pPr>
            <w:r w:rsidRPr="00DF1884">
              <w:rPr>
                <w:color w:val="auto"/>
              </w:rPr>
              <w:lastRenderedPageBreak/>
              <w:t>HEDIS 2016 Measures</w:t>
            </w:r>
          </w:p>
        </w:tc>
        <w:tc>
          <w:tcPr>
            <w:tcW w:w="3804" w:type="dxa"/>
            <w:gridSpan w:val="4"/>
            <w:tcBorders>
              <w:left w:val="nil"/>
              <w:bottom w:val="single" w:sz="4" w:space="0" w:color="FFFFFF"/>
              <w:right w:val="single" w:sz="4" w:space="0" w:color="FFFFFF"/>
            </w:tcBorders>
            <w:shd w:val="clear" w:color="auto" w:fill="000000"/>
          </w:tcPr>
          <w:p w14:paraId="6833B784" w14:textId="77777777" w:rsidR="00904532" w:rsidRPr="00DF1884" w:rsidRDefault="00904532" w:rsidP="001123ED">
            <w:pPr>
              <w:pStyle w:val="TableHead"/>
              <w:rPr>
                <w:color w:val="auto"/>
              </w:rPr>
            </w:pPr>
            <w:r w:rsidRPr="00DF1884">
              <w:rPr>
                <w:color w:val="auto"/>
              </w:rPr>
              <w:t>Applicable to:</w:t>
            </w:r>
          </w:p>
        </w:tc>
        <w:tc>
          <w:tcPr>
            <w:tcW w:w="6459" w:type="dxa"/>
            <w:vMerge w:val="restart"/>
            <w:tcBorders>
              <w:left w:val="nil"/>
              <w:bottom w:val="single" w:sz="4" w:space="0" w:color="auto"/>
            </w:tcBorders>
            <w:shd w:val="clear" w:color="auto" w:fill="000000"/>
            <w:vAlign w:val="bottom"/>
          </w:tcPr>
          <w:p w14:paraId="23143DC3" w14:textId="77777777" w:rsidR="00904532" w:rsidRPr="00DF1884" w:rsidRDefault="00904532" w:rsidP="001123ED">
            <w:pPr>
              <w:pStyle w:val="TableHead"/>
              <w:rPr>
                <w:color w:val="auto"/>
              </w:rPr>
            </w:pPr>
            <w:r w:rsidRPr="00DF1884">
              <w:rPr>
                <w:color w:val="auto"/>
              </w:rPr>
              <w:t>Changes to HEDIS 2016</w:t>
            </w:r>
          </w:p>
        </w:tc>
      </w:tr>
      <w:tr w:rsidR="00904532" w:rsidRPr="00DF1884" w14:paraId="5AEA6539" w14:textId="77777777" w:rsidTr="001123ED">
        <w:trPr>
          <w:cantSplit/>
        </w:trPr>
        <w:tc>
          <w:tcPr>
            <w:tcW w:w="3057" w:type="dxa"/>
            <w:vMerge/>
            <w:tcBorders>
              <w:top w:val="nil"/>
              <w:left w:val="single" w:sz="4" w:space="0" w:color="auto"/>
              <w:bottom w:val="single" w:sz="4" w:space="0" w:color="auto"/>
              <w:right w:val="single" w:sz="4" w:space="0" w:color="FFFFFF"/>
            </w:tcBorders>
          </w:tcPr>
          <w:p w14:paraId="355C0727" w14:textId="77777777" w:rsidR="00904532" w:rsidRPr="00DF1884" w:rsidRDefault="00904532" w:rsidP="001123ED">
            <w:pPr>
              <w:pStyle w:val="TableHead"/>
              <w:rPr>
                <w:color w:val="auto"/>
              </w:rPr>
            </w:pPr>
          </w:p>
        </w:tc>
        <w:tc>
          <w:tcPr>
            <w:tcW w:w="1260" w:type="dxa"/>
            <w:tcBorders>
              <w:top w:val="nil"/>
              <w:left w:val="nil"/>
              <w:bottom w:val="single" w:sz="4" w:space="0" w:color="auto"/>
              <w:right w:val="single" w:sz="4" w:space="0" w:color="FFFFFF"/>
            </w:tcBorders>
            <w:shd w:val="clear" w:color="auto" w:fill="000000"/>
          </w:tcPr>
          <w:p w14:paraId="268B3CC9" w14:textId="77777777" w:rsidR="00904532" w:rsidRPr="00DF1884" w:rsidRDefault="00904532" w:rsidP="001123ED">
            <w:pPr>
              <w:pStyle w:val="TableHead"/>
              <w:rPr>
                <w:color w:val="auto"/>
              </w:rPr>
            </w:pPr>
            <w:r w:rsidRPr="00DF1884">
              <w:rPr>
                <w:color w:val="auto"/>
              </w:rPr>
              <w:t>Commercial</w:t>
            </w:r>
          </w:p>
        </w:tc>
        <w:tc>
          <w:tcPr>
            <w:tcW w:w="1350" w:type="dxa"/>
            <w:tcBorders>
              <w:top w:val="nil"/>
              <w:left w:val="nil"/>
              <w:bottom w:val="single" w:sz="4" w:space="0" w:color="auto"/>
              <w:right w:val="single" w:sz="4" w:space="0" w:color="FFFFFF"/>
            </w:tcBorders>
            <w:shd w:val="clear" w:color="auto" w:fill="000000"/>
          </w:tcPr>
          <w:p w14:paraId="46A7A7C9" w14:textId="77777777" w:rsidR="00904532" w:rsidRPr="00DF1884" w:rsidRDefault="00904532" w:rsidP="001123ED">
            <w:pPr>
              <w:pStyle w:val="TableHead"/>
              <w:rPr>
                <w:color w:val="auto"/>
              </w:rPr>
            </w:pPr>
            <w:r w:rsidRPr="00DF1884">
              <w:rPr>
                <w:color w:val="auto"/>
              </w:rPr>
              <w:t>Medicaid</w:t>
            </w:r>
          </w:p>
        </w:tc>
        <w:tc>
          <w:tcPr>
            <w:tcW w:w="1194" w:type="dxa"/>
            <w:gridSpan w:val="2"/>
            <w:tcBorders>
              <w:top w:val="nil"/>
              <w:left w:val="nil"/>
              <w:bottom w:val="single" w:sz="4" w:space="0" w:color="auto"/>
              <w:right w:val="single" w:sz="4" w:space="0" w:color="FFFFFF"/>
            </w:tcBorders>
            <w:shd w:val="clear" w:color="auto" w:fill="000000"/>
          </w:tcPr>
          <w:p w14:paraId="28DCAFC6" w14:textId="77777777" w:rsidR="00904532" w:rsidRPr="00DF1884" w:rsidRDefault="00904532" w:rsidP="001123ED">
            <w:pPr>
              <w:pStyle w:val="TableHead"/>
              <w:rPr>
                <w:color w:val="auto"/>
              </w:rPr>
            </w:pPr>
            <w:r w:rsidRPr="00DF1884">
              <w:rPr>
                <w:color w:val="auto"/>
              </w:rPr>
              <w:t>Medicare</w:t>
            </w:r>
          </w:p>
        </w:tc>
        <w:tc>
          <w:tcPr>
            <w:tcW w:w="6459" w:type="dxa"/>
            <w:vMerge/>
            <w:tcBorders>
              <w:top w:val="nil"/>
              <w:left w:val="nil"/>
              <w:bottom w:val="single" w:sz="4" w:space="0" w:color="auto"/>
            </w:tcBorders>
            <w:vAlign w:val="bottom"/>
          </w:tcPr>
          <w:p w14:paraId="35500C08" w14:textId="77777777" w:rsidR="00904532" w:rsidRPr="00DF1884" w:rsidRDefault="00904532" w:rsidP="001123ED">
            <w:pPr>
              <w:pStyle w:val="TableHead2"/>
              <w:rPr>
                <w:color w:val="auto"/>
              </w:rPr>
            </w:pPr>
          </w:p>
        </w:tc>
      </w:tr>
      <w:tr w:rsidR="00904532" w:rsidRPr="00904532" w14:paraId="372F0E93" w14:textId="77777777" w:rsidTr="001123ED">
        <w:tc>
          <w:tcPr>
            <w:tcW w:w="13320" w:type="dxa"/>
            <w:gridSpan w:val="6"/>
            <w:tcBorders>
              <w:bottom w:val="single" w:sz="6" w:space="0" w:color="auto"/>
            </w:tcBorders>
            <w:shd w:val="clear" w:color="auto" w:fill="C0C0C0"/>
          </w:tcPr>
          <w:p w14:paraId="173068BE" w14:textId="3EFCC2B3" w:rsidR="00904532" w:rsidRPr="00904532" w:rsidRDefault="00904532" w:rsidP="001123ED">
            <w:pPr>
              <w:pStyle w:val="TableText2"/>
              <w:jc w:val="center"/>
              <w:rPr>
                <w:b/>
                <w:sz w:val="20"/>
                <w:szCs w:val="20"/>
              </w:rPr>
            </w:pPr>
            <w:r w:rsidRPr="00904532">
              <w:rPr>
                <w:b/>
                <w:sz w:val="20"/>
                <w:szCs w:val="20"/>
              </w:rPr>
              <w:t>EFFECTIVENESS OF CARE</w:t>
            </w:r>
          </w:p>
        </w:tc>
      </w:tr>
      <w:tr w:rsidR="007D7E28" w:rsidRPr="00DF1884" w14:paraId="235E3E2F" w14:textId="77777777" w:rsidTr="00C56CA6">
        <w:tc>
          <w:tcPr>
            <w:tcW w:w="3057" w:type="dxa"/>
            <w:tcBorders>
              <w:top w:val="single" w:sz="4" w:space="0" w:color="auto"/>
              <w:left w:val="single" w:sz="4" w:space="0" w:color="auto"/>
              <w:bottom w:val="single" w:sz="4" w:space="0" w:color="auto"/>
              <w:right w:val="single" w:sz="4" w:space="0" w:color="auto"/>
            </w:tcBorders>
          </w:tcPr>
          <w:p w14:paraId="782F46BE" w14:textId="0489C91D" w:rsidR="007D7E28" w:rsidRPr="00DF1884" w:rsidRDefault="007D7E28" w:rsidP="007D7E28">
            <w:pPr>
              <w:pStyle w:val="TableText"/>
            </w:pPr>
            <w:r w:rsidRPr="00DF1884">
              <w:t>Potentially Harmful Drug-Disease Interactions in the Elderly</w:t>
            </w:r>
          </w:p>
        </w:tc>
        <w:tc>
          <w:tcPr>
            <w:tcW w:w="1260" w:type="dxa"/>
            <w:tcBorders>
              <w:top w:val="single" w:sz="4" w:space="0" w:color="auto"/>
              <w:left w:val="single" w:sz="4" w:space="0" w:color="auto"/>
              <w:bottom w:val="single" w:sz="4" w:space="0" w:color="auto"/>
              <w:right w:val="single" w:sz="4" w:space="0" w:color="auto"/>
            </w:tcBorders>
          </w:tcPr>
          <w:p w14:paraId="48B9E401" w14:textId="77777777" w:rsidR="007D7E28" w:rsidRPr="00DF1884" w:rsidRDefault="007D7E28" w:rsidP="007D7E28">
            <w:pPr>
              <w:pStyle w:val="TableText"/>
              <w:jc w:val="center"/>
              <w:rPr>
                <w:rFonts w:cs="Arial"/>
                <w:sz w:val="24"/>
              </w:rPr>
            </w:pPr>
          </w:p>
        </w:tc>
        <w:tc>
          <w:tcPr>
            <w:tcW w:w="1350" w:type="dxa"/>
            <w:tcBorders>
              <w:top w:val="single" w:sz="4" w:space="0" w:color="auto"/>
              <w:left w:val="single" w:sz="4" w:space="0" w:color="auto"/>
              <w:bottom w:val="single" w:sz="4" w:space="0" w:color="auto"/>
              <w:right w:val="single" w:sz="4" w:space="0" w:color="auto"/>
            </w:tcBorders>
          </w:tcPr>
          <w:p w14:paraId="1E6CD34E" w14:textId="77777777" w:rsidR="007D7E28" w:rsidRPr="00DF1884" w:rsidRDefault="007D7E28" w:rsidP="007D7E28">
            <w:pPr>
              <w:pStyle w:val="TableText"/>
              <w:jc w:val="center"/>
              <w:rPr>
                <w:rFonts w:cs="Arial"/>
                <w:sz w:val="24"/>
              </w:rPr>
            </w:pPr>
          </w:p>
        </w:tc>
        <w:tc>
          <w:tcPr>
            <w:tcW w:w="1178" w:type="dxa"/>
            <w:tcBorders>
              <w:top w:val="single" w:sz="4" w:space="0" w:color="auto"/>
              <w:left w:val="single" w:sz="4" w:space="0" w:color="auto"/>
              <w:bottom w:val="single" w:sz="4" w:space="0" w:color="auto"/>
              <w:right w:val="single" w:sz="4" w:space="0" w:color="auto"/>
            </w:tcBorders>
          </w:tcPr>
          <w:p w14:paraId="4FF3221D" w14:textId="77777777" w:rsidR="007D7E28" w:rsidRPr="00DF1884" w:rsidRDefault="007D7E28" w:rsidP="007D7E28">
            <w:pPr>
              <w:pStyle w:val="TableText"/>
              <w:jc w:val="center"/>
              <w:rPr>
                <w:rFonts w:cs="Arial"/>
                <w:sz w:val="24"/>
              </w:rPr>
            </w:pPr>
            <w:r w:rsidRPr="00DF1884">
              <w:rPr>
                <w:rFonts w:cs="Arial"/>
                <w:sz w:val="24"/>
              </w:rPr>
              <w:sym w:font="Wingdings" w:char="F0FC"/>
            </w:r>
          </w:p>
        </w:tc>
        <w:tc>
          <w:tcPr>
            <w:tcW w:w="6475" w:type="dxa"/>
            <w:gridSpan w:val="2"/>
            <w:tcBorders>
              <w:top w:val="single" w:sz="4" w:space="0" w:color="auto"/>
              <w:left w:val="single" w:sz="4" w:space="0" w:color="auto"/>
              <w:bottom w:val="single" w:sz="4" w:space="0" w:color="auto"/>
              <w:right w:val="single" w:sz="6" w:space="0" w:color="auto"/>
            </w:tcBorders>
          </w:tcPr>
          <w:p w14:paraId="05650EBF" w14:textId="77777777" w:rsidR="004D6D41" w:rsidRPr="00061CC8" w:rsidRDefault="004D6D41" w:rsidP="004D6D41">
            <w:pPr>
              <w:pStyle w:val="TableBullet"/>
              <w:rPr>
                <w:i/>
              </w:rPr>
            </w:pPr>
            <w:r>
              <w:t>Revised the method and value sets to identify acute and nonacute inpatient discharges for step 1 of the Rate 1 additional eligible population criteria.</w:t>
            </w:r>
          </w:p>
          <w:p w14:paraId="10F36D70" w14:textId="77777777" w:rsidR="004D6D41" w:rsidRPr="0097763C" w:rsidRDefault="004D6D41" w:rsidP="004D6D41">
            <w:pPr>
              <w:pStyle w:val="TableBullet"/>
              <w:rPr>
                <w:i/>
              </w:rPr>
            </w:pPr>
            <w:r>
              <w:t xml:space="preserve">Added </w:t>
            </w:r>
            <w:r w:rsidRPr="005F6CAB">
              <w:rPr>
                <w:u w:val="single"/>
              </w:rPr>
              <w:t>Other Bipolar Disorder Value Set</w:t>
            </w:r>
            <w:r>
              <w:t xml:space="preserve"> to step 2: required exclusions for Rate 1 and Rate 2. </w:t>
            </w:r>
          </w:p>
          <w:p w14:paraId="3D709704" w14:textId="0B84EF80" w:rsidR="007D7E28" w:rsidRPr="00DF1884" w:rsidRDefault="004D6D41" w:rsidP="004D6D41">
            <w:pPr>
              <w:pStyle w:val="TableBullet"/>
            </w:pPr>
            <w:r>
              <w:t xml:space="preserve">Added “Numerator events by supplemental data” to the Data Elements for Reporting table to capture the number of members who met numerator criteria using supplemental data. </w:t>
            </w:r>
          </w:p>
        </w:tc>
      </w:tr>
      <w:tr w:rsidR="007D7E28" w:rsidRPr="00DF1884" w14:paraId="47112687" w14:textId="77777777" w:rsidTr="00C56CA6">
        <w:tc>
          <w:tcPr>
            <w:tcW w:w="3057" w:type="dxa"/>
            <w:tcBorders>
              <w:top w:val="nil"/>
              <w:left w:val="single" w:sz="4" w:space="0" w:color="auto"/>
              <w:bottom w:val="single" w:sz="4" w:space="0" w:color="auto"/>
              <w:right w:val="single" w:sz="4" w:space="0" w:color="auto"/>
            </w:tcBorders>
          </w:tcPr>
          <w:p w14:paraId="718460B8" w14:textId="7654A0E8" w:rsidR="007D7E28" w:rsidRPr="00DF1884" w:rsidRDefault="007D7E28" w:rsidP="007D7E28">
            <w:pPr>
              <w:pStyle w:val="TableText"/>
            </w:pPr>
            <w:r w:rsidRPr="00DF1884">
              <w:t>Use of High-Risk Medications in the Elderly</w:t>
            </w:r>
          </w:p>
        </w:tc>
        <w:tc>
          <w:tcPr>
            <w:tcW w:w="1260" w:type="dxa"/>
            <w:tcBorders>
              <w:top w:val="nil"/>
              <w:left w:val="single" w:sz="4" w:space="0" w:color="auto"/>
              <w:bottom w:val="single" w:sz="4" w:space="0" w:color="auto"/>
              <w:right w:val="single" w:sz="4" w:space="0" w:color="auto"/>
            </w:tcBorders>
          </w:tcPr>
          <w:p w14:paraId="7E7F7644" w14:textId="77777777" w:rsidR="007D7E28" w:rsidRPr="00DF1884" w:rsidRDefault="007D7E28" w:rsidP="007D7E28">
            <w:pPr>
              <w:pStyle w:val="TableText"/>
              <w:jc w:val="center"/>
              <w:rPr>
                <w:rFonts w:cs="Arial"/>
                <w:sz w:val="24"/>
              </w:rPr>
            </w:pPr>
          </w:p>
        </w:tc>
        <w:tc>
          <w:tcPr>
            <w:tcW w:w="1350" w:type="dxa"/>
            <w:tcBorders>
              <w:top w:val="nil"/>
              <w:left w:val="single" w:sz="4" w:space="0" w:color="auto"/>
              <w:bottom w:val="single" w:sz="4" w:space="0" w:color="auto"/>
              <w:right w:val="single" w:sz="4" w:space="0" w:color="auto"/>
            </w:tcBorders>
          </w:tcPr>
          <w:p w14:paraId="7AE8FF9E" w14:textId="77777777" w:rsidR="007D7E28" w:rsidRPr="00DF1884" w:rsidRDefault="007D7E28" w:rsidP="007D7E28">
            <w:pPr>
              <w:pStyle w:val="TableText"/>
              <w:jc w:val="center"/>
              <w:rPr>
                <w:rFonts w:cs="Arial"/>
                <w:sz w:val="24"/>
              </w:rPr>
            </w:pPr>
          </w:p>
        </w:tc>
        <w:tc>
          <w:tcPr>
            <w:tcW w:w="1178" w:type="dxa"/>
            <w:tcBorders>
              <w:top w:val="nil"/>
              <w:left w:val="single" w:sz="4" w:space="0" w:color="auto"/>
              <w:bottom w:val="single" w:sz="4" w:space="0" w:color="auto"/>
              <w:right w:val="single" w:sz="4" w:space="0" w:color="auto"/>
            </w:tcBorders>
          </w:tcPr>
          <w:p w14:paraId="57A34669" w14:textId="77777777" w:rsidR="007D7E28" w:rsidRPr="00DF1884" w:rsidRDefault="007D7E28" w:rsidP="007D7E28">
            <w:pPr>
              <w:pStyle w:val="TableText"/>
              <w:jc w:val="center"/>
              <w:rPr>
                <w:rFonts w:cs="Arial"/>
                <w:sz w:val="24"/>
              </w:rPr>
            </w:pPr>
            <w:r w:rsidRPr="00DF1884">
              <w:rPr>
                <w:rFonts w:cs="Arial"/>
                <w:sz w:val="24"/>
              </w:rPr>
              <w:sym w:font="Wingdings" w:char="F0FC"/>
            </w:r>
          </w:p>
        </w:tc>
        <w:tc>
          <w:tcPr>
            <w:tcW w:w="6475" w:type="dxa"/>
            <w:gridSpan w:val="2"/>
            <w:tcBorders>
              <w:top w:val="nil"/>
              <w:left w:val="single" w:sz="4" w:space="0" w:color="auto"/>
              <w:bottom w:val="single" w:sz="4" w:space="0" w:color="auto"/>
              <w:right w:val="single" w:sz="4" w:space="0" w:color="auto"/>
            </w:tcBorders>
          </w:tcPr>
          <w:p w14:paraId="2DD10748" w14:textId="60F5C4CF" w:rsidR="007D7E28" w:rsidRPr="00DF1884" w:rsidRDefault="004D6D41" w:rsidP="004D6D41">
            <w:pPr>
              <w:pStyle w:val="TableBullet"/>
            </w:pPr>
            <w:r>
              <w:t xml:space="preserve">Added “Numerator events by supplemental data” to the Data Elements for Reporting table to capture the number of members who met numerator criteria using supplemental data. </w:t>
            </w:r>
          </w:p>
        </w:tc>
      </w:tr>
      <w:tr w:rsidR="007D7E28" w:rsidRPr="00DF1884" w14:paraId="5D01FDB1" w14:textId="77777777" w:rsidTr="00C56CA6">
        <w:tc>
          <w:tcPr>
            <w:tcW w:w="3057" w:type="dxa"/>
          </w:tcPr>
          <w:p w14:paraId="77FFECEB" w14:textId="6C09B74C" w:rsidR="007D7E28" w:rsidRPr="00DF1884" w:rsidRDefault="007D7E28" w:rsidP="007D7E28">
            <w:pPr>
              <w:pStyle w:val="TableText"/>
            </w:pPr>
            <w:r w:rsidRPr="00DF1884">
              <w:t>Medicare Health Outcomes Survey</w:t>
            </w:r>
          </w:p>
        </w:tc>
        <w:tc>
          <w:tcPr>
            <w:tcW w:w="1260" w:type="dxa"/>
            <w:vAlign w:val="center"/>
          </w:tcPr>
          <w:p w14:paraId="3030F872" w14:textId="77777777" w:rsidR="007D7E28" w:rsidRPr="00DF1884" w:rsidRDefault="007D7E28" w:rsidP="007D7E28">
            <w:pPr>
              <w:pStyle w:val="TableText"/>
              <w:jc w:val="center"/>
              <w:rPr>
                <w:rFonts w:cs="Arial"/>
                <w:sz w:val="24"/>
              </w:rPr>
            </w:pPr>
          </w:p>
        </w:tc>
        <w:tc>
          <w:tcPr>
            <w:tcW w:w="1350" w:type="dxa"/>
            <w:vAlign w:val="center"/>
          </w:tcPr>
          <w:p w14:paraId="61B7F7AB" w14:textId="77777777" w:rsidR="007D7E28" w:rsidRPr="00DF1884" w:rsidRDefault="007D7E28" w:rsidP="007D7E28">
            <w:pPr>
              <w:pStyle w:val="TableText"/>
              <w:jc w:val="center"/>
              <w:rPr>
                <w:rFonts w:cs="Arial"/>
                <w:sz w:val="24"/>
              </w:rPr>
            </w:pPr>
          </w:p>
        </w:tc>
        <w:tc>
          <w:tcPr>
            <w:tcW w:w="1178" w:type="dxa"/>
          </w:tcPr>
          <w:p w14:paraId="69A5352F" w14:textId="77777777" w:rsidR="007D7E28" w:rsidRPr="00DF1884" w:rsidRDefault="007D7E28" w:rsidP="007D7E28">
            <w:pPr>
              <w:pStyle w:val="TableText"/>
              <w:jc w:val="center"/>
              <w:rPr>
                <w:rFonts w:cs="Arial"/>
                <w:sz w:val="24"/>
              </w:rPr>
            </w:pPr>
            <w:r w:rsidRPr="00DF1884">
              <w:rPr>
                <w:rFonts w:cs="Arial"/>
                <w:sz w:val="24"/>
              </w:rPr>
              <w:sym w:font="Wingdings" w:char="F0FC"/>
            </w:r>
          </w:p>
        </w:tc>
        <w:tc>
          <w:tcPr>
            <w:tcW w:w="6475" w:type="dxa"/>
            <w:gridSpan w:val="2"/>
          </w:tcPr>
          <w:p w14:paraId="01F632A8" w14:textId="0F0106DA" w:rsidR="007D7E28" w:rsidRPr="00DF1884" w:rsidRDefault="007D7E28" w:rsidP="007D7E28">
            <w:pPr>
              <w:pStyle w:val="TableBullet"/>
            </w:pPr>
            <w:r w:rsidRPr="00DF1884">
              <w:t xml:space="preserve">This measure is collected using survey methodology. Detailed specifications and summary of changes are contained </w:t>
            </w:r>
            <w:r w:rsidRPr="00DF1884">
              <w:rPr>
                <w:szCs w:val="20"/>
              </w:rPr>
              <w:t xml:space="preserve">in </w:t>
            </w:r>
            <w:r w:rsidRPr="00DF1884">
              <w:rPr>
                <w:i/>
                <w:szCs w:val="20"/>
              </w:rPr>
              <w:t xml:space="preserve">HEDIS </w:t>
            </w:r>
            <w:r w:rsidRPr="00DF1884">
              <w:rPr>
                <w:i/>
                <w:smallCaps/>
                <w:szCs w:val="20"/>
              </w:rPr>
              <w:t>2016</w:t>
            </w:r>
            <w:r w:rsidRPr="00DF1884">
              <w:rPr>
                <w:i/>
                <w:szCs w:val="20"/>
              </w:rPr>
              <w:t>, Volume 6: Specifications for the Medicare Health Outcomes Survey</w:t>
            </w:r>
            <w:r w:rsidRPr="00DF1884">
              <w:t>.</w:t>
            </w:r>
          </w:p>
        </w:tc>
      </w:tr>
      <w:tr w:rsidR="007D7E28" w:rsidRPr="00DF1884" w14:paraId="331F9AF6" w14:textId="77777777" w:rsidTr="00C56CA6">
        <w:tc>
          <w:tcPr>
            <w:tcW w:w="3057" w:type="dxa"/>
          </w:tcPr>
          <w:p w14:paraId="306E6504" w14:textId="67551BCE" w:rsidR="007D7E28" w:rsidRPr="00DF1884" w:rsidRDefault="007D7E28" w:rsidP="007D7E28">
            <w:pPr>
              <w:pStyle w:val="TableText"/>
            </w:pPr>
            <w:r w:rsidRPr="00DF1884">
              <w:t>Fall Risk Management</w:t>
            </w:r>
          </w:p>
        </w:tc>
        <w:tc>
          <w:tcPr>
            <w:tcW w:w="1260" w:type="dxa"/>
            <w:vAlign w:val="center"/>
          </w:tcPr>
          <w:p w14:paraId="162622A6" w14:textId="77777777" w:rsidR="007D7E28" w:rsidRPr="00DF1884" w:rsidRDefault="007D7E28" w:rsidP="007D7E28">
            <w:pPr>
              <w:pStyle w:val="TableText"/>
              <w:jc w:val="center"/>
              <w:rPr>
                <w:rFonts w:cs="Arial"/>
                <w:sz w:val="24"/>
              </w:rPr>
            </w:pPr>
          </w:p>
        </w:tc>
        <w:tc>
          <w:tcPr>
            <w:tcW w:w="1350" w:type="dxa"/>
            <w:vAlign w:val="center"/>
          </w:tcPr>
          <w:p w14:paraId="500BE5C3" w14:textId="77777777" w:rsidR="007D7E28" w:rsidRPr="00DF1884" w:rsidRDefault="007D7E28" w:rsidP="007D7E28">
            <w:pPr>
              <w:pStyle w:val="TableText"/>
              <w:jc w:val="center"/>
              <w:rPr>
                <w:rFonts w:cs="Arial"/>
                <w:sz w:val="24"/>
              </w:rPr>
            </w:pPr>
          </w:p>
        </w:tc>
        <w:tc>
          <w:tcPr>
            <w:tcW w:w="1178" w:type="dxa"/>
          </w:tcPr>
          <w:p w14:paraId="737A512A" w14:textId="77777777" w:rsidR="007D7E28" w:rsidRPr="00DF1884" w:rsidRDefault="007D7E28" w:rsidP="007D7E28">
            <w:pPr>
              <w:pStyle w:val="TableText"/>
              <w:jc w:val="center"/>
              <w:rPr>
                <w:rFonts w:cs="Arial"/>
                <w:sz w:val="24"/>
              </w:rPr>
            </w:pPr>
            <w:r w:rsidRPr="00DF1884">
              <w:rPr>
                <w:rFonts w:cs="Arial"/>
                <w:sz w:val="24"/>
              </w:rPr>
              <w:sym w:font="Wingdings" w:char="F0FC"/>
            </w:r>
          </w:p>
        </w:tc>
        <w:tc>
          <w:tcPr>
            <w:tcW w:w="6475" w:type="dxa"/>
            <w:gridSpan w:val="2"/>
          </w:tcPr>
          <w:p w14:paraId="3688A49B" w14:textId="19CF1CD9" w:rsidR="007D7E28" w:rsidRPr="00DF1884" w:rsidRDefault="007D7E28" w:rsidP="007D7E28">
            <w:pPr>
              <w:pStyle w:val="TableBullet"/>
            </w:pPr>
            <w:r w:rsidRPr="00DF1884">
              <w:t xml:space="preserve">This measure is collected using survey methodology. Detailed specifications and summary of changes are contained in </w:t>
            </w:r>
            <w:r w:rsidRPr="00DF1884">
              <w:rPr>
                <w:i/>
              </w:rPr>
              <w:t>HEDIS 2016, Volume 6: Specifications for the Medicare Health Outcomes Survey.</w:t>
            </w:r>
          </w:p>
        </w:tc>
      </w:tr>
      <w:tr w:rsidR="007D7E28" w:rsidRPr="00DF1884" w14:paraId="680338C5" w14:textId="77777777" w:rsidTr="00C56CA6">
        <w:tc>
          <w:tcPr>
            <w:tcW w:w="3057" w:type="dxa"/>
          </w:tcPr>
          <w:p w14:paraId="5E88A23D" w14:textId="2642865F" w:rsidR="007D7E28" w:rsidRPr="00DF1884" w:rsidRDefault="007D7E28" w:rsidP="007D7E28">
            <w:pPr>
              <w:pStyle w:val="TableText"/>
            </w:pPr>
            <w:r w:rsidRPr="00DF1884">
              <w:t>Management of Urinary Incontinence in Older Adults</w:t>
            </w:r>
          </w:p>
        </w:tc>
        <w:tc>
          <w:tcPr>
            <w:tcW w:w="1260" w:type="dxa"/>
            <w:vAlign w:val="center"/>
          </w:tcPr>
          <w:p w14:paraId="3AC4D3F4" w14:textId="77777777" w:rsidR="007D7E28" w:rsidRPr="00DF1884" w:rsidRDefault="007D7E28" w:rsidP="007D7E28">
            <w:pPr>
              <w:pStyle w:val="TableText"/>
              <w:jc w:val="center"/>
              <w:rPr>
                <w:rFonts w:cs="Arial"/>
                <w:sz w:val="24"/>
              </w:rPr>
            </w:pPr>
          </w:p>
        </w:tc>
        <w:tc>
          <w:tcPr>
            <w:tcW w:w="1350" w:type="dxa"/>
            <w:vAlign w:val="center"/>
          </w:tcPr>
          <w:p w14:paraId="2C0410A8" w14:textId="77777777" w:rsidR="007D7E28" w:rsidRPr="00DF1884" w:rsidRDefault="007D7E28" w:rsidP="007D7E28">
            <w:pPr>
              <w:pStyle w:val="TableText"/>
              <w:jc w:val="center"/>
              <w:rPr>
                <w:rFonts w:cs="Arial"/>
                <w:sz w:val="24"/>
              </w:rPr>
            </w:pPr>
          </w:p>
        </w:tc>
        <w:tc>
          <w:tcPr>
            <w:tcW w:w="1178" w:type="dxa"/>
          </w:tcPr>
          <w:p w14:paraId="32FFCEC7" w14:textId="77777777" w:rsidR="007D7E28" w:rsidRPr="00DF1884" w:rsidRDefault="007D7E28" w:rsidP="007D7E28">
            <w:pPr>
              <w:pStyle w:val="TableText"/>
              <w:jc w:val="center"/>
              <w:rPr>
                <w:rFonts w:cs="Arial"/>
                <w:sz w:val="24"/>
              </w:rPr>
            </w:pPr>
            <w:r w:rsidRPr="00DF1884">
              <w:rPr>
                <w:rFonts w:cs="Arial"/>
                <w:sz w:val="24"/>
              </w:rPr>
              <w:sym w:font="Wingdings" w:char="F0FC"/>
            </w:r>
          </w:p>
        </w:tc>
        <w:tc>
          <w:tcPr>
            <w:tcW w:w="6475" w:type="dxa"/>
            <w:gridSpan w:val="2"/>
          </w:tcPr>
          <w:p w14:paraId="1AAC88A7" w14:textId="1E240832" w:rsidR="007D7E28" w:rsidRPr="00DF1884" w:rsidRDefault="007D7E28" w:rsidP="007D7E28">
            <w:pPr>
              <w:pStyle w:val="TableBullet"/>
            </w:pPr>
            <w:r w:rsidRPr="00DF1884">
              <w:t xml:space="preserve">This measure is collected using survey methodology. Detailed specifications and summary of changes are contained in </w:t>
            </w:r>
            <w:r w:rsidRPr="00DF1884">
              <w:rPr>
                <w:i/>
              </w:rPr>
              <w:t>HEDIS 2016, Volume 6: Specifications for the Medicare Health Outcomes Survey.</w:t>
            </w:r>
          </w:p>
        </w:tc>
      </w:tr>
      <w:tr w:rsidR="007D7E28" w:rsidRPr="00DF1884" w14:paraId="4B931C81" w14:textId="77777777" w:rsidTr="00C56CA6">
        <w:tc>
          <w:tcPr>
            <w:tcW w:w="3057" w:type="dxa"/>
          </w:tcPr>
          <w:p w14:paraId="5EA5D00E" w14:textId="1C97147B" w:rsidR="007D7E28" w:rsidRPr="00DF1884" w:rsidRDefault="007D7E28" w:rsidP="007D7E28">
            <w:pPr>
              <w:pStyle w:val="TableText"/>
            </w:pPr>
            <w:r w:rsidRPr="00DF1884">
              <w:t>Osteoporosis Testing in Older Women</w:t>
            </w:r>
          </w:p>
        </w:tc>
        <w:tc>
          <w:tcPr>
            <w:tcW w:w="1260" w:type="dxa"/>
          </w:tcPr>
          <w:p w14:paraId="1A2B97E8" w14:textId="77777777" w:rsidR="007D7E28" w:rsidRPr="00DF1884" w:rsidRDefault="007D7E28" w:rsidP="007D7E28">
            <w:pPr>
              <w:pStyle w:val="TableText"/>
              <w:jc w:val="center"/>
              <w:rPr>
                <w:rFonts w:cs="Arial"/>
                <w:sz w:val="24"/>
              </w:rPr>
            </w:pPr>
          </w:p>
        </w:tc>
        <w:tc>
          <w:tcPr>
            <w:tcW w:w="1350" w:type="dxa"/>
          </w:tcPr>
          <w:p w14:paraId="156F6B90" w14:textId="77777777" w:rsidR="007D7E28" w:rsidRPr="00DF1884" w:rsidRDefault="007D7E28" w:rsidP="007D7E28">
            <w:pPr>
              <w:pStyle w:val="TableText"/>
              <w:jc w:val="center"/>
              <w:rPr>
                <w:rFonts w:cs="Arial"/>
                <w:sz w:val="24"/>
              </w:rPr>
            </w:pPr>
          </w:p>
        </w:tc>
        <w:tc>
          <w:tcPr>
            <w:tcW w:w="1178" w:type="dxa"/>
          </w:tcPr>
          <w:p w14:paraId="6E7E2357" w14:textId="77777777" w:rsidR="007D7E28" w:rsidRPr="00DF1884" w:rsidRDefault="007D7E28" w:rsidP="007D7E28">
            <w:pPr>
              <w:pStyle w:val="TableText"/>
              <w:jc w:val="center"/>
              <w:rPr>
                <w:rFonts w:cs="Arial"/>
                <w:sz w:val="24"/>
              </w:rPr>
            </w:pPr>
            <w:r w:rsidRPr="00DF1884">
              <w:rPr>
                <w:rFonts w:cs="Arial"/>
                <w:sz w:val="24"/>
              </w:rPr>
              <w:sym w:font="Wingdings" w:char="F0FC"/>
            </w:r>
          </w:p>
        </w:tc>
        <w:tc>
          <w:tcPr>
            <w:tcW w:w="6475" w:type="dxa"/>
            <w:gridSpan w:val="2"/>
          </w:tcPr>
          <w:p w14:paraId="781EAB00" w14:textId="2F1E34B7" w:rsidR="007D7E28" w:rsidRPr="00DF1884" w:rsidRDefault="007D7E28" w:rsidP="007D7E28">
            <w:pPr>
              <w:pStyle w:val="TableBullet"/>
            </w:pPr>
            <w:r w:rsidRPr="00DF1884">
              <w:t xml:space="preserve">This measure is collected using survey methodology. Detailed specifications and summary of changes are contained in </w:t>
            </w:r>
            <w:r w:rsidRPr="00DF1884">
              <w:rPr>
                <w:i/>
              </w:rPr>
              <w:t>HEDIS 2016, Volume 6: Specifications for the Medicare Health Outcomes Survey.</w:t>
            </w:r>
          </w:p>
        </w:tc>
      </w:tr>
      <w:tr w:rsidR="007D7E28" w:rsidRPr="00DF1884" w14:paraId="360A91BF" w14:textId="77777777" w:rsidTr="00C56CA6">
        <w:tc>
          <w:tcPr>
            <w:tcW w:w="3057" w:type="dxa"/>
          </w:tcPr>
          <w:p w14:paraId="65B9644B" w14:textId="37F8D885" w:rsidR="007D7E28" w:rsidRPr="00DF1884" w:rsidRDefault="007D7E28" w:rsidP="007D7E28">
            <w:pPr>
              <w:pStyle w:val="TableText"/>
            </w:pPr>
            <w:r w:rsidRPr="00DF1884">
              <w:t>Physical Activity in Older Adults</w:t>
            </w:r>
          </w:p>
        </w:tc>
        <w:tc>
          <w:tcPr>
            <w:tcW w:w="1260" w:type="dxa"/>
          </w:tcPr>
          <w:p w14:paraId="14496C83" w14:textId="77777777" w:rsidR="007D7E28" w:rsidRPr="00DF1884" w:rsidRDefault="007D7E28" w:rsidP="007D7E28">
            <w:pPr>
              <w:pStyle w:val="TableText"/>
              <w:jc w:val="center"/>
              <w:rPr>
                <w:rFonts w:cs="Arial"/>
                <w:sz w:val="24"/>
              </w:rPr>
            </w:pPr>
          </w:p>
        </w:tc>
        <w:tc>
          <w:tcPr>
            <w:tcW w:w="1350" w:type="dxa"/>
          </w:tcPr>
          <w:p w14:paraId="5FD49A35" w14:textId="77777777" w:rsidR="007D7E28" w:rsidRPr="00DF1884" w:rsidRDefault="007D7E28" w:rsidP="007D7E28">
            <w:pPr>
              <w:pStyle w:val="TableText"/>
              <w:jc w:val="center"/>
              <w:rPr>
                <w:rFonts w:cs="Arial"/>
                <w:sz w:val="24"/>
              </w:rPr>
            </w:pPr>
          </w:p>
        </w:tc>
        <w:tc>
          <w:tcPr>
            <w:tcW w:w="1178" w:type="dxa"/>
          </w:tcPr>
          <w:p w14:paraId="7A2CBB11" w14:textId="77777777" w:rsidR="007D7E28" w:rsidRPr="00DF1884" w:rsidRDefault="007D7E28" w:rsidP="007D7E28">
            <w:pPr>
              <w:pStyle w:val="TableText"/>
              <w:jc w:val="center"/>
              <w:rPr>
                <w:rFonts w:cs="Arial"/>
                <w:sz w:val="24"/>
              </w:rPr>
            </w:pPr>
            <w:r w:rsidRPr="00DF1884">
              <w:rPr>
                <w:rFonts w:cs="Arial"/>
                <w:sz w:val="24"/>
              </w:rPr>
              <w:sym w:font="Wingdings" w:char="F0FC"/>
            </w:r>
          </w:p>
        </w:tc>
        <w:tc>
          <w:tcPr>
            <w:tcW w:w="6475" w:type="dxa"/>
            <w:gridSpan w:val="2"/>
          </w:tcPr>
          <w:p w14:paraId="211176E2" w14:textId="06FF017A" w:rsidR="007D7E28" w:rsidRPr="00DF1884" w:rsidRDefault="007D7E28" w:rsidP="007D7E28">
            <w:pPr>
              <w:pStyle w:val="TableBullet"/>
            </w:pPr>
            <w:r w:rsidRPr="00DF1884">
              <w:t xml:space="preserve">This measure is collected using survey methodology. Detailed specifications and summary of changes are contained in </w:t>
            </w:r>
            <w:r w:rsidRPr="00DF1884">
              <w:rPr>
                <w:i/>
              </w:rPr>
              <w:t>HEDIS 2016, Volume 6: Specifications for the Medicare Health Outcomes Survey.</w:t>
            </w:r>
          </w:p>
        </w:tc>
      </w:tr>
      <w:tr w:rsidR="007D7E28" w:rsidRPr="00DF1884" w14:paraId="125A7422" w14:textId="77777777" w:rsidTr="00C56CA6">
        <w:tc>
          <w:tcPr>
            <w:tcW w:w="3057" w:type="dxa"/>
          </w:tcPr>
          <w:p w14:paraId="4E861777" w14:textId="047B8C47" w:rsidR="007D7E28" w:rsidRPr="00DF1884" w:rsidRDefault="007D7E28" w:rsidP="007D7E28">
            <w:pPr>
              <w:pStyle w:val="TableText"/>
            </w:pPr>
            <w:r w:rsidRPr="00DF1884">
              <w:t>Aspirin Use and Discussion</w:t>
            </w:r>
          </w:p>
        </w:tc>
        <w:tc>
          <w:tcPr>
            <w:tcW w:w="1260" w:type="dxa"/>
          </w:tcPr>
          <w:p w14:paraId="093F0A39" w14:textId="77777777" w:rsidR="007D7E28" w:rsidRPr="00DF1884" w:rsidRDefault="007D7E28" w:rsidP="007D7E28">
            <w:pPr>
              <w:pStyle w:val="TableText"/>
              <w:jc w:val="center"/>
              <w:rPr>
                <w:rFonts w:cs="Arial"/>
                <w:sz w:val="24"/>
              </w:rPr>
            </w:pPr>
            <w:r w:rsidRPr="00DF1884">
              <w:rPr>
                <w:rFonts w:cs="Arial"/>
                <w:sz w:val="24"/>
              </w:rPr>
              <w:sym w:font="Wingdings" w:char="F0FC"/>
            </w:r>
          </w:p>
        </w:tc>
        <w:tc>
          <w:tcPr>
            <w:tcW w:w="1350" w:type="dxa"/>
          </w:tcPr>
          <w:p w14:paraId="5277E5F4" w14:textId="77777777" w:rsidR="007D7E28" w:rsidRPr="00DF1884" w:rsidRDefault="007D7E28" w:rsidP="007D7E28">
            <w:pPr>
              <w:pStyle w:val="TableText"/>
              <w:jc w:val="center"/>
              <w:rPr>
                <w:rFonts w:cs="Arial"/>
                <w:sz w:val="24"/>
              </w:rPr>
            </w:pPr>
            <w:r w:rsidRPr="00DF1884">
              <w:rPr>
                <w:rFonts w:cs="Arial"/>
                <w:sz w:val="24"/>
              </w:rPr>
              <w:sym w:font="Wingdings" w:char="F0FC"/>
            </w:r>
          </w:p>
        </w:tc>
        <w:tc>
          <w:tcPr>
            <w:tcW w:w="1178" w:type="dxa"/>
          </w:tcPr>
          <w:p w14:paraId="5CBD92C9" w14:textId="77777777" w:rsidR="007D7E28" w:rsidRPr="00DF1884" w:rsidRDefault="007D7E28" w:rsidP="007D7E28">
            <w:pPr>
              <w:pStyle w:val="TableText"/>
              <w:jc w:val="center"/>
              <w:rPr>
                <w:rFonts w:cs="Arial"/>
                <w:sz w:val="24"/>
              </w:rPr>
            </w:pPr>
          </w:p>
        </w:tc>
        <w:tc>
          <w:tcPr>
            <w:tcW w:w="6475" w:type="dxa"/>
            <w:gridSpan w:val="2"/>
          </w:tcPr>
          <w:p w14:paraId="6FB51E5B" w14:textId="1C89D83D" w:rsidR="007D7E28" w:rsidRPr="00DF1884" w:rsidRDefault="007D7E28" w:rsidP="007D7E28">
            <w:pPr>
              <w:pStyle w:val="TableBullet"/>
            </w:pPr>
            <w:r w:rsidRPr="00DF1884">
              <w:t xml:space="preserve">This measure is collected using survey methodology. Detailed specifications and summary of changes are contained in </w:t>
            </w:r>
            <w:r w:rsidRPr="00DF1884">
              <w:rPr>
                <w:i/>
              </w:rPr>
              <w:t>HEDIS 2016, Volume 3: Specifications for Survey Measures.</w:t>
            </w:r>
          </w:p>
        </w:tc>
      </w:tr>
    </w:tbl>
    <w:p w14:paraId="3326058F" w14:textId="77777777" w:rsidR="00463667" w:rsidRPr="00DF1884" w:rsidRDefault="00463667" w:rsidP="00463667">
      <w:pPr>
        <w:spacing w:before="120"/>
        <w:rPr>
          <w:rFonts w:cs="Arial"/>
          <w:sz w:val="18"/>
          <w:szCs w:val="18"/>
        </w:rPr>
      </w:pPr>
    </w:p>
    <w:p w14:paraId="54B0042F" w14:textId="77777777" w:rsidR="00463667" w:rsidRPr="00DF1884" w:rsidRDefault="00463667" w:rsidP="00463667">
      <w:pPr>
        <w:spacing w:before="120"/>
        <w:rPr>
          <w:rFonts w:cs="Arial"/>
          <w:sz w:val="18"/>
          <w:szCs w:val="18"/>
        </w:rPr>
        <w:sectPr w:rsidR="00463667" w:rsidRPr="00DF1884" w:rsidSect="0039781B">
          <w:pgSz w:w="15840" w:h="12240" w:orient="landscape" w:code="1"/>
          <w:pgMar w:top="1080" w:right="1080" w:bottom="1080" w:left="1440" w:header="720" w:footer="720" w:gutter="0"/>
          <w:cols w:space="720"/>
        </w:sectPr>
      </w:pPr>
    </w:p>
    <w:p w14:paraId="7F9D529E" w14:textId="2EA7356E" w:rsidR="00463667" w:rsidRPr="00DF1884" w:rsidRDefault="00463667" w:rsidP="00463667">
      <w:pPr>
        <w:pStyle w:val="TableHeadNotCondensed"/>
        <w:spacing w:before="0"/>
      </w:pPr>
      <w:r w:rsidRPr="00DF1884">
        <w:lastRenderedPageBreak/>
        <w:t>HEDIS</w:t>
      </w:r>
      <w:r w:rsidR="00DF1884" w:rsidRPr="00DF1884">
        <w:t xml:space="preserve"> </w:t>
      </w:r>
      <w:r w:rsidR="00442111" w:rsidRPr="00DF1884">
        <w:rPr>
          <w:iCs/>
        </w:rPr>
        <w:t>2016</w:t>
      </w:r>
      <w:r w:rsidR="00DF1884" w:rsidRPr="00DF1884">
        <w:t xml:space="preserve"> </w:t>
      </w:r>
      <w:r w:rsidRPr="00DF1884">
        <w:t>Summary</w:t>
      </w:r>
      <w:r w:rsidR="00DF1884" w:rsidRPr="00DF1884">
        <w:t xml:space="preserve"> </w:t>
      </w:r>
      <w:r w:rsidRPr="00DF1884">
        <w:t>Table</w:t>
      </w:r>
      <w:r w:rsidR="00DF1884" w:rsidRPr="00DF1884">
        <w:t xml:space="preserve"> </w:t>
      </w:r>
      <w:r w:rsidRPr="00DF1884">
        <w:t>of</w:t>
      </w:r>
      <w:r w:rsidR="00DF1884" w:rsidRPr="00DF1884">
        <w:t xml:space="preserve"> </w:t>
      </w:r>
      <w:r w:rsidRPr="00DF1884">
        <w:t>Measures,</w:t>
      </w:r>
      <w:r w:rsidR="00DF1884" w:rsidRPr="00DF1884">
        <w:t xml:space="preserve"> </w:t>
      </w:r>
      <w:r w:rsidRPr="00DF1884">
        <w:t>Product</w:t>
      </w:r>
      <w:r w:rsidR="00DF1884" w:rsidRPr="00DF1884">
        <w:t xml:space="preserve"> </w:t>
      </w:r>
      <w:r w:rsidRPr="00DF1884">
        <w:t>Lines</w:t>
      </w:r>
      <w:r w:rsidR="00DF1884" w:rsidRPr="00DF1884">
        <w:t xml:space="preserve"> </w:t>
      </w:r>
      <w:r w:rsidRPr="00DF1884">
        <w:t>and</w:t>
      </w:r>
      <w:r w:rsidR="00DF1884" w:rsidRPr="00DF1884">
        <w:t xml:space="preserve"> </w:t>
      </w:r>
      <w:r w:rsidRPr="00DF1884">
        <w:t>Changes</w:t>
      </w:r>
      <w:r w:rsidR="00DF1884" w:rsidRPr="00DF1884">
        <w:t xml:space="preserve"> </w:t>
      </w:r>
      <w:r w:rsidRPr="00DF1884">
        <w:rPr>
          <w:i/>
          <w:sz w:val="20"/>
          <w:szCs w:val="20"/>
        </w:rPr>
        <w:t>(continued)</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56"/>
        <w:gridCol w:w="1349"/>
        <w:gridCol w:w="1266"/>
        <w:gridCol w:w="1254"/>
        <w:gridCol w:w="6395"/>
      </w:tblGrid>
      <w:tr w:rsidR="00463667" w:rsidRPr="00DF1884" w14:paraId="509634AC" w14:textId="77777777" w:rsidTr="001B02D3">
        <w:trPr>
          <w:cantSplit/>
        </w:trPr>
        <w:tc>
          <w:tcPr>
            <w:tcW w:w="3056" w:type="dxa"/>
            <w:vMerge w:val="restart"/>
            <w:tcBorders>
              <w:top w:val="single" w:sz="4" w:space="0" w:color="auto"/>
              <w:left w:val="single" w:sz="4" w:space="0" w:color="auto"/>
              <w:bottom w:val="single" w:sz="4" w:space="0" w:color="auto"/>
              <w:right w:val="single" w:sz="4" w:space="0" w:color="FFFFFF"/>
            </w:tcBorders>
            <w:shd w:val="clear" w:color="auto" w:fill="000000"/>
            <w:vAlign w:val="bottom"/>
          </w:tcPr>
          <w:p w14:paraId="5177658B" w14:textId="01DDEC5B" w:rsidR="00463667" w:rsidRPr="00DF1884" w:rsidRDefault="00463667" w:rsidP="00C56CA6">
            <w:pPr>
              <w:pStyle w:val="TableHead"/>
              <w:rPr>
                <w:color w:val="auto"/>
              </w:rPr>
            </w:pPr>
            <w:r w:rsidRPr="00DF1884">
              <w:rPr>
                <w:color w:val="auto"/>
              </w:rPr>
              <w:t>HEDIS</w:t>
            </w:r>
            <w:r w:rsidR="00DF1884" w:rsidRPr="00DF1884">
              <w:rPr>
                <w:color w:val="auto"/>
              </w:rPr>
              <w:t xml:space="preserve"> </w:t>
            </w:r>
            <w:r w:rsidR="00442111" w:rsidRPr="00DF1884">
              <w:rPr>
                <w:color w:val="auto"/>
              </w:rPr>
              <w:t>2016</w:t>
            </w:r>
            <w:r w:rsidR="00DF1884" w:rsidRPr="00DF1884">
              <w:rPr>
                <w:color w:val="auto"/>
              </w:rPr>
              <w:t xml:space="preserve"> </w:t>
            </w:r>
            <w:r w:rsidRPr="00DF1884">
              <w:rPr>
                <w:color w:val="auto"/>
              </w:rPr>
              <w:t>Measures</w:t>
            </w:r>
          </w:p>
        </w:tc>
        <w:tc>
          <w:tcPr>
            <w:tcW w:w="3869" w:type="dxa"/>
            <w:gridSpan w:val="3"/>
            <w:tcBorders>
              <w:left w:val="nil"/>
              <w:bottom w:val="single" w:sz="4" w:space="0" w:color="FFFFFF"/>
              <w:right w:val="single" w:sz="4" w:space="0" w:color="FFFFFF"/>
            </w:tcBorders>
            <w:shd w:val="clear" w:color="auto" w:fill="000000"/>
          </w:tcPr>
          <w:p w14:paraId="6C7F5FEF" w14:textId="3F2780FD" w:rsidR="00463667" w:rsidRPr="00DF1884" w:rsidRDefault="00463667" w:rsidP="00C56CA6">
            <w:pPr>
              <w:pStyle w:val="TableHead"/>
              <w:rPr>
                <w:color w:val="auto"/>
              </w:rPr>
            </w:pPr>
            <w:r w:rsidRPr="00DF1884">
              <w:rPr>
                <w:color w:val="auto"/>
              </w:rPr>
              <w:t>Applicable</w:t>
            </w:r>
            <w:r w:rsidR="00DF1884" w:rsidRPr="00DF1884">
              <w:rPr>
                <w:color w:val="auto"/>
              </w:rPr>
              <w:t xml:space="preserve"> </w:t>
            </w:r>
            <w:r w:rsidRPr="00DF1884">
              <w:rPr>
                <w:color w:val="auto"/>
              </w:rPr>
              <w:t>to:</w:t>
            </w:r>
          </w:p>
        </w:tc>
        <w:tc>
          <w:tcPr>
            <w:tcW w:w="6395" w:type="dxa"/>
            <w:vMerge w:val="restart"/>
            <w:tcBorders>
              <w:left w:val="nil"/>
              <w:bottom w:val="single" w:sz="4" w:space="0" w:color="auto"/>
            </w:tcBorders>
            <w:shd w:val="clear" w:color="auto" w:fill="000000"/>
            <w:vAlign w:val="bottom"/>
          </w:tcPr>
          <w:p w14:paraId="6D9036E1" w14:textId="45CB0B76" w:rsidR="00463667" w:rsidRPr="00DF1884" w:rsidRDefault="00463667" w:rsidP="00C56CA6">
            <w:pPr>
              <w:pStyle w:val="TableHead"/>
              <w:rPr>
                <w:color w:val="auto"/>
              </w:rPr>
            </w:pPr>
            <w:r w:rsidRPr="00DF1884">
              <w:rPr>
                <w:color w:val="auto"/>
              </w:rPr>
              <w:t>Changes</w:t>
            </w:r>
            <w:r w:rsidR="00DF1884" w:rsidRPr="00DF1884">
              <w:rPr>
                <w:color w:val="auto"/>
              </w:rPr>
              <w:t xml:space="preserve"> </w:t>
            </w:r>
            <w:r w:rsidRPr="00DF1884">
              <w:rPr>
                <w:color w:val="auto"/>
              </w:rPr>
              <w:t>to</w:t>
            </w:r>
            <w:r w:rsidR="00DF1884" w:rsidRPr="00DF1884">
              <w:rPr>
                <w:color w:val="auto"/>
              </w:rPr>
              <w:t xml:space="preserve"> </w:t>
            </w:r>
            <w:r w:rsidRPr="00DF1884">
              <w:rPr>
                <w:color w:val="auto"/>
              </w:rPr>
              <w:t>HEDIS</w:t>
            </w:r>
            <w:r w:rsidR="00DF1884" w:rsidRPr="00DF1884">
              <w:rPr>
                <w:color w:val="auto"/>
              </w:rPr>
              <w:t xml:space="preserve"> </w:t>
            </w:r>
            <w:r w:rsidR="00442111" w:rsidRPr="00DF1884">
              <w:rPr>
                <w:color w:val="auto"/>
              </w:rPr>
              <w:t>2016</w:t>
            </w:r>
          </w:p>
        </w:tc>
      </w:tr>
      <w:tr w:rsidR="00463667" w:rsidRPr="00DF1884" w14:paraId="32F33B1C" w14:textId="77777777" w:rsidTr="001B02D3">
        <w:trPr>
          <w:cantSplit/>
        </w:trPr>
        <w:tc>
          <w:tcPr>
            <w:tcW w:w="3056" w:type="dxa"/>
            <w:vMerge/>
            <w:tcBorders>
              <w:top w:val="nil"/>
              <w:left w:val="single" w:sz="4" w:space="0" w:color="auto"/>
              <w:bottom w:val="single" w:sz="4" w:space="0" w:color="auto"/>
              <w:right w:val="single" w:sz="4" w:space="0" w:color="FFFFFF"/>
            </w:tcBorders>
          </w:tcPr>
          <w:p w14:paraId="2D6F89B8" w14:textId="77777777" w:rsidR="00463667" w:rsidRPr="00DF1884" w:rsidRDefault="00463667" w:rsidP="00C56CA6">
            <w:pPr>
              <w:pStyle w:val="TableHead"/>
              <w:rPr>
                <w:color w:val="auto"/>
              </w:rPr>
            </w:pPr>
          </w:p>
        </w:tc>
        <w:tc>
          <w:tcPr>
            <w:tcW w:w="1349" w:type="dxa"/>
            <w:tcBorders>
              <w:top w:val="nil"/>
              <w:left w:val="nil"/>
              <w:bottom w:val="single" w:sz="4" w:space="0" w:color="auto"/>
              <w:right w:val="single" w:sz="4" w:space="0" w:color="FFFFFF"/>
            </w:tcBorders>
            <w:shd w:val="clear" w:color="auto" w:fill="000000"/>
          </w:tcPr>
          <w:p w14:paraId="2B032C84" w14:textId="77777777" w:rsidR="00463667" w:rsidRPr="00DF1884" w:rsidRDefault="00463667" w:rsidP="00C56CA6">
            <w:pPr>
              <w:pStyle w:val="TableHead"/>
              <w:rPr>
                <w:color w:val="auto"/>
              </w:rPr>
            </w:pPr>
            <w:r w:rsidRPr="00DF1884">
              <w:rPr>
                <w:color w:val="auto"/>
              </w:rPr>
              <w:t>Commercial</w:t>
            </w:r>
          </w:p>
        </w:tc>
        <w:tc>
          <w:tcPr>
            <w:tcW w:w="1266" w:type="dxa"/>
            <w:tcBorders>
              <w:top w:val="nil"/>
              <w:left w:val="nil"/>
              <w:bottom w:val="single" w:sz="4" w:space="0" w:color="auto"/>
              <w:right w:val="single" w:sz="4" w:space="0" w:color="FFFFFF"/>
            </w:tcBorders>
            <w:shd w:val="clear" w:color="auto" w:fill="000000"/>
          </w:tcPr>
          <w:p w14:paraId="33CF812C" w14:textId="77777777" w:rsidR="00463667" w:rsidRPr="00DF1884" w:rsidRDefault="00463667" w:rsidP="00C56CA6">
            <w:pPr>
              <w:pStyle w:val="TableHead"/>
              <w:rPr>
                <w:color w:val="auto"/>
              </w:rPr>
            </w:pPr>
            <w:r w:rsidRPr="00DF1884">
              <w:rPr>
                <w:color w:val="auto"/>
              </w:rPr>
              <w:t>Medicaid</w:t>
            </w:r>
          </w:p>
        </w:tc>
        <w:tc>
          <w:tcPr>
            <w:tcW w:w="1254" w:type="dxa"/>
            <w:tcBorders>
              <w:top w:val="nil"/>
              <w:left w:val="nil"/>
              <w:bottom w:val="single" w:sz="4" w:space="0" w:color="auto"/>
              <w:right w:val="single" w:sz="4" w:space="0" w:color="FFFFFF"/>
            </w:tcBorders>
            <w:shd w:val="clear" w:color="auto" w:fill="000000"/>
          </w:tcPr>
          <w:p w14:paraId="3A9B37D2" w14:textId="77777777" w:rsidR="00463667" w:rsidRPr="00DF1884" w:rsidRDefault="00463667" w:rsidP="00C56CA6">
            <w:pPr>
              <w:pStyle w:val="TableHead"/>
              <w:rPr>
                <w:color w:val="auto"/>
              </w:rPr>
            </w:pPr>
            <w:r w:rsidRPr="00DF1884">
              <w:rPr>
                <w:color w:val="auto"/>
              </w:rPr>
              <w:t>Medicare</w:t>
            </w:r>
          </w:p>
        </w:tc>
        <w:tc>
          <w:tcPr>
            <w:tcW w:w="6395" w:type="dxa"/>
            <w:vMerge/>
            <w:tcBorders>
              <w:top w:val="nil"/>
              <w:left w:val="nil"/>
              <w:bottom w:val="single" w:sz="4" w:space="0" w:color="auto"/>
            </w:tcBorders>
            <w:vAlign w:val="bottom"/>
          </w:tcPr>
          <w:p w14:paraId="6FB94E06" w14:textId="77777777" w:rsidR="00463667" w:rsidRPr="00DF1884" w:rsidRDefault="00463667" w:rsidP="00C56CA6">
            <w:pPr>
              <w:pStyle w:val="TableHead2"/>
              <w:rPr>
                <w:color w:val="auto"/>
              </w:rPr>
            </w:pPr>
          </w:p>
        </w:tc>
      </w:tr>
      <w:tr w:rsidR="00463667" w:rsidRPr="00904532" w14:paraId="0EDA076C" w14:textId="77777777" w:rsidTr="00C56CA6">
        <w:trPr>
          <w:cantSplit/>
        </w:trPr>
        <w:tc>
          <w:tcPr>
            <w:tcW w:w="13320" w:type="dxa"/>
            <w:gridSpan w:val="5"/>
            <w:shd w:val="clear" w:color="auto" w:fill="C0C0C0"/>
          </w:tcPr>
          <w:p w14:paraId="382F6F9F" w14:textId="6A8BE76B" w:rsidR="00463667" w:rsidRPr="00904532" w:rsidRDefault="00904532" w:rsidP="00904532">
            <w:pPr>
              <w:pStyle w:val="TableText2"/>
              <w:jc w:val="center"/>
              <w:rPr>
                <w:b/>
                <w:sz w:val="20"/>
                <w:szCs w:val="20"/>
              </w:rPr>
            </w:pPr>
            <w:r w:rsidRPr="00904532">
              <w:rPr>
                <w:b/>
                <w:sz w:val="20"/>
                <w:szCs w:val="20"/>
              </w:rPr>
              <w:t>EFFECTIVENESS OF CARE</w:t>
            </w:r>
          </w:p>
        </w:tc>
      </w:tr>
      <w:tr w:rsidR="00463667" w:rsidRPr="00DF1884" w14:paraId="07FC8558" w14:textId="77777777" w:rsidTr="001B02D3">
        <w:tc>
          <w:tcPr>
            <w:tcW w:w="3056" w:type="dxa"/>
          </w:tcPr>
          <w:p w14:paraId="5D5B79D9" w14:textId="79A9D3A0" w:rsidR="00463667" w:rsidRPr="00DF1884" w:rsidRDefault="00463667" w:rsidP="00C56CA6">
            <w:pPr>
              <w:pStyle w:val="TableText"/>
            </w:pPr>
            <w:r w:rsidRPr="00DF1884">
              <w:t>Flu</w:t>
            </w:r>
            <w:r w:rsidR="00DF1884" w:rsidRPr="00DF1884">
              <w:t xml:space="preserve"> </w:t>
            </w:r>
            <w:r w:rsidRPr="00DF1884">
              <w:t>Vaccinations</w:t>
            </w:r>
            <w:r w:rsidR="00DF1884" w:rsidRPr="00DF1884">
              <w:t xml:space="preserve"> </w:t>
            </w:r>
            <w:r w:rsidRPr="00DF1884">
              <w:t>for</w:t>
            </w:r>
            <w:r w:rsidR="00DF1884" w:rsidRPr="00DF1884">
              <w:t xml:space="preserve"> </w:t>
            </w:r>
            <w:r w:rsidRPr="00DF1884">
              <w:t>Adults</w:t>
            </w:r>
            <w:r w:rsidR="00DF1884" w:rsidRPr="00DF1884">
              <w:t xml:space="preserve"> </w:t>
            </w:r>
            <w:r w:rsidRPr="00DF1884">
              <w:t>Ages</w:t>
            </w:r>
            <w:r w:rsidR="00DF1884" w:rsidRPr="00DF1884">
              <w:t xml:space="preserve"> </w:t>
            </w:r>
            <w:r w:rsidRPr="00DF1884">
              <w:t>18-64</w:t>
            </w:r>
          </w:p>
        </w:tc>
        <w:tc>
          <w:tcPr>
            <w:tcW w:w="1349" w:type="dxa"/>
          </w:tcPr>
          <w:p w14:paraId="195E5BD7"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266" w:type="dxa"/>
          </w:tcPr>
          <w:p w14:paraId="53F6110F"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254" w:type="dxa"/>
          </w:tcPr>
          <w:p w14:paraId="21F95101" w14:textId="77777777" w:rsidR="00463667" w:rsidRPr="00DF1884" w:rsidRDefault="00463667" w:rsidP="00C56CA6">
            <w:pPr>
              <w:pStyle w:val="TableText"/>
              <w:jc w:val="center"/>
              <w:rPr>
                <w:rFonts w:cs="Arial"/>
                <w:sz w:val="24"/>
                <w:szCs w:val="24"/>
              </w:rPr>
            </w:pPr>
          </w:p>
        </w:tc>
        <w:tc>
          <w:tcPr>
            <w:tcW w:w="6395" w:type="dxa"/>
          </w:tcPr>
          <w:p w14:paraId="74A5640F" w14:textId="1ED8BE21" w:rsidR="00463667" w:rsidRPr="00DF1884" w:rsidRDefault="00463667" w:rsidP="00463667">
            <w:pPr>
              <w:pStyle w:val="TableBullet"/>
            </w:pPr>
            <w:r w:rsidRPr="00DF1884">
              <w:t>This</w:t>
            </w:r>
            <w:r w:rsidR="00DF1884" w:rsidRPr="00DF1884">
              <w:t xml:space="preserve"> </w:t>
            </w:r>
            <w:r w:rsidRPr="00DF1884">
              <w:t>measure</w:t>
            </w:r>
            <w:r w:rsidR="00DF1884" w:rsidRPr="00DF1884">
              <w:t xml:space="preserve"> </w:t>
            </w:r>
            <w:r w:rsidRPr="00DF1884">
              <w:t>is</w:t>
            </w:r>
            <w:r w:rsidR="00DF1884" w:rsidRPr="00DF1884">
              <w:t xml:space="preserve"> </w:t>
            </w:r>
            <w:r w:rsidRPr="00DF1884">
              <w:t>collected</w:t>
            </w:r>
            <w:r w:rsidR="00DF1884" w:rsidRPr="00DF1884">
              <w:t xml:space="preserve"> </w:t>
            </w:r>
            <w:r w:rsidRPr="00DF1884">
              <w:t>using</w:t>
            </w:r>
            <w:r w:rsidR="00DF1884" w:rsidRPr="00DF1884">
              <w:t xml:space="preserve"> </w:t>
            </w:r>
            <w:r w:rsidRPr="00DF1884">
              <w:t>survey</w:t>
            </w:r>
            <w:r w:rsidR="00DF1884" w:rsidRPr="00DF1884">
              <w:t xml:space="preserve"> </w:t>
            </w:r>
            <w:r w:rsidRPr="00DF1884">
              <w:t>methodology.</w:t>
            </w:r>
            <w:r w:rsidR="00DF1884" w:rsidRPr="00DF1884">
              <w:t xml:space="preserve"> </w:t>
            </w:r>
            <w:r w:rsidRPr="00DF1884">
              <w:t>Detailed</w:t>
            </w:r>
            <w:r w:rsidR="00DF1884" w:rsidRPr="00DF1884">
              <w:t xml:space="preserve"> </w:t>
            </w:r>
            <w:r w:rsidRPr="00DF1884">
              <w:t>specifications</w:t>
            </w:r>
            <w:r w:rsidR="00DF1884" w:rsidRPr="00DF1884">
              <w:t xml:space="preserve"> </w:t>
            </w:r>
            <w:r w:rsidRPr="00DF1884">
              <w:t>and</w:t>
            </w:r>
            <w:r w:rsidR="00DF1884" w:rsidRPr="00DF1884">
              <w:t xml:space="preserve"> </w:t>
            </w:r>
            <w:r w:rsidRPr="00DF1884">
              <w:t>summary</w:t>
            </w:r>
            <w:r w:rsidR="00DF1884" w:rsidRPr="00DF1884">
              <w:t xml:space="preserve"> </w:t>
            </w:r>
            <w:r w:rsidRPr="00DF1884">
              <w:t>of</w:t>
            </w:r>
            <w:r w:rsidR="00DF1884" w:rsidRPr="00DF1884">
              <w:t xml:space="preserve"> </w:t>
            </w:r>
            <w:r w:rsidRPr="00DF1884">
              <w:t>changes</w:t>
            </w:r>
            <w:r w:rsidR="00DF1884" w:rsidRPr="00DF1884">
              <w:t xml:space="preserve"> </w:t>
            </w:r>
            <w:r w:rsidRPr="00DF1884">
              <w:t>are</w:t>
            </w:r>
            <w:r w:rsidR="00DF1884" w:rsidRPr="00DF1884">
              <w:t xml:space="preserve"> </w:t>
            </w:r>
            <w:r w:rsidRPr="00DF1884">
              <w:t>contained</w:t>
            </w:r>
            <w:r w:rsidR="00DF1884" w:rsidRPr="00DF1884">
              <w:t xml:space="preserve"> </w:t>
            </w:r>
            <w:r w:rsidRPr="00DF1884">
              <w:t>in</w:t>
            </w:r>
            <w:r w:rsidR="00DF1884" w:rsidRPr="00DF1884">
              <w:t xml:space="preserve"> </w:t>
            </w:r>
            <w:r w:rsidRPr="00DF1884">
              <w:rPr>
                <w:i/>
              </w:rPr>
              <w:t>HEDIS</w:t>
            </w:r>
            <w:r w:rsidR="00DF1884" w:rsidRPr="00DF1884">
              <w:rPr>
                <w:i/>
              </w:rPr>
              <w:t xml:space="preserve"> </w:t>
            </w:r>
            <w:r w:rsidR="00442111" w:rsidRPr="00DF1884">
              <w:rPr>
                <w:i/>
              </w:rPr>
              <w:t>2016</w:t>
            </w:r>
            <w:r w:rsidRPr="00DF1884">
              <w:rPr>
                <w:i/>
              </w:rPr>
              <w:t>,</w:t>
            </w:r>
            <w:r w:rsidR="00DF1884" w:rsidRPr="00DF1884">
              <w:rPr>
                <w:i/>
              </w:rPr>
              <w:t xml:space="preserve"> </w:t>
            </w:r>
            <w:r w:rsidRPr="00DF1884">
              <w:rPr>
                <w:i/>
              </w:rPr>
              <w:t>Volume</w:t>
            </w:r>
            <w:r w:rsidR="00DF1884" w:rsidRPr="00DF1884">
              <w:rPr>
                <w:i/>
              </w:rPr>
              <w:t xml:space="preserve"> </w:t>
            </w:r>
            <w:r w:rsidRPr="00DF1884">
              <w:rPr>
                <w:i/>
              </w:rPr>
              <w:t>3:</w:t>
            </w:r>
            <w:r w:rsidR="00DF1884" w:rsidRPr="00DF1884">
              <w:rPr>
                <w:i/>
              </w:rPr>
              <w:t xml:space="preserve"> </w:t>
            </w:r>
            <w:r w:rsidRPr="00DF1884">
              <w:rPr>
                <w:i/>
              </w:rPr>
              <w:t>Specifications</w:t>
            </w:r>
            <w:r w:rsidR="00DF1884" w:rsidRPr="00DF1884">
              <w:rPr>
                <w:i/>
              </w:rPr>
              <w:t xml:space="preserve"> </w:t>
            </w:r>
            <w:r w:rsidRPr="00DF1884">
              <w:rPr>
                <w:i/>
              </w:rPr>
              <w:t>for</w:t>
            </w:r>
            <w:r w:rsidR="00DF1884" w:rsidRPr="00DF1884">
              <w:rPr>
                <w:i/>
              </w:rPr>
              <w:t xml:space="preserve"> </w:t>
            </w:r>
            <w:r w:rsidRPr="00DF1884">
              <w:rPr>
                <w:i/>
              </w:rPr>
              <w:t>Survey</w:t>
            </w:r>
            <w:r w:rsidR="00DF1884" w:rsidRPr="00DF1884">
              <w:rPr>
                <w:i/>
              </w:rPr>
              <w:t xml:space="preserve"> </w:t>
            </w:r>
            <w:r w:rsidRPr="00DF1884">
              <w:rPr>
                <w:i/>
              </w:rPr>
              <w:t>Measures.</w:t>
            </w:r>
          </w:p>
        </w:tc>
      </w:tr>
      <w:tr w:rsidR="00463667" w:rsidRPr="00DF1884" w14:paraId="27556676" w14:textId="77777777" w:rsidTr="001B02D3">
        <w:tc>
          <w:tcPr>
            <w:tcW w:w="3056" w:type="dxa"/>
          </w:tcPr>
          <w:p w14:paraId="7D94380A" w14:textId="40E261AA" w:rsidR="00463667" w:rsidRPr="00DF1884" w:rsidRDefault="00463667" w:rsidP="00C56CA6">
            <w:pPr>
              <w:pStyle w:val="TableText"/>
            </w:pPr>
            <w:r w:rsidRPr="00DF1884">
              <w:t>Flu</w:t>
            </w:r>
            <w:r w:rsidR="00DF1884" w:rsidRPr="00DF1884">
              <w:t xml:space="preserve"> </w:t>
            </w:r>
            <w:r w:rsidRPr="00DF1884">
              <w:t>Vaccinations</w:t>
            </w:r>
            <w:r w:rsidR="00DF1884" w:rsidRPr="00DF1884">
              <w:t xml:space="preserve"> </w:t>
            </w:r>
            <w:r w:rsidRPr="00DF1884">
              <w:t>for</w:t>
            </w:r>
            <w:r w:rsidR="00DF1884" w:rsidRPr="00DF1884">
              <w:t xml:space="preserve"> </w:t>
            </w:r>
            <w:r w:rsidRPr="00DF1884">
              <w:t>Adults</w:t>
            </w:r>
            <w:r w:rsidR="00DF1884" w:rsidRPr="00DF1884">
              <w:t xml:space="preserve"> </w:t>
            </w:r>
            <w:r w:rsidRPr="00DF1884">
              <w:t>Ages</w:t>
            </w:r>
            <w:r w:rsidR="00DF1884" w:rsidRPr="00DF1884">
              <w:t xml:space="preserve"> </w:t>
            </w:r>
            <w:r w:rsidRPr="00DF1884">
              <w:t>65</w:t>
            </w:r>
            <w:r w:rsidR="00DF1884" w:rsidRPr="00DF1884">
              <w:t xml:space="preserve"> </w:t>
            </w:r>
            <w:r w:rsidRPr="00DF1884">
              <w:t>and</w:t>
            </w:r>
            <w:r w:rsidR="00DF1884" w:rsidRPr="00DF1884">
              <w:t xml:space="preserve"> </w:t>
            </w:r>
            <w:r w:rsidRPr="00DF1884">
              <w:t>Older</w:t>
            </w:r>
          </w:p>
        </w:tc>
        <w:tc>
          <w:tcPr>
            <w:tcW w:w="1349" w:type="dxa"/>
          </w:tcPr>
          <w:p w14:paraId="3A36C4E1" w14:textId="77777777" w:rsidR="00463667" w:rsidRPr="00DF1884" w:rsidRDefault="00463667" w:rsidP="00C56CA6">
            <w:pPr>
              <w:pStyle w:val="TableText"/>
              <w:jc w:val="center"/>
              <w:rPr>
                <w:rFonts w:cs="Arial"/>
                <w:sz w:val="24"/>
              </w:rPr>
            </w:pPr>
          </w:p>
        </w:tc>
        <w:tc>
          <w:tcPr>
            <w:tcW w:w="1266" w:type="dxa"/>
          </w:tcPr>
          <w:p w14:paraId="622BBF48" w14:textId="77777777" w:rsidR="00463667" w:rsidRPr="00DF1884" w:rsidRDefault="00463667" w:rsidP="00C56CA6">
            <w:pPr>
              <w:pStyle w:val="TableText"/>
              <w:jc w:val="center"/>
              <w:rPr>
                <w:rFonts w:cs="Arial"/>
                <w:sz w:val="24"/>
              </w:rPr>
            </w:pPr>
          </w:p>
        </w:tc>
        <w:tc>
          <w:tcPr>
            <w:tcW w:w="1254" w:type="dxa"/>
          </w:tcPr>
          <w:p w14:paraId="43561B4D"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6395" w:type="dxa"/>
          </w:tcPr>
          <w:p w14:paraId="59623343" w14:textId="150D03E0" w:rsidR="00463667" w:rsidRPr="00DF1884" w:rsidRDefault="00463667" w:rsidP="00463667">
            <w:pPr>
              <w:pStyle w:val="TableBullet"/>
            </w:pPr>
            <w:r w:rsidRPr="00DF1884">
              <w:t>This</w:t>
            </w:r>
            <w:r w:rsidR="00DF1884" w:rsidRPr="00DF1884">
              <w:t xml:space="preserve"> </w:t>
            </w:r>
            <w:r w:rsidRPr="00DF1884">
              <w:t>measure</w:t>
            </w:r>
            <w:r w:rsidR="00DF1884" w:rsidRPr="00DF1884">
              <w:t xml:space="preserve"> </w:t>
            </w:r>
            <w:r w:rsidRPr="00DF1884">
              <w:t>is</w:t>
            </w:r>
            <w:r w:rsidR="00DF1884" w:rsidRPr="00DF1884">
              <w:t xml:space="preserve"> </w:t>
            </w:r>
            <w:r w:rsidRPr="00DF1884">
              <w:t>collected</w:t>
            </w:r>
            <w:r w:rsidR="00DF1884" w:rsidRPr="00DF1884">
              <w:t xml:space="preserve"> </w:t>
            </w:r>
            <w:r w:rsidRPr="00DF1884">
              <w:t>using</w:t>
            </w:r>
            <w:r w:rsidR="00DF1884" w:rsidRPr="00DF1884">
              <w:t xml:space="preserve"> </w:t>
            </w:r>
            <w:r w:rsidRPr="00DF1884">
              <w:t>survey</w:t>
            </w:r>
            <w:r w:rsidR="00DF1884" w:rsidRPr="00DF1884">
              <w:t xml:space="preserve"> </w:t>
            </w:r>
            <w:r w:rsidRPr="00DF1884">
              <w:t>methodology.</w:t>
            </w:r>
            <w:r w:rsidR="00DF1884" w:rsidRPr="00DF1884">
              <w:t xml:space="preserve"> </w:t>
            </w:r>
            <w:r w:rsidRPr="00DF1884">
              <w:t>Detailed</w:t>
            </w:r>
            <w:r w:rsidR="00DF1884" w:rsidRPr="00DF1884">
              <w:t xml:space="preserve"> </w:t>
            </w:r>
            <w:r w:rsidRPr="00DF1884">
              <w:t>specifications</w:t>
            </w:r>
            <w:r w:rsidR="00DF1884" w:rsidRPr="00DF1884">
              <w:t xml:space="preserve"> </w:t>
            </w:r>
            <w:r w:rsidRPr="00DF1884">
              <w:t>and</w:t>
            </w:r>
            <w:r w:rsidR="00DF1884" w:rsidRPr="00DF1884">
              <w:t xml:space="preserve"> </w:t>
            </w:r>
            <w:r w:rsidRPr="00DF1884">
              <w:t>summary</w:t>
            </w:r>
            <w:r w:rsidR="00DF1884" w:rsidRPr="00DF1884">
              <w:t xml:space="preserve"> </w:t>
            </w:r>
            <w:r w:rsidRPr="00DF1884">
              <w:t>of</w:t>
            </w:r>
            <w:r w:rsidR="00DF1884" w:rsidRPr="00DF1884">
              <w:t xml:space="preserve"> </w:t>
            </w:r>
            <w:r w:rsidRPr="00DF1884">
              <w:t>changes</w:t>
            </w:r>
            <w:r w:rsidR="00DF1884" w:rsidRPr="00DF1884">
              <w:t xml:space="preserve"> </w:t>
            </w:r>
            <w:r w:rsidRPr="00DF1884">
              <w:t>are</w:t>
            </w:r>
            <w:r w:rsidR="00DF1884" w:rsidRPr="00DF1884">
              <w:t xml:space="preserve"> </w:t>
            </w:r>
            <w:r w:rsidRPr="00DF1884">
              <w:t>contained</w:t>
            </w:r>
            <w:r w:rsidR="00DF1884" w:rsidRPr="00DF1884">
              <w:t xml:space="preserve"> </w:t>
            </w:r>
            <w:r w:rsidRPr="00DF1884">
              <w:t>in</w:t>
            </w:r>
            <w:r w:rsidR="00DF1884" w:rsidRPr="00DF1884">
              <w:t xml:space="preserve"> </w:t>
            </w:r>
            <w:r w:rsidRPr="00DF1884">
              <w:rPr>
                <w:i/>
              </w:rPr>
              <w:t>HEDIS</w:t>
            </w:r>
            <w:r w:rsidR="00DF1884" w:rsidRPr="00DF1884">
              <w:rPr>
                <w:i/>
              </w:rPr>
              <w:t xml:space="preserve"> </w:t>
            </w:r>
            <w:r w:rsidR="00442111" w:rsidRPr="00DF1884">
              <w:rPr>
                <w:i/>
              </w:rPr>
              <w:t>2016</w:t>
            </w:r>
            <w:r w:rsidRPr="00DF1884">
              <w:rPr>
                <w:i/>
              </w:rPr>
              <w:t>,</w:t>
            </w:r>
            <w:r w:rsidR="00DF1884" w:rsidRPr="00DF1884">
              <w:rPr>
                <w:i/>
              </w:rPr>
              <w:t xml:space="preserve"> </w:t>
            </w:r>
            <w:r w:rsidRPr="00DF1884">
              <w:rPr>
                <w:i/>
              </w:rPr>
              <w:t>Volume</w:t>
            </w:r>
            <w:r w:rsidR="00DF1884" w:rsidRPr="00DF1884">
              <w:rPr>
                <w:i/>
              </w:rPr>
              <w:t xml:space="preserve"> </w:t>
            </w:r>
            <w:r w:rsidRPr="00DF1884">
              <w:rPr>
                <w:i/>
              </w:rPr>
              <w:t>3:</w:t>
            </w:r>
            <w:r w:rsidR="00DF1884" w:rsidRPr="00DF1884">
              <w:rPr>
                <w:i/>
              </w:rPr>
              <w:t xml:space="preserve"> </w:t>
            </w:r>
            <w:r w:rsidRPr="00DF1884">
              <w:rPr>
                <w:i/>
              </w:rPr>
              <w:t>Specifications</w:t>
            </w:r>
            <w:r w:rsidR="00DF1884" w:rsidRPr="00DF1884">
              <w:rPr>
                <w:i/>
              </w:rPr>
              <w:t xml:space="preserve"> </w:t>
            </w:r>
            <w:r w:rsidRPr="00DF1884">
              <w:rPr>
                <w:i/>
              </w:rPr>
              <w:t>for</w:t>
            </w:r>
            <w:r w:rsidR="00DF1884" w:rsidRPr="00DF1884">
              <w:rPr>
                <w:i/>
              </w:rPr>
              <w:t xml:space="preserve"> </w:t>
            </w:r>
            <w:r w:rsidRPr="00DF1884">
              <w:rPr>
                <w:i/>
              </w:rPr>
              <w:t>Survey</w:t>
            </w:r>
            <w:r w:rsidR="00DF1884" w:rsidRPr="00DF1884">
              <w:rPr>
                <w:i/>
              </w:rPr>
              <w:t xml:space="preserve"> </w:t>
            </w:r>
            <w:r w:rsidRPr="00DF1884">
              <w:rPr>
                <w:i/>
              </w:rPr>
              <w:t>Measures.</w:t>
            </w:r>
          </w:p>
        </w:tc>
      </w:tr>
      <w:tr w:rsidR="00463667" w:rsidRPr="00DF1884" w14:paraId="7A7CB24A" w14:textId="77777777" w:rsidTr="001B02D3">
        <w:tc>
          <w:tcPr>
            <w:tcW w:w="3056" w:type="dxa"/>
          </w:tcPr>
          <w:p w14:paraId="12487D89" w14:textId="454E2C63" w:rsidR="00463667" w:rsidRPr="00DF1884" w:rsidRDefault="00463667" w:rsidP="00C56CA6">
            <w:pPr>
              <w:pStyle w:val="TableText"/>
            </w:pPr>
            <w:r w:rsidRPr="00DF1884">
              <w:t>Medical</w:t>
            </w:r>
            <w:r w:rsidR="00DF1884" w:rsidRPr="00DF1884">
              <w:t xml:space="preserve"> </w:t>
            </w:r>
            <w:r w:rsidRPr="00DF1884">
              <w:t>Assistance</w:t>
            </w:r>
            <w:r w:rsidR="00DF1884" w:rsidRPr="00DF1884">
              <w:t xml:space="preserve"> </w:t>
            </w:r>
            <w:r w:rsidRPr="00DF1884">
              <w:t>With</w:t>
            </w:r>
            <w:r w:rsidR="00DF1884" w:rsidRPr="00DF1884">
              <w:t xml:space="preserve"> </w:t>
            </w:r>
            <w:r w:rsidRPr="00DF1884">
              <w:t>Smoking</w:t>
            </w:r>
            <w:r w:rsidR="00DF1884" w:rsidRPr="00DF1884">
              <w:t xml:space="preserve"> </w:t>
            </w:r>
            <w:r w:rsidRPr="00DF1884">
              <w:t>and</w:t>
            </w:r>
            <w:r w:rsidR="00DF1884" w:rsidRPr="00DF1884">
              <w:t xml:space="preserve"> </w:t>
            </w:r>
            <w:r w:rsidRPr="00DF1884">
              <w:t>Tobacco</w:t>
            </w:r>
            <w:r w:rsidR="00DF1884" w:rsidRPr="00DF1884">
              <w:t xml:space="preserve"> </w:t>
            </w:r>
            <w:r w:rsidRPr="00DF1884">
              <w:t>Use</w:t>
            </w:r>
            <w:r w:rsidR="00DF1884" w:rsidRPr="00DF1884">
              <w:t xml:space="preserve"> </w:t>
            </w:r>
            <w:r w:rsidRPr="00DF1884">
              <w:t>Cessation</w:t>
            </w:r>
          </w:p>
        </w:tc>
        <w:tc>
          <w:tcPr>
            <w:tcW w:w="1349" w:type="dxa"/>
          </w:tcPr>
          <w:p w14:paraId="02049AE2"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266" w:type="dxa"/>
          </w:tcPr>
          <w:p w14:paraId="05B686BA"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254" w:type="dxa"/>
          </w:tcPr>
          <w:p w14:paraId="465B5102"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6395" w:type="dxa"/>
          </w:tcPr>
          <w:p w14:paraId="383F967B" w14:textId="6E10CB69" w:rsidR="00463667" w:rsidRPr="00DF1884" w:rsidRDefault="00463667" w:rsidP="00463667">
            <w:pPr>
              <w:pStyle w:val="TableBullet"/>
            </w:pPr>
            <w:r w:rsidRPr="00DF1884">
              <w:t>This</w:t>
            </w:r>
            <w:r w:rsidR="00DF1884" w:rsidRPr="00DF1884">
              <w:t xml:space="preserve"> </w:t>
            </w:r>
            <w:r w:rsidRPr="00DF1884">
              <w:t>measure</w:t>
            </w:r>
            <w:r w:rsidR="00DF1884" w:rsidRPr="00DF1884">
              <w:t xml:space="preserve"> </w:t>
            </w:r>
            <w:r w:rsidRPr="00DF1884">
              <w:t>is</w:t>
            </w:r>
            <w:r w:rsidR="00DF1884" w:rsidRPr="00DF1884">
              <w:t xml:space="preserve"> </w:t>
            </w:r>
            <w:r w:rsidRPr="00DF1884">
              <w:t>collected</w:t>
            </w:r>
            <w:r w:rsidR="00DF1884" w:rsidRPr="00DF1884">
              <w:t xml:space="preserve"> </w:t>
            </w:r>
            <w:r w:rsidRPr="00DF1884">
              <w:t>using</w:t>
            </w:r>
            <w:r w:rsidR="00DF1884" w:rsidRPr="00DF1884">
              <w:t xml:space="preserve"> </w:t>
            </w:r>
            <w:r w:rsidRPr="00DF1884">
              <w:t>survey</w:t>
            </w:r>
            <w:r w:rsidR="00DF1884" w:rsidRPr="00DF1884">
              <w:t xml:space="preserve"> </w:t>
            </w:r>
            <w:r w:rsidRPr="00DF1884">
              <w:t>methodology.</w:t>
            </w:r>
            <w:r w:rsidR="00DF1884" w:rsidRPr="00DF1884">
              <w:t xml:space="preserve"> </w:t>
            </w:r>
            <w:r w:rsidRPr="00DF1884">
              <w:t>Detailed</w:t>
            </w:r>
            <w:r w:rsidR="00DF1884" w:rsidRPr="00DF1884">
              <w:t xml:space="preserve"> </w:t>
            </w:r>
            <w:r w:rsidRPr="00DF1884">
              <w:t>specifications</w:t>
            </w:r>
            <w:r w:rsidR="00DF1884" w:rsidRPr="00DF1884">
              <w:t xml:space="preserve"> </w:t>
            </w:r>
            <w:r w:rsidRPr="00DF1884">
              <w:t>and</w:t>
            </w:r>
            <w:r w:rsidR="00DF1884" w:rsidRPr="00DF1884">
              <w:t xml:space="preserve"> </w:t>
            </w:r>
            <w:r w:rsidRPr="00DF1884">
              <w:t>summary</w:t>
            </w:r>
            <w:r w:rsidR="00DF1884" w:rsidRPr="00DF1884">
              <w:t xml:space="preserve"> </w:t>
            </w:r>
            <w:r w:rsidRPr="00DF1884">
              <w:t>of</w:t>
            </w:r>
            <w:r w:rsidR="00DF1884" w:rsidRPr="00DF1884">
              <w:t xml:space="preserve"> </w:t>
            </w:r>
            <w:r w:rsidRPr="00DF1884">
              <w:t>changes</w:t>
            </w:r>
            <w:r w:rsidR="00DF1884" w:rsidRPr="00DF1884">
              <w:t xml:space="preserve"> </w:t>
            </w:r>
            <w:r w:rsidRPr="00DF1884">
              <w:t>are</w:t>
            </w:r>
            <w:r w:rsidR="00DF1884" w:rsidRPr="00DF1884">
              <w:t xml:space="preserve"> </w:t>
            </w:r>
            <w:r w:rsidRPr="00DF1884">
              <w:t>contained</w:t>
            </w:r>
            <w:r w:rsidR="00DF1884" w:rsidRPr="00DF1884">
              <w:t xml:space="preserve"> </w:t>
            </w:r>
            <w:r w:rsidRPr="00DF1884">
              <w:t>in</w:t>
            </w:r>
            <w:r w:rsidR="00DF1884" w:rsidRPr="00DF1884">
              <w:t xml:space="preserve"> </w:t>
            </w:r>
            <w:r w:rsidRPr="00DF1884">
              <w:rPr>
                <w:i/>
              </w:rPr>
              <w:t>HEDIS</w:t>
            </w:r>
            <w:r w:rsidR="00DF1884" w:rsidRPr="00DF1884">
              <w:rPr>
                <w:i/>
              </w:rPr>
              <w:t xml:space="preserve"> </w:t>
            </w:r>
            <w:r w:rsidR="00442111" w:rsidRPr="00DF1884">
              <w:rPr>
                <w:i/>
              </w:rPr>
              <w:t>2016</w:t>
            </w:r>
            <w:r w:rsidRPr="00DF1884">
              <w:rPr>
                <w:i/>
              </w:rPr>
              <w:t>,</w:t>
            </w:r>
            <w:r w:rsidR="00DF1884" w:rsidRPr="00DF1884">
              <w:rPr>
                <w:i/>
              </w:rPr>
              <w:t xml:space="preserve"> </w:t>
            </w:r>
            <w:r w:rsidRPr="00DF1884">
              <w:rPr>
                <w:i/>
              </w:rPr>
              <w:t>Volume</w:t>
            </w:r>
            <w:r w:rsidR="00DF1884" w:rsidRPr="00DF1884">
              <w:rPr>
                <w:i/>
              </w:rPr>
              <w:t xml:space="preserve"> </w:t>
            </w:r>
            <w:r w:rsidRPr="00DF1884">
              <w:rPr>
                <w:i/>
              </w:rPr>
              <w:t>3:</w:t>
            </w:r>
            <w:r w:rsidR="00DF1884" w:rsidRPr="00DF1884">
              <w:rPr>
                <w:i/>
              </w:rPr>
              <w:t xml:space="preserve"> </w:t>
            </w:r>
            <w:r w:rsidRPr="00DF1884">
              <w:rPr>
                <w:i/>
              </w:rPr>
              <w:t>Specifications</w:t>
            </w:r>
            <w:r w:rsidR="00DF1884" w:rsidRPr="00DF1884">
              <w:rPr>
                <w:i/>
              </w:rPr>
              <w:t xml:space="preserve"> </w:t>
            </w:r>
            <w:r w:rsidRPr="00DF1884">
              <w:rPr>
                <w:i/>
              </w:rPr>
              <w:t>for</w:t>
            </w:r>
            <w:r w:rsidR="00DF1884" w:rsidRPr="00DF1884">
              <w:rPr>
                <w:i/>
              </w:rPr>
              <w:t xml:space="preserve"> </w:t>
            </w:r>
            <w:r w:rsidRPr="00DF1884">
              <w:rPr>
                <w:i/>
              </w:rPr>
              <w:t>Survey</w:t>
            </w:r>
            <w:r w:rsidR="00DF1884" w:rsidRPr="00DF1884">
              <w:rPr>
                <w:i/>
              </w:rPr>
              <w:t xml:space="preserve"> </w:t>
            </w:r>
            <w:r w:rsidRPr="00DF1884">
              <w:rPr>
                <w:i/>
              </w:rPr>
              <w:t>Measures.</w:t>
            </w:r>
          </w:p>
        </w:tc>
      </w:tr>
      <w:tr w:rsidR="00463667" w:rsidRPr="00DF1884" w14:paraId="1F0AA1A1" w14:textId="77777777" w:rsidTr="001B02D3">
        <w:tc>
          <w:tcPr>
            <w:tcW w:w="3056" w:type="dxa"/>
          </w:tcPr>
          <w:p w14:paraId="1CD0B746" w14:textId="64FDFC66" w:rsidR="00463667" w:rsidRPr="00DF1884" w:rsidRDefault="00463667" w:rsidP="00C56CA6">
            <w:pPr>
              <w:pStyle w:val="TableText"/>
            </w:pPr>
            <w:r w:rsidRPr="00DF1884">
              <w:t>Pneumococcal</w:t>
            </w:r>
            <w:r w:rsidR="00DF1884" w:rsidRPr="00DF1884">
              <w:t xml:space="preserve"> </w:t>
            </w:r>
            <w:r w:rsidRPr="00DF1884">
              <w:t>Vaccination</w:t>
            </w:r>
            <w:r w:rsidR="00DF1884" w:rsidRPr="00DF1884">
              <w:t xml:space="preserve"> </w:t>
            </w:r>
            <w:r w:rsidRPr="00DF1884">
              <w:t>Status</w:t>
            </w:r>
            <w:r w:rsidR="00DF1884" w:rsidRPr="00DF1884">
              <w:t xml:space="preserve"> </w:t>
            </w:r>
            <w:r w:rsidRPr="00DF1884">
              <w:t>for</w:t>
            </w:r>
            <w:r w:rsidR="00DF1884" w:rsidRPr="00DF1884">
              <w:t xml:space="preserve"> </w:t>
            </w:r>
            <w:r w:rsidRPr="00DF1884">
              <w:t>Older</w:t>
            </w:r>
            <w:r w:rsidR="00DF1884" w:rsidRPr="00DF1884">
              <w:t xml:space="preserve"> </w:t>
            </w:r>
            <w:r w:rsidRPr="00DF1884">
              <w:t>Adults</w:t>
            </w:r>
          </w:p>
        </w:tc>
        <w:tc>
          <w:tcPr>
            <w:tcW w:w="1349" w:type="dxa"/>
          </w:tcPr>
          <w:p w14:paraId="0E13AB9C" w14:textId="77777777" w:rsidR="00463667" w:rsidRPr="00DF1884" w:rsidRDefault="00463667" w:rsidP="00C56CA6">
            <w:pPr>
              <w:pStyle w:val="TableText"/>
              <w:jc w:val="center"/>
              <w:rPr>
                <w:rFonts w:cs="Arial"/>
                <w:sz w:val="24"/>
              </w:rPr>
            </w:pPr>
          </w:p>
        </w:tc>
        <w:tc>
          <w:tcPr>
            <w:tcW w:w="1266" w:type="dxa"/>
          </w:tcPr>
          <w:p w14:paraId="23AB3579" w14:textId="77777777" w:rsidR="00463667" w:rsidRPr="00DF1884" w:rsidRDefault="00463667" w:rsidP="00C56CA6">
            <w:pPr>
              <w:pStyle w:val="TableText"/>
              <w:jc w:val="center"/>
              <w:rPr>
                <w:rFonts w:cs="Arial"/>
                <w:sz w:val="24"/>
              </w:rPr>
            </w:pPr>
          </w:p>
        </w:tc>
        <w:tc>
          <w:tcPr>
            <w:tcW w:w="1254" w:type="dxa"/>
          </w:tcPr>
          <w:p w14:paraId="7A2F2677"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6395" w:type="dxa"/>
          </w:tcPr>
          <w:p w14:paraId="7DE39651" w14:textId="60D5F95F" w:rsidR="00463667" w:rsidRPr="00DF1884" w:rsidRDefault="00463667" w:rsidP="00463667">
            <w:pPr>
              <w:pStyle w:val="TableBullet"/>
            </w:pPr>
            <w:r w:rsidRPr="00DF1884">
              <w:t>This</w:t>
            </w:r>
            <w:r w:rsidR="00DF1884" w:rsidRPr="00DF1884">
              <w:t xml:space="preserve"> </w:t>
            </w:r>
            <w:r w:rsidRPr="00DF1884">
              <w:t>measure</w:t>
            </w:r>
            <w:r w:rsidR="00DF1884" w:rsidRPr="00DF1884">
              <w:t xml:space="preserve"> </w:t>
            </w:r>
            <w:r w:rsidRPr="00DF1884">
              <w:t>is</w:t>
            </w:r>
            <w:r w:rsidR="00DF1884" w:rsidRPr="00DF1884">
              <w:t xml:space="preserve"> </w:t>
            </w:r>
            <w:r w:rsidRPr="00DF1884">
              <w:t>collected</w:t>
            </w:r>
            <w:r w:rsidR="00DF1884" w:rsidRPr="00DF1884">
              <w:t xml:space="preserve"> </w:t>
            </w:r>
            <w:r w:rsidRPr="00DF1884">
              <w:t>using</w:t>
            </w:r>
            <w:r w:rsidR="00DF1884" w:rsidRPr="00DF1884">
              <w:t xml:space="preserve"> </w:t>
            </w:r>
            <w:r w:rsidRPr="00DF1884">
              <w:t>survey</w:t>
            </w:r>
            <w:r w:rsidR="00DF1884" w:rsidRPr="00DF1884">
              <w:t xml:space="preserve"> </w:t>
            </w:r>
            <w:r w:rsidRPr="00DF1884">
              <w:t>methodology.</w:t>
            </w:r>
            <w:r w:rsidR="00DF1884" w:rsidRPr="00DF1884">
              <w:t xml:space="preserve"> </w:t>
            </w:r>
            <w:r w:rsidRPr="00DF1884">
              <w:t>Detailed</w:t>
            </w:r>
            <w:r w:rsidR="00DF1884" w:rsidRPr="00DF1884">
              <w:t xml:space="preserve"> </w:t>
            </w:r>
            <w:r w:rsidRPr="00DF1884">
              <w:t>specifications</w:t>
            </w:r>
            <w:r w:rsidR="00DF1884" w:rsidRPr="00DF1884">
              <w:t xml:space="preserve"> </w:t>
            </w:r>
            <w:r w:rsidRPr="00DF1884">
              <w:t>and</w:t>
            </w:r>
            <w:r w:rsidR="00DF1884" w:rsidRPr="00DF1884">
              <w:t xml:space="preserve"> </w:t>
            </w:r>
            <w:r w:rsidRPr="00DF1884">
              <w:t>summary</w:t>
            </w:r>
            <w:r w:rsidR="00DF1884" w:rsidRPr="00DF1884">
              <w:t xml:space="preserve"> </w:t>
            </w:r>
            <w:r w:rsidRPr="00DF1884">
              <w:t>of</w:t>
            </w:r>
            <w:r w:rsidR="00DF1884" w:rsidRPr="00DF1884">
              <w:t xml:space="preserve"> </w:t>
            </w:r>
            <w:r w:rsidRPr="00DF1884">
              <w:t>changes</w:t>
            </w:r>
            <w:r w:rsidR="00DF1884" w:rsidRPr="00DF1884">
              <w:t xml:space="preserve"> </w:t>
            </w:r>
            <w:r w:rsidRPr="00DF1884">
              <w:t>are</w:t>
            </w:r>
            <w:r w:rsidR="00DF1884" w:rsidRPr="00DF1884">
              <w:t xml:space="preserve"> </w:t>
            </w:r>
            <w:r w:rsidRPr="00DF1884">
              <w:t>contained</w:t>
            </w:r>
            <w:r w:rsidR="00DF1884" w:rsidRPr="00DF1884">
              <w:t xml:space="preserve"> </w:t>
            </w:r>
            <w:r w:rsidRPr="00DF1884">
              <w:t>in</w:t>
            </w:r>
            <w:r w:rsidR="00DF1884" w:rsidRPr="00DF1884">
              <w:t xml:space="preserve"> </w:t>
            </w:r>
            <w:r w:rsidRPr="00DF1884">
              <w:rPr>
                <w:i/>
              </w:rPr>
              <w:t>HEDIS</w:t>
            </w:r>
            <w:r w:rsidR="00DF1884" w:rsidRPr="00DF1884">
              <w:rPr>
                <w:i/>
              </w:rPr>
              <w:t xml:space="preserve"> </w:t>
            </w:r>
            <w:r w:rsidR="00442111" w:rsidRPr="00DF1884">
              <w:rPr>
                <w:i/>
              </w:rPr>
              <w:t>2016</w:t>
            </w:r>
            <w:r w:rsidRPr="00DF1884">
              <w:rPr>
                <w:i/>
              </w:rPr>
              <w:t>,</w:t>
            </w:r>
            <w:r w:rsidR="00DF1884" w:rsidRPr="00DF1884">
              <w:rPr>
                <w:i/>
              </w:rPr>
              <w:t xml:space="preserve"> </w:t>
            </w:r>
            <w:r w:rsidRPr="00DF1884">
              <w:rPr>
                <w:i/>
              </w:rPr>
              <w:t>Volume</w:t>
            </w:r>
            <w:r w:rsidR="00DF1884" w:rsidRPr="00DF1884">
              <w:rPr>
                <w:i/>
              </w:rPr>
              <w:t xml:space="preserve"> </w:t>
            </w:r>
            <w:r w:rsidRPr="00DF1884">
              <w:rPr>
                <w:i/>
              </w:rPr>
              <w:t>3:</w:t>
            </w:r>
            <w:r w:rsidR="00DF1884" w:rsidRPr="00DF1884">
              <w:rPr>
                <w:i/>
              </w:rPr>
              <w:t xml:space="preserve"> </w:t>
            </w:r>
            <w:r w:rsidRPr="00DF1884">
              <w:rPr>
                <w:i/>
              </w:rPr>
              <w:t>Specifications</w:t>
            </w:r>
            <w:r w:rsidR="00DF1884" w:rsidRPr="00DF1884">
              <w:rPr>
                <w:i/>
              </w:rPr>
              <w:t xml:space="preserve"> </w:t>
            </w:r>
            <w:r w:rsidRPr="00DF1884">
              <w:rPr>
                <w:i/>
              </w:rPr>
              <w:t>for</w:t>
            </w:r>
            <w:r w:rsidR="00DF1884" w:rsidRPr="00DF1884">
              <w:rPr>
                <w:i/>
              </w:rPr>
              <w:t xml:space="preserve"> </w:t>
            </w:r>
            <w:r w:rsidRPr="00DF1884">
              <w:rPr>
                <w:i/>
              </w:rPr>
              <w:t>Survey</w:t>
            </w:r>
            <w:r w:rsidR="00DF1884" w:rsidRPr="00DF1884">
              <w:rPr>
                <w:i/>
              </w:rPr>
              <w:t xml:space="preserve"> </w:t>
            </w:r>
            <w:r w:rsidRPr="00DF1884">
              <w:rPr>
                <w:i/>
              </w:rPr>
              <w:t>Measures.</w:t>
            </w:r>
          </w:p>
        </w:tc>
      </w:tr>
      <w:tr w:rsidR="00463667" w:rsidRPr="00904532" w14:paraId="4AA33128" w14:textId="77777777" w:rsidTr="00C56CA6">
        <w:trPr>
          <w:cantSplit/>
        </w:trPr>
        <w:tc>
          <w:tcPr>
            <w:tcW w:w="13320" w:type="dxa"/>
            <w:gridSpan w:val="5"/>
            <w:shd w:val="clear" w:color="auto" w:fill="C0C0C0"/>
          </w:tcPr>
          <w:p w14:paraId="75E76F3B" w14:textId="6548F66E" w:rsidR="00463667" w:rsidRPr="00904532" w:rsidRDefault="00904532" w:rsidP="00904532">
            <w:pPr>
              <w:pStyle w:val="TableText2"/>
              <w:jc w:val="center"/>
              <w:rPr>
                <w:b/>
                <w:sz w:val="20"/>
                <w:szCs w:val="20"/>
              </w:rPr>
            </w:pPr>
            <w:r w:rsidRPr="00904532">
              <w:rPr>
                <w:b/>
                <w:sz w:val="20"/>
                <w:szCs w:val="20"/>
              </w:rPr>
              <w:t>ACCESS/AVAILABILITY OF CARE</w:t>
            </w:r>
          </w:p>
        </w:tc>
      </w:tr>
      <w:tr w:rsidR="00463667" w:rsidRPr="00DF1884" w14:paraId="7E8815E4" w14:textId="77777777" w:rsidTr="001B02D3">
        <w:tc>
          <w:tcPr>
            <w:tcW w:w="3056" w:type="dxa"/>
          </w:tcPr>
          <w:p w14:paraId="71A195C8" w14:textId="31E45354" w:rsidR="00463667" w:rsidRPr="00DF1884" w:rsidRDefault="00463667" w:rsidP="00C56CA6">
            <w:pPr>
              <w:pStyle w:val="TableText"/>
              <w:rPr>
                <w:highlight w:val="green"/>
              </w:rPr>
            </w:pPr>
            <w:r w:rsidRPr="00DF1884">
              <w:t>Adults’</w:t>
            </w:r>
            <w:r w:rsidR="00DF1884" w:rsidRPr="00DF1884">
              <w:t xml:space="preserve"> </w:t>
            </w:r>
            <w:r w:rsidRPr="00DF1884">
              <w:t>Access</w:t>
            </w:r>
            <w:r w:rsidR="00DF1884" w:rsidRPr="00DF1884">
              <w:t xml:space="preserve"> </w:t>
            </w:r>
            <w:r w:rsidRPr="00DF1884">
              <w:t>to</w:t>
            </w:r>
            <w:r w:rsidR="00DF1884" w:rsidRPr="00DF1884">
              <w:t xml:space="preserve"> </w:t>
            </w:r>
            <w:r w:rsidRPr="00DF1884">
              <w:t>Preventive/</w:t>
            </w:r>
            <w:r w:rsidR="00DF1884" w:rsidRPr="00DF1884">
              <w:t xml:space="preserve"> </w:t>
            </w:r>
            <w:r w:rsidRPr="00DF1884">
              <w:t>Ambulatory</w:t>
            </w:r>
            <w:r w:rsidR="00DF1884" w:rsidRPr="00DF1884">
              <w:t xml:space="preserve"> </w:t>
            </w:r>
            <w:r w:rsidRPr="00DF1884">
              <w:t>Health</w:t>
            </w:r>
            <w:r w:rsidR="00DF1884" w:rsidRPr="00DF1884">
              <w:t xml:space="preserve"> </w:t>
            </w:r>
            <w:r w:rsidRPr="00DF1884">
              <w:t>Services</w:t>
            </w:r>
          </w:p>
        </w:tc>
        <w:tc>
          <w:tcPr>
            <w:tcW w:w="1349" w:type="dxa"/>
          </w:tcPr>
          <w:p w14:paraId="5EFC1A15"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266" w:type="dxa"/>
          </w:tcPr>
          <w:p w14:paraId="08817E5C"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254" w:type="dxa"/>
          </w:tcPr>
          <w:p w14:paraId="6AD94405"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6395" w:type="dxa"/>
          </w:tcPr>
          <w:p w14:paraId="2C13614A" w14:textId="3825EF8A" w:rsidR="00463667" w:rsidRPr="00DF1884" w:rsidRDefault="004D6D41" w:rsidP="00463667">
            <w:pPr>
              <w:pStyle w:val="TableBullet"/>
            </w:pPr>
            <w:r>
              <w:t>No changes to this measure.</w:t>
            </w:r>
          </w:p>
        </w:tc>
      </w:tr>
      <w:tr w:rsidR="00463667" w:rsidRPr="00DF1884" w14:paraId="522BD1D9" w14:textId="77777777" w:rsidTr="001B02D3">
        <w:tc>
          <w:tcPr>
            <w:tcW w:w="3056" w:type="dxa"/>
          </w:tcPr>
          <w:p w14:paraId="45BCCD01" w14:textId="0F6B3F35" w:rsidR="00463667" w:rsidRPr="00DF1884" w:rsidRDefault="00463667" w:rsidP="00C56CA6">
            <w:pPr>
              <w:pStyle w:val="TableText"/>
            </w:pPr>
            <w:r w:rsidRPr="00DF1884">
              <w:t>Children’s</w:t>
            </w:r>
            <w:r w:rsidR="00DF1884" w:rsidRPr="00DF1884">
              <w:t xml:space="preserve"> </w:t>
            </w:r>
            <w:r w:rsidRPr="00DF1884">
              <w:t>and</w:t>
            </w:r>
            <w:r w:rsidR="00DF1884" w:rsidRPr="00DF1884">
              <w:t xml:space="preserve"> </w:t>
            </w:r>
            <w:r w:rsidRPr="00DF1884">
              <w:t>Adolescents’</w:t>
            </w:r>
            <w:r w:rsidR="00DF1884" w:rsidRPr="00DF1884">
              <w:t xml:space="preserve"> </w:t>
            </w:r>
            <w:r w:rsidRPr="00DF1884">
              <w:t>Access</w:t>
            </w:r>
            <w:r w:rsidR="00DF1884" w:rsidRPr="00DF1884">
              <w:t xml:space="preserve"> </w:t>
            </w:r>
            <w:r w:rsidRPr="00DF1884">
              <w:t>to</w:t>
            </w:r>
            <w:r w:rsidR="00DF1884" w:rsidRPr="00DF1884">
              <w:t xml:space="preserve"> </w:t>
            </w:r>
            <w:r w:rsidRPr="00DF1884">
              <w:t>Primary</w:t>
            </w:r>
            <w:r w:rsidR="00DF1884" w:rsidRPr="00DF1884">
              <w:t xml:space="preserve"> </w:t>
            </w:r>
            <w:r w:rsidRPr="00DF1884">
              <w:t>Care</w:t>
            </w:r>
            <w:r w:rsidR="00DF1884" w:rsidRPr="00DF1884">
              <w:t xml:space="preserve"> </w:t>
            </w:r>
            <w:r w:rsidRPr="00DF1884">
              <w:t>Practitioners</w:t>
            </w:r>
            <w:r w:rsidR="00DF1884" w:rsidRPr="00DF1884">
              <w:t xml:space="preserve"> </w:t>
            </w:r>
          </w:p>
        </w:tc>
        <w:tc>
          <w:tcPr>
            <w:tcW w:w="1349" w:type="dxa"/>
          </w:tcPr>
          <w:p w14:paraId="77117EE5"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266" w:type="dxa"/>
          </w:tcPr>
          <w:p w14:paraId="753E07BB"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254" w:type="dxa"/>
          </w:tcPr>
          <w:p w14:paraId="67BB8A8A" w14:textId="77777777" w:rsidR="00463667" w:rsidRPr="00DF1884" w:rsidRDefault="00463667" w:rsidP="00C56CA6">
            <w:pPr>
              <w:pStyle w:val="TableText"/>
              <w:jc w:val="center"/>
              <w:rPr>
                <w:rFonts w:cs="Arial"/>
                <w:sz w:val="24"/>
                <w:szCs w:val="24"/>
              </w:rPr>
            </w:pPr>
          </w:p>
        </w:tc>
        <w:tc>
          <w:tcPr>
            <w:tcW w:w="6395" w:type="dxa"/>
          </w:tcPr>
          <w:p w14:paraId="20BEC8D8" w14:textId="1D40E7FF" w:rsidR="00463667" w:rsidRPr="00DF1884" w:rsidRDefault="004D6D41" w:rsidP="00463667">
            <w:pPr>
              <w:pStyle w:val="TableBullet"/>
            </w:pPr>
            <w:r w:rsidRPr="004D6D41">
              <w:t>No changes to this measure.</w:t>
            </w:r>
          </w:p>
        </w:tc>
      </w:tr>
      <w:tr w:rsidR="00463667" w:rsidRPr="00DF1884" w14:paraId="0E34BA73" w14:textId="77777777" w:rsidTr="001B02D3">
        <w:tc>
          <w:tcPr>
            <w:tcW w:w="3056" w:type="dxa"/>
          </w:tcPr>
          <w:p w14:paraId="761E4154" w14:textId="7541EFB0" w:rsidR="00463667" w:rsidRPr="00DF1884" w:rsidRDefault="00463667" w:rsidP="00C56CA6">
            <w:pPr>
              <w:pStyle w:val="TableText"/>
            </w:pPr>
            <w:r w:rsidRPr="00DF1884">
              <w:t>Annual</w:t>
            </w:r>
            <w:r w:rsidR="00DF1884" w:rsidRPr="00DF1884">
              <w:t xml:space="preserve"> </w:t>
            </w:r>
            <w:r w:rsidRPr="00DF1884">
              <w:t>Dental</w:t>
            </w:r>
            <w:r w:rsidR="00DF1884" w:rsidRPr="00DF1884">
              <w:t xml:space="preserve"> </w:t>
            </w:r>
            <w:r w:rsidRPr="00DF1884">
              <w:t>Visit</w:t>
            </w:r>
          </w:p>
        </w:tc>
        <w:tc>
          <w:tcPr>
            <w:tcW w:w="1349" w:type="dxa"/>
          </w:tcPr>
          <w:p w14:paraId="01BD2902" w14:textId="77777777" w:rsidR="00463667" w:rsidRPr="00DF1884" w:rsidRDefault="00463667" w:rsidP="00C56CA6">
            <w:pPr>
              <w:pStyle w:val="TableText"/>
              <w:jc w:val="center"/>
              <w:rPr>
                <w:rFonts w:cs="Arial"/>
                <w:sz w:val="24"/>
              </w:rPr>
            </w:pPr>
          </w:p>
        </w:tc>
        <w:tc>
          <w:tcPr>
            <w:tcW w:w="1266" w:type="dxa"/>
          </w:tcPr>
          <w:p w14:paraId="50DADE02"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254" w:type="dxa"/>
          </w:tcPr>
          <w:p w14:paraId="7783D9FA" w14:textId="77777777" w:rsidR="00463667" w:rsidRPr="00DF1884" w:rsidRDefault="00463667" w:rsidP="00C56CA6">
            <w:pPr>
              <w:pStyle w:val="TableText"/>
              <w:jc w:val="center"/>
              <w:rPr>
                <w:rFonts w:cs="Arial"/>
                <w:sz w:val="24"/>
                <w:szCs w:val="24"/>
              </w:rPr>
            </w:pPr>
          </w:p>
        </w:tc>
        <w:tc>
          <w:tcPr>
            <w:tcW w:w="6395" w:type="dxa"/>
          </w:tcPr>
          <w:p w14:paraId="184E4834" w14:textId="35184818" w:rsidR="00463667" w:rsidRPr="00DF1884" w:rsidRDefault="004D6D41" w:rsidP="004D6D41">
            <w:pPr>
              <w:pStyle w:val="TableBullet"/>
            </w:pPr>
            <w:r>
              <w:t xml:space="preserve">Revised the upper age limit to 20 years of age </w:t>
            </w:r>
            <w:r w:rsidRPr="00990D7F">
              <w:t>to align with the EPSDT se</w:t>
            </w:r>
            <w:r>
              <w:t>rvices guidelines, which include</w:t>
            </w:r>
            <w:r w:rsidRPr="00990D7F">
              <w:t xml:space="preserve"> dental coverage for children under 21 </w:t>
            </w:r>
            <w:r>
              <w:t xml:space="preserve">who are </w:t>
            </w:r>
            <w:r w:rsidRPr="00990D7F">
              <w:t>enrolled in Medicaid</w:t>
            </w:r>
            <w:r>
              <w:t xml:space="preserve">. </w:t>
            </w:r>
          </w:p>
        </w:tc>
      </w:tr>
      <w:tr w:rsidR="00463667" w:rsidRPr="00DF1884" w14:paraId="3385D9E0" w14:textId="77777777" w:rsidTr="001B02D3">
        <w:tc>
          <w:tcPr>
            <w:tcW w:w="3056" w:type="dxa"/>
          </w:tcPr>
          <w:p w14:paraId="17E1932A" w14:textId="1378D4C0" w:rsidR="00463667" w:rsidRPr="00DF1884" w:rsidRDefault="00463667" w:rsidP="00C56CA6">
            <w:pPr>
              <w:pStyle w:val="TableText"/>
            </w:pPr>
            <w:r w:rsidRPr="00DF1884">
              <w:t>Initiation</w:t>
            </w:r>
            <w:r w:rsidR="00DF1884" w:rsidRPr="00DF1884">
              <w:t xml:space="preserve"> </w:t>
            </w:r>
            <w:r w:rsidRPr="00DF1884">
              <w:t>and</w:t>
            </w:r>
            <w:r w:rsidR="00DF1884" w:rsidRPr="00DF1884">
              <w:t xml:space="preserve"> </w:t>
            </w:r>
            <w:r w:rsidRPr="00DF1884">
              <w:t>Engagement</w:t>
            </w:r>
            <w:r w:rsidR="00DF1884" w:rsidRPr="00DF1884">
              <w:t xml:space="preserve"> </w:t>
            </w:r>
            <w:r w:rsidRPr="00DF1884">
              <w:t>of</w:t>
            </w:r>
            <w:r w:rsidR="00DF1884" w:rsidRPr="00DF1884">
              <w:t xml:space="preserve"> </w:t>
            </w:r>
            <w:r w:rsidRPr="00DF1884">
              <w:t>Alcohol</w:t>
            </w:r>
            <w:r w:rsidR="00DF1884" w:rsidRPr="00DF1884">
              <w:t xml:space="preserve"> </w:t>
            </w:r>
            <w:r w:rsidRPr="00DF1884">
              <w:t>and</w:t>
            </w:r>
            <w:r w:rsidR="00DF1884" w:rsidRPr="00DF1884">
              <w:t xml:space="preserve"> </w:t>
            </w:r>
            <w:r w:rsidRPr="00DF1884">
              <w:t>Other</w:t>
            </w:r>
            <w:r w:rsidR="00DF1884" w:rsidRPr="00DF1884">
              <w:t xml:space="preserve"> </w:t>
            </w:r>
            <w:r w:rsidRPr="00DF1884">
              <w:t>Drug</w:t>
            </w:r>
            <w:r w:rsidR="00DF1884" w:rsidRPr="00DF1884">
              <w:t xml:space="preserve"> </w:t>
            </w:r>
            <w:r w:rsidRPr="00DF1884">
              <w:t>Dependence</w:t>
            </w:r>
            <w:r w:rsidR="00DF1884" w:rsidRPr="00DF1884">
              <w:t xml:space="preserve"> </w:t>
            </w:r>
            <w:r w:rsidRPr="00DF1884">
              <w:t>Treatment</w:t>
            </w:r>
          </w:p>
        </w:tc>
        <w:tc>
          <w:tcPr>
            <w:tcW w:w="1349" w:type="dxa"/>
          </w:tcPr>
          <w:p w14:paraId="43D76D60"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266" w:type="dxa"/>
          </w:tcPr>
          <w:p w14:paraId="3A8BE1C7"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254" w:type="dxa"/>
          </w:tcPr>
          <w:p w14:paraId="23616A55" w14:textId="77777777" w:rsidR="00463667" w:rsidRPr="00DF1884" w:rsidRDefault="00463667" w:rsidP="00C56CA6">
            <w:pPr>
              <w:pStyle w:val="TableText"/>
              <w:jc w:val="center"/>
              <w:rPr>
                <w:rFonts w:cs="Arial"/>
                <w:sz w:val="24"/>
                <w:szCs w:val="24"/>
              </w:rPr>
            </w:pPr>
            <w:r w:rsidRPr="00DF1884">
              <w:rPr>
                <w:rFonts w:cs="Arial"/>
                <w:sz w:val="24"/>
                <w:szCs w:val="24"/>
              </w:rPr>
              <w:sym w:font="Wingdings" w:char="F0FC"/>
            </w:r>
          </w:p>
        </w:tc>
        <w:tc>
          <w:tcPr>
            <w:tcW w:w="6395" w:type="dxa"/>
          </w:tcPr>
          <w:p w14:paraId="0378273C" w14:textId="1F67AAC6" w:rsidR="00463667" w:rsidRPr="00DF1884" w:rsidRDefault="004D6D41" w:rsidP="004D6D41">
            <w:pPr>
              <w:pStyle w:val="TableBullet"/>
            </w:pPr>
            <w:r>
              <w:t xml:space="preserve">Added value sets to identify acute </w:t>
            </w:r>
            <w:r w:rsidR="00D0311D">
              <w:t xml:space="preserve">and nonacute </w:t>
            </w:r>
            <w:r>
              <w:t>inpatient discharges for step 1 of the event/diagnosis and for both numerators.</w:t>
            </w:r>
          </w:p>
        </w:tc>
      </w:tr>
      <w:tr w:rsidR="00463667" w:rsidRPr="00DF1884" w14:paraId="59F4FB59" w14:textId="77777777" w:rsidTr="001B02D3">
        <w:tc>
          <w:tcPr>
            <w:tcW w:w="3056" w:type="dxa"/>
            <w:tcBorders>
              <w:top w:val="single" w:sz="4" w:space="0" w:color="auto"/>
              <w:left w:val="single" w:sz="4" w:space="0" w:color="auto"/>
              <w:bottom w:val="single" w:sz="4" w:space="0" w:color="auto"/>
              <w:right w:val="single" w:sz="4" w:space="0" w:color="auto"/>
            </w:tcBorders>
          </w:tcPr>
          <w:p w14:paraId="31043F3E" w14:textId="348363C0" w:rsidR="00463667" w:rsidRPr="00DF1884" w:rsidRDefault="00463667" w:rsidP="00C56CA6">
            <w:pPr>
              <w:pStyle w:val="TableText"/>
            </w:pPr>
            <w:r w:rsidRPr="00DF1884">
              <w:t>Prenatal</w:t>
            </w:r>
            <w:r w:rsidR="00DF1884" w:rsidRPr="00DF1884">
              <w:t xml:space="preserve"> </w:t>
            </w:r>
            <w:r w:rsidRPr="00DF1884">
              <w:t>and</w:t>
            </w:r>
            <w:r w:rsidR="00DF1884" w:rsidRPr="00DF1884">
              <w:t xml:space="preserve"> </w:t>
            </w:r>
            <w:r w:rsidRPr="00DF1884">
              <w:t>Postpartum</w:t>
            </w:r>
            <w:r w:rsidR="00DF1884" w:rsidRPr="00DF1884">
              <w:t xml:space="preserve"> </w:t>
            </w:r>
            <w:r w:rsidRPr="00DF1884">
              <w:t>Care</w:t>
            </w:r>
          </w:p>
        </w:tc>
        <w:tc>
          <w:tcPr>
            <w:tcW w:w="1349" w:type="dxa"/>
            <w:tcBorders>
              <w:top w:val="single" w:sz="4" w:space="0" w:color="auto"/>
              <w:left w:val="single" w:sz="4" w:space="0" w:color="auto"/>
              <w:bottom w:val="single" w:sz="4" w:space="0" w:color="auto"/>
              <w:right w:val="single" w:sz="4" w:space="0" w:color="auto"/>
            </w:tcBorders>
          </w:tcPr>
          <w:p w14:paraId="0AFAF156"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266" w:type="dxa"/>
            <w:tcBorders>
              <w:top w:val="single" w:sz="4" w:space="0" w:color="auto"/>
              <w:left w:val="single" w:sz="4" w:space="0" w:color="auto"/>
              <w:bottom w:val="single" w:sz="4" w:space="0" w:color="auto"/>
              <w:right w:val="single" w:sz="4" w:space="0" w:color="auto"/>
            </w:tcBorders>
          </w:tcPr>
          <w:p w14:paraId="5809327A"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254" w:type="dxa"/>
            <w:tcBorders>
              <w:top w:val="single" w:sz="4" w:space="0" w:color="auto"/>
              <w:left w:val="single" w:sz="4" w:space="0" w:color="auto"/>
              <w:bottom w:val="single" w:sz="4" w:space="0" w:color="auto"/>
              <w:right w:val="single" w:sz="4" w:space="0" w:color="auto"/>
            </w:tcBorders>
          </w:tcPr>
          <w:p w14:paraId="73E26209" w14:textId="77777777" w:rsidR="00463667" w:rsidRPr="00DF1884" w:rsidRDefault="00463667" w:rsidP="00C56CA6">
            <w:pPr>
              <w:pStyle w:val="TableText"/>
              <w:jc w:val="center"/>
              <w:rPr>
                <w:rFonts w:cs="Arial"/>
                <w:sz w:val="24"/>
                <w:szCs w:val="24"/>
              </w:rPr>
            </w:pPr>
          </w:p>
        </w:tc>
        <w:tc>
          <w:tcPr>
            <w:tcW w:w="6395" w:type="dxa"/>
            <w:tcBorders>
              <w:top w:val="single" w:sz="4" w:space="0" w:color="auto"/>
              <w:left w:val="single" w:sz="4" w:space="0" w:color="auto"/>
              <w:bottom w:val="single" w:sz="4" w:space="0" w:color="auto"/>
              <w:right w:val="single" w:sz="4" w:space="0" w:color="auto"/>
            </w:tcBorders>
          </w:tcPr>
          <w:p w14:paraId="51A127C4" w14:textId="77777777" w:rsidR="004D6D41" w:rsidRDefault="004D6D41" w:rsidP="004D6D41">
            <w:pPr>
              <w:pStyle w:val="TableBullet"/>
            </w:pPr>
            <w:r>
              <w:t>Deleted the use of infant claims to identify deliveries.</w:t>
            </w:r>
          </w:p>
          <w:p w14:paraId="4CA4664A" w14:textId="16561539" w:rsidR="00463667" w:rsidRPr="00DF1884" w:rsidRDefault="004D6D41" w:rsidP="004D6D41">
            <w:pPr>
              <w:pStyle w:val="TableBullet"/>
            </w:pPr>
            <w:r>
              <w:t xml:space="preserve">Clarified the tests that must be included to meet criteria for an obstetric panel in the hybrid specification. </w:t>
            </w:r>
          </w:p>
        </w:tc>
      </w:tr>
      <w:tr w:rsidR="00463667" w:rsidRPr="00DF1884" w14:paraId="232D715D" w14:textId="77777777" w:rsidTr="001B02D3">
        <w:tc>
          <w:tcPr>
            <w:tcW w:w="3056" w:type="dxa"/>
            <w:tcBorders>
              <w:top w:val="single" w:sz="4" w:space="0" w:color="auto"/>
              <w:left w:val="single" w:sz="4" w:space="0" w:color="auto"/>
              <w:bottom w:val="single" w:sz="4" w:space="0" w:color="auto"/>
              <w:right w:val="single" w:sz="4" w:space="0" w:color="auto"/>
            </w:tcBorders>
          </w:tcPr>
          <w:p w14:paraId="265B76B3" w14:textId="05EE63B4" w:rsidR="00463667" w:rsidRPr="00DF1884" w:rsidRDefault="00463667" w:rsidP="00C56CA6">
            <w:pPr>
              <w:pStyle w:val="TableText"/>
            </w:pPr>
            <w:r w:rsidRPr="00DF1884">
              <w:t>Call</w:t>
            </w:r>
            <w:r w:rsidR="00DF1884" w:rsidRPr="00DF1884">
              <w:t xml:space="preserve"> </w:t>
            </w:r>
            <w:r w:rsidRPr="00DF1884">
              <w:t>Answer</w:t>
            </w:r>
            <w:r w:rsidR="00DF1884" w:rsidRPr="00DF1884">
              <w:t xml:space="preserve"> </w:t>
            </w:r>
            <w:r w:rsidRPr="00DF1884">
              <w:t>Timeliness</w:t>
            </w:r>
          </w:p>
        </w:tc>
        <w:tc>
          <w:tcPr>
            <w:tcW w:w="1349" w:type="dxa"/>
            <w:tcBorders>
              <w:top w:val="single" w:sz="4" w:space="0" w:color="auto"/>
              <w:left w:val="single" w:sz="4" w:space="0" w:color="auto"/>
              <w:bottom w:val="single" w:sz="4" w:space="0" w:color="auto"/>
              <w:right w:val="single" w:sz="4" w:space="0" w:color="auto"/>
            </w:tcBorders>
          </w:tcPr>
          <w:p w14:paraId="1DE5840D"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266" w:type="dxa"/>
            <w:tcBorders>
              <w:top w:val="single" w:sz="4" w:space="0" w:color="auto"/>
              <w:left w:val="single" w:sz="4" w:space="0" w:color="auto"/>
              <w:bottom w:val="single" w:sz="4" w:space="0" w:color="auto"/>
              <w:right w:val="single" w:sz="4" w:space="0" w:color="auto"/>
            </w:tcBorders>
          </w:tcPr>
          <w:p w14:paraId="0907A418"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254" w:type="dxa"/>
            <w:tcBorders>
              <w:top w:val="single" w:sz="4" w:space="0" w:color="auto"/>
              <w:left w:val="single" w:sz="4" w:space="0" w:color="auto"/>
              <w:bottom w:val="single" w:sz="4" w:space="0" w:color="auto"/>
              <w:right w:val="single" w:sz="4" w:space="0" w:color="auto"/>
            </w:tcBorders>
          </w:tcPr>
          <w:p w14:paraId="052ED722" w14:textId="77777777" w:rsidR="00463667" w:rsidRPr="00DF1884" w:rsidRDefault="00463667" w:rsidP="00C56CA6">
            <w:pPr>
              <w:pStyle w:val="TableText"/>
              <w:jc w:val="center"/>
              <w:rPr>
                <w:rFonts w:cs="Arial"/>
                <w:sz w:val="24"/>
                <w:szCs w:val="24"/>
              </w:rPr>
            </w:pPr>
            <w:r w:rsidRPr="00DF1884">
              <w:rPr>
                <w:rFonts w:cs="Arial"/>
                <w:sz w:val="24"/>
                <w:szCs w:val="24"/>
              </w:rPr>
              <w:sym w:font="Wingdings" w:char="F0FC"/>
            </w:r>
          </w:p>
        </w:tc>
        <w:tc>
          <w:tcPr>
            <w:tcW w:w="6395" w:type="dxa"/>
            <w:tcBorders>
              <w:top w:val="single" w:sz="4" w:space="0" w:color="auto"/>
              <w:left w:val="single" w:sz="4" w:space="0" w:color="auto"/>
              <w:bottom w:val="single" w:sz="4" w:space="0" w:color="auto"/>
              <w:right w:val="single" w:sz="4" w:space="0" w:color="auto"/>
            </w:tcBorders>
          </w:tcPr>
          <w:p w14:paraId="70FFDF7B" w14:textId="2F891F3C" w:rsidR="00463667" w:rsidRPr="00DF1884" w:rsidRDefault="00562F10" w:rsidP="00463667">
            <w:pPr>
              <w:pStyle w:val="TableBullet"/>
            </w:pPr>
            <w:r>
              <w:t>No changes to this measure.</w:t>
            </w:r>
          </w:p>
        </w:tc>
      </w:tr>
      <w:tr w:rsidR="00463667" w:rsidRPr="00DF1884" w14:paraId="39295655" w14:textId="77777777" w:rsidTr="001B02D3">
        <w:tc>
          <w:tcPr>
            <w:tcW w:w="3056" w:type="dxa"/>
            <w:tcBorders>
              <w:top w:val="single" w:sz="4" w:space="0" w:color="auto"/>
              <w:left w:val="single" w:sz="4" w:space="0" w:color="auto"/>
              <w:bottom w:val="single" w:sz="4" w:space="0" w:color="auto"/>
              <w:right w:val="single" w:sz="4" w:space="0" w:color="auto"/>
            </w:tcBorders>
          </w:tcPr>
          <w:p w14:paraId="2162C40B" w14:textId="253E912D" w:rsidR="00463667" w:rsidRPr="00DF1884" w:rsidRDefault="00463667" w:rsidP="00C56CA6">
            <w:pPr>
              <w:pStyle w:val="TableText"/>
            </w:pPr>
            <w:r w:rsidRPr="00DF1884">
              <w:t>Use</w:t>
            </w:r>
            <w:r w:rsidR="00DF1884" w:rsidRPr="00DF1884">
              <w:t xml:space="preserve"> </w:t>
            </w:r>
            <w:r w:rsidRPr="00DF1884">
              <w:t>of</w:t>
            </w:r>
            <w:r w:rsidR="00DF1884" w:rsidRPr="00DF1884">
              <w:t xml:space="preserve"> </w:t>
            </w:r>
            <w:r w:rsidRPr="00DF1884">
              <w:t>First-Line</w:t>
            </w:r>
            <w:r w:rsidR="00DF1884" w:rsidRPr="00DF1884">
              <w:t xml:space="preserve"> </w:t>
            </w:r>
            <w:r w:rsidRPr="00DF1884">
              <w:t>Psychosocial</w:t>
            </w:r>
            <w:r w:rsidR="00DF1884" w:rsidRPr="00DF1884">
              <w:t xml:space="preserve"> </w:t>
            </w:r>
            <w:r w:rsidRPr="00DF1884">
              <w:t>Care</w:t>
            </w:r>
            <w:r w:rsidR="00DF1884" w:rsidRPr="00DF1884">
              <w:t xml:space="preserve"> </w:t>
            </w:r>
            <w:r w:rsidRPr="00DF1884">
              <w:t>for</w:t>
            </w:r>
            <w:r w:rsidR="00DF1884" w:rsidRPr="00DF1884">
              <w:t xml:space="preserve"> </w:t>
            </w:r>
            <w:r w:rsidRPr="00DF1884">
              <w:t>Children</w:t>
            </w:r>
            <w:r w:rsidR="00DF1884" w:rsidRPr="00DF1884">
              <w:t xml:space="preserve"> </w:t>
            </w:r>
            <w:r w:rsidRPr="00DF1884">
              <w:t>and</w:t>
            </w:r>
            <w:r w:rsidR="00DF1884" w:rsidRPr="00DF1884">
              <w:t xml:space="preserve"> </w:t>
            </w:r>
            <w:r w:rsidRPr="00DF1884">
              <w:t>Adolescents</w:t>
            </w:r>
            <w:r w:rsidR="00DF1884" w:rsidRPr="00DF1884">
              <w:t xml:space="preserve"> </w:t>
            </w:r>
            <w:r w:rsidRPr="00DF1884">
              <w:t>on</w:t>
            </w:r>
            <w:r w:rsidR="00DF1884" w:rsidRPr="00DF1884">
              <w:t xml:space="preserve"> </w:t>
            </w:r>
            <w:r w:rsidRPr="00DF1884">
              <w:t>Antipsychotics</w:t>
            </w:r>
          </w:p>
        </w:tc>
        <w:tc>
          <w:tcPr>
            <w:tcW w:w="1349" w:type="dxa"/>
            <w:tcBorders>
              <w:top w:val="single" w:sz="4" w:space="0" w:color="auto"/>
              <w:left w:val="single" w:sz="4" w:space="0" w:color="auto"/>
              <w:bottom w:val="single" w:sz="4" w:space="0" w:color="auto"/>
              <w:right w:val="single" w:sz="4" w:space="0" w:color="auto"/>
            </w:tcBorders>
          </w:tcPr>
          <w:p w14:paraId="6507A9DE"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266" w:type="dxa"/>
            <w:tcBorders>
              <w:top w:val="single" w:sz="4" w:space="0" w:color="auto"/>
              <w:left w:val="single" w:sz="4" w:space="0" w:color="auto"/>
              <w:bottom w:val="single" w:sz="4" w:space="0" w:color="auto"/>
              <w:right w:val="single" w:sz="4" w:space="0" w:color="auto"/>
            </w:tcBorders>
          </w:tcPr>
          <w:p w14:paraId="720C9B9D"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254" w:type="dxa"/>
            <w:tcBorders>
              <w:top w:val="single" w:sz="4" w:space="0" w:color="auto"/>
              <w:left w:val="single" w:sz="4" w:space="0" w:color="auto"/>
              <w:bottom w:val="single" w:sz="4" w:space="0" w:color="auto"/>
              <w:right w:val="single" w:sz="4" w:space="0" w:color="auto"/>
            </w:tcBorders>
          </w:tcPr>
          <w:p w14:paraId="68BABA70" w14:textId="77777777" w:rsidR="00463667" w:rsidRPr="00DF1884" w:rsidRDefault="00463667" w:rsidP="00C56CA6">
            <w:pPr>
              <w:pStyle w:val="TableText"/>
              <w:jc w:val="center"/>
              <w:rPr>
                <w:rFonts w:cs="Arial"/>
                <w:sz w:val="24"/>
                <w:szCs w:val="24"/>
              </w:rPr>
            </w:pPr>
          </w:p>
        </w:tc>
        <w:tc>
          <w:tcPr>
            <w:tcW w:w="6395" w:type="dxa"/>
            <w:tcBorders>
              <w:top w:val="single" w:sz="4" w:space="0" w:color="auto"/>
              <w:left w:val="single" w:sz="4" w:space="0" w:color="auto"/>
              <w:bottom w:val="single" w:sz="4" w:space="0" w:color="auto"/>
              <w:right w:val="single" w:sz="4" w:space="0" w:color="auto"/>
            </w:tcBorders>
          </w:tcPr>
          <w:p w14:paraId="5E8F43CF" w14:textId="3A801398" w:rsidR="00463667" w:rsidRPr="00DF1884" w:rsidRDefault="00562F10" w:rsidP="00463667">
            <w:pPr>
              <w:pStyle w:val="TableBullet"/>
            </w:pPr>
            <w:r>
              <w:t>No changes to this measure.</w:t>
            </w:r>
          </w:p>
        </w:tc>
      </w:tr>
    </w:tbl>
    <w:p w14:paraId="01E1D792" w14:textId="77777777" w:rsidR="00463667" w:rsidRPr="00DF1884" w:rsidRDefault="00463667" w:rsidP="00463667">
      <w:pPr>
        <w:sectPr w:rsidR="00463667" w:rsidRPr="00DF1884" w:rsidSect="0039781B">
          <w:headerReference w:type="even" r:id="rId39"/>
          <w:headerReference w:type="default" r:id="rId40"/>
          <w:footerReference w:type="even" r:id="rId41"/>
          <w:footerReference w:type="default" r:id="rId42"/>
          <w:pgSz w:w="15840" w:h="12240" w:orient="landscape" w:code="1"/>
          <w:pgMar w:top="1080" w:right="1080" w:bottom="1080" w:left="1440" w:header="720" w:footer="720" w:gutter="0"/>
          <w:cols w:space="720"/>
        </w:sectPr>
      </w:pPr>
    </w:p>
    <w:p w14:paraId="5017A39A" w14:textId="4A1E285E" w:rsidR="00463667" w:rsidRPr="00DF1884" w:rsidRDefault="00463667" w:rsidP="00463667">
      <w:pPr>
        <w:pStyle w:val="TableHeadNotCondensed"/>
        <w:spacing w:before="0"/>
      </w:pPr>
      <w:r w:rsidRPr="00DF1884">
        <w:lastRenderedPageBreak/>
        <w:t>HEDIS</w:t>
      </w:r>
      <w:r w:rsidR="00DF1884" w:rsidRPr="00DF1884">
        <w:t xml:space="preserve"> </w:t>
      </w:r>
      <w:r w:rsidR="00442111" w:rsidRPr="00DF1884">
        <w:rPr>
          <w:iCs/>
        </w:rPr>
        <w:t>2016</w:t>
      </w:r>
      <w:r w:rsidR="00DF1884" w:rsidRPr="00DF1884">
        <w:t xml:space="preserve"> </w:t>
      </w:r>
      <w:r w:rsidRPr="00DF1884">
        <w:t>Summary</w:t>
      </w:r>
      <w:r w:rsidR="00DF1884" w:rsidRPr="00DF1884">
        <w:t xml:space="preserve"> </w:t>
      </w:r>
      <w:r w:rsidRPr="00DF1884">
        <w:t>Table</w:t>
      </w:r>
      <w:r w:rsidR="00DF1884" w:rsidRPr="00DF1884">
        <w:t xml:space="preserve"> </w:t>
      </w:r>
      <w:r w:rsidRPr="00DF1884">
        <w:t>of</w:t>
      </w:r>
      <w:r w:rsidR="00DF1884" w:rsidRPr="00DF1884">
        <w:t xml:space="preserve"> </w:t>
      </w:r>
      <w:r w:rsidRPr="00DF1884">
        <w:t>Measures,</w:t>
      </w:r>
      <w:r w:rsidR="00DF1884" w:rsidRPr="00DF1884">
        <w:t xml:space="preserve"> </w:t>
      </w:r>
      <w:r w:rsidRPr="00DF1884">
        <w:t>Product</w:t>
      </w:r>
      <w:r w:rsidR="00DF1884" w:rsidRPr="00DF1884">
        <w:t xml:space="preserve"> </w:t>
      </w:r>
      <w:r w:rsidRPr="00DF1884">
        <w:t>Lines</w:t>
      </w:r>
      <w:r w:rsidR="00DF1884" w:rsidRPr="00DF1884">
        <w:t xml:space="preserve"> </w:t>
      </w:r>
      <w:r w:rsidRPr="00DF1884">
        <w:t>and</w:t>
      </w:r>
      <w:r w:rsidR="00DF1884" w:rsidRPr="00DF1884">
        <w:t xml:space="preserve"> </w:t>
      </w:r>
      <w:r w:rsidRPr="00DF1884">
        <w:t>Changes</w:t>
      </w:r>
      <w:r w:rsidR="00DF1884" w:rsidRPr="00DF1884">
        <w:t xml:space="preserve"> </w:t>
      </w:r>
      <w:r w:rsidRPr="00DF1884">
        <w:rPr>
          <w:i/>
          <w:sz w:val="20"/>
          <w:szCs w:val="20"/>
        </w:rPr>
        <w:t>(continued)</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8"/>
        <w:gridCol w:w="1350"/>
        <w:gridCol w:w="1350"/>
        <w:gridCol w:w="6"/>
        <w:gridCol w:w="1251"/>
        <w:gridCol w:w="9"/>
        <w:gridCol w:w="6386"/>
      </w:tblGrid>
      <w:tr w:rsidR="00463667" w:rsidRPr="00DF1884" w14:paraId="3E53EE3A" w14:textId="77777777" w:rsidTr="00904532">
        <w:trPr>
          <w:cantSplit/>
        </w:trPr>
        <w:tc>
          <w:tcPr>
            <w:tcW w:w="2968" w:type="dxa"/>
            <w:vMerge w:val="restart"/>
            <w:tcBorders>
              <w:top w:val="single" w:sz="4" w:space="0" w:color="auto"/>
              <w:left w:val="single" w:sz="4" w:space="0" w:color="auto"/>
              <w:bottom w:val="single" w:sz="4" w:space="0" w:color="auto"/>
              <w:right w:val="single" w:sz="4" w:space="0" w:color="FFFFFF"/>
            </w:tcBorders>
            <w:shd w:val="clear" w:color="auto" w:fill="000000"/>
            <w:vAlign w:val="bottom"/>
          </w:tcPr>
          <w:p w14:paraId="35EC2131" w14:textId="74AD9DEA" w:rsidR="00463667" w:rsidRPr="00DF1884" w:rsidRDefault="00463667" w:rsidP="00C56CA6">
            <w:pPr>
              <w:pStyle w:val="TableHead"/>
              <w:rPr>
                <w:color w:val="auto"/>
              </w:rPr>
            </w:pPr>
            <w:r w:rsidRPr="00DF1884">
              <w:rPr>
                <w:color w:val="auto"/>
              </w:rPr>
              <w:t>HEDIS</w:t>
            </w:r>
            <w:r w:rsidR="00DF1884" w:rsidRPr="00DF1884">
              <w:rPr>
                <w:color w:val="auto"/>
              </w:rPr>
              <w:t xml:space="preserve"> </w:t>
            </w:r>
            <w:r w:rsidR="00442111" w:rsidRPr="00DF1884">
              <w:rPr>
                <w:color w:val="auto"/>
              </w:rPr>
              <w:t>2016</w:t>
            </w:r>
            <w:r w:rsidR="00DF1884" w:rsidRPr="00DF1884">
              <w:rPr>
                <w:color w:val="auto"/>
              </w:rPr>
              <w:t xml:space="preserve"> </w:t>
            </w:r>
            <w:r w:rsidRPr="00DF1884">
              <w:rPr>
                <w:color w:val="auto"/>
              </w:rPr>
              <w:t>Measures</w:t>
            </w:r>
          </w:p>
        </w:tc>
        <w:tc>
          <w:tcPr>
            <w:tcW w:w="3966" w:type="dxa"/>
            <w:gridSpan w:val="5"/>
            <w:tcBorders>
              <w:left w:val="nil"/>
              <w:bottom w:val="single" w:sz="4" w:space="0" w:color="FFFFFF"/>
              <w:right w:val="single" w:sz="4" w:space="0" w:color="FFFFFF"/>
            </w:tcBorders>
            <w:shd w:val="clear" w:color="auto" w:fill="000000"/>
          </w:tcPr>
          <w:p w14:paraId="3EC221E7" w14:textId="0A501B1C" w:rsidR="00463667" w:rsidRPr="00DF1884" w:rsidRDefault="00463667" w:rsidP="00C56CA6">
            <w:pPr>
              <w:pStyle w:val="TableHead"/>
              <w:rPr>
                <w:color w:val="auto"/>
              </w:rPr>
            </w:pPr>
            <w:r w:rsidRPr="00DF1884">
              <w:rPr>
                <w:color w:val="auto"/>
              </w:rPr>
              <w:t>Applicable</w:t>
            </w:r>
            <w:r w:rsidR="00DF1884" w:rsidRPr="00DF1884">
              <w:rPr>
                <w:color w:val="auto"/>
              </w:rPr>
              <w:t xml:space="preserve"> </w:t>
            </w:r>
            <w:r w:rsidRPr="00DF1884">
              <w:rPr>
                <w:color w:val="auto"/>
              </w:rPr>
              <w:t>to:</w:t>
            </w:r>
          </w:p>
        </w:tc>
        <w:tc>
          <w:tcPr>
            <w:tcW w:w="6386" w:type="dxa"/>
            <w:vMerge w:val="restart"/>
            <w:tcBorders>
              <w:left w:val="nil"/>
              <w:bottom w:val="single" w:sz="4" w:space="0" w:color="auto"/>
            </w:tcBorders>
            <w:shd w:val="clear" w:color="auto" w:fill="000000"/>
            <w:vAlign w:val="bottom"/>
          </w:tcPr>
          <w:p w14:paraId="389B713C" w14:textId="2F0D17D6" w:rsidR="00463667" w:rsidRPr="00DF1884" w:rsidRDefault="00463667" w:rsidP="00C56CA6">
            <w:pPr>
              <w:pStyle w:val="TableHead"/>
              <w:rPr>
                <w:color w:val="auto"/>
              </w:rPr>
            </w:pPr>
            <w:r w:rsidRPr="00DF1884">
              <w:rPr>
                <w:color w:val="auto"/>
              </w:rPr>
              <w:t>Changes</w:t>
            </w:r>
            <w:r w:rsidR="00DF1884" w:rsidRPr="00DF1884">
              <w:rPr>
                <w:color w:val="auto"/>
              </w:rPr>
              <w:t xml:space="preserve"> </w:t>
            </w:r>
            <w:r w:rsidRPr="00DF1884">
              <w:rPr>
                <w:color w:val="auto"/>
              </w:rPr>
              <w:t>to</w:t>
            </w:r>
            <w:r w:rsidR="00DF1884" w:rsidRPr="00DF1884">
              <w:rPr>
                <w:color w:val="auto"/>
              </w:rPr>
              <w:t xml:space="preserve"> </w:t>
            </w:r>
            <w:r w:rsidRPr="00DF1884">
              <w:rPr>
                <w:color w:val="auto"/>
              </w:rPr>
              <w:t>HEDIS</w:t>
            </w:r>
            <w:r w:rsidR="00DF1884" w:rsidRPr="00DF1884">
              <w:rPr>
                <w:color w:val="auto"/>
              </w:rPr>
              <w:t xml:space="preserve"> </w:t>
            </w:r>
            <w:r w:rsidR="00442111" w:rsidRPr="00DF1884">
              <w:rPr>
                <w:color w:val="auto"/>
              </w:rPr>
              <w:t>2016</w:t>
            </w:r>
          </w:p>
        </w:tc>
      </w:tr>
      <w:tr w:rsidR="00463667" w:rsidRPr="00DF1884" w14:paraId="22D7DFF0" w14:textId="77777777" w:rsidTr="00904532">
        <w:trPr>
          <w:cantSplit/>
        </w:trPr>
        <w:tc>
          <w:tcPr>
            <w:tcW w:w="2968" w:type="dxa"/>
            <w:vMerge/>
            <w:tcBorders>
              <w:top w:val="nil"/>
              <w:left w:val="single" w:sz="4" w:space="0" w:color="auto"/>
              <w:bottom w:val="single" w:sz="4" w:space="0" w:color="auto"/>
              <w:right w:val="single" w:sz="4" w:space="0" w:color="FFFFFF"/>
            </w:tcBorders>
          </w:tcPr>
          <w:p w14:paraId="34E70255" w14:textId="77777777" w:rsidR="00463667" w:rsidRPr="00DF1884" w:rsidRDefault="00463667" w:rsidP="00C56CA6">
            <w:pPr>
              <w:pStyle w:val="TableHead"/>
              <w:rPr>
                <w:color w:val="auto"/>
              </w:rPr>
            </w:pPr>
          </w:p>
        </w:tc>
        <w:tc>
          <w:tcPr>
            <w:tcW w:w="1350" w:type="dxa"/>
            <w:tcBorders>
              <w:top w:val="nil"/>
              <w:left w:val="nil"/>
              <w:bottom w:val="single" w:sz="4" w:space="0" w:color="auto"/>
              <w:right w:val="single" w:sz="4" w:space="0" w:color="FFFFFF"/>
            </w:tcBorders>
            <w:shd w:val="clear" w:color="auto" w:fill="000000"/>
          </w:tcPr>
          <w:p w14:paraId="1D5159DD" w14:textId="77777777" w:rsidR="00463667" w:rsidRPr="00DF1884" w:rsidRDefault="00463667" w:rsidP="00C56CA6">
            <w:pPr>
              <w:pStyle w:val="TableHead"/>
              <w:rPr>
                <w:color w:val="auto"/>
              </w:rPr>
            </w:pPr>
            <w:r w:rsidRPr="00DF1884">
              <w:rPr>
                <w:color w:val="auto"/>
              </w:rPr>
              <w:t>Commercial</w:t>
            </w:r>
          </w:p>
        </w:tc>
        <w:tc>
          <w:tcPr>
            <w:tcW w:w="1356" w:type="dxa"/>
            <w:gridSpan w:val="2"/>
            <w:tcBorders>
              <w:top w:val="nil"/>
              <w:left w:val="nil"/>
              <w:bottom w:val="single" w:sz="4" w:space="0" w:color="auto"/>
              <w:right w:val="single" w:sz="4" w:space="0" w:color="FFFFFF"/>
            </w:tcBorders>
            <w:shd w:val="clear" w:color="auto" w:fill="000000"/>
          </w:tcPr>
          <w:p w14:paraId="54F124BD" w14:textId="77777777" w:rsidR="00463667" w:rsidRPr="00DF1884" w:rsidRDefault="00463667" w:rsidP="00C56CA6">
            <w:pPr>
              <w:pStyle w:val="TableHead"/>
              <w:rPr>
                <w:color w:val="auto"/>
              </w:rPr>
            </w:pPr>
            <w:r w:rsidRPr="00DF1884">
              <w:rPr>
                <w:color w:val="auto"/>
              </w:rPr>
              <w:t>Medicaid</w:t>
            </w:r>
          </w:p>
        </w:tc>
        <w:tc>
          <w:tcPr>
            <w:tcW w:w="1260" w:type="dxa"/>
            <w:gridSpan w:val="2"/>
            <w:tcBorders>
              <w:top w:val="nil"/>
              <w:left w:val="nil"/>
              <w:bottom w:val="single" w:sz="4" w:space="0" w:color="auto"/>
              <w:right w:val="single" w:sz="4" w:space="0" w:color="FFFFFF"/>
            </w:tcBorders>
            <w:shd w:val="clear" w:color="auto" w:fill="000000"/>
          </w:tcPr>
          <w:p w14:paraId="421B3C01" w14:textId="77777777" w:rsidR="00463667" w:rsidRPr="00DF1884" w:rsidRDefault="00463667" w:rsidP="00C56CA6">
            <w:pPr>
              <w:pStyle w:val="TableHead"/>
              <w:rPr>
                <w:color w:val="auto"/>
              </w:rPr>
            </w:pPr>
            <w:r w:rsidRPr="00DF1884">
              <w:rPr>
                <w:color w:val="auto"/>
              </w:rPr>
              <w:t>Medicare</w:t>
            </w:r>
          </w:p>
        </w:tc>
        <w:tc>
          <w:tcPr>
            <w:tcW w:w="6386" w:type="dxa"/>
            <w:vMerge/>
            <w:tcBorders>
              <w:top w:val="nil"/>
              <w:left w:val="nil"/>
              <w:bottom w:val="single" w:sz="4" w:space="0" w:color="auto"/>
            </w:tcBorders>
            <w:vAlign w:val="bottom"/>
          </w:tcPr>
          <w:p w14:paraId="29D9C7EF" w14:textId="77777777" w:rsidR="00463667" w:rsidRPr="00DF1884" w:rsidRDefault="00463667" w:rsidP="00C56CA6">
            <w:pPr>
              <w:pStyle w:val="TableHead2"/>
              <w:rPr>
                <w:color w:val="auto"/>
              </w:rPr>
            </w:pPr>
          </w:p>
        </w:tc>
      </w:tr>
      <w:tr w:rsidR="00463667" w:rsidRPr="00904532" w14:paraId="51D4FD0F" w14:textId="77777777" w:rsidTr="00C56CA6">
        <w:trPr>
          <w:cantSplit/>
        </w:trPr>
        <w:tc>
          <w:tcPr>
            <w:tcW w:w="13320" w:type="dxa"/>
            <w:gridSpan w:val="7"/>
            <w:shd w:val="clear" w:color="auto" w:fill="C0C0C0"/>
          </w:tcPr>
          <w:p w14:paraId="4EB6B1EF" w14:textId="5DB4B6F3" w:rsidR="00463667" w:rsidRPr="00904532" w:rsidRDefault="00904532" w:rsidP="00904532">
            <w:pPr>
              <w:pStyle w:val="TableText"/>
              <w:jc w:val="center"/>
              <w:rPr>
                <w:b/>
                <w:snapToGrid w:val="0"/>
              </w:rPr>
            </w:pPr>
            <w:r w:rsidRPr="00904532">
              <w:rPr>
                <w:b/>
              </w:rPr>
              <w:t>EXPERIENCE OF CARE</w:t>
            </w:r>
          </w:p>
        </w:tc>
      </w:tr>
      <w:tr w:rsidR="00463667" w:rsidRPr="00DF1884" w14:paraId="65941D0F" w14:textId="77777777" w:rsidTr="00904532">
        <w:tc>
          <w:tcPr>
            <w:tcW w:w="2968" w:type="dxa"/>
          </w:tcPr>
          <w:p w14:paraId="72FCFD1E" w14:textId="670F2992" w:rsidR="00463667" w:rsidRPr="00DF1884" w:rsidRDefault="00463667" w:rsidP="00D0311D">
            <w:pPr>
              <w:pStyle w:val="TableText"/>
            </w:pPr>
            <w:r w:rsidRPr="00DF1884">
              <w:t>CAHPS</w:t>
            </w:r>
            <w:r w:rsidR="00DF1884" w:rsidRPr="00DF1884">
              <w:t xml:space="preserve"> </w:t>
            </w:r>
            <w:r w:rsidRPr="00DF1884">
              <w:t>Health</w:t>
            </w:r>
            <w:r w:rsidR="00DF1884" w:rsidRPr="00DF1884">
              <w:t xml:space="preserve"> </w:t>
            </w:r>
            <w:r w:rsidRPr="00DF1884">
              <w:t>Plan</w:t>
            </w:r>
            <w:r w:rsidR="00DF1884" w:rsidRPr="00DF1884">
              <w:t xml:space="preserve"> </w:t>
            </w:r>
            <w:r w:rsidRPr="00DF1884">
              <w:t>Survey</w:t>
            </w:r>
            <w:r w:rsidR="00DF1884" w:rsidRPr="00DF1884">
              <w:t xml:space="preserve"> </w:t>
            </w:r>
            <w:r w:rsidRPr="00DF1884">
              <w:t>5.0H,</w:t>
            </w:r>
            <w:r w:rsidR="00DF1884" w:rsidRPr="00DF1884">
              <w:t xml:space="preserve"> </w:t>
            </w:r>
            <w:r w:rsidRPr="00DF1884">
              <w:t>Adult</w:t>
            </w:r>
            <w:r w:rsidR="00DF1884" w:rsidRPr="00DF1884">
              <w:t xml:space="preserve"> </w:t>
            </w:r>
            <w:r w:rsidRPr="00DF1884">
              <w:t>Version</w:t>
            </w:r>
            <w:r w:rsidR="00904532">
              <w:t xml:space="preserve"> </w:t>
            </w:r>
          </w:p>
        </w:tc>
        <w:tc>
          <w:tcPr>
            <w:tcW w:w="1350" w:type="dxa"/>
          </w:tcPr>
          <w:p w14:paraId="6E874B7A"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356" w:type="dxa"/>
            <w:gridSpan w:val="2"/>
          </w:tcPr>
          <w:p w14:paraId="57677098"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260" w:type="dxa"/>
            <w:gridSpan w:val="2"/>
          </w:tcPr>
          <w:p w14:paraId="36575900" w14:textId="77777777" w:rsidR="00463667" w:rsidRPr="00DF1884" w:rsidRDefault="00463667" w:rsidP="00C56CA6">
            <w:pPr>
              <w:pStyle w:val="TableText"/>
              <w:jc w:val="center"/>
              <w:rPr>
                <w:b/>
                <w:sz w:val="24"/>
                <w:szCs w:val="24"/>
              </w:rPr>
            </w:pPr>
          </w:p>
        </w:tc>
        <w:tc>
          <w:tcPr>
            <w:tcW w:w="6386" w:type="dxa"/>
          </w:tcPr>
          <w:p w14:paraId="4FFE3069" w14:textId="388B01F1" w:rsidR="00463667" w:rsidRPr="00DF1884" w:rsidRDefault="00463667" w:rsidP="00463667">
            <w:pPr>
              <w:pStyle w:val="TableBullet"/>
              <w:rPr>
                <w:i/>
              </w:rPr>
            </w:pPr>
            <w:r w:rsidRPr="00DF1884">
              <w:t>This</w:t>
            </w:r>
            <w:r w:rsidR="00DF1884" w:rsidRPr="00DF1884">
              <w:t xml:space="preserve"> </w:t>
            </w:r>
            <w:r w:rsidRPr="00DF1884">
              <w:t>measure</w:t>
            </w:r>
            <w:r w:rsidR="00DF1884" w:rsidRPr="00DF1884">
              <w:t xml:space="preserve"> </w:t>
            </w:r>
            <w:r w:rsidRPr="00DF1884">
              <w:t>is</w:t>
            </w:r>
            <w:r w:rsidR="00DF1884" w:rsidRPr="00DF1884">
              <w:t xml:space="preserve"> </w:t>
            </w:r>
            <w:r w:rsidRPr="00DF1884">
              <w:t>collected</w:t>
            </w:r>
            <w:r w:rsidR="00DF1884" w:rsidRPr="00DF1884">
              <w:t xml:space="preserve"> </w:t>
            </w:r>
            <w:r w:rsidRPr="00DF1884">
              <w:t>using</w:t>
            </w:r>
            <w:r w:rsidR="00DF1884" w:rsidRPr="00DF1884">
              <w:t xml:space="preserve"> </w:t>
            </w:r>
            <w:r w:rsidRPr="00DF1884">
              <w:t>survey</w:t>
            </w:r>
            <w:r w:rsidR="00DF1884" w:rsidRPr="00DF1884">
              <w:t xml:space="preserve"> </w:t>
            </w:r>
            <w:r w:rsidRPr="00DF1884">
              <w:t>methodology.</w:t>
            </w:r>
            <w:r w:rsidR="00DF1884" w:rsidRPr="00DF1884">
              <w:t xml:space="preserve"> </w:t>
            </w:r>
            <w:r w:rsidRPr="00DF1884">
              <w:t>Detailed</w:t>
            </w:r>
            <w:r w:rsidR="00DF1884" w:rsidRPr="00DF1884">
              <w:t xml:space="preserve"> </w:t>
            </w:r>
            <w:r w:rsidRPr="00DF1884">
              <w:t>specifications</w:t>
            </w:r>
            <w:r w:rsidR="00DF1884" w:rsidRPr="00DF1884">
              <w:t xml:space="preserve"> </w:t>
            </w:r>
            <w:r w:rsidRPr="00DF1884">
              <w:t>and</w:t>
            </w:r>
            <w:r w:rsidR="00DF1884" w:rsidRPr="00DF1884">
              <w:t xml:space="preserve"> </w:t>
            </w:r>
            <w:r w:rsidRPr="00DF1884">
              <w:t>summary</w:t>
            </w:r>
            <w:r w:rsidR="00DF1884" w:rsidRPr="00DF1884">
              <w:t xml:space="preserve"> </w:t>
            </w:r>
            <w:r w:rsidRPr="00DF1884">
              <w:t>of</w:t>
            </w:r>
            <w:r w:rsidR="00DF1884" w:rsidRPr="00DF1884">
              <w:t xml:space="preserve"> </w:t>
            </w:r>
            <w:r w:rsidRPr="00DF1884">
              <w:t>changes</w:t>
            </w:r>
            <w:r w:rsidR="00DF1884" w:rsidRPr="00DF1884">
              <w:t xml:space="preserve"> </w:t>
            </w:r>
            <w:r w:rsidRPr="00DF1884">
              <w:t>are</w:t>
            </w:r>
            <w:r w:rsidR="00DF1884" w:rsidRPr="00DF1884">
              <w:t xml:space="preserve"> </w:t>
            </w:r>
            <w:r w:rsidRPr="00DF1884">
              <w:t>contained</w:t>
            </w:r>
            <w:r w:rsidR="00DF1884" w:rsidRPr="00DF1884">
              <w:t xml:space="preserve"> </w:t>
            </w:r>
            <w:r w:rsidRPr="00DF1884">
              <w:t>in</w:t>
            </w:r>
            <w:r w:rsidR="00DF1884" w:rsidRPr="00DF1884">
              <w:t xml:space="preserve"> </w:t>
            </w:r>
            <w:r w:rsidRPr="00DF1884">
              <w:rPr>
                <w:i/>
              </w:rPr>
              <w:t>HEDIS</w:t>
            </w:r>
            <w:r w:rsidR="00DF1884" w:rsidRPr="00DF1884">
              <w:rPr>
                <w:i/>
              </w:rPr>
              <w:t xml:space="preserve"> </w:t>
            </w:r>
            <w:r w:rsidR="00442111" w:rsidRPr="00DF1884">
              <w:rPr>
                <w:i/>
              </w:rPr>
              <w:t>2016</w:t>
            </w:r>
            <w:r w:rsidRPr="00DF1884">
              <w:rPr>
                <w:i/>
              </w:rPr>
              <w:t>,</w:t>
            </w:r>
            <w:r w:rsidR="00DF1884" w:rsidRPr="00DF1884">
              <w:rPr>
                <w:i/>
              </w:rPr>
              <w:t xml:space="preserve"> </w:t>
            </w:r>
            <w:r w:rsidRPr="00DF1884">
              <w:rPr>
                <w:i/>
              </w:rPr>
              <w:t>Volume</w:t>
            </w:r>
            <w:r w:rsidR="00DF1884" w:rsidRPr="00DF1884">
              <w:rPr>
                <w:i/>
              </w:rPr>
              <w:t xml:space="preserve"> </w:t>
            </w:r>
            <w:r w:rsidRPr="00DF1884">
              <w:rPr>
                <w:i/>
              </w:rPr>
              <w:t>3:</w:t>
            </w:r>
            <w:r w:rsidR="00DF1884" w:rsidRPr="00DF1884">
              <w:rPr>
                <w:i/>
              </w:rPr>
              <w:t xml:space="preserve"> </w:t>
            </w:r>
            <w:r w:rsidRPr="00DF1884">
              <w:rPr>
                <w:i/>
              </w:rPr>
              <w:t>Specifications</w:t>
            </w:r>
            <w:r w:rsidR="00DF1884" w:rsidRPr="00DF1884">
              <w:rPr>
                <w:i/>
              </w:rPr>
              <w:t xml:space="preserve"> </w:t>
            </w:r>
            <w:r w:rsidRPr="00DF1884">
              <w:rPr>
                <w:i/>
              </w:rPr>
              <w:t>for</w:t>
            </w:r>
            <w:r w:rsidR="00DF1884" w:rsidRPr="00DF1884">
              <w:rPr>
                <w:i/>
              </w:rPr>
              <w:t xml:space="preserve"> </w:t>
            </w:r>
            <w:r w:rsidRPr="00DF1884">
              <w:rPr>
                <w:i/>
              </w:rPr>
              <w:t>Survey</w:t>
            </w:r>
            <w:r w:rsidR="00DF1884" w:rsidRPr="00DF1884">
              <w:rPr>
                <w:i/>
              </w:rPr>
              <w:t xml:space="preserve"> </w:t>
            </w:r>
            <w:r w:rsidRPr="00DF1884">
              <w:rPr>
                <w:i/>
              </w:rPr>
              <w:t>Measures.</w:t>
            </w:r>
          </w:p>
        </w:tc>
      </w:tr>
      <w:tr w:rsidR="00463667" w:rsidRPr="00DF1884" w14:paraId="4E9A4785" w14:textId="77777777" w:rsidTr="00904532">
        <w:tc>
          <w:tcPr>
            <w:tcW w:w="2968" w:type="dxa"/>
          </w:tcPr>
          <w:p w14:paraId="7E2BBE62" w14:textId="3C87F0BD" w:rsidR="00463667" w:rsidRPr="00DF1884" w:rsidRDefault="00463667" w:rsidP="00C56CA6">
            <w:pPr>
              <w:pStyle w:val="TableText"/>
            </w:pPr>
            <w:r w:rsidRPr="00DF1884">
              <w:t>CAHPS</w:t>
            </w:r>
            <w:r w:rsidR="00DF1884" w:rsidRPr="00DF1884">
              <w:t xml:space="preserve"> </w:t>
            </w:r>
            <w:r w:rsidRPr="00DF1884">
              <w:t>Health</w:t>
            </w:r>
            <w:r w:rsidR="00DF1884" w:rsidRPr="00DF1884">
              <w:t xml:space="preserve"> </w:t>
            </w:r>
            <w:r w:rsidRPr="00DF1884">
              <w:t>Plan</w:t>
            </w:r>
            <w:r w:rsidR="00DF1884" w:rsidRPr="00DF1884">
              <w:t xml:space="preserve"> </w:t>
            </w:r>
            <w:r w:rsidRPr="00DF1884">
              <w:t>Survey</w:t>
            </w:r>
            <w:r w:rsidR="00DF1884" w:rsidRPr="00DF1884">
              <w:t xml:space="preserve"> </w:t>
            </w:r>
            <w:r w:rsidRPr="00DF1884">
              <w:t>5.0H,</w:t>
            </w:r>
            <w:r w:rsidR="00DF1884" w:rsidRPr="00DF1884">
              <w:t xml:space="preserve"> </w:t>
            </w:r>
            <w:r w:rsidRPr="00DF1884">
              <w:t>Child</w:t>
            </w:r>
            <w:r w:rsidR="00DF1884" w:rsidRPr="00DF1884">
              <w:t xml:space="preserve"> </w:t>
            </w:r>
            <w:r w:rsidRPr="00DF1884">
              <w:t>Version</w:t>
            </w:r>
            <w:r w:rsidR="00DF1884" w:rsidRPr="00DF1884">
              <w:t xml:space="preserve"> </w:t>
            </w:r>
          </w:p>
        </w:tc>
        <w:tc>
          <w:tcPr>
            <w:tcW w:w="1350" w:type="dxa"/>
          </w:tcPr>
          <w:p w14:paraId="6F33B20E"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356" w:type="dxa"/>
            <w:gridSpan w:val="2"/>
          </w:tcPr>
          <w:p w14:paraId="2D42B80D"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260" w:type="dxa"/>
            <w:gridSpan w:val="2"/>
          </w:tcPr>
          <w:p w14:paraId="739B9307" w14:textId="77777777" w:rsidR="00463667" w:rsidRPr="00DF1884" w:rsidRDefault="00463667" w:rsidP="00C56CA6">
            <w:pPr>
              <w:pStyle w:val="TableText"/>
              <w:jc w:val="center"/>
              <w:rPr>
                <w:b/>
                <w:sz w:val="24"/>
                <w:szCs w:val="24"/>
              </w:rPr>
            </w:pPr>
          </w:p>
        </w:tc>
        <w:tc>
          <w:tcPr>
            <w:tcW w:w="6386" w:type="dxa"/>
          </w:tcPr>
          <w:p w14:paraId="3264583F" w14:textId="25BA0AE4" w:rsidR="00463667" w:rsidRPr="00DF1884" w:rsidRDefault="00463667" w:rsidP="00463667">
            <w:pPr>
              <w:pStyle w:val="TableBullet"/>
              <w:rPr>
                <w:i/>
              </w:rPr>
            </w:pPr>
            <w:r w:rsidRPr="00DF1884">
              <w:t>This</w:t>
            </w:r>
            <w:r w:rsidR="00DF1884" w:rsidRPr="00DF1884">
              <w:t xml:space="preserve"> </w:t>
            </w:r>
            <w:r w:rsidRPr="00DF1884">
              <w:t>measure</w:t>
            </w:r>
            <w:r w:rsidR="00DF1884" w:rsidRPr="00DF1884">
              <w:t xml:space="preserve"> </w:t>
            </w:r>
            <w:r w:rsidRPr="00DF1884">
              <w:t>is</w:t>
            </w:r>
            <w:r w:rsidR="00DF1884" w:rsidRPr="00DF1884">
              <w:t xml:space="preserve"> </w:t>
            </w:r>
            <w:r w:rsidRPr="00DF1884">
              <w:t>collected</w:t>
            </w:r>
            <w:r w:rsidR="00DF1884" w:rsidRPr="00DF1884">
              <w:t xml:space="preserve"> </w:t>
            </w:r>
            <w:r w:rsidRPr="00DF1884">
              <w:t>using</w:t>
            </w:r>
            <w:r w:rsidR="00DF1884" w:rsidRPr="00DF1884">
              <w:t xml:space="preserve"> </w:t>
            </w:r>
            <w:r w:rsidRPr="00DF1884">
              <w:t>survey</w:t>
            </w:r>
            <w:r w:rsidR="00DF1884" w:rsidRPr="00DF1884">
              <w:t xml:space="preserve"> </w:t>
            </w:r>
            <w:r w:rsidRPr="00DF1884">
              <w:t>methodology.</w:t>
            </w:r>
            <w:r w:rsidR="00DF1884" w:rsidRPr="00DF1884">
              <w:t xml:space="preserve"> </w:t>
            </w:r>
            <w:r w:rsidRPr="00DF1884">
              <w:t>Detailed</w:t>
            </w:r>
            <w:r w:rsidR="00DF1884" w:rsidRPr="00DF1884">
              <w:t xml:space="preserve"> </w:t>
            </w:r>
            <w:r w:rsidRPr="00DF1884">
              <w:t>specifications</w:t>
            </w:r>
            <w:r w:rsidR="00DF1884" w:rsidRPr="00DF1884">
              <w:t xml:space="preserve"> </w:t>
            </w:r>
            <w:r w:rsidRPr="00DF1884">
              <w:t>and</w:t>
            </w:r>
            <w:r w:rsidR="00DF1884" w:rsidRPr="00DF1884">
              <w:t xml:space="preserve"> </w:t>
            </w:r>
            <w:r w:rsidRPr="00DF1884">
              <w:t>summary</w:t>
            </w:r>
            <w:r w:rsidR="00DF1884" w:rsidRPr="00DF1884">
              <w:t xml:space="preserve"> </w:t>
            </w:r>
            <w:r w:rsidRPr="00DF1884">
              <w:t>of</w:t>
            </w:r>
            <w:r w:rsidR="00DF1884" w:rsidRPr="00DF1884">
              <w:t xml:space="preserve"> </w:t>
            </w:r>
            <w:r w:rsidRPr="00DF1884">
              <w:t>changes</w:t>
            </w:r>
            <w:r w:rsidR="00DF1884" w:rsidRPr="00DF1884">
              <w:t xml:space="preserve"> </w:t>
            </w:r>
            <w:r w:rsidRPr="00DF1884">
              <w:t>are</w:t>
            </w:r>
            <w:r w:rsidR="00DF1884" w:rsidRPr="00DF1884">
              <w:t xml:space="preserve"> </w:t>
            </w:r>
            <w:r w:rsidRPr="00DF1884">
              <w:t>contained</w:t>
            </w:r>
            <w:r w:rsidR="00DF1884" w:rsidRPr="00DF1884">
              <w:t xml:space="preserve"> </w:t>
            </w:r>
            <w:r w:rsidRPr="00DF1884">
              <w:t>in</w:t>
            </w:r>
            <w:r w:rsidR="00DF1884" w:rsidRPr="00DF1884">
              <w:t xml:space="preserve"> </w:t>
            </w:r>
            <w:r w:rsidRPr="00DF1884">
              <w:rPr>
                <w:i/>
              </w:rPr>
              <w:t>HEDIS</w:t>
            </w:r>
            <w:r w:rsidR="00DF1884" w:rsidRPr="00DF1884">
              <w:rPr>
                <w:i/>
              </w:rPr>
              <w:t xml:space="preserve"> </w:t>
            </w:r>
            <w:r w:rsidR="00442111" w:rsidRPr="00DF1884">
              <w:rPr>
                <w:i/>
              </w:rPr>
              <w:t>2016</w:t>
            </w:r>
            <w:r w:rsidRPr="00DF1884">
              <w:rPr>
                <w:i/>
              </w:rPr>
              <w:t>,</w:t>
            </w:r>
            <w:r w:rsidR="00DF1884" w:rsidRPr="00DF1884">
              <w:rPr>
                <w:i/>
              </w:rPr>
              <w:t xml:space="preserve"> </w:t>
            </w:r>
            <w:r w:rsidRPr="00DF1884">
              <w:rPr>
                <w:i/>
              </w:rPr>
              <w:t>Volume</w:t>
            </w:r>
            <w:r w:rsidR="00DF1884" w:rsidRPr="00DF1884">
              <w:rPr>
                <w:i/>
              </w:rPr>
              <w:t xml:space="preserve"> </w:t>
            </w:r>
            <w:r w:rsidRPr="00DF1884">
              <w:rPr>
                <w:i/>
              </w:rPr>
              <w:t>3:</w:t>
            </w:r>
            <w:r w:rsidR="00DF1884" w:rsidRPr="00DF1884">
              <w:rPr>
                <w:i/>
              </w:rPr>
              <w:t xml:space="preserve"> </w:t>
            </w:r>
            <w:r w:rsidRPr="00DF1884">
              <w:rPr>
                <w:i/>
              </w:rPr>
              <w:t>Specifications</w:t>
            </w:r>
            <w:r w:rsidR="00DF1884" w:rsidRPr="00DF1884">
              <w:rPr>
                <w:i/>
              </w:rPr>
              <w:t xml:space="preserve"> </w:t>
            </w:r>
            <w:r w:rsidRPr="00DF1884">
              <w:rPr>
                <w:i/>
              </w:rPr>
              <w:t>for</w:t>
            </w:r>
            <w:r w:rsidR="00DF1884" w:rsidRPr="00DF1884">
              <w:rPr>
                <w:i/>
              </w:rPr>
              <w:t xml:space="preserve"> </w:t>
            </w:r>
            <w:r w:rsidRPr="00DF1884">
              <w:rPr>
                <w:i/>
              </w:rPr>
              <w:t>Survey</w:t>
            </w:r>
            <w:r w:rsidR="00DF1884" w:rsidRPr="00DF1884">
              <w:rPr>
                <w:i/>
              </w:rPr>
              <w:t xml:space="preserve"> </w:t>
            </w:r>
            <w:r w:rsidRPr="00DF1884">
              <w:rPr>
                <w:i/>
              </w:rPr>
              <w:t>Measures.</w:t>
            </w:r>
          </w:p>
        </w:tc>
      </w:tr>
      <w:tr w:rsidR="00463667" w:rsidRPr="00DF1884" w14:paraId="56EF962A" w14:textId="77777777" w:rsidTr="00904532">
        <w:tc>
          <w:tcPr>
            <w:tcW w:w="2968" w:type="dxa"/>
          </w:tcPr>
          <w:p w14:paraId="0FB6A2F8" w14:textId="14899DCB" w:rsidR="00463667" w:rsidRPr="00DF1884" w:rsidRDefault="00463667" w:rsidP="00C56CA6">
            <w:pPr>
              <w:pStyle w:val="TableText"/>
            </w:pPr>
            <w:r w:rsidRPr="00DF1884">
              <w:t>Children</w:t>
            </w:r>
            <w:r w:rsidR="00DF1884" w:rsidRPr="00DF1884">
              <w:t xml:space="preserve"> </w:t>
            </w:r>
            <w:r w:rsidRPr="00DF1884">
              <w:t>With</w:t>
            </w:r>
            <w:r w:rsidR="00DF1884" w:rsidRPr="00DF1884">
              <w:t xml:space="preserve"> </w:t>
            </w:r>
            <w:r w:rsidRPr="00DF1884">
              <w:t>Chronic</w:t>
            </w:r>
            <w:r w:rsidR="00DF1884" w:rsidRPr="00DF1884">
              <w:t xml:space="preserve"> </w:t>
            </w:r>
            <w:r w:rsidRPr="00DF1884">
              <w:t>Conditions</w:t>
            </w:r>
          </w:p>
        </w:tc>
        <w:tc>
          <w:tcPr>
            <w:tcW w:w="1350" w:type="dxa"/>
          </w:tcPr>
          <w:p w14:paraId="6C96BBEA"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356" w:type="dxa"/>
            <w:gridSpan w:val="2"/>
          </w:tcPr>
          <w:p w14:paraId="6DB3E635"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260" w:type="dxa"/>
            <w:gridSpan w:val="2"/>
          </w:tcPr>
          <w:p w14:paraId="2993762B" w14:textId="77777777" w:rsidR="00463667" w:rsidRPr="00DF1884" w:rsidRDefault="00463667" w:rsidP="00C56CA6">
            <w:pPr>
              <w:pStyle w:val="TableText"/>
              <w:jc w:val="center"/>
              <w:rPr>
                <w:b/>
                <w:sz w:val="24"/>
                <w:szCs w:val="24"/>
              </w:rPr>
            </w:pPr>
          </w:p>
        </w:tc>
        <w:tc>
          <w:tcPr>
            <w:tcW w:w="6386" w:type="dxa"/>
          </w:tcPr>
          <w:p w14:paraId="19290D4A" w14:textId="5A1A1868" w:rsidR="00463667" w:rsidRPr="00DF1884" w:rsidRDefault="00463667" w:rsidP="00463667">
            <w:pPr>
              <w:pStyle w:val="TableBullet"/>
              <w:rPr>
                <w:i/>
              </w:rPr>
            </w:pPr>
            <w:r w:rsidRPr="00DF1884">
              <w:t>This</w:t>
            </w:r>
            <w:r w:rsidR="00DF1884" w:rsidRPr="00DF1884">
              <w:t xml:space="preserve"> </w:t>
            </w:r>
            <w:r w:rsidRPr="00DF1884">
              <w:t>measure</w:t>
            </w:r>
            <w:r w:rsidR="00DF1884" w:rsidRPr="00DF1884">
              <w:t xml:space="preserve"> </w:t>
            </w:r>
            <w:r w:rsidRPr="00DF1884">
              <w:t>is</w:t>
            </w:r>
            <w:r w:rsidR="00DF1884" w:rsidRPr="00DF1884">
              <w:t xml:space="preserve"> </w:t>
            </w:r>
            <w:r w:rsidRPr="00DF1884">
              <w:t>collected</w:t>
            </w:r>
            <w:r w:rsidR="00DF1884" w:rsidRPr="00DF1884">
              <w:t xml:space="preserve"> </w:t>
            </w:r>
            <w:r w:rsidRPr="00DF1884">
              <w:t>using</w:t>
            </w:r>
            <w:r w:rsidR="00DF1884" w:rsidRPr="00DF1884">
              <w:t xml:space="preserve"> </w:t>
            </w:r>
            <w:r w:rsidRPr="00DF1884">
              <w:t>survey</w:t>
            </w:r>
            <w:r w:rsidR="00DF1884" w:rsidRPr="00DF1884">
              <w:t xml:space="preserve"> </w:t>
            </w:r>
            <w:r w:rsidRPr="00DF1884">
              <w:t>methodology.</w:t>
            </w:r>
            <w:r w:rsidR="00DF1884" w:rsidRPr="00DF1884">
              <w:t xml:space="preserve"> </w:t>
            </w:r>
            <w:r w:rsidRPr="00DF1884">
              <w:t>Detailed</w:t>
            </w:r>
            <w:r w:rsidR="00DF1884" w:rsidRPr="00DF1884">
              <w:t xml:space="preserve"> </w:t>
            </w:r>
            <w:r w:rsidRPr="00DF1884">
              <w:t>specifications</w:t>
            </w:r>
            <w:r w:rsidR="00DF1884" w:rsidRPr="00DF1884">
              <w:t xml:space="preserve"> </w:t>
            </w:r>
            <w:r w:rsidRPr="00DF1884">
              <w:t>and</w:t>
            </w:r>
            <w:r w:rsidR="00DF1884" w:rsidRPr="00DF1884">
              <w:t xml:space="preserve"> </w:t>
            </w:r>
            <w:r w:rsidRPr="00DF1884">
              <w:t>summary</w:t>
            </w:r>
            <w:r w:rsidR="00DF1884" w:rsidRPr="00DF1884">
              <w:t xml:space="preserve"> </w:t>
            </w:r>
            <w:r w:rsidRPr="00DF1884">
              <w:t>of</w:t>
            </w:r>
            <w:r w:rsidR="00DF1884" w:rsidRPr="00DF1884">
              <w:t xml:space="preserve"> </w:t>
            </w:r>
            <w:r w:rsidRPr="00DF1884">
              <w:t>changes</w:t>
            </w:r>
            <w:r w:rsidR="00DF1884" w:rsidRPr="00DF1884">
              <w:t xml:space="preserve"> </w:t>
            </w:r>
            <w:r w:rsidRPr="00DF1884">
              <w:t>for</w:t>
            </w:r>
            <w:r w:rsidR="00DF1884" w:rsidRPr="00DF1884">
              <w:t xml:space="preserve"> </w:t>
            </w:r>
            <w:r w:rsidRPr="00DF1884">
              <w:t>the</w:t>
            </w:r>
            <w:r w:rsidR="00DF1884" w:rsidRPr="00DF1884">
              <w:t xml:space="preserve"> </w:t>
            </w:r>
            <w:r w:rsidRPr="00DF1884">
              <w:t>measure</w:t>
            </w:r>
            <w:r w:rsidR="00DF1884" w:rsidRPr="00DF1884">
              <w:t xml:space="preserve"> </w:t>
            </w:r>
            <w:r w:rsidRPr="00DF1884">
              <w:t>are</w:t>
            </w:r>
            <w:r w:rsidR="00DF1884" w:rsidRPr="00DF1884">
              <w:t xml:space="preserve"> </w:t>
            </w:r>
            <w:r w:rsidRPr="00DF1884">
              <w:t>contained</w:t>
            </w:r>
            <w:r w:rsidR="00DF1884" w:rsidRPr="00DF1884">
              <w:t xml:space="preserve"> </w:t>
            </w:r>
            <w:r w:rsidRPr="00DF1884">
              <w:t>in</w:t>
            </w:r>
            <w:r w:rsidR="00DF1884" w:rsidRPr="00DF1884">
              <w:t xml:space="preserve"> </w:t>
            </w:r>
            <w:r w:rsidRPr="00DF1884">
              <w:rPr>
                <w:i/>
              </w:rPr>
              <w:t>HEDIS</w:t>
            </w:r>
            <w:r w:rsidR="00DF1884" w:rsidRPr="00DF1884">
              <w:rPr>
                <w:i/>
              </w:rPr>
              <w:t xml:space="preserve"> </w:t>
            </w:r>
            <w:r w:rsidR="00442111" w:rsidRPr="00DF1884">
              <w:rPr>
                <w:i/>
              </w:rPr>
              <w:t>2016</w:t>
            </w:r>
            <w:r w:rsidRPr="00DF1884">
              <w:rPr>
                <w:i/>
              </w:rPr>
              <w:t>,</w:t>
            </w:r>
            <w:r w:rsidR="00DF1884" w:rsidRPr="00DF1884">
              <w:rPr>
                <w:i/>
              </w:rPr>
              <w:t xml:space="preserve"> </w:t>
            </w:r>
            <w:r w:rsidRPr="00DF1884">
              <w:rPr>
                <w:i/>
              </w:rPr>
              <w:t>Volume</w:t>
            </w:r>
            <w:r w:rsidR="00DF1884" w:rsidRPr="00DF1884">
              <w:rPr>
                <w:i/>
              </w:rPr>
              <w:t xml:space="preserve"> </w:t>
            </w:r>
            <w:r w:rsidRPr="00DF1884">
              <w:rPr>
                <w:i/>
              </w:rPr>
              <w:t>3:</w:t>
            </w:r>
            <w:r w:rsidR="00DF1884" w:rsidRPr="00DF1884">
              <w:rPr>
                <w:i/>
              </w:rPr>
              <w:t xml:space="preserve"> </w:t>
            </w:r>
            <w:r w:rsidRPr="00DF1884">
              <w:rPr>
                <w:i/>
              </w:rPr>
              <w:t>Specifications</w:t>
            </w:r>
            <w:r w:rsidR="00DF1884" w:rsidRPr="00DF1884">
              <w:rPr>
                <w:i/>
              </w:rPr>
              <w:t xml:space="preserve"> </w:t>
            </w:r>
            <w:r w:rsidRPr="00DF1884">
              <w:rPr>
                <w:i/>
              </w:rPr>
              <w:t>for</w:t>
            </w:r>
            <w:r w:rsidR="00DF1884" w:rsidRPr="00DF1884">
              <w:rPr>
                <w:i/>
              </w:rPr>
              <w:t xml:space="preserve"> </w:t>
            </w:r>
            <w:r w:rsidRPr="00DF1884">
              <w:rPr>
                <w:i/>
              </w:rPr>
              <w:t>Survey</w:t>
            </w:r>
            <w:r w:rsidR="00DF1884" w:rsidRPr="00DF1884">
              <w:rPr>
                <w:i/>
              </w:rPr>
              <w:t xml:space="preserve"> </w:t>
            </w:r>
            <w:r w:rsidRPr="00DF1884">
              <w:rPr>
                <w:i/>
              </w:rPr>
              <w:t>Measures.</w:t>
            </w:r>
          </w:p>
        </w:tc>
      </w:tr>
      <w:tr w:rsidR="00463667" w:rsidRPr="00904532" w14:paraId="588B6EAA" w14:textId="77777777" w:rsidTr="00C56CA6">
        <w:trPr>
          <w:cantSplit/>
        </w:trPr>
        <w:tc>
          <w:tcPr>
            <w:tcW w:w="13320" w:type="dxa"/>
            <w:gridSpan w:val="7"/>
            <w:shd w:val="clear" w:color="auto" w:fill="C0C0C0"/>
          </w:tcPr>
          <w:p w14:paraId="4060B1A2" w14:textId="5D36ED54" w:rsidR="00463667" w:rsidRPr="00DF1884" w:rsidRDefault="00904532" w:rsidP="00904532">
            <w:pPr>
              <w:pStyle w:val="TableText"/>
              <w:jc w:val="center"/>
              <w:rPr>
                <w:b/>
              </w:rPr>
            </w:pPr>
            <w:r w:rsidRPr="00DF1884">
              <w:rPr>
                <w:b/>
              </w:rPr>
              <w:t>UTILIZATION</w:t>
            </w:r>
            <w:r>
              <w:rPr>
                <w:b/>
              </w:rPr>
              <w:t xml:space="preserve"> AND </w:t>
            </w:r>
            <w:r w:rsidRPr="00DF1884">
              <w:rPr>
                <w:b/>
              </w:rPr>
              <w:t xml:space="preserve">RISK ADJUSTED UTILIZATION </w:t>
            </w:r>
          </w:p>
        </w:tc>
      </w:tr>
      <w:tr w:rsidR="00463667" w:rsidRPr="00DF1884" w14:paraId="6A2BF0F2" w14:textId="77777777" w:rsidTr="00904532">
        <w:trPr>
          <w:trHeight w:val="323"/>
        </w:trPr>
        <w:tc>
          <w:tcPr>
            <w:tcW w:w="2968" w:type="dxa"/>
            <w:tcBorders>
              <w:bottom w:val="single" w:sz="4" w:space="0" w:color="auto"/>
            </w:tcBorders>
          </w:tcPr>
          <w:p w14:paraId="78214F4A" w14:textId="6B06CAFB" w:rsidR="00463667" w:rsidRPr="00DF1884" w:rsidRDefault="00463667" w:rsidP="00C56CA6">
            <w:pPr>
              <w:pStyle w:val="TableText"/>
              <w:rPr>
                <w:b/>
              </w:rPr>
            </w:pPr>
            <w:r w:rsidRPr="00DF1884">
              <w:rPr>
                <w:b/>
              </w:rPr>
              <w:t>Guidelines</w:t>
            </w:r>
            <w:r w:rsidR="00DF1884" w:rsidRPr="00DF1884">
              <w:rPr>
                <w:b/>
              </w:rPr>
              <w:t xml:space="preserve"> </w:t>
            </w:r>
            <w:r w:rsidRPr="00DF1884">
              <w:rPr>
                <w:b/>
              </w:rPr>
              <w:t>for</w:t>
            </w:r>
            <w:r w:rsidR="00DF1884" w:rsidRPr="00DF1884">
              <w:rPr>
                <w:b/>
              </w:rPr>
              <w:t xml:space="preserve"> </w:t>
            </w:r>
            <w:r w:rsidRPr="00DF1884">
              <w:rPr>
                <w:b/>
              </w:rPr>
              <w:t>Utilization</w:t>
            </w:r>
            <w:r w:rsidR="00DF1884" w:rsidRPr="00DF1884">
              <w:rPr>
                <w:b/>
              </w:rPr>
              <w:t xml:space="preserve"> </w:t>
            </w:r>
            <w:r w:rsidR="00E9531F" w:rsidRPr="00DF1884">
              <w:rPr>
                <w:b/>
              </w:rPr>
              <w:t>and</w:t>
            </w:r>
            <w:r w:rsidR="00DF1884" w:rsidRPr="00DF1884">
              <w:rPr>
                <w:b/>
              </w:rPr>
              <w:t xml:space="preserve"> </w:t>
            </w:r>
            <w:r w:rsidR="00E9531F" w:rsidRPr="00DF1884">
              <w:rPr>
                <w:b/>
              </w:rPr>
              <w:t>Risk</w:t>
            </w:r>
            <w:r w:rsidR="00DF1884" w:rsidRPr="00DF1884">
              <w:rPr>
                <w:b/>
              </w:rPr>
              <w:t xml:space="preserve"> </w:t>
            </w:r>
            <w:r w:rsidR="00E9531F" w:rsidRPr="00DF1884">
              <w:rPr>
                <w:b/>
              </w:rPr>
              <w:t>Adjusted</w:t>
            </w:r>
            <w:r w:rsidR="00DF1884" w:rsidRPr="00DF1884">
              <w:rPr>
                <w:b/>
              </w:rPr>
              <w:t xml:space="preserve"> </w:t>
            </w:r>
            <w:r w:rsidR="00E9531F" w:rsidRPr="00DF1884">
              <w:rPr>
                <w:b/>
              </w:rPr>
              <w:t>Utilization</w:t>
            </w:r>
            <w:r w:rsidR="00DF1884" w:rsidRPr="00DF1884">
              <w:rPr>
                <w:b/>
              </w:rPr>
              <w:t xml:space="preserve"> </w:t>
            </w:r>
            <w:r w:rsidRPr="00DF1884">
              <w:rPr>
                <w:b/>
              </w:rPr>
              <w:t>Measures</w:t>
            </w:r>
          </w:p>
        </w:tc>
        <w:tc>
          <w:tcPr>
            <w:tcW w:w="1350" w:type="dxa"/>
            <w:tcBorders>
              <w:bottom w:val="single" w:sz="4" w:space="0" w:color="auto"/>
            </w:tcBorders>
          </w:tcPr>
          <w:p w14:paraId="30EBBA6D" w14:textId="77777777" w:rsidR="00463667" w:rsidRPr="00DF1884" w:rsidRDefault="00463667" w:rsidP="00C56CA6">
            <w:pPr>
              <w:pStyle w:val="TableText"/>
              <w:spacing w:after="0" w:line="240" w:lineRule="exact"/>
              <w:jc w:val="center"/>
              <w:rPr>
                <w:rFonts w:cs="Arial"/>
                <w:sz w:val="24"/>
              </w:rPr>
            </w:pPr>
            <w:r w:rsidRPr="00DF1884">
              <w:rPr>
                <w:rFonts w:cs="Arial"/>
                <w:sz w:val="24"/>
              </w:rPr>
              <w:sym w:font="Wingdings" w:char="F0FC"/>
            </w:r>
          </w:p>
        </w:tc>
        <w:tc>
          <w:tcPr>
            <w:tcW w:w="1356" w:type="dxa"/>
            <w:gridSpan w:val="2"/>
            <w:tcBorders>
              <w:bottom w:val="single" w:sz="4" w:space="0" w:color="auto"/>
            </w:tcBorders>
          </w:tcPr>
          <w:p w14:paraId="5E5BBAD7" w14:textId="77777777" w:rsidR="00463667" w:rsidRPr="00DF1884" w:rsidRDefault="00463667" w:rsidP="00C56CA6">
            <w:pPr>
              <w:pStyle w:val="TableText"/>
              <w:spacing w:after="0" w:line="240" w:lineRule="exact"/>
              <w:jc w:val="center"/>
              <w:rPr>
                <w:rFonts w:cs="Arial"/>
                <w:sz w:val="24"/>
                <w:szCs w:val="24"/>
              </w:rPr>
            </w:pPr>
            <w:r w:rsidRPr="00DF1884">
              <w:rPr>
                <w:rFonts w:cs="Arial"/>
                <w:sz w:val="24"/>
              </w:rPr>
              <w:sym w:font="Wingdings" w:char="F0FC"/>
            </w:r>
          </w:p>
        </w:tc>
        <w:tc>
          <w:tcPr>
            <w:tcW w:w="1260" w:type="dxa"/>
            <w:gridSpan w:val="2"/>
            <w:tcBorders>
              <w:bottom w:val="single" w:sz="4" w:space="0" w:color="auto"/>
            </w:tcBorders>
          </w:tcPr>
          <w:p w14:paraId="001BC2BF" w14:textId="77777777" w:rsidR="00463667" w:rsidRPr="00DF1884" w:rsidRDefault="00463667" w:rsidP="00C56CA6">
            <w:pPr>
              <w:pStyle w:val="TableText"/>
              <w:spacing w:after="0" w:line="240" w:lineRule="exact"/>
              <w:jc w:val="center"/>
              <w:rPr>
                <w:rFonts w:cs="Arial"/>
                <w:sz w:val="24"/>
                <w:szCs w:val="24"/>
              </w:rPr>
            </w:pPr>
            <w:r w:rsidRPr="00DF1884">
              <w:rPr>
                <w:rFonts w:cs="Arial"/>
                <w:sz w:val="24"/>
              </w:rPr>
              <w:sym w:font="Wingdings" w:char="F0FC"/>
            </w:r>
          </w:p>
        </w:tc>
        <w:tc>
          <w:tcPr>
            <w:tcW w:w="6386" w:type="dxa"/>
            <w:tcBorders>
              <w:bottom w:val="single" w:sz="4" w:space="0" w:color="auto"/>
            </w:tcBorders>
          </w:tcPr>
          <w:p w14:paraId="440AB76F" w14:textId="79BD791F" w:rsidR="00463667" w:rsidRPr="00DF1884" w:rsidRDefault="00562F10" w:rsidP="00562F10">
            <w:pPr>
              <w:pStyle w:val="TableBullet"/>
            </w:pPr>
            <w:r>
              <w:t xml:space="preserve">“Guidelines for Utilization Measures” have been renamed, “Guidelines for Utilization and Risk Adjusted Utilization Measures.” </w:t>
            </w:r>
          </w:p>
        </w:tc>
      </w:tr>
      <w:tr w:rsidR="00463667" w:rsidRPr="00DF1884" w14:paraId="694C76E3" w14:textId="77777777" w:rsidTr="00904532">
        <w:trPr>
          <w:trHeight w:val="323"/>
        </w:trPr>
        <w:tc>
          <w:tcPr>
            <w:tcW w:w="2968" w:type="dxa"/>
            <w:tcBorders>
              <w:bottom w:val="single" w:sz="4" w:space="0" w:color="auto"/>
            </w:tcBorders>
          </w:tcPr>
          <w:p w14:paraId="32C7510D" w14:textId="30582DA9" w:rsidR="00463667" w:rsidRPr="00DF1884" w:rsidRDefault="00463667" w:rsidP="00C56CA6">
            <w:pPr>
              <w:pStyle w:val="TableText"/>
            </w:pPr>
            <w:r w:rsidRPr="00DF1884">
              <w:t>Frequency</w:t>
            </w:r>
            <w:r w:rsidR="00DF1884" w:rsidRPr="00DF1884">
              <w:t xml:space="preserve"> </w:t>
            </w:r>
            <w:r w:rsidRPr="00DF1884">
              <w:t>of</w:t>
            </w:r>
            <w:r w:rsidR="00DF1884" w:rsidRPr="00DF1884">
              <w:t xml:space="preserve"> </w:t>
            </w:r>
            <w:r w:rsidRPr="00DF1884">
              <w:t>Ongoing</w:t>
            </w:r>
            <w:r w:rsidR="00DF1884" w:rsidRPr="00DF1884">
              <w:t xml:space="preserve"> </w:t>
            </w:r>
            <w:r w:rsidRPr="00DF1884">
              <w:t>Prenatal</w:t>
            </w:r>
            <w:r w:rsidR="00DF1884" w:rsidRPr="00DF1884">
              <w:t xml:space="preserve"> </w:t>
            </w:r>
            <w:r w:rsidRPr="00DF1884">
              <w:t>Care</w:t>
            </w:r>
          </w:p>
        </w:tc>
        <w:tc>
          <w:tcPr>
            <w:tcW w:w="1350" w:type="dxa"/>
            <w:tcBorders>
              <w:bottom w:val="single" w:sz="4" w:space="0" w:color="auto"/>
            </w:tcBorders>
          </w:tcPr>
          <w:p w14:paraId="237D3119" w14:textId="77777777" w:rsidR="00463667" w:rsidRPr="00DF1884" w:rsidRDefault="00463667" w:rsidP="00C56CA6">
            <w:pPr>
              <w:pStyle w:val="TableText"/>
              <w:spacing w:after="0" w:line="240" w:lineRule="exact"/>
              <w:jc w:val="center"/>
              <w:rPr>
                <w:rFonts w:cs="Arial"/>
                <w:sz w:val="24"/>
              </w:rPr>
            </w:pPr>
          </w:p>
        </w:tc>
        <w:tc>
          <w:tcPr>
            <w:tcW w:w="1356" w:type="dxa"/>
            <w:gridSpan w:val="2"/>
            <w:tcBorders>
              <w:bottom w:val="single" w:sz="4" w:space="0" w:color="auto"/>
            </w:tcBorders>
          </w:tcPr>
          <w:p w14:paraId="14D1499A" w14:textId="77777777" w:rsidR="00463667" w:rsidRPr="00DF1884" w:rsidRDefault="00463667" w:rsidP="00C56CA6">
            <w:pPr>
              <w:pStyle w:val="TableText"/>
              <w:spacing w:after="0" w:line="240" w:lineRule="exact"/>
              <w:jc w:val="center"/>
              <w:rPr>
                <w:rFonts w:cs="Arial"/>
                <w:sz w:val="24"/>
                <w:szCs w:val="24"/>
              </w:rPr>
            </w:pPr>
            <w:r w:rsidRPr="00DF1884">
              <w:rPr>
                <w:rFonts w:cs="Arial"/>
                <w:sz w:val="24"/>
                <w:szCs w:val="24"/>
              </w:rPr>
              <w:sym w:font="Wingdings" w:char="F0FC"/>
            </w:r>
          </w:p>
        </w:tc>
        <w:tc>
          <w:tcPr>
            <w:tcW w:w="1260" w:type="dxa"/>
            <w:gridSpan w:val="2"/>
            <w:tcBorders>
              <w:bottom w:val="single" w:sz="4" w:space="0" w:color="auto"/>
            </w:tcBorders>
          </w:tcPr>
          <w:p w14:paraId="3C01514B" w14:textId="77777777" w:rsidR="00463667" w:rsidRPr="00DF1884" w:rsidRDefault="00463667" w:rsidP="00C56CA6">
            <w:pPr>
              <w:pStyle w:val="TableText"/>
              <w:spacing w:after="0" w:line="240" w:lineRule="exact"/>
              <w:jc w:val="center"/>
              <w:rPr>
                <w:rFonts w:cs="Arial"/>
                <w:sz w:val="24"/>
                <w:szCs w:val="24"/>
              </w:rPr>
            </w:pPr>
          </w:p>
        </w:tc>
        <w:tc>
          <w:tcPr>
            <w:tcW w:w="6386" w:type="dxa"/>
            <w:tcBorders>
              <w:bottom w:val="single" w:sz="4" w:space="0" w:color="auto"/>
            </w:tcBorders>
          </w:tcPr>
          <w:p w14:paraId="4075AB3E" w14:textId="77777777" w:rsidR="00562F10" w:rsidRPr="00CD4CE6" w:rsidRDefault="00562F10" w:rsidP="00562F10">
            <w:pPr>
              <w:pStyle w:val="TableBullet"/>
              <w:rPr>
                <w:i/>
                <w:iCs/>
              </w:rPr>
            </w:pPr>
            <w:r>
              <w:t>Deleted the use of infant claims to identify deliveries.</w:t>
            </w:r>
          </w:p>
          <w:p w14:paraId="08BA2C91" w14:textId="538758C8" w:rsidR="00463667" w:rsidRPr="00DF1884" w:rsidRDefault="00562F10" w:rsidP="00562F10">
            <w:pPr>
              <w:pStyle w:val="TableBullet"/>
            </w:pPr>
            <w:r>
              <w:t xml:space="preserve">Added “Numerator events by supplemental data” to the Data Elements for Reporting table to capture the number of members who met numerator criteria using supplemental data. </w:t>
            </w:r>
          </w:p>
        </w:tc>
      </w:tr>
      <w:tr w:rsidR="00463667" w:rsidRPr="00DF1884" w14:paraId="0093B051" w14:textId="77777777" w:rsidTr="00904532">
        <w:tc>
          <w:tcPr>
            <w:tcW w:w="2968" w:type="dxa"/>
            <w:tcBorders>
              <w:bottom w:val="single" w:sz="6" w:space="0" w:color="auto"/>
            </w:tcBorders>
          </w:tcPr>
          <w:p w14:paraId="3579D5DB" w14:textId="1221F50E" w:rsidR="00463667" w:rsidRPr="00DF1884" w:rsidRDefault="00463667" w:rsidP="00C56CA6">
            <w:pPr>
              <w:pStyle w:val="TableText"/>
            </w:pPr>
            <w:r w:rsidRPr="00DF1884">
              <w:t>Well-Child</w:t>
            </w:r>
            <w:r w:rsidR="00DF1884" w:rsidRPr="00DF1884">
              <w:t xml:space="preserve"> </w:t>
            </w:r>
            <w:r w:rsidRPr="00DF1884">
              <w:t>Visits</w:t>
            </w:r>
            <w:r w:rsidR="00DF1884" w:rsidRPr="00DF1884">
              <w:t xml:space="preserve"> </w:t>
            </w:r>
            <w:r w:rsidRPr="00DF1884">
              <w:t>in</w:t>
            </w:r>
            <w:r w:rsidR="00DF1884" w:rsidRPr="00DF1884">
              <w:t xml:space="preserve"> </w:t>
            </w:r>
            <w:r w:rsidRPr="00DF1884">
              <w:t>the</w:t>
            </w:r>
            <w:r w:rsidR="00DF1884" w:rsidRPr="00DF1884">
              <w:t xml:space="preserve"> </w:t>
            </w:r>
            <w:r w:rsidRPr="00DF1884">
              <w:t>First</w:t>
            </w:r>
            <w:r w:rsidR="00DF1884" w:rsidRPr="00DF1884">
              <w:t xml:space="preserve"> </w:t>
            </w:r>
            <w:r w:rsidRPr="00DF1884">
              <w:t>15</w:t>
            </w:r>
            <w:r w:rsidR="00DF1884" w:rsidRPr="00DF1884">
              <w:t xml:space="preserve"> </w:t>
            </w:r>
            <w:r w:rsidRPr="00DF1884">
              <w:t>Months</w:t>
            </w:r>
            <w:r w:rsidR="00DF1884" w:rsidRPr="00DF1884">
              <w:t xml:space="preserve"> </w:t>
            </w:r>
            <w:r w:rsidRPr="00DF1884">
              <w:t>of</w:t>
            </w:r>
            <w:r w:rsidR="00DF1884" w:rsidRPr="00DF1884">
              <w:t xml:space="preserve"> </w:t>
            </w:r>
            <w:r w:rsidRPr="00DF1884">
              <w:t>Life</w:t>
            </w:r>
          </w:p>
        </w:tc>
        <w:tc>
          <w:tcPr>
            <w:tcW w:w="1350" w:type="dxa"/>
            <w:tcBorders>
              <w:bottom w:val="single" w:sz="6" w:space="0" w:color="auto"/>
            </w:tcBorders>
          </w:tcPr>
          <w:p w14:paraId="1E0E01E9" w14:textId="77777777" w:rsidR="00463667" w:rsidRPr="00DF1884" w:rsidRDefault="00463667" w:rsidP="00C56CA6">
            <w:pPr>
              <w:pStyle w:val="TableText"/>
              <w:spacing w:after="0" w:line="240" w:lineRule="exact"/>
              <w:jc w:val="center"/>
              <w:rPr>
                <w:rFonts w:cs="Arial"/>
                <w:sz w:val="24"/>
              </w:rPr>
            </w:pPr>
            <w:r w:rsidRPr="00DF1884">
              <w:rPr>
                <w:rFonts w:cs="Arial"/>
                <w:sz w:val="24"/>
              </w:rPr>
              <w:sym w:font="Wingdings" w:char="F0FC"/>
            </w:r>
          </w:p>
        </w:tc>
        <w:tc>
          <w:tcPr>
            <w:tcW w:w="1356" w:type="dxa"/>
            <w:gridSpan w:val="2"/>
            <w:tcBorders>
              <w:bottom w:val="single" w:sz="6" w:space="0" w:color="auto"/>
            </w:tcBorders>
          </w:tcPr>
          <w:p w14:paraId="1A6C08D6" w14:textId="77777777" w:rsidR="00463667" w:rsidRPr="00DF1884" w:rsidRDefault="00463667" w:rsidP="00C56CA6">
            <w:pPr>
              <w:pStyle w:val="TableText"/>
              <w:spacing w:after="0" w:line="240" w:lineRule="exact"/>
              <w:jc w:val="center"/>
              <w:rPr>
                <w:rFonts w:cs="Arial"/>
                <w:sz w:val="24"/>
              </w:rPr>
            </w:pPr>
            <w:r w:rsidRPr="00DF1884">
              <w:rPr>
                <w:rFonts w:cs="Arial"/>
                <w:sz w:val="24"/>
              </w:rPr>
              <w:sym w:font="Wingdings" w:char="F0FC"/>
            </w:r>
          </w:p>
        </w:tc>
        <w:tc>
          <w:tcPr>
            <w:tcW w:w="1260" w:type="dxa"/>
            <w:gridSpan w:val="2"/>
            <w:tcBorders>
              <w:bottom w:val="single" w:sz="6" w:space="0" w:color="auto"/>
            </w:tcBorders>
          </w:tcPr>
          <w:p w14:paraId="3D9BAE44" w14:textId="77777777" w:rsidR="00463667" w:rsidRPr="00DF1884" w:rsidRDefault="00463667" w:rsidP="00C56CA6">
            <w:pPr>
              <w:pStyle w:val="TableText"/>
              <w:spacing w:after="0" w:line="240" w:lineRule="exact"/>
              <w:jc w:val="center"/>
              <w:rPr>
                <w:rFonts w:cs="Arial"/>
                <w:sz w:val="24"/>
                <w:szCs w:val="24"/>
              </w:rPr>
            </w:pPr>
          </w:p>
        </w:tc>
        <w:tc>
          <w:tcPr>
            <w:tcW w:w="6386" w:type="dxa"/>
            <w:tcBorders>
              <w:bottom w:val="single" w:sz="6" w:space="0" w:color="auto"/>
            </w:tcBorders>
          </w:tcPr>
          <w:p w14:paraId="18794D35" w14:textId="767EB06E" w:rsidR="00463667" w:rsidRPr="00DF1884" w:rsidRDefault="00562F10" w:rsidP="00562F10">
            <w:pPr>
              <w:pStyle w:val="TableBullet"/>
            </w:pPr>
            <w:r>
              <w:t xml:space="preserve">Added “Numerator events by supplemental data” to the Data Elements for Reporting table to capture the number of members who met numerator criteria using supplemental data. </w:t>
            </w:r>
          </w:p>
        </w:tc>
      </w:tr>
      <w:tr w:rsidR="00463667" w:rsidRPr="00DF1884" w14:paraId="4388DEBA" w14:textId="77777777" w:rsidTr="00904532">
        <w:tc>
          <w:tcPr>
            <w:tcW w:w="2968" w:type="dxa"/>
            <w:tcBorders>
              <w:top w:val="single" w:sz="4" w:space="0" w:color="auto"/>
              <w:left w:val="single" w:sz="4" w:space="0" w:color="auto"/>
              <w:bottom w:val="single" w:sz="6" w:space="0" w:color="auto"/>
              <w:right w:val="single" w:sz="4" w:space="0" w:color="auto"/>
            </w:tcBorders>
          </w:tcPr>
          <w:p w14:paraId="3CDFC088" w14:textId="578D03F4" w:rsidR="00463667" w:rsidRPr="00DF1884" w:rsidRDefault="00463667" w:rsidP="00C56CA6">
            <w:pPr>
              <w:pStyle w:val="TableText"/>
            </w:pPr>
            <w:r w:rsidRPr="00DF1884">
              <w:t>Well-Child</w:t>
            </w:r>
            <w:r w:rsidR="00DF1884" w:rsidRPr="00DF1884">
              <w:t xml:space="preserve"> </w:t>
            </w:r>
            <w:r w:rsidRPr="00DF1884">
              <w:t>Visits</w:t>
            </w:r>
            <w:r w:rsidR="00DF1884" w:rsidRPr="00DF1884">
              <w:t xml:space="preserve"> </w:t>
            </w:r>
            <w:r w:rsidRPr="00DF1884">
              <w:t>in</w:t>
            </w:r>
            <w:r w:rsidR="00DF1884" w:rsidRPr="00DF1884">
              <w:t xml:space="preserve"> </w:t>
            </w:r>
            <w:r w:rsidRPr="00DF1884">
              <w:t>the</w:t>
            </w:r>
            <w:r w:rsidR="00DF1884" w:rsidRPr="00DF1884">
              <w:t xml:space="preserve"> </w:t>
            </w:r>
            <w:r w:rsidRPr="00DF1884">
              <w:t>Third,</w:t>
            </w:r>
            <w:r w:rsidR="00DF1884" w:rsidRPr="00DF1884">
              <w:t xml:space="preserve"> </w:t>
            </w:r>
            <w:r w:rsidRPr="00DF1884">
              <w:t>Fourth,</w:t>
            </w:r>
            <w:r w:rsidR="00DF1884" w:rsidRPr="00DF1884">
              <w:t xml:space="preserve"> </w:t>
            </w:r>
            <w:r w:rsidRPr="00DF1884">
              <w:t>Fifth</w:t>
            </w:r>
            <w:r w:rsidR="00DF1884" w:rsidRPr="00DF1884">
              <w:t xml:space="preserve"> </w:t>
            </w:r>
            <w:r w:rsidRPr="00DF1884">
              <w:t>and</w:t>
            </w:r>
            <w:r w:rsidR="00DF1884" w:rsidRPr="00DF1884">
              <w:t xml:space="preserve"> </w:t>
            </w:r>
            <w:r w:rsidRPr="00DF1884">
              <w:t>Sixth</w:t>
            </w:r>
            <w:r w:rsidR="00DF1884" w:rsidRPr="00DF1884">
              <w:t xml:space="preserve"> </w:t>
            </w:r>
            <w:r w:rsidRPr="00DF1884">
              <w:t>Years</w:t>
            </w:r>
            <w:r w:rsidR="00DF1884" w:rsidRPr="00DF1884">
              <w:t xml:space="preserve"> </w:t>
            </w:r>
            <w:r w:rsidRPr="00DF1884">
              <w:t>of</w:t>
            </w:r>
            <w:r w:rsidR="00DF1884" w:rsidRPr="00DF1884">
              <w:t xml:space="preserve"> </w:t>
            </w:r>
            <w:r w:rsidRPr="00DF1884">
              <w:t>Life</w:t>
            </w:r>
          </w:p>
        </w:tc>
        <w:tc>
          <w:tcPr>
            <w:tcW w:w="1350" w:type="dxa"/>
            <w:tcBorders>
              <w:top w:val="single" w:sz="4" w:space="0" w:color="auto"/>
              <w:left w:val="single" w:sz="4" w:space="0" w:color="auto"/>
              <w:bottom w:val="single" w:sz="6" w:space="0" w:color="auto"/>
              <w:right w:val="single" w:sz="4" w:space="0" w:color="auto"/>
            </w:tcBorders>
          </w:tcPr>
          <w:p w14:paraId="6EEA0895"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356" w:type="dxa"/>
            <w:gridSpan w:val="2"/>
            <w:tcBorders>
              <w:top w:val="single" w:sz="4" w:space="0" w:color="auto"/>
              <w:left w:val="single" w:sz="4" w:space="0" w:color="auto"/>
              <w:bottom w:val="single" w:sz="6" w:space="0" w:color="auto"/>
              <w:right w:val="single" w:sz="4" w:space="0" w:color="auto"/>
            </w:tcBorders>
          </w:tcPr>
          <w:p w14:paraId="23582601"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260" w:type="dxa"/>
            <w:gridSpan w:val="2"/>
            <w:tcBorders>
              <w:top w:val="single" w:sz="4" w:space="0" w:color="auto"/>
              <w:left w:val="single" w:sz="4" w:space="0" w:color="auto"/>
              <w:bottom w:val="single" w:sz="6" w:space="0" w:color="auto"/>
              <w:right w:val="single" w:sz="4" w:space="0" w:color="auto"/>
            </w:tcBorders>
          </w:tcPr>
          <w:p w14:paraId="07B6C12B" w14:textId="77777777" w:rsidR="00463667" w:rsidRPr="00DF1884" w:rsidRDefault="00463667" w:rsidP="00C56CA6">
            <w:pPr>
              <w:pStyle w:val="TableText"/>
              <w:jc w:val="center"/>
              <w:rPr>
                <w:rFonts w:cs="Arial"/>
                <w:sz w:val="24"/>
                <w:szCs w:val="24"/>
              </w:rPr>
            </w:pPr>
          </w:p>
        </w:tc>
        <w:tc>
          <w:tcPr>
            <w:tcW w:w="6386" w:type="dxa"/>
            <w:tcBorders>
              <w:top w:val="single" w:sz="4" w:space="0" w:color="auto"/>
              <w:left w:val="single" w:sz="4" w:space="0" w:color="auto"/>
              <w:bottom w:val="single" w:sz="6" w:space="0" w:color="auto"/>
              <w:right w:val="single" w:sz="4" w:space="0" w:color="auto"/>
            </w:tcBorders>
          </w:tcPr>
          <w:p w14:paraId="091D4912" w14:textId="3ED5314F" w:rsidR="00463667" w:rsidRPr="00DF1884" w:rsidRDefault="00562F10" w:rsidP="00562F10">
            <w:pPr>
              <w:pStyle w:val="TableBullet"/>
            </w:pPr>
            <w:r>
              <w:t xml:space="preserve">Added “Numerator events by supplemental data” to the Data Elements for Reporting table to capture the number of members who met numerator criteria using supplemental data. </w:t>
            </w:r>
          </w:p>
        </w:tc>
      </w:tr>
      <w:tr w:rsidR="00463667" w:rsidRPr="00DF1884" w14:paraId="763A7281" w14:textId="77777777" w:rsidTr="00904532">
        <w:tc>
          <w:tcPr>
            <w:tcW w:w="2968" w:type="dxa"/>
            <w:tcBorders>
              <w:top w:val="single" w:sz="4" w:space="0" w:color="auto"/>
              <w:left w:val="single" w:sz="4" w:space="0" w:color="auto"/>
              <w:bottom w:val="single" w:sz="6" w:space="0" w:color="auto"/>
              <w:right w:val="single" w:sz="4" w:space="0" w:color="auto"/>
            </w:tcBorders>
          </w:tcPr>
          <w:p w14:paraId="74D55F55" w14:textId="2A338450" w:rsidR="00463667" w:rsidRPr="00DF1884" w:rsidRDefault="00463667" w:rsidP="00C56CA6">
            <w:pPr>
              <w:pStyle w:val="TableText"/>
            </w:pPr>
            <w:r w:rsidRPr="00DF1884">
              <w:t>Adolescent</w:t>
            </w:r>
            <w:r w:rsidR="00DF1884" w:rsidRPr="00DF1884">
              <w:t xml:space="preserve"> </w:t>
            </w:r>
            <w:r w:rsidRPr="00DF1884">
              <w:t>Well-Care</w:t>
            </w:r>
            <w:r w:rsidR="00DF1884" w:rsidRPr="00DF1884">
              <w:t xml:space="preserve"> </w:t>
            </w:r>
            <w:r w:rsidRPr="00DF1884">
              <w:t>Visits</w:t>
            </w:r>
          </w:p>
        </w:tc>
        <w:tc>
          <w:tcPr>
            <w:tcW w:w="1350" w:type="dxa"/>
            <w:tcBorders>
              <w:top w:val="single" w:sz="4" w:space="0" w:color="auto"/>
              <w:left w:val="single" w:sz="4" w:space="0" w:color="auto"/>
              <w:bottom w:val="single" w:sz="6" w:space="0" w:color="auto"/>
              <w:right w:val="single" w:sz="4" w:space="0" w:color="auto"/>
            </w:tcBorders>
          </w:tcPr>
          <w:p w14:paraId="38B730F2"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356" w:type="dxa"/>
            <w:gridSpan w:val="2"/>
            <w:tcBorders>
              <w:top w:val="single" w:sz="4" w:space="0" w:color="auto"/>
              <w:left w:val="single" w:sz="4" w:space="0" w:color="auto"/>
              <w:bottom w:val="single" w:sz="6" w:space="0" w:color="auto"/>
              <w:right w:val="single" w:sz="4" w:space="0" w:color="auto"/>
            </w:tcBorders>
          </w:tcPr>
          <w:p w14:paraId="66DD917F"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260" w:type="dxa"/>
            <w:gridSpan w:val="2"/>
            <w:tcBorders>
              <w:top w:val="single" w:sz="4" w:space="0" w:color="auto"/>
              <w:left w:val="single" w:sz="4" w:space="0" w:color="auto"/>
              <w:bottom w:val="single" w:sz="6" w:space="0" w:color="auto"/>
              <w:right w:val="single" w:sz="4" w:space="0" w:color="auto"/>
            </w:tcBorders>
          </w:tcPr>
          <w:p w14:paraId="5D23B051" w14:textId="77777777" w:rsidR="00463667" w:rsidRPr="00DF1884" w:rsidRDefault="00463667" w:rsidP="00C56CA6">
            <w:pPr>
              <w:pStyle w:val="TableText"/>
              <w:jc w:val="center"/>
              <w:rPr>
                <w:rFonts w:cs="Arial"/>
                <w:sz w:val="24"/>
                <w:szCs w:val="24"/>
              </w:rPr>
            </w:pPr>
          </w:p>
        </w:tc>
        <w:tc>
          <w:tcPr>
            <w:tcW w:w="6386" w:type="dxa"/>
            <w:tcBorders>
              <w:top w:val="single" w:sz="4" w:space="0" w:color="auto"/>
              <w:left w:val="single" w:sz="4" w:space="0" w:color="auto"/>
              <w:bottom w:val="single" w:sz="6" w:space="0" w:color="auto"/>
              <w:right w:val="single" w:sz="4" w:space="0" w:color="auto"/>
            </w:tcBorders>
          </w:tcPr>
          <w:p w14:paraId="3D3004F1" w14:textId="13891ECB" w:rsidR="00463667" w:rsidRPr="00DF1884" w:rsidRDefault="00562F10" w:rsidP="00562F10">
            <w:pPr>
              <w:pStyle w:val="TableBullet"/>
            </w:pPr>
            <w:r>
              <w:t xml:space="preserve">Added “Numerator events by supplemental data” to the Data Elements for Reporting table to capture the number of members who met numerator criteria using supplemental data. </w:t>
            </w:r>
          </w:p>
        </w:tc>
      </w:tr>
      <w:tr w:rsidR="00463667" w:rsidRPr="00DF1884" w14:paraId="5D10EB0D" w14:textId="77777777" w:rsidTr="00904532">
        <w:tc>
          <w:tcPr>
            <w:tcW w:w="2968" w:type="dxa"/>
            <w:tcBorders>
              <w:top w:val="single" w:sz="4" w:space="0" w:color="auto"/>
              <w:left w:val="single" w:sz="4" w:space="0" w:color="auto"/>
              <w:bottom w:val="single" w:sz="4" w:space="0" w:color="auto"/>
              <w:right w:val="single" w:sz="4" w:space="0" w:color="auto"/>
            </w:tcBorders>
          </w:tcPr>
          <w:p w14:paraId="3B47C0B7" w14:textId="0A5B3A0D" w:rsidR="00463667" w:rsidRPr="00DF1884" w:rsidRDefault="00463667" w:rsidP="00C56CA6">
            <w:pPr>
              <w:pStyle w:val="TableText"/>
            </w:pPr>
            <w:r w:rsidRPr="00DF1884">
              <w:t>Frequency</w:t>
            </w:r>
            <w:r w:rsidR="00DF1884" w:rsidRPr="00DF1884">
              <w:t xml:space="preserve"> </w:t>
            </w:r>
            <w:r w:rsidRPr="00DF1884">
              <w:t>of</w:t>
            </w:r>
            <w:r w:rsidR="00DF1884" w:rsidRPr="00DF1884">
              <w:t xml:space="preserve"> </w:t>
            </w:r>
            <w:r w:rsidRPr="00DF1884">
              <w:t>Selected</w:t>
            </w:r>
            <w:r w:rsidR="00DF1884" w:rsidRPr="00DF1884">
              <w:t xml:space="preserve"> </w:t>
            </w:r>
            <w:r w:rsidRPr="00DF1884">
              <w:t>Procedures</w:t>
            </w:r>
          </w:p>
        </w:tc>
        <w:tc>
          <w:tcPr>
            <w:tcW w:w="1350" w:type="dxa"/>
            <w:tcBorders>
              <w:top w:val="single" w:sz="4" w:space="0" w:color="auto"/>
              <w:left w:val="single" w:sz="4" w:space="0" w:color="auto"/>
              <w:bottom w:val="single" w:sz="4" w:space="0" w:color="auto"/>
              <w:right w:val="single" w:sz="4" w:space="0" w:color="auto"/>
            </w:tcBorders>
          </w:tcPr>
          <w:p w14:paraId="4AB8FE14"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356" w:type="dxa"/>
            <w:gridSpan w:val="2"/>
            <w:tcBorders>
              <w:top w:val="single" w:sz="4" w:space="0" w:color="auto"/>
              <w:left w:val="single" w:sz="4" w:space="0" w:color="auto"/>
              <w:bottom w:val="single" w:sz="4" w:space="0" w:color="auto"/>
              <w:right w:val="single" w:sz="4" w:space="0" w:color="auto"/>
            </w:tcBorders>
          </w:tcPr>
          <w:p w14:paraId="35F817B0"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260" w:type="dxa"/>
            <w:gridSpan w:val="2"/>
            <w:tcBorders>
              <w:top w:val="single" w:sz="4" w:space="0" w:color="auto"/>
              <w:left w:val="single" w:sz="4" w:space="0" w:color="auto"/>
              <w:bottom w:val="single" w:sz="4" w:space="0" w:color="auto"/>
              <w:right w:val="single" w:sz="4" w:space="0" w:color="auto"/>
            </w:tcBorders>
          </w:tcPr>
          <w:p w14:paraId="09B18D4A" w14:textId="77777777" w:rsidR="00463667" w:rsidRPr="00DF1884" w:rsidRDefault="00463667" w:rsidP="00C56CA6">
            <w:pPr>
              <w:pStyle w:val="TableText"/>
              <w:jc w:val="center"/>
              <w:rPr>
                <w:rFonts w:cs="Arial"/>
                <w:sz w:val="24"/>
                <w:szCs w:val="24"/>
              </w:rPr>
            </w:pPr>
            <w:r w:rsidRPr="00DF1884">
              <w:rPr>
                <w:rFonts w:cs="Arial"/>
                <w:sz w:val="24"/>
                <w:szCs w:val="24"/>
              </w:rPr>
              <w:sym w:font="Wingdings" w:char="F0FC"/>
            </w:r>
          </w:p>
        </w:tc>
        <w:tc>
          <w:tcPr>
            <w:tcW w:w="6386" w:type="dxa"/>
            <w:tcBorders>
              <w:top w:val="single" w:sz="4" w:space="0" w:color="auto"/>
              <w:left w:val="single" w:sz="4" w:space="0" w:color="auto"/>
              <w:bottom w:val="single" w:sz="4" w:space="0" w:color="auto"/>
              <w:right w:val="single" w:sz="4" w:space="0" w:color="auto"/>
            </w:tcBorders>
          </w:tcPr>
          <w:p w14:paraId="7B85F4E5" w14:textId="7332D2A2" w:rsidR="00463667" w:rsidRPr="00DF1884" w:rsidRDefault="00562F10" w:rsidP="00562F10">
            <w:pPr>
              <w:pStyle w:val="TableBullet"/>
            </w:pPr>
            <w:r>
              <w:t>Added new value sets to identify unilateral mastectomy.</w:t>
            </w:r>
          </w:p>
        </w:tc>
      </w:tr>
      <w:tr w:rsidR="00463667" w:rsidRPr="00DF1884" w14:paraId="728CBCB3" w14:textId="77777777" w:rsidTr="00904532">
        <w:tc>
          <w:tcPr>
            <w:tcW w:w="2968" w:type="dxa"/>
            <w:tcBorders>
              <w:top w:val="single" w:sz="4" w:space="0" w:color="auto"/>
              <w:left w:val="single" w:sz="4" w:space="0" w:color="auto"/>
              <w:bottom w:val="single" w:sz="4" w:space="0" w:color="auto"/>
              <w:right w:val="single" w:sz="4" w:space="0" w:color="auto"/>
            </w:tcBorders>
          </w:tcPr>
          <w:p w14:paraId="6D164748" w14:textId="5BF93FA8" w:rsidR="00463667" w:rsidRPr="00DF1884" w:rsidRDefault="00463667" w:rsidP="00C56CA6">
            <w:pPr>
              <w:pStyle w:val="TableText"/>
            </w:pPr>
            <w:r w:rsidRPr="00DF1884">
              <w:t>Ambulatory</w:t>
            </w:r>
            <w:r w:rsidR="00DF1884" w:rsidRPr="00DF1884">
              <w:t xml:space="preserve"> </w:t>
            </w:r>
            <w:r w:rsidRPr="00DF1884">
              <w:t>Care</w:t>
            </w:r>
          </w:p>
        </w:tc>
        <w:tc>
          <w:tcPr>
            <w:tcW w:w="1350" w:type="dxa"/>
            <w:tcBorders>
              <w:top w:val="single" w:sz="4" w:space="0" w:color="auto"/>
              <w:left w:val="single" w:sz="4" w:space="0" w:color="auto"/>
              <w:bottom w:val="single" w:sz="4" w:space="0" w:color="auto"/>
              <w:right w:val="single" w:sz="4" w:space="0" w:color="auto"/>
            </w:tcBorders>
          </w:tcPr>
          <w:p w14:paraId="0AB99523"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356" w:type="dxa"/>
            <w:gridSpan w:val="2"/>
            <w:tcBorders>
              <w:top w:val="single" w:sz="4" w:space="0" w:color="auto"/>
              <w:left w:val="single" w:sz="4" w:space="0" w:color="auto"/>
              <w:bottom w:val="single" w:sz="4" w:space="0" w:color="auto"/>
              <w:right w:val="single" w:sz="4" w:space="0" w:color="auto"/>
            </w:tcBorders>
          </w:tcPr>
          <w:p w14:paraId="0C9B1C7C"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260" w:type="dxa"/>
            <w:gridSpan w:val="2"/>
            <w:tcBorders>
              <w:top w:val="single" w:sz="4" w:space="0" w:color="auto"/>
              <w:left w:val="single" w:sz="4" w:space="0" w:color="auto"/>
              <w:bottom w:val="single" w:sz="4" w:space="0" w:color="auto"/>
              <w:right w:val="single" w:sz="4" w:space="0" w:color="auto"/>
            </w:tcBorders>
          </w:tcPr>
          <w:p w14:paraId="35A08070"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6386" w:type="dxa"/>
            <w:tcBorders>
              <w:top w:val="single" w:sz="4" w:space="0" w:color="auto"/>
              <w:left w:val="single" w:sz="4" w:space="0" w:color="auto"/>
              <w:bottom w:val="single" w:sz="4" w:space="0" w:color="auto"/>
              <w:right w:val="single" w:sz="4" w:space="0" w:color="auto"/>
            </w:tcBorders>
          </w:tcPr>
          <w:p w14:paraId="696C15C9" w14:textId="7FC79745" w:rsidR="00463667" w:rsidRPr="00DF1884" w:rsidRDefault="00562F10" w:rsidP="00463667">
            <w:pPr>
              <w:pStyle w:val="TableBullet"/>
            </w:pPr>
            <w:r>
              <w:t>No changes to this measure.</w:t>
            </w:r>
          </w:p>
        </w:tc>
      </w:tr>
      <w:tr w:rsidR="00904532" w:rsidRPr="00DF1884" w14:paraId="4BC77454" w14:textId="77777777" w:rsidTr="00843FE0">
        <w:tc>
          <w:tcPr>
            <w:tcW w:w="2968" w:type="dxa"/>
            <w:tcBorders>
              <w:top w:val="single" w:sz="4" w:space="0" w:color="auto"/>
              <w:left w:val="single" w:sz="4" w:space="0" w:color="auto"/>
              <w:bottom w:val="single" w:sz="4" w:space="0" w:color="auto"/>
              <w:right w:val="single" w:sz="4" w:space="0" w:color="auto"/>
            </w:tcBorders>
          </w:tcPr>
          <w:p w14:paraId="3FCD7746" w14:textId="38EAB61A" w:rsidR="00904532" w:rsidRPr="00DF1884" w:rsidRDefault="00904532" w:rsidP="001123ED">
            <w:pPr>
              <w:pStyle w:val="TableText"/>
            </w:pPr>
            <w:r w:rsidRPr="00DF1884">
              <w:t>Inpatien</w:t>
            </w:r>
            <w:r w:rsidR="00BC302B">
              <w:t>t Utilization—General Hospital/</w:t>
            </w:r>
            <w:r w:rsidRPr="00DF1884">
              <w:t>Acute Care</w:t>
            </w:r>
          </w:p>
        </w:tc>
        <w:tc>
          <w:tcPr>
            <w:tcW w:w="1350" w:type="dxa"/>
            <w:tcBorders>
              <w:top w:val="single" w:sz="4" w:space="0" w:color="auto"/>
              <w:left w:val="single" w:sz="4" w:space="0" w:color="auto"/>
              <w:bottom w:val="single" w:sz="4" w:space="0" w:color="auto"/>
              <w:right w:val="single" w:sz="4" w:space="0" w:color="auto"/>
            </w:tcBorders>
          </w:tcPr>
          <w:p w14:paraId="4865932B" w14:textId="77777777" w:rsidR="00904532" w:rsidRPr="00DF1884" w:rsidRDefault="00904532" w:rsidP="001123ED">
            <w:pPr>
              <w:pStyle w:val="TableText"/>
              <w:jc w:val="center"/>
              <w:rPr>
                <w:rFonts w:cs="Arial"/>
                <w:sz w:val="24"/>
              </w:rPr>
            </w:pPr>
            <w:r w:rsidRPr="00DF1884">
              <w:rPr>
                <w:rFonts w:cs="Arial"/>
                <w:sz w:val="24"/>
              </w:rPr>
              <w:sym w:font="Wingdings" w:char="F0FC"/>
            </w:r>
          </w:p>
        </w:tc>
        <w:tc>
          <w:tcPr>
            <w:tcW w:w="1350" w:type="dxa"/>
            <w:tcBorders>
              <w:top w:val="single" w:sz="4" w:space="0" w:color="auto"/>
              <w:left w:val="single" w:sz="4" w:space="0" w:color="auto"/>
              <w:bottom w:val="single" w:sz="4" w:space="0" w:color="auto"/>
              <w:right w:val="single" w:sz="4" w:space="0" w:color="auto"/>
            </w:tcBorders>
          </w:tcPr>
          <w:p w14:paraId="7BCBB12F" w14:textId="77777777" w:rsidR="00904532" w:rsidRPr="00DF1884" w:rsidRDefault="00904532" w:rsidP="001123ED">
            <w:pPr>
              <w:pStyle w:val="TableText"/>
              <w:jc w:val="center"/>
              <w:rPr>
                <w:rFonts w:cs="Arial"/>
                <w:sz w:val="24"/>
              </w:rPr>
            </w:pPr>
            <w:r w:rsidRPr="00DF1884">
              <w:rPr>
                <w:rFonts w:cs="Arial"/>
                <w:sz w:val="24"/>
              </w:rPr>
              <w:sym w:font="Wingdings" w:char="F0FC"/>
            </w:r>
          </w:p>
        </w:tc>
        <w:tc>
          <w:tcPr>
            <w:tcW w:w="1257" w:type="dxa"/>
            <w:gridSpan w:val="2"/>
            <w:tcBorders>
              <w:top w:val="single" w:sz="4" w:space="0" w:color="auto"/>
              <w:left w:val="single" w:sz="4" w:space="0" w:color="auto"/>
              <w:bottom w:val="single" w:sz="4" w:space="0" w:color="auto"/>
              <w:right w:val="single" w:sz="4" w:space="0" w:color="auto"/>
            </w:tcBorders>
          </w:tcPr>
          <w:p w14:paraId="50594CBD" w14:textId="77777777" w:rsidR="00904532" w:rsidRPr="00DF1884" w:rsidRDefault="00904532" w:rsidP="001123ED">
            <w:pPr>
              <w:pStyle w:val="TableText"/>
              <w:jc w:val="center"/>
              <w:rPr>
                <w:rFonts w:cs="Arial"/>
                <w:sz w:val="24"/>
              </w:rPr>
            </w:pPr>
            <w:r w:rsidRPr="00DF1884">
              <w:rPr>
                <w:rFonts w:cs="Arial"/>
                <w:sz w:val="24"/>
              </w:rPr>
              <w:sym w:font="Wingdings" w:char="F0FC"/>
            </w:r>
          </w:p>
        </w:tc>
        <w:tc>
          <w:tcPr>
            <w:tcW w:w="6395" w:type="dxa"/>
            <w:gridSpan w:val="2"/>
            <w:tcBorders>
              <w:top w:val="single" w:sz="4" w:space="0" w:color="auto"/>
              <w:left w:val="single" w:sz="4" w:space="0" w:color="auto"/>
              <w:bottom w:val="single" w:sz="4" w:space="0" w:color="auto"/>
              <w:right w:val="single" w:sz="4" w:space="0" w:color="auto"/>
            </w:tcBorders>
          </w:tcPr>
          <w:p w14:paraId="0CE1C176" w14:textId="77777777" w:rsidR="00904532" w:rsidRPr="00DF1884" w:rsidRDefault="00904532" w:rsidP="001123ED">
            <w:pPr>
              <w:pStyle w:val="TableBullet"/>
            </w:pPr>
            <w:r>
              <w:t>Added a method and value sets to identify acute inpatient discharges in step 1.</w:t>
            </w:r>
          </w:p>
        </w:tc>
      </w:tr>
      <w:tr w:rsidR="00904532" w:rsidRPr="00DF1884" w14:paraId="4593A122" w14:textId="77777777" w:rsidTr="00843FE0">
        <w:tc>
          <w:tcPr>
            <w:tcW w:w="2968" w:type="dxa"/>
            <w:tcBorders>
              <w:top w:val="single" w:sz="4" w:space="0" w:color="auto"/>
              <w:left w:val="single" w:sz="4" w:space="0" w:color="auto"/>
              <w:bottom w:val="single" w:sz="4" w:space="0" w:color="auto"/>
              <w:right w:val="single" w:sz="4" w:space="0" w:color="auto"/>
            </w:tcBorders>
          </w:tcPr>
          <w:p w14:paraId="3DC697A7" w14:textId="77777777" w:rsidR="00904532" w:rsidRPr="00DF1884" w:rsidRDefault="00904532" w:rsidP="001123ED">
            <w:pPr>
              <w:pStyle w:val="TableText"/>
              <w:rPr>
                <w:highlight w:val="yellow"/>
              </w:rPr>
            </w:pPr>
            <w:r w:rsidRPr="00DF1884">
              <w:t>Identification of Alcohol and Other Drug Services</w:t>
            </w:r>
          </w:p>
        </w:tc>
        <w:tc>
          <w:tcPr>
            <w:tcW w:w="1350" w:type="dxa"/>
            <w:tcBorders>
              <w:top w:val="single" w:sz="4" w:space="0" w:color="auto"/>
              <w:left w:val="single" w:sz="4" w:space="0" w:color="auto"/>
              <w:bottom w:val="single" w:sz="4" w:space="0" w:color="auto"/>
              <w:right w:val="single" w:sz="4" w:space="0" w:color="auto"/>
            </w:tcBorders>
          </w:tcPr>
          <w:p w14:paraId="06B4B30B" w14:textId="77777777" w:rsidR="00904532" w:rsidRPr="00DF1884" w:rsidRDefault="00904532" w:rsidP="001123ED">
            <w:pPr>
              <w:pStyle w:val="TableText"/>
              <w:jc w:val="center"/>
              <w:rPr>
                <w:rFonts w:cs="Arial"/>
                <w:sz w:val="24"/>
                <w:highlight w:val="yellow"/>
              </w:rPr>
            </w:pPr>
            <w:r w:rsidRPr="00DF1884">
              <w:rPr>
                <w:rFonts w:cs="Arial"/>
                <w:sz w:val="24"/>
              </w:rPr>
              <w:sym w:font="Wingdings" w:char="F0FC"/>
            </w:r>
          </w:p>
        </w:tc>
        <w:tc>
          <w:tcPr>
            <w:tcW w:w="1350" w:type="dxa"/>
            <w:tcBorders>
              <w:top w:val="single" w:sz="4" w:space="0" w:color="auto"/>
              <w:left w:val="single" w:sz="4" w:space="0" w:color="auto"/>
              <w:bottom w:val="single" w:sz="4" w:space="0" w:color="auto"/>
              <w:right w:val="single" w:sz="4" w:space="0" w:color="auto"/>
            </w:tcBorders>
          </w:tcPr>
          <w:p w14:paraId="5D456A83" w14:textId="77777777" w:rsidR="00904532" w:rsidRPr="00DF1884" w:rsidRDefault="00904532" w:rsidP="001123ED">
            <w:pPr>
              <w:pStyle w:val="TableText"/>
              <w:jc w:val="center"/>
              <w:rPr>
                <w:rFonts w:cs="Arial"/>
                <w:sz w:val="24"/>
                <w:highlight w:val="yellow"/>
              </w:rPr>
            </w:pPr>
            <w:r w:rsidRPr="00DF1884">
              <w:rPr>
                <w:rFonts w:cs="Arial"/>
                <w:sz w:val="24"/>
              </w:rPr>
              <w:sym w:font="Wingdings" w:char="F0FC"/>
            </w:r>
          </w:p>
        </w:tc>
        <w:tc>
          <w:tcPr>
            <w:tcW w:w="1257" w:type="dxa"/>
            <w:gridSpan w:val="2"/>
            <w:tcBorders>
              <w:top w:val="single" w:sz="4" w:space="0" w:color="auto"/>
              <w:left w:val="single" w:sz="4" w:space="0" w:color="auto"/>
              <w:bottom w:val="single" w:sz="4" w:space="0" w:color="auto"/>
              <w:right w:val="single" w:sz="4" w:space="0" w:color="auto"/>
            </w:tcBorders>
          </w:tcPr>
          <w:p w14:paraId="4B14024D" w14:textId="77777777" w:rsidR="00904532" w:rsidRPr="00DF1884" w:rsidRDefault="00904532" w:rsidP="001123ED">
            <w:pPr>
              <w:pStyle w:val="TableText"/>
              <w:jc w:val="center"/>
              <w:rPr>
                <w:rFonts w:cs="Arial"/>
                <w:sz w:val="24"/>
                <w:highlight w:val="yellow"/>
              </w:rPr>
            </w:pPr>
            <w:r w:rsidRPr="00DF1884">
              <w:rPr>
                <w:rFonts w:cs="Arial"/>
                <w:sz w:val="24"/>
              </w:rPr>
              <w:sym w:font="Wingdings" w:char="F0FC"/>
            </w:r>
          </w:p>
        </w:tc>
        <w:tc>
          <w:tcPr>
            <w:tcW w:w="6395" w:type="dxa"/>
            <w:gridSpan w:val="2"/>
            <w:tcBorders>
              <w:top w:val="single" w:sz="4" w:space="0" w:color="auto"/>
              <w:left w:val="single" w:sz="4" w:space="0" w:color="auto"/>
              <w:bottom w:val="single" w:sz="4" w:space="0" w:color="auto"/>
              <w:right w:val="single" w:sz="4" w:space="0" w:color="auto"/>
            </w:tcBorders>
          </w:tcPr>
          <w:p w14:paraId="59A90E3A" w14:textId="77777777" w:rsidR="00904532" w:rsidRPr="00DF1884" w:rsidRDefault="00904532" w:rsidP="001123ED">
            <w:pPr>
              <w:pStyle w:val="TableBullet"/>
            </w:pPr>
            <w:r>
              <w:t>Added a method and value sets to identify inpatient discharges.</w:t>
            </w:r>
          </w:p>
        </w:tc>
      </w:tr>
    </w:tbl>
    <w:p w14:paraId="78DB1DD7" w14:textId="77777777" w:rsidR="00463667" w:rsidRPr="00DF1884" w:rsidRDefault="00463667" w:rsidP="00463667">
      <w:pPr>
        <w:rPr>
          <w:rFonts w:cs="Arial"/>
          <w:sz w:val="18"/>
          <w:szCs w:val="18"/>
        </w:rPr>
        <w:sectPr w:rsidR="00463667" w:rsidRPr="00DF1884" w:rsidSect="0039781B">
          <w:pgSz w:w="15840" w:h="12240" w:orient="landscape" w:code="1"/>
          <w:pgMar w:top="1080" w:right="1080" w:bottom="1080" w:left="1440" w:header="720" w:footer="720" w:gutter="0"/>
          <w:cols w:space="720"/>
        </w:sectPr>
      </w:pPr>
    </w:p>
    <w:p w14:paraId="0914AB0F" w14:textId="58C86BF1" w:rsidR="00463667" w:rsidRPr="00DF1884" w:rsidRDefault="00463667" w:rsidP="00463667">
      <w:pPr>
        <w:pStyle w:val="TableHeadNotCondensed"/>
        <w:spacing w:before="0"/>
      </w:pPr>
      <w:r w:rsidRPr="00DF1884">
        <w:lastRenderedPageBreak/>
        <w:t>HEDIS</w:t>
      </w:r>
      <w:r w:rsidR="00DF1884" w:rsidRPr="00DF1884">
        <w:t xml:space="preserve"> </w:t>
      </w:r>
      <w:r w:rsidR="00442111" w:rsidRPr="00DF1884">
        <w:rPr>
          <w:iCs/>
        </w:rPr>
        <w:t>2016</w:t>
      </w:r>
      <w:r w:rsidR="00DF1884" w:rsidRPr="00DF1884">
        <w:t xml:space="preserve"> </w:t>
      </w:r>
      <w:r w:rsidRPr="00DF1884">
        <w:t>Summary</w:t>
      </w:r>
      <w:r w:rsidR="00DF1884" w:rsidRPr="00DF1884">
        <w:t xml:space="preserve"> </w:t>
      </w:r>
      <w:r w:rsidRPr="00DF1884">
        <w:t>Table</w:t>
      </w:r>
      <w:r w:rsidR="00DF1884" w:rsidRPr="00DF1884">
        <w:t xml:space="preserve"> </w:t>
      </w:r>
      <w:r w:rsidRPr="00DF1884">
        <w:t>of</w:t>
      </w:r>
      <w:r w:rsidR="00DF1884" w:rsidRPr="00DF1884">
        <w:t xml:space="preserve"> </w:t>
      </w:r>
      <w:r w:rsidRPr="00DF1884">
        <w:t>Measures,</w:t>
      </w:r>
      <w:r w:rsidR="00DF1884" w:rsidRPr="00DF1884">
        <w:t xml:space="preserve"> </w:t>
      </w:r>
      <w:r w:rsidRPr="00DF1884">
        <w:t>Product</w:t>
      </w:r>
      <w:r w:rsidR="00DF1884" w:rsidRPr="00DF1884">
        <w:t xml:space="preserve"> </w:t>
      </w:r>
      <w:r w:rsidRPr="00DF1884">
        <w:t>Lines</w:t>
      </w:r>
      <w:r w:rsidR="00DF1884" w:rsidRPr="00DF1884">
        <w:t xml:space="preserve"> </w:t>
      </w:r>
      <w:r w:rsidRPr="00DF1884">
        <w:t>and</w:t>
      </w:r>
      <w:r w:rsidR="00DF1884" w:rsidRPr="00DF1884">
        <w:t xml:space="preserve"> </w:t>
      </w:r>
      <w:r w:rsidRPr="00DF1884">
        <w:t>Changes</w:t>
      </w:r>
      <w:r w:rsidR="00DF1884" w:rsidRPr="00DF1884">
        <w:t xml:space="preserve"> </w:t>
      </w:r>
      <w:r w:rsidRPr="00DF1884">
        <w:rPr>
          <w:i/>
          <w:sz w:val="20"/>
          <w:szCs w:val="20"/>
        </w:rPr>
        <w:t>(continued)</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8"/>
        <w:gridCol w:w="1350"/>
        <w:gridCol w:w="1350"/>
        <w:gridCol w:w="1170"/>
        <w:gridCol w:w="6482"/>
      </w:tblGrid>
      <w:tr w:rsidR="00463667" w:rsidRPr="00DF1884" w14:paraId="73716CBF" w14:textId="77777777" w:rsidTr="009D726B">
        <w:trPr>
          <w:cantSplit/>
        </w:trPr>
        <w:tc>
          <w:tcPr>
            <w:tcW w:w="2968" w:type="dxa"/>
            <w:vMerge w:val="restart"/>
            <w:tcBorders>
              <w:top w:val="single" w:sz="4" w:space="0" w:color="auto"/>
              <w:left w:val="single" w:sz="4" w:space="0" w:color="auto"/>
              <w:bottom w:val="single" w:sz="4" w:space="0" w:color="auto"/>
              <w:right w:val="single" w:sz="4" w:space="0" w:color="FFFFFF"/>
            </w:tcBorders>
            <w:shd w:val="clear" w:color="auto" w:fill="000000"/>
            <w:vAlign w:val="bottom"/>
          </w:tcPr>
          <w:p w14:paraId="78F30BED" w14:textId="585C554E" w:rsidR="00463667" w:rsidRPr="00DF1884" w:rsidRDefault="00463667" w:rsidP="00C56CA6">
            <w:pPr>
              <w:pStyle w:val="TableHead"/>
              <w:rPr>
                <w:color w:val="auto"/>
              </w:rPr>
            </w:pPr>
            <w:r w:rsidRPr="00DF1884">
              <w:rPr>
                <w:color w:val="auto"/>
              </w:rPr>
              <w:t>HEDIS</w:t>
            </w:r>
            <w:r w:rsidR="00DF1884" w:rsidRPr="00DF1884">
              <w:rPr>
                <w:color w:val="auto"/>
              </w:rPr>
              <w:t xml:space="preserve"> </w:t>
            </w:r>
            <w:r w:rsidR="00442111" w:rsidRPr="00DF1884">
              <w:rPr>
                <w:color w:val="auto"/>
              </w:rPr>
              <w:t>2016</w:t>
            </w:r>
            <w:r w:rsidR="00DF1884" w:rsidRPr="00DF1884">
              <w:rPr>
                <w:color w:val="auto"/>
              </w:rPr>
              <w:t xml:space="preserve"> </w:t>
            </w:r>
            <w:r w:rsidRPr="00DF1884">
              <w:rPr>
                <w:color w:val="auto"/>
              </w:rPr>
              <w:t>Measures</w:t>
            </w:r>
          </w:p>
        </w:tc>
        <w:tc>
          <w:tcPr>
            <w:tcW w:w="3870" w:type="dxa"/>
            <w:gridSpan w:val="3"/>
            <w:tcBorders>
              <w:left w:val="nil"/>
              <w:bottom w:val="single" w:sz="4" w:space="0" w:color="FFFFFF"/>
              <w:right w:val="single" w:sz="4" w:space="0" w:color="FFFFFF"/>
            </w:tcBorders>
            <w:shd w:val="clear" w:color="auto" w:fill="000000"/>
          </w:tcPr>
          <w:p w14:paraId="1F1D8D1E" w14:textId="0D9410B4" w:rsidR="00463667" w:rsidRPr="00DF1884" w:rsidRDefault="00463667" w:rsidP="00C56CA6">
            <w:pPr>
              <w:pStyle w:val="TableHead"/>
              <w:rPr>
                <w:color w:val="auto"/>
              </w:rPr>
            </w:pPr>
            <w:r w:rsidRPr="00DF1884">
              <w:rPr>
                <w:color w:val="auto"/>
              </w:rPr>
              <w:t>Applicable</w:t>
            </w:r>
            <w:r w:rsidR="00DF1884" w:rsidRPr="00DF1884">
              <w:rPr>
                <w:color w:val="auto"/>
              </w:rPr>
              <w:t xml:space="preserve"> </w:t>
            </w:r>
            <w:r w:rsidRPr="00DF1884">
              <w:rPr>
                <w:color w:val="auto"/>
              </w:rPr>
              <w:t>to:</w:t>
            </w:r>
          </w:p>
        </w:tc>
        <w:tc>
          <w:tcPr>
            <w:tcW w:w="6482" w:type="dxa"/>
            <w:vMerge w:val="restart"/>
            <w:tcBorders>
              <w:left w:val="nil"/>
              <w:bottom w:val="single" w:sz="4" w:space="0" w:color="auto"/>
            </w:tcBorders>
            <w:shd w:val="clear" w:color="auto" w:fill="000000"/>
            <w:vAlign w:val="bottom"/>
          </w:tcPr>
          <w:p w14:paraId="4BBB81DA" w14:textId="28151319" w:rsidR="00463667" w:rsidRPr="00DF1884" w:rsidRDefault="00463667" w:rsidP="00C56CA6">
            <w:pPr>
              <w:pStyle w:val="TableHead"/>
              <w:rPr>
                <w:color w:val="auto"/>
              </w:rPr>
            </w:pPr>
            <w:r w:rsidRPr="00DF1884">
              <w:rPr>
                <w:color w:val="auto"/>
              </w:rPr>
              <w:t>Changes</w:t>
            </w:r>
            <w:r w:rsidR="00DF1884" w:rsidRPr="00DF1884">
              <w:rPr>
                <w:color w:val="auto"/>
              </w:rPr>
              <w:t xml:space="preserve"> </w:t>
            </w:r>
            <w:r w:rsidRPr="00DF1884">
              <w:rPr>
                <w:color w:val="auto"/>
              </w:rPr>
              <w:t>to</w:t>
            </w:r>
            <w:r w:rsidR="00DF1884" w:rsidRPr="00DF1884">
              <w:rPr>
                <w:color w:val="auto"/>
              </w:rPr>
              <w:t xml:space="preserve"> </w:t>
            </w:r>
            <w:r w:rsidRPr="00DF1884">
              <w:rPr>
                <w:color w:val="auto"/>
              </w:rPr>
              <w:t>HEDIS</w:t>
            </w:r>
            <w:r w:rsidR="00DF1884" w:rsidRPr="00DF1884">
              <w:rPr>
                <w:color w:val="auto"/>
              </w:rPr>
              <w:t xml:space="preserve"> </w:t>
            </w:r>
            <w:r w:rsidR="00442111" w:rsidRPr="00DF1884">
              <w:rPr>
                <w:color w:val="auto"/>
              </w:rPr>
              <w:t>2016</w:t>
            </w:r>
          </w:p>
        </w:tc>
      </w:tr>
      <w:tr w:rsidR="00463667" w:rsidRPr="00DF1884" w14:paraId="73721894" w14:textId="77777777" w:rsidTr="009D726B">
        <w:trPr>
          <w:cantSplit/>
        </w:trPr>
        <w:tc>
          <w:tcPr>
            <w:tcW w:w="2968" w:type="dxa"/>
            <w:vMerge/>
            <w:tcBorders>
              <w:top w:val="nil"/>
              <w:left w:val="single" w:sz="4" w:space="0" w:color="auto"/>
              <w:bottom w:val="single" w:sz="4" w:space="0" w:color="auto"/>
              <w:right w:val="single" w:sz="4" w:space="0" w:color="FFFFFF"/>
            </w:tcBorders>
          </w:tcPr>
          <w:p w14:paraId="6165D272" w14:textId="77777777" w:rsidR="00463667" w:rsidRPr="00DF1884" w:rsidRDefault="00463667" w:rsidP="00C56CA6">
            <w:pPr>
              <w:pStyle w:val="TableHead"/>
              <w:rPr>
                <w:color w:val="auto"/>
              </w:rPr>
            </w:pPr>
          </w:p>
        </w:tc>
        <w:tc>
          <w:tcPr>
            <w:tcW w:w="1350" w:type="dxa"/>
            <w:tcBorders>
              <w:top w:val="nil"/>
              <w:left w:val="nil"/>
              <w:bottom w:val="single" w:sz="4" w:space="0" w:color="auto"/>
              <w:right w:val="single" w:sz="4" w:space="0" w:color="FFFFFF"/>
            </w:tcBorders>
            <w:shd w:val="clear" w:color="auto" w:fill="000000"/>
          </w:tcPr>
          <w:p w14:paraId="1A475162" w14:textId="77777777" w:rsidR="00463667" w:rsidRPr="00DF1884" w:rsidRDefault="00463667" w:rsidP="00C56CA6">
            <w:pPr>
              <w:pStyle w:val="TableHead"/>
              <w:rPr>
                <w:color w:val="auto"/>
              </w:rPr>
            </w:pPr>
            <w:r w:rsidRPr="00DF1884">
              <w:rPr>
                <w:color w:val="auto"/>
              </w:rPr>
              <w:t>Commercial</w:t>
            </w:r>
          </w:p>
        </w:tc>
        <w:tc>
          <w:tcPr>
            <w:tcW w:w="1350" w:type="dxa"/>
            <w:tcBorders>
              <w:top w:val="nil"/>
              <w:left w:val="nil"/>
              <w:bottom w:val="single" w:sz="4" w:space="0" w:color="auto"/>
              <w:right w:val="single" w:sz="4" w:space="0" w:color="FFFFFF"/>
            </w:tcBorders>
            <w:shd w:val="clear" w:color="auto" w:fill="000000"/>
          </w:tcPr>
          <w:p w14:paraId="3D09DAA5" w14:textId="77777777" w:rsidR="00463667" w:rsidRPr="00DF1884" w:rsidRDefault="00463667" w:rsidP="00C56CA6">
            <w:pPr>
              <w:pStyle w:val="TableHead"/>
              <w:rPr>
                <w:color w:val="auto"/>
              </w:rPr>
            </w:pPr>
            <w:r w:rsidRPr="00DF1884">
              <w:rPr>
                <w:color w:val="auto"/>
              </w:rPr>
              <w:t>Medicaid</w:t>
            </w:r>
          </w:p>
        </w:tc>
        <w:tc>
          <w:tcPr>
            <w:tcW w:w="1170" w:type="dxa"/>
            <w:tcBorders>
              <w:top w:val="nil"/>
              <w:left w:val="nil"/>
              <w:bottom w:val="single" w:sz="4" w:space="0" w:color="auto"/>
              <w:right w:val="single" w:sz="4" w:space="0" w:color="FFFFFF"/>
            </w:tcBorders>
            <w:shd w:val="clear" w:color="auto" w:fill="000000"/>
          </w:tcPr>
          <w:p w14:paraId="3E15AEB4" w14:textId="77777777" w:rsidR="00463667" w:rsidRPr="00DF1884" w:rsidRDefault="00463667" w:rsidP="00C56CA6">
            <w:pPr>
              <w:pStyle w:val="TableHead"/>
              <w:rPr>
                <w:color w:val="auto"/>
              </w:rPr>
            </w:pPr>
            <w:r w:rsidRPr="00DF1884">
              <w:rPr>
                <w:color w:val="auto"/>
              </w:rPr>
              <w:t>Medicare</w:t>
            </w:r>
          </w:p>
        </w:tc>
        <w:tc>
          <w:tcPr>
            <w:tcW w:w="6482" w:type="dxa"/>
            <w:vMerge/>
            <w:tcBorders>
              <w:top w:val="nil"/>
              <w:left w:val="nil"/>
              <w:bottom w:val="single" w:sz="4" w:space="0" w:color="auto"/>
            </w:tcBorders>
            <w:vAlign w:val="bottom"/>
          </w:tcPr>
          <w:p w14:paraId="60DC0329" w14:textId="77777777" w:rsidR="00463667" w:rsidRPr="00DF1884" w:rsidRDefault="00463667" w:rsidP="00C56CA6">
            <w:pPr>
              <w:pStyle w:val="TableHead2"/>
              <w:rPr>
                <w:color w:val="auto"/>
              </w:rPr>
            </w:pPr>
          </w:p>
        </w:tc>
      </w:tr>
      <w:tr w:rsidR="00463667" w:rsidRPr="00904532" w14:paraId="762B2153" w14:textId="77777777" w:rsidTr="00C56CA6">
        <w:trPr>
          <w:cantSplit/>
        </w:trPr>
        <w:tc>
          <w:tcPr>
            <w:tcW w:w="13320" w:type="dxa"/>
            <w:gridSpan w:val="5"/>
            <w:shd w:val="clear" w:color="auto" w:fill="C0C0C0"/>
          </w:tcPr>
          <w:p w14:paraId="7B25DA0D" w14:textId="34D61849" w:rsidR="00463667" w:rsidRPr="00904532" w:rsidRDefault="00904532" w:rsidP="00904532">
            <w:pPr>
              <w:pStyle w:val="TableText2"/>
              <w:jc w:val="center"/>
              <w:rPr>
                <w:b/>
                <w:sz w:val="20"/>
                <w:szCs w:val="20"/>
              </w:rPr>
            </w:pPr>
            <w:r w:rsidRPr="00904532">
              <w:rPr>
                <w:b/>
                <w:sz w:val="20"/>
                <w:szCs w:val="20"/>
              </w:rPr>
              <w:t xml:space="preserve">UTILIZATION AND RISK ADJUSTED UTILIZATION </w:t>
            </w:r>
          </w:p>
        </w:tc>
      </w:tr>
      <w:tr w:rsidR="00463667" w:rsidRPr="00DF1884" w14:paraId="04E76A02" w14:textId="77777777" w:rsidTr="009D726B">
        <w:tc>
          <w:tcPr>
            <w:tcW w:w="2968" w:type="dxa"/>
            <w:tcBorders>
              <w:top w:val="single" w:sz="4" w:space="0" w:color="auto"/>
              <w:left w:val="single" w:sz="4" w:space="0" w:color="auto"/>
              <w:bottom w:val="single" w:sz="4" w:space="0" w:color="auto"/>
              <w:right w:val="single" w:sz="4" w:space="0" w:color="auto"/>
            </w:tcBorders>
          </w:tcPr>
          <w:p w14:paraId="104DFC07" w14:textId="1B39AD90" w:rsidR="00463667" w:rsidRPr="00DF1884" w:rsidRDefault="00463667" w:rsidP="00C56CA6">
            <w:pPr>
              <w:pStyle w:val="TableText"/>
            </w:pPr>
            <w:r w:rsidRPr="00DF1884">
              <w:t>Mental</w:t>
            </w:r>
            <w:r w:rsidR="00DF1884" w:rsidRPr="00DF1884">
              <w:t xml:space="preserve"> </w:t>
            </w:r>
            <w:r w:rsidRPr="00DF1884">
              <w:t>Health</w:t>
            </w:r>
            <w:r w:rsidR="00DF1884" w:rsidRPr="00DF1884">
              <w:t xml:space="preserve"> </w:t>
            </w:r>
            <w:r w:rsidRPr="00DF1884">
              <w:t>Utilization</w:t>
            </w:r>
          </w:p>
        </w:tc>
        <w:tc>
          <w:tcPr>
            <w:tcW w:w="1350" w:type="dxa"/>
            <w:tcBorders>
              <w:top w:val="single" w:sz="4" w:space="0" w:color="auto"/>
              <w:left w:val="single" w:sz="4" w:space="0" w:color="auto"/>
              <w:bottom w:val="single" w:sz="4" w:space="0" w:color="auto"/>
              <w:right w:val="single" w:sz="4" w:space="0" w:color="auto"/>
            </w:tcBorders>
          </w:tcPr>
          <w:p w14:paraId="1ACA4DE5"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350" w:type="dxa"/>
            <w:tcBorders>
              <w:top w:val="single" w:sz="4" w:space="0" w:color="auto"/>
              <w:left w:val="single" w:sz="4" w:space="0" w:color="auto"/>
              <w:bottom w:val="single" w:sz="4" w:space="0" w:color="auto"/>
              <w:right w:val="single" w:sz="4" w:space="0" w:color="auto"/>
            </w:tcBorders>
          </w:tcPr>
          <w:p w14:paraId="5E1B0A41"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170" w:type="dxa"/>
            <w:tcBorders>
              <w:top w:val="single" w:sz="4" w:space="0" w:color="auto"/>
              <w:left w:val="single" w:sz="4" w:space="0" w:color="auto"/>
              <w:bottom w:val="single" w:sz="4" w:space="0" w:color="auto"/>
              <w:right w:val="single" w:sz="4" w:space="0" w:color="auto"/>
            </w:tcBorders>
          </w:tcPr>
          <w:p w14:paraId="4E654511"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6482" w:type="dxa"/>
            <w:tcBorders>
              <w:top w:val="single" w:sz="4" w:space="0" w:color="auto"/>
              <w:left w:val="single" w:sz="4" w:space="0" w:color="auto"/>
              <w:bottom w:val="single" w:sz="4" w:space="0" w:color="auto"/>
              <w:right w:val="single" w:sz="4" w:space="0" w:color="auto"/>
            </w:tcBorders>
          </w:tcPr>
          <w:p w14:paraId="1E1774C5" w14:textId="7C9F8361" w:rsidR="00463667" w:rsidRPr="00156AA0" w:rsidRDefault="00156AA0" w:rsidP="00156AA0">
            <w:pPr>
              <w:pStyle w:val="TableBullet"/>
              <w:rPr>
                <w:i/>
              </w:rPr>
            </w:pPr>
            <w:r>
              <w:t>Added a method and value sets to identify inpatient discharges.</w:t>
            </w:r>
          </w:p>
        </w:tc>
      </w:tr>
      <w:tr w:rsidR="00463667" w:rsidRPr="00DF1884" w14:paraId="69C0E90A" w14:textId="77777777" w:rsidTr="009D726B">
        <w:tc>
          <w:tcPr>
            <w:tcW w:w="2968" w:type="dxa"/>
            <w:tcBorders>
              <w:top w:val="single" w:sz="4" w:space="0" w:color="auto"/>
              <w:left w:val="single" w:sz="4" w:space="0" w:color="auto"/>
              <w:bottom w:val="single" w:sz="4" w:space="0" w:color="auto"/>
              <w:right w:val="single" w:sz="4" w:space="0" w:color="auto"/>
            </w:tcBorders>
          </w:tcPr>
          <w:p w14:paraId="3CDA8A4C" w14:textId="16C2E4B1" w:rsidR="00463667" w:rsidRPr="00DF1884" w:rsidRDefault="00463667" w:rsidP="00C56CA6">
            <w:pPr>
              <w:pStyle w:val="TableText"/>
            </w:pPr>
            <w:r w:rsidRPr="00DF1884">
              <w:t>Antibiotic</w:t>
            </w:r>
            <w:r w:rsidR="00DF1884" w:rsidRPr="00DF1884">
              <w:t xml:space="preserve"> </w:t>
            </w:r>
            <w:r w:rsidRPr="00DF1884">
              <w:t>Utilization</w:t>
            </w:r>
          </w:p>
        </w:tc>
        <w:tc>
          <w:tcPr>
            <w:tcW w:w="1350" w:type="dxa"/>
            <w:tcBorders>
              <w:top w:val="single" w:sz="4" w:space="0" w:color="auto"/>
              <w:left w:val="single" w:sz="4" w:space="0" w:color="auto"/>
              <w:bottom w:val="single" w:sz="4" w:space="0" w:color="auto"/>
              <w:right w:val="single" w:sz="4" w:space="0" w:color="auto"/>
            </w:tcBorders>
          </w:tcPr>
          <w:p w14:paraId="26F84899"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350" w:type="dxa"/>
            <w:tcBorders>
              <w:top w:val="single" w:sz="4" w:space="0" w:color="auto"/>
              <w:left w:val="single" w:sz="4" w:space="0" w:color="auto"/>
              <w:bottom w:val="single" w:sz="4" w:space="0" w:color="auto"/>
              <w:right w:val="single" w:sz="4" w:space="0" w:color="auto"/>
            </w:tcBorders>
          </w:tcPr>
          <w:p w14:paraId="1E05D7E5"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170" w:type="dxa"/>
            <w:tcBorders>
              <w:top w:val="single" w:sz="4" w:space="0" w:color="auto"/>
              <w:left w:val="single" w:sz="4" w:space="0" w:color="auto"/>
              <w:bottom w:val="single" w:sz="4" w:space="0" w:color="auto"/>
              <w:right w:val="single" w:sz="4" w:space="0" w:color="auto"/>
            </w:tcBorders>
          </w:tcPr>
          <w:p w14:paraId="61383C83"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6482" w:type="dxa"/>
            <w:tcBorders>
              <w:top w:val="single" w:sz="4" w:space="0" w:color="auto"/>
              <w:left w:val="single" w:sz="4" w:space="0" w:color="auto"/>
              <w:bottom w:val="single" w:sz="4" w:space="0" w:color="auto"/>
              <w:right w:val="single" w:sz="4" w:space="0" w:color="auto"/>
            </w:tcBorders>
          </w:tcPr>
          <w:p w14:paraId="45766301" w14:textId="0E80150E" w:rsidR="00463667" w:rsidRPr="00DF1884" w:rsidRDefault="00156AA0" w:rsidP="00463667">
            <w:pPr>
              <w:pStyle w:val="TableBullet"/>
            </w:pPr>
            <w:r>
              <w:t>No changes to this measure.</w:t>
            </w:r>
          </w:p>
        </w:tc>
      </w:tr>
      <w:tr w:rsidR="007D7E28" w:rsidRPr="00DF1884" w14:paraId="45F57095" w14:textId="77777777" w:rsidTr="009D726B">
        <w:tc>
          <w:tcPr>
            <w:tcW w:w="2968" w:type="dxa"/>
            <w:tcBorders>
              <w:top w:val="single" w:sz="4" w:space="0" w:color="auto"/>
              <w:left w:val="single" w:sz="4" w:space="0" w:color="auto"/>
              <w:bottom w:val="single" w:sz="4" w:space="0" w:color="auto"/>
              <w:right w:val="single" w:sz="4" w:space="0" w:color="auto"/>
            </w:tcBorders>
          </w:tcPr>
          <w:p w14:paraId="69979BFB" w14:textId="09953AB0" w:rsidR="007D7E28" w:rsidRPr="00DF1884" w:rsidRDefault="007D7E28" w:rsidP="007D7E28">
            <w:pPr>
              <w:pStyle w:val="TableText"/>
            </w:pPr>
            <w:r w:rsidRPr="00DF1884">
              <w:t>Plan All-Cause Readmissions</w:t>
            </w:r>
          </w:p>
        </w:tc>
        <w:tc>
          <w:tcPr>
            <w:tcW w:w="1350" w:type="dxa"/>
            <w:tcBorders>
              <w:top w:val="single" w:sz="4" w:space="0" w:color="auto"/>
              <w:left w:val="single" w:sz="4" w:space="0" w:color="auto"/>
              <w:bottom w:val="single" w:sz="4" w:space="0" w:color="auto"/>
              <w:right w:val="single" w:sz="4" w:space="0" w:color="auto"/>
            </w:tcBorders>
          </w:tcPr>
          <w:p w14:paraId="7847CDF6" w14:textId="3CF92304" w:rsidR="007D7E28" w:rsidRPr="00DF1884" w:rsidRDefault="007D7E28" w:rsidP="007D7E28">
            <w:pPr>
              <w:pStyle w:val="TableText"/>
              <w:jc w:val="center"/>
              <w:rPr>
                <w:rFonts w:cs="Arial"/>
                <w:sz w:val="24"/>
              </w:rPr>
            </w:pPr>
            <w:r w:rsidRPr="00DF1884">
              <w:rPr>
                <w:rFonts w:cs="Arial"/>
                <w:sz w:val="24"/>
              </w:rPr>
              <w:sym w:font="Wingdings" w:char="F0FC"/>
            </w:r>
          </w:p>
        </w:tc>
        <w:tc>
          <w:tcPr>
            <w:tcW w:w="1350" w:type="dxa"/>
            <w:tcBorders>
              <w:top w:val="single" w:sz="4" w:space="0" w:color="auto"/>
              <w:left w:val="single" w:sz="4" w:space="0" w:color="auto"/>
              <w:bottom w:val="single" w:sz="4" w:space="0" w:color="auto"/>
              <w:right w:val="single" w:sz="4" w:space="0" w:color="auto"/>
            </w:tcBorders>
          </w:tcPr>
          <w:p w14:paraId="75B55824" w14:textId="77777777" w:rsidR="007D7E28" w:rsidRPr="00DF1884" w:rsidRDefault="007D7E28" w:rsidP="007D7E28">
            <w:pPr>
              <w:pStyle w:val="TableText"/>
              <w:jc w:val="center"/>
              <w:rPr>
                <w:rFonts w:cs="Arial"/>
                <w:sz w:val="24"/>
              </w:rPr>
            </w:pPr>
          </w:p>
        </w:tc>
        <w:tc>
          <w:tcPr>
            <w:tcW w:w="1170" w:type="dxa"/>
            <w:tcBorders>
              <w:top w:val="single" w:sz="4" w:space="0" w:color="auto"/>
              <w:left w:val="single" w:sz="4" w:space="0" w:color="auto"/>
              <w:bottom w:val="single" w:sz="4" w:space="0" w:color="auto"/>
              <w:right w:val="single" w:sz="4" w:space="0" w:color="auto"/>
            </w:tcBorders>
          </w:tcPr>
          <w:p w14:paraId="49034DFF" w14:textId="3CC12952" w:rsidR="007D7E28" w:rsidRPr="00DF1884" w:rsidRDefault="007D7E28" w:rsidP="007D7E28">
            <w:pPr>
              <w:pStyle w:val="TableText"/>
              <w:jc w:val="center"/>
              <w:rPr>
                <w:rFonts w:cs="Arial"/>
                <w:sz w:val="24"/>
              </w:rPr>
            </w:pPr>
            <w:r w:rsidRPr="00DF1884">
              <w:rPr>
                <w:rFonts w:cs="Arial"/>
                <w:sz w:val="24"/>
              </w:rPr>
              <w:sym w:font="Wingdings" w:char="F0FC"/>
            </w:r>
          </w:p>
        </w:tc>
        <w:tc>
          <w:tcPr>
            <w:tcW w:w="6482" w:type="dxa"/>
            <w:tcBorders>
              <w:top w:val="single" w:sz="4" w:space="0" w:color="auto"/>
              <w:left w:val="single" w:sz="4" w:space="0" w:color="auto"/>
              <w:bottom w:val="single" w:sz="4" w:space="0" w:color="auto"/>
              <w:right w:val="single" w:sz="4" w:space="0" w:color="auto"/>
            </w:tcBorders>
          </w:tcPr>
          <w:p w14:paraId="72E61087" w14:textId="77777777" w:rsidR="00156AA0" w:rsidRPr="00886F4D" w:rsidRDefault="00156AA0" w:rsidP="00156AA0">
            <w:pPr>
              <w:pStyle w:val="TableBullet"/>
              <w:rPr>
                <w:i/>
              </w:rPr>
            </w:pPr>
            <w:r>
              <w:t>Added a method and value sets to identify acute inpatient discharges in step 1 of the event/diagnosis.</w:t>
            </w:r>
          </w:p>
          <w:p w14:paraId="7F14F9EF" w14:textId="77777777" w:rsidR="00156AA0" w:rsidRPr="00002D28" w:rsidRDefault="00156AA0" w:rsidP="00156AA0">
            <w:pPr>
              <w:pStyle w:val="TableBullet"/>
              <w:rPr>
                <w:i/>
              </w:rPr>
            </w:pPr>
            <w:r>
              <w:t>Added instructions for identifying the transfer setting in step 2 of the event/diagnosis.</w:t>
            </w:r>
          </w:p>
          <w:p w14:paraId="62C53F6E" w14:textId="77777777" w:rsidR="00156AA0" w:rsidRPr="00EE7190" w:rsidRDefault="00156AA0" w:rsidP="00156AA0">
            <w:pPr>
              <w:pStyle w:val="TableBullet"/>
              <w:rPr>
                <w:i/>
              </w:rPr>
            </w:pPr>
            <w:r>
              <w:t xml:space="preserve">Added a </w:t>
            </w:r>
            <w:r w:rsidRPr="00FA44AE">
              <w:rPr>
                <w:i/>
              </w:rPr>
              <w:t>Note</w:t>
            </w:r>
            <w:r>
              <w:t xml:space="preserve"> to steps 4 and 5 of the event/diagnosis.</w:t>
            </w:r>
          </w:p>
          <w:p w14:paraId="1ED3FF4A" w14:textId="130BB72A" w:rsidR="007D7E28" w:rsidRPr="00DF1884" w:rsidRDefault="00156AA0" w:rsidP="00156AA0">
            <w:pPr>
              <w:pStyle w:val="TableBullet"/>
            </w:pPr>
            <w:r>
              <w:t xml:space="preserve">Added a method and value sets to identify acute inpatient admissions in step 1 of the numerator. </w:t>
            </w:r>
          </w:p>
        </w:tc>
      </w:tr>
      <w:tr w:rsidR="007D7E28" w:rsidRPr="00DF1884" w14:paraId="2D0D2E1A" w14:textId="77777777" w:rsidTr="009D726B">
        <w:tc>
          <w:tcPr>
            <w:tcW w:w="2968" w:type="dxa"/>
            <w:tcBorders>
              <w:top w:val="single" w:sz="4" w:space="0" w:color="auto"/>
              <w:left w:val="single" w:sz="4" w:space="0" w:color="auto"/>
              <w:bottom w:val="single" w:sz="4" w:space="0" w:color="auto"/>
              <w:right w:val="single" w:sz="4" w:space="0" w:color="auto"/>
            </w:tcBorders>
          </w:tcPr>
          <w:p w14:paraId="7072910E" w14:textId="1407CAA8" w:rsidR="007D7E28" w:rsidRPr="00DF1884" w:rsidRDefault="007D7E28" w:rsidP="007D7E28">
            <w:pPr>
              <w:pStyle w:val="TableText"/>
            </w:pPr>
            <w:r>
              <w:t>Inpatient Hospital Utilization</w:t>
            </w:r>
          </w:p>
        </w:tc>
        <w:tc>
          <w:tcPr>
            <w:tcW w:w="1350" w:type="dxa"/>
            <w:tcBorders>
              <w:top w:val="single" w:sz="4" w:space="0" w:color="auto"/>
              <w:left w:val="single" w:sz="4" w:space="0" w:color="auto"/>
              <w:bottom w:val="single" w:sz="4" w:space="0" w:color="auto"/>
              <w:right w:val="single" w:sz="4" w:space="0" w:color="auto"/>
            </w:tcBorders>
          </w:tcPr>
          <w:p w14:paraId="7633B1C1" w14:textId="5EEF4F84" w:rsidR="007D7E28" w:rsidRPr="00DF1884" w:rsidRDefault="007D7E28" w:rsidP="007D7E28">
            <w:pPr>
              <w:pStyle w:val="TableText"/>
              <w:jc w:val="center"/>
              <w:rPr>
                <w:rFonts w:cs="Arial"/>
                <w:sz w:val="24"/>
              </w:rPr>
            </w:pPr>
            <w:r w:rsidRPr="00DF1884">
              <w:rPr>
                <w:rFonts w:cs="Arial"/>
                <w:sz w:val="24"/>
              </w:rPr>
              <w:sym w:font="Wingdings" w:char="F0FC"/>
            </w:r>
          </w:p>
        </w:tc>
        <w:tc>
          <w:tcPr>
            <w:tcW w:w="1350" w:type="dxa"/>
            <w:tcBorders>
              <w:top w:val="single" w:sz="4" w:space="0" w:color="auto"/>
              <w:left w:val="single" w:sz="4" w:space="0" w:color="auto"/>
              <w:bottom w:val="single" w:sz="4" w:space="0" w:color="auto"/>
              <w:right w:val="single" w:sz="4" w:space="0" w:color="auto"/>
            </w:tcBorders>
          </w:tcPr>
          <w:p w14:paraId="38373A11" w14:textId="77777777" w:rsidR="007D7E28" w:rsidRPr="00DF1884" w:rsidRDefault="007D7E28" w:rsidP="007D7E28">
            <w:pPr>
              <w:pStyle w:val="TableText"/>
              <w:jc w:val="center"/>
              <w:rPr>
                <w:rFonts w:cs="Arial"/>
                <w:sz w:val="24"/>
              </w:rPr>
            </w:pPr>
          </w:p>
        </w:tc>
        <w:tc>
          <w:tcPr>
            <w:tcW w:w="1170" w:type="dxa"/>
            <w:tcBorders>
              <w:top w:val="single" w:sz="4" w:space="0" w:color="auto"/>
              <w:left w:val="single" w:sz="4" w:space="0" w:color="auto"/>
              <w:bottom w:val="single" w:sz="4" w:space="0" w:color="auto"/>
              <w:right w:val="single" w:sz="4" w:space="0" w:color="auto"/>
            </w:tcBorders>
          </w:tcPr>
          <w:p w14:paraId="39BB68E1" w14:textId="1DCA7012" w:rsidR="007D7E28" w:rsidRPr="00DF1884" w:rsidRDefault="007D7E28" w:rsidP="007D7E28">
            <w:pPr>
              <w:pStyle w:val="TableText"/>
              <w:jc w:val="center"/>
              <w:rPr>
                <w:rFonts w:cs="Arial"/>
                <w:sz w:val="24"/>
              </w:rPr>
            </w:pPr>
            <w:r w:rsidRPr="00DF1884">
              <w:rPr>
                <w:rFonts w:cs="Arial"/>
                <w:sz w:val="24"/>
              </w:rPr>
              <w:sym w:font="Wingdings" w:char="F0FC"/>
            </w:r>
          </w:p>
        </w:tc>
        <w:tc>
          <w:tcPr>
            <w:tcW w:w="6482" w:type="dxa"/>
            <w:tcBorders>
              <w:top w:val="single" w:sz="4" w:space="0" w:color="auto"/>
              <w:left w:val="single" w:sz="4" w:space="0" w:color="auto"/>
              <w:bottom w:val="single" w:sz="4" w:space="0" w:color="auto"/>
              <w:right w:val="single" w:sz="4" w:space="0" w:color="auto"/>
            </w:tcBorders>
          </w:tcPr>
          <w:p w14:paraId="65B35D3F" w14:textId="09F65791" w:rsidR="007D7E28" w:rsidRPr="00DF1884" w:rsidRDefault="007D7E28" w:rsidP="007D7E28">
            <w:pPr>
              <w:pStyle w:val="TableBullet"/>
              <w:rPr>
                <w:i/>
                <w:iCs/>
              </w:rPr>
            </w:pPr>
            <w:r>
              <w:rPr>
                <w:iCs/>
              </w:rPr>
              <w:t>First-year measure.</w:t>
            </w:r>
          </w:p>
        </w:tc>
      </w:tr>
      <w:tr w:rsidR="007D7E28" w:rsidRPr="00DF1884" w14:paraId="380BCA15" w14:textId="77777777" w:rsidTr="009D726B">
        <w:tc>
          <w:tcPr>
            <w:tcW w:w="2968" w:type="dxa"/>
            <w:tcBorders>
              <w:top w:val="single" w:sz="4" w:space="0" w:color="auto"/>
              <w:left w:val="single" w:sz="4" w:space="0" w:color="auto"/>
              <w:bottom w:val="single" w:sz="4" w:space="0" w:color="auto"/>
              <w:right w:val="single" w:sz="4" w:space="0" w:color="auto"/>
            </w:tcBorders>
          </w:tcPr>
          <w:p w14:paraId="02FFE061" w14:textId="4A8A028F" w:rsidR="007D7E28" w:rsidRPr="00DF1884" w:rsidRDefault="007D7E28" w:rsidP="007D7E28">
            <w:pPr>
              <w:pStyle w:val="TableText"/>
            </w:pPr>
            <w:r>
              <w:t>Emergency Department Utilization</w:t>
            </w:r>
          </w:p>
        </w:tc>
        <w:tc>
          <w:tcPr>
            <w:tcW w:w="1350" w:type="dxa"/>
            <w:tcBorders>
              <w:top w:val="single" w:sz="4" w:space="0" w:color="auto"/>
              <w:left w:val="single" w:sz="4" w:space="0" w:color="auto"/>
              <w:bottom w:val="single" w:sz="4" w:space="0" w:color="auto"/>
              <w:right w:val="single" w:sz="4" w:space="0" w:color="auto"/>
            </w:tcBorders>
          </w:tcPr>
          <w:p w14:paraId="2D4FAD46" w14:textId="7A3A1257" w:rsidR="007D7E28" w:rsidRPr="00DF1884" w:rsidRDefault="007D7E28" w:rsidP="007D7E28">
            <w:pPr>
              <w:pStyle w:val="TableText"/>
              <w:jc w:val="center"/>
              <w:rPr>
                <w:rFonts w:cs="Arial"/>
                <w:sz w:val="24"/>
              </w:rPr>
            </w:pPr>
            <w:r w:rsidRPr="00DF1884">
              <w:rPr>
                <w:rFonts w:cs="Arial"/>
                <w:sz w:val="24"/>
              </w:rPr>
              <w:sym w:font="Wingdings" w:char="F0FC"/>
            </w:r>
          </w:p>
        </w:tc>
        <w:tc>
          <w:tcPr>
            <w:tcW w:w="1350" w:type="dxa"/>
            <w:tcBorders>
              <w:top w:val="single" w:sz="4" w:space="0" w:color="auto"/>
              <w:left w:val="single" w:sz="4" w:space="0" w:color="auto"/>
              <w:bottom w:val="single" w:sz="4" w:space="0" w:color="auto"/>
              <w:right w:val="single" w:sz="4" w:space="0" w:color="auto"/>
            </w:tcBorders>
          </w:tcPr>
          <w:p w14:paraId="64B72D92" w14:textId="77777777" w:rsidR="007D7E28" w:rsidRPr="00DF1884" w:rsidRDefault="007D7E28" w:rsidP="007D7E28">
            <w:pPr>
              <w:pStyle w:val="TableText"/>
              <w:jc w:val="center"/>
              <w:rPr>
                <w:rFonts w:cs="Arial"/>
                <w:sz w:val="24"/>
              </w:rPr>
            </w:pPr>
          </w:p>
        </w:tc>
        <w:tc>
          <w:tcPr>
            <w:tcW w:w="1170" w:type="dxa"/>
            <w:tcBorders>
              <w:top w:val="single" w:sz="4" w:space="0" w:color="auto"/>
              <w:left w:val="single" w:sz="4" w:space="0" w:color="auto"/>
              <w:bottom w:val="single" w:sz="4" w:space="0" w:color="auto"/>
              <w:right w:val="single" w:sz="4" w:space="0" w:color="auto"/>
            </w:tcBorders>
          </w:tcPr>
          <w:p w14:paraId="625C3465" w14:textId="20DE8F77" w:rsidR="007D7E28" w:rsidRPr="00DF1884" w:rsidRDefault="007D7E28" w:rsidP="007D7E28">
            <w:pPr>
              <w:pStyle w:val="TableText"/>
              <w:jc w:val="center"/>
              <w:rPr>
                <w:rFonts w:cs="Arial"/>
                <w:sz w:val="24"/>
              </w:rPr>
            </w:pPr>
            <w:r w:rsidRPr="00DF1884">
              <w:rPr>
                <w:rFonts w:cs="Arial"/>
                <w:sz w:val="24"/>
              </w:rPr>
              <w:sym w:font="Wingdings" w:char="F0FC"/>
            </w:r>
          </w:p>
        </w:tc>
        <w:tc>
          <w:tcPr>
            <w:tcW w:w="6482" w:type="dxa"/>
            <w:tcBorders>
              <w:top w:val="single" w:sz="4" w:space="0" w:color="auto"/>
              <w:left w:val="single" w:sz="4" w:space="0" w:color="auto"/>
              <w:bottom w:val="single" w:sz="4" w:space="0" w:color="auto"/>
              <w:right w:val="single" w:sz="4" w:space="0" w:color="auto"/>
            </w:tcBorders>
          </w:tcPr>
          <w:p w14:paraId="0652F849" w14:textId="2B90FA39" w:rsidR="007D7E28" w:rsidRPr="00DF1884" w:rsidRDefault="007D7E28" w:rsidP="007D7E28">
            <w:pPr>
              <w:pStyle w:val="TableBullet"/>
              <w:rPr>
                <w:i/>
                <w:iCs/>
              </w:rPr>
            </w:pPr>
            <w:r>
              <w:rPr>
                <w:iCs/>
              </w:rPr>
              <w:t>First-year measure.</w:t>
            </w:r>
          </w:p>
        </w:tc>
      </w:tr>
      <w:tr w:rsidR="007D7E28" w:rsidRPr="00DF1884" w14:paraId="0513F338" w14:textId="77777777" w:rsidTr="009D726B">
        <w:tc>
          <w:tcPr>
            <w:tcW w:w="2968" w:type="dxa"/>
            <w:tcBorders>
              <w:top w:val="single" w:sz="4" w:space="0" w:color="auto"/>
              <w:left w:val="single" w:sz="4" w:space="0" w:color="auto"/>
              <w:bottom w:val="single" w:sz="4" w:space="0" w:color="auto"/>
              <w:right w:val="single" w:sz="4" w:space="0" w:color="auto"/>
            </w:tcBorders>
          </w:tcPr>
          <w:p w14:paraId="28B91002" w14:textId="149914C7" w:rsidR="007D7E28" w:rsidRPr="00DF1884" w:rsidRDefault="007D7E28" w:rsidP="007D7E28">
            <w:pPr>
              <w:pStyle w:val="TableText"/>
            </w:pPr>
            <w:r>
              <w:t>Hospitalization for Potentially Preventable Complications</w:t>
            </w:r>
          </w:p>
        </w:tc>
        <w:tc>
          <w:tcPr>
            <w:tcW w:w="1350" w:type="dxa"/>
            <w:tcBorders>
              <w:top w:val="single" w:sz="4" w:space="0" w:color="auto"/>
              <w:left w:val="single" w:sz="4" w:space="0" w:color="auto"/>
              <w:bottom w:val="single" w:sz="4" w:space="0" w:color="auto"/>
              <w:right w:val="single" w:sz="4" w:space="0" w:color="auto"/>
            </w:tcBorders>
          </w:tcPr>
          <w:p w14:paraId="5EA7DB5D" w14:textId="651E7E6F" w:rsidR="007D7E28" w:rsidRPr="00DF1884" w:rsidRDefault="007D7E28" w:rsidP="007D7E28">
            <w:pPr>
              <w:pStyle w:val="TableText"/>
              <w:jc w:val="center"/>
              <w:rPr>
                <w:rFonts w:cs="Arial"/>
                <w:sz w:val="24"/>
              </w:rPr>
            </w:pPr>
          </w:p>
        </w:tc>
        <w:tc>
          <w:tcPr>
            <w:tcW w:w="1350" w:type="dxa"/>
            <w:tcBorders>
              <w:top w:val="single" w:sz="4" w:space="0" w:color="auto"/>
              <w:left w:val="single" w:sz="4" w:space="0" w:color="auto"/>
              <w:bottom w:val="single" w:sz="4" w:space="0" w:color="auto"/>
              <w:right w:val="single" w:sz="4" w:space="0" w:color="auto"/>
            </w:tcBorders>
          </w:tcPr>
          <w:p w14:paraId="6897794A" w14:textId="77777777" w:rsidR="007D7E28" w:rsidRPr="00DF1884" w:rsidRDefault="007D7E28" w:rsidP="007D7E28">
            <w:pPr>
              <w:pStyle w:val="TableText"/>
              <w:jc w:val="center"/>
              <w:rPr>
                <w:rFonts w:cs="Arial"/>
                <w:sz w:val="24"/>
              </w:rPr>
            </w:pPr>
          </w:p>
        </w:tc>
        <w:tc>
          <w:tcPr>
            <w:tcW w:w="1170" w:type="dxa"/>
            <w:tcBorders>
              <w:top w:val="single" w:sz="4" w:space="0" w:color="auto"/>
              <w:left w:val="single" w:sz="4" w:space="0" w:color="auto"/>
              <w:bottom w:val="single" w:sz="4" w:space="0" w:color="auto"/>
              <w:right w:val="single" w:sz="4" w:space="0" w:color="auto"/>
            </w:tcBorders>
          </w:tcPr>
          <w:p w14:paraId="16150B6A" w14:textId="4E364F9D" w:rsidR="007D7E28" w:rsidRPr="00DF1884" w:rsidRDefault="007D7E28" w:rsidP="007D7E28">
            <w:pPr>
              <w:pStyle w:val="TableText"/>
              <w:jc w:val="center"/>
              <w:rPr>
                <w:rFonts w:cs="Arial"/>
                <w:sz w:val="24"/>
              </w:rPr>
            </w:pPr>
            <w:r w:rsidRPr="00DF1884">
              <w:rPr>
                <w:rFonts w:cs="Arial"/>
                <w:sz w:val="24"/>
              </w:rPr>
              <w:sym w:font="Wingdings" w:char="F0FC"/>
            </w:r>
          </w:p>
        </w:tc>
        <w:tc>
          <w:tcPr>
            <w:tcW w:w="6482" w:type="dxa"/>
            <w:tcBorders>
              <w:top w:val="single" w:sz="4" w:space="0" w:color="auto"/>
              <w:left w:val="single" w:sz="4" w:space="0" w:color="auto"/>
              <w:bottom w:val="single" w:sz="4" w:space="0" w:color="auto"/>
              <w:right w:val="single" w:sz="4" w:space="0" w:color="auto"/>
            </w:tcBorders>
          </w:tcPr>
          <w:p w14:paraId="01787458" w14:textId="4FBEC87F" w:rsidR="007D7E28" w:rsidRPr="00DF1884" w:rsidRDefault="007D7E28" w:rsidP="007D7E28">
            <w:pPr>
              <w:pStyle w:val="TableBullet"/>
              <w:rPr>
                <w:i/>
                <w:iCs/>
              </w:rPr>
            </w:pPr>
            <w:r>
              <w:rPr>
                <w:iCs/>
              </w:rPr>
              <w:t>First-year measure.</w:t>
            </w:r>
          </w:p>
        </w:tc>
      </w:tr>
      <w:tr w:rsidR="007D7E28" w:rsidRPr="00904532" w14:paraId="45716F0F" w14:textId="77777777" w:rsidTr="007756D8">
        <w:trPr>
          <w:cantSplit/>
        </w:trPr>
        <w:tc>
          <w:tcPr>
            <w:tcW w:w="13320" w:type="dxa"/>
            <w:gridSpan w:val="5"/>
            <w:shd w:val="clear" w:color="auto" w:fill="C0C0C0"/>
          </w:tcPr>
          <w:p w14:paraId="1BE54414" w14:textId="4BFD5E96" w:rsidR="007D7E28" w:rsidRPr="00904532" w:rsidRDefault="00904532" w:rsidP="00904532">
            <w:pPr>
              <w:pStyle w:val="TableText2"/>
              <w:jc w:val="center"/>
              <w:rPr>
                <w:b/>
                <w:sz w:val="20"/>
                <w:szCs w:val="20"/>
              </w:rPr>
            </w:pPr>
            <w:r w:rsidRPr="00904532">
              <w:rPr>
                <w:b/>
                <w:sz w:val="20"/>
                <w:szCs w:val="20"/>
              </w:rPr>
              <w:t xml:space="preserve">RELATIVE RESOURCE USE </w:t>
            </w:r>
          </w:p>
        </w:tc>
      </w:tr>
      <w:tr w:rsidR="007D7E28" w:rsidRPr="00DF1884" w14:paraId="4A3593C7" w14:textId="77777777" w:rsidTr="009D726B">
        <w:tc>
          <w:tcPr>
            <w:tcW w:w="2968" w:type="dxa"/>
            <w:tcBorders>
              <w:top w:val="single" w:sz="6" w:space="0" w:color="auto"/>
              <w:bottom w:val="single" w:sz="6" w:space="0" w:color="auto"/>
            </w:tcBorders>
          </w:tcPr>
          <w:p w14:paraId="69665501" w14:textId="40312592" w:rsidR="007D7E28" w:rsidRPr="00DF1884" w:rsidRDefault="007D7E28" w:rsidP="007D7E28">
            <w:pPr>
              <w:pStyle w:val="TableText"/>
              <w:rPr>
                <w:b/>
                <w:bCs/>
              </w:rPr>
            </w:pPr>
            <w:r w:rsidRPr="00DF1884">
              <w:rPr>
                <w:b/>
              </w:rPr>
              <w:t>Guidelines for Relative Resource Use Measures</w:t>
            </w:r>
          </w:p>
        </w:tc>
        <w:tc>
          <w:tcPr>
            <w:tcW w:w="1350" w:type="dxa"/>
            <w:tcBorders>
              <w:top w:val="single" w:sz="6" w:space="0" w:color="auto"/>
              <w:bottom w:val="single" w:sz="6" w:space="0" w:color="auto"/>
            </w:tcBorders>
          </w:tcPr>
          <w:p w14:paraId="15D7EC67" w14:textId="77777777" w:rsidR="007D7E28" w:rsidRPr="00DF1884" w:rsidRDefault="007D7E28" w:rsidP="007D7E28">
            <w:pPr>
              <w:pStyle w:val="TableText"/>
              <w:jc w:val="center"/>
              <w:rPr>
                <w:rFonts w:cs="Arial"/>
                <w:sz w:val="24"/>
              </w:rPr>
            </w:pPr>
            <w:r w:rsidRPr="00DF1884">
              <w:rPr>
                <w:rFonts w:cs="Arial"/>
                <w:sz w:val="24"/>
              </w:rPr>
              <w:sym w:font="Wingdings" w:char="F0FC"/>
            </w:r>
          </w:p>
        </w:tc>
        <w:tc>
          <w:tcPr>
            <w:tcW w:w="1350" w:type="dxa"/>
            <w:tcBorders>
              <w:top w:val="single" w:sz="6" w:space="0" w:color="auto"/>
              <w:bottom w:val="single" w:sz="6" w:space="0" w:color="auto"/>
            </w:tcBorders>
          </w:tcPr>
          <w:p w14:paraId="1794E843" w14:textId="77777777" w:rsidR="007D7E28" w:rsidRPr="00DF1884" w:rsidRDefault="007D7E28" w:rsidP="007D7E28">
            <w:pPr>
              <w:pStyle w:val="TableText"/>
              <w:jc w:val="center"/>
              <w:rPr>
                <w:rFonts w:cs="Arial"/>
                <w:sz w:val="24"/>
              </w:rPr>
            </w:pPr>
            <w:r w:rsidRPr="00DF1884">
              <w:rPr>
                <w:rFonts w:cs="Arial"/>
                <w:sz w:val="24"/>
              </w:rPr>
              <w:sym w:font="Wingdings" w:char="F0FC"/>
            </w:r>
          </w:p>
        </w:tc>
        <w:tc>
          <w:tcPr>
            <w:tcW w:w="1170" w:type="dxa"/>
            <w:tcBorders>
              <w:top w:val="single" w:sz="6" w:space="0" w:color="auto"/>
              <w:bottom w:val="single" w:sz="6" w:space="0" w:color="auto"/>
            </w:tcBorders>
          </w:tcPr>
          <w:p w14:paraId="469F18B3" w14:textId="77777777" w:rsidR="007D7E28" w:rsidRPr="00DF1884" w:rsidRDefault="007D7E28" w:rsidP="007D7E28">
            <w:pPr>
              <w:pStyle w:val="TableText"/>
              <w:jc w:val="center"/>
              <w:rPr>
                <w:rFonts w:cs="Arial"/>
                <w:sz w:val="24"/>
              </w:rPr>
            </w:pPr>
            <w:r w:rsidRPr="00DF1884">
              <w:rPr>
                <w:rFonts w:cs="Arial"/>
                <w:sz w:val="24"/>
              </w:rPr>
              <w:sym w:font="Wingdings" w:char="F0FC"/>
            </w:r>
          </w:p>
        </w:tc>
        <w:tc>
          <w:tcPr>
            <w:tcW w:w="6482" w:type="dxa"/>
            <w:tcBorders>
              <w:top w:val="single" w:sz="6" w:space="0" w:color="auto"/>
              <w:bottom w:val="single" w:sz="4" w:space="0" w:color="auto"/>
            </w:tcBorders>
          </w:tcPr>
          <w:p w14:paraId="2A34A30C" w14:textId="77777777" w:rsidR="0091463F" w:rsidRDefault="0091463F" w:rsidP="0091463F">
            <w:pPr>
              <w:pStyle w:val="TableBullet"/>
            </w:pPr>
            <w:r>
              <w:t xml:space="preserve">Removed ASM as a related quality EOC measure that must be reported with RAS in </w:t>
            </w:r>
            <w:r w:rsidRPr="00B76AEC">
              <w:rPr>
                <w:i/>
              </w:rPr>
              <w:t>Guideline 1</w:t>
            </w:r>
            <w:r>
              <w:t xml:space="preserve">. </w:t>
            </w:r>
          </w:p>
          <w:p w14:paraId="405FC453" w14:textId="77777777" w:rsidR="0091463F" w:rsidRPr="0032579B" w:rsidRDefault="0091463F" w:rsidP="0091463F">
            <w:pPr>
              <w:pStyle w:val="TableBullet"/>
            </w:pPr>
            <w:r>
              <w:t xml:space="preserve">Removed </w:t>
            </w:r>
            <w:r w:rsidRPr="0032579B">
              <w:t>reference to “regional” in the “</w:t>
            </w:r>
            <w:r>
              <w:t>e</w:t>
            </w:r>
            <w:r w:rsidRPr="0032579B">
              <w:t>xpected amount” definition</w:t>
            </w:r>
            <w:r>
              <w:t xml:space="preserve">; regional peer groups </w:t>
            </w:r>
            <w:r w:rsidRPr="0032579B">
              <w:t>(regional versions of the O/E)</w:t>
            </w:r>
            <w:r>
              <w:t xml:space="preserve"> were eliminated</w:t>
            </w:r>
            <w:r w:rsidRPr="0032579B">
              <w:t xml:space="preserve"> in the RRU calculations. </w:t>
            </w:r>
          </w:p>
          <w:p w14:paraId="293AA76C" w14:textId="79B3BD0F" w:rsidR="007D7E28" w:rsidRPr="00DF1884" w:rsidRDefault="0091463F" w:rsidP="0091463F">
            <w:pPr>
              <w:pStyle w:val="TableBullet"/>
            </w:pPr>
            <w:r w:rsidRPr="0032579B">
              <w:t>Removed references to</w:t>
            </w:r>
            <w:r>
              <w:t xml:space="preserve"> “</w:t>
            </w:r>
            <w:r w:rsidRPr="0032579B">
              <w:t>index ratio</w:t>
            </w:r>
            <w:r>
              <w:t>”</w:t>
            </w:r>
            <w:r w:rsidRPr="0032579B">
              <w:t xml:space="preserve"> and </w:t>
            </w:r>
            <w:r>
              <w:t>“</w:t>
            </w:r>
            <w:r w:rsidRPr="0032579B">
              <w:t>index score</w:t>
            </w:r>
            <w:r>
              <w:t>”</w:t>
            </w:r>
            <w:r w:rsidRPr="0032579B">
              <w:t xml:space="preserve"> in the </w:t>
            </w:r>
            <w:r w:rsidRPr="00581266">
              <w:rPr>
                <w:i/>
              </w:rPr>
              <w:t>Relative Resource Use Results</w:t>
            </w:r>
            <w:r w:rsidRPr="0032579B">
              <w:t xml:space="preserve"> section</w:t>
            </w:r>
            <w:r>
              <w:t>; indexing of the O/E ratio was eliminated.</w:t>
            </w:r>
            <w:r w:rsidRPr="0032579B" w:rsidDel="00581266">
              <w:t xml:space="preserve"> </w:t>
            </w:r>
          </w:p>
        </w:tc>
      </w:tr>
      <w:tr w:rsidR="007D7E28" w:rsidRPr="00DF1884" w14:paraId="214ADB81" w14:textId="77777777" w:rsidTr="009D726B">
        <w:tc>
          <w:tcPr>
            <w:tcW w:w="2968" w:type="dxa"/>
            <w:tcBorders>
              <w:top w:val="single" w:sz="6" w:space="0" w:color="auto"/>
              <w:bottom w:val="single" w:sz="6" w:space="0" w:color="auto"/>
            </w:tcBorders>
          </w:tcPr>
          <w:p w14:paraId="04732651" w14:textId="688C576B" w:rsidR="007D7E28" w:rsidRPr="00DF1884" w:rsidRDefault="007D7E28" w:rsidP="007D7E28">
            <w:pPr>
              <w:pStyle w:val="TableText"/>
            </w:pPr>
            <w:r w:rsidRPr="00DF1884">
              <w:rPr>
                <w:bCs/>
              </w:rPr>
              <w:t>Relative Resource Use for People With Diabetes</w:t>
            </w:r>
          </w:p>
        </w:tc>
        <w:tc>
          <w:tcPr>
            <w:tcW w:w="1350" w:type="dxa"/>
            <w:tcBorders>
              <w:top w:val="single" w:sz="6" w:space="0" w:color="auto"/>
              <w:bottom w:val="single" w:sz="6" w:space="0" w:color="auto"/>
            </w:tcBorders>
          </w:tcPr>
          <w:p w14:paraId="5091AFEA" w14:textId="77777777" w:rsidR="007D7E28" w:rsidRPr="00DF1884" w:rsidRDefault="007D7E28" w:rsidP="007D7E28">
            <w:pPr>
              <w:pStyle w:val="TableText"/>
              <w:jc w:val="center"/>
              <w:rPr>
                <w:rFonts w:cs="Arial"/>
                <w:sz w:val="24"/>
              </w:rPr>
            </w:pPr>
            <w:r w:rsidRPr="00DF1884">
              <w:rPr>
                <w:rFonts w:cs="Arial"/>
                <w:sz w:val="24"/>
              </w:rPr>
              <w:sym w:font="Wingdings" w:char="F0FC"/>
            </w:r>
          </w:p>
        </w:tc>
        <w:tc>
          <w:tcPr>
            <w:tcW w:w="1350" w:type="dxa"/>
            <w:tcBorders>
              <w:top w:val="single" w:sz="6" w:space="0" w:color="auto"/>
              <w:bottom w:val="single" w:sz="6" w:space="0" w:color="auto"/>
            </w:tcBorders>
          </w:tcPr>
          <w:p w14:paraId="00169095" w14:textId="77777777" w:rsidR="007D7E28" w:rsidRPr="00DF1884" w:rsidRDefault="007D7E28" w:rsidP="007D7E28">
            <w:pPr>
              <w:pStyle w:val="TableText"/>
              <w:jc w:val="center"/>
              <w:rPr>
                <w:rFonts w:cs="Arial"/>
                <w:sz w:val="24"/>
              </w:rPr>
            </w:pPr>
            <w:r w:rsidRPr="00DF1884">
              <w:rPr>
                <w:rFonts w:cs="Arial"/>
                <w:sz w:val="24"/>
              </w:rPr>
              <w:sym w:font="Wingdings" w:char="F0FC"/>
            </w:r>
          </w:p>
        </w:tc>
        <w:tc>
          <w:tcPr>
            <w:tcW w:w="1170" w:type="dxa"/>
            <w:tcBorders>
              <w:top w:val="single" w:sz="6" w:space="0" w:color="auto"/>
              <w:bottom w:val="single" w:sz="6" w:space="0" w:color="auto"/>
            </w:tcBorders>
          </w:tcPr>
          <w:p w14:paraId="7CB55F2B" w14:textId="77777777" w:rsidR="007D7E28" w:rsidRPr="00DF1884" w:rsidRDefault="007D7E28" w:rsidP="007D7E28">
            <w:pPr>
              <w:pStyle w:val="TableText"/>
              <w:jc w:val="center"/>
              <w:rPr>
                <w:rFonts w:cs="Arial"/>
                <w:sz w:val="24"/>
              </w:rPr>
            </w:pPr>
            <w:r w:rsidRPr="00DF1884">
              <w:rPr>
                <w:rFonts w:cs="Arial"/>
                <w:sz w:val="24"/>
              </w:rPr>
              <w:sym w:font="Wingdings" w:char="F0FC"/>
            </w:r>
          </w:p>
        </w:tc>
        <w:tc>
          <w:tcPr>
            <w:tcW w:w="6482" w:type="dxa"/>
            <w:tcBorders>
              <w:top w:val="single" w:sz="6" w:space="0" w:color="auto"/>
              <w:bottom w:val="single" w:sz="4" w:space="0" w:color="auto"/>
            </w:tcBorders>
          </w:tcPr>
          <w:p w14:paraId="3A13B671" w14:textId="08329588" w:rsidR="007D7E28" w:rsidRPr="00DF1884" w:rsidRDefault="0091463F" w:rsidP="0091463F">
            <w:pPr>
              <w:pStyle w:val="TableBullet"/>
            </w:pPr>
            <w:r>
              <w:t>Removed the optional exclusion for polycystic ovaries.</w:t>
            </w:r>
          </w:p>
        </w:tc>
      </w:tr>
      <w:tr w:rsidR="007D7E28" w:rsidRPr="00DF1884" w14:paraId="1706CDCD" w14:textId="77777777" w:rsidTr="009D726B">
        <w:tc>
          <w:tcPr>
            <w:tcW w:w="2968" w:type="dxa"/>
            <w:tcBorders>
              <w:top w:val="single" w:sz="6" w:space="0" w:color="auto"/>
              <w:left w:val="single" w:sz="4" w:space="0" w:color="auto"/>
              <w:bottom w:val="single" w:sz="6" w:space="0" w:color="auto"/>
              <w:right w:val="single" w:sz="4" w:space="0" w:color="auto"/>
            </w:tcBorders>
          </w:tcPr>
          <w:p w14:paraId="4FD39E28" w14:textId="57C7F0B8" w:rsidR="007D7E28" w:rsidRPr="00DF1884" w:rsidRDefault="007D7E28" w:rsidP="007D7E28">
            <w:pPr>
              <w:pStyle w:val="TableText"/>
              <w:rPr>
                <w:bCs/>
              </w:rPr>
            </w:pPr>
            <w:r w:rsidRPr="00DF1884">
              <w:rPr>
                <w:bCs/>
              </w:rPr>
              <w:t>Relative Resource Use for People With Cardiovascular Conditions</w:t>
            </w:r>
          </w:p>
        </w:tc>
        <w:tc>
          <w:tcPr>
            <w:tcW w:w="1350" w:type="dxa"/>
            <w:tcBorders>
              <w:top w:val="single" w:sz="6" w:space="0" w:color="auto"/>
              <w:left w:val="single" w:sz="4" w:space="0" w:color="auto"/>
              <w:bottom w:val="single" w:sz="6" w:space="0" w:color="auto"/>
              <w:right w:val="single" w:sz="4" w:space="0" w:color="auto"/>
            </w:tcBorders>
          </w:tcPr>
          <w:p w14:paraId="04674A83" w14:textId="77777777" w:rsidR="007D7E28" w:rsidRPr="00DF1884" w:rsidRDefault="007D7E28" w:rsidP="007D7E28">
            <w:pPr>
              <w:pStyle w:val="TableText"/>
              <w:jc w:val="center"/>
              <w:rPr>
                <w:rFonts w:cs="Arial"/>
                <w:sz w:val="24"/>
              </w:rPr>
            </w:pPr>
            <w:r w:rsidRPr="00DF1884">
              <w:rPr>
                <w:rFonts w:cs="Arial"/>
                <w:sz w:val="24"/>
              </w:rPr>
              <w:sym w:font="Wingdings" w:char="F0FC"/>
            </w:r>
          </w:p>
        </w:tc>
        <w:tc>
          <w:tcPr>
            <w:tcW w:w="1350" w:type="dxa"/>
            <w:tcBorders>
              <w:top w:val="single" w:sz="6" w:space="0" w:color="auto"/>
              <w:left w:val="single" w:sz="4" w:space="0" w:color="auto"/>
              <w:bottom w:val="single" w:sz="6" w:space="0" w:color="auto"/>
              <w:right w:val="single" w:sz="4" w:space="0" w:color="auto"/>
            </w:tcBorders>
          </w:tcPr>
          <w:p w14:paraId="09A23F3D" w14:textId="77777777" w:rsidR="007D7E28" w:rsidRPr="00DF1884" w:rsidRDefault="007D7E28" w:rsidP="007D7E28">
            <w:pPr>
              <w:pStyle w:val="TableText"/>
              <w:jc w:val="center"/>
              <w:rPr>
                <w:rFonts w:cs="Arial"/>
                <w:sz w:val="24"/>
              </w:rPr>
            </w:pPr>
            <w:r w:rsidRPr="00DF1884">
              <w:rPr>
                <w:rFonts w:cs="Arial"/>
                <w:sz w:val="24"/>
              </w:rPr>
              <w:sym w:font="Wingdings" w:char="F0FC"/>
            </w:r>
          </w:p>
        </w:tc>
        <w:tc>
          <w:tcPr>
            <w:tcW w:w="1170" w:type="dxa"/>
            <w:tcBorders>
              <w:top w:val="single" w:sz="6" w:space="0" w:color="auto"/>
              <w:left w:val="single" w:sz="4" w:space="0" w:color="auto"/>
              <w:bottom w:val="single" w:sz="6" w:space="0" w:color="auto"/>
              <w:right w:val="single" w:sz="4" w:space="0" w:color="auto"/>
            </w:tcBorders>
          </w:tcPr>
          <w:p w14:paraId="3060AAC1" w14:textId="77777777" w:rsidR="007D7E28" w:rsidRPr="00DF1884" w:rsidRDefault="007D7E28" w:rsidP="007D7E28">
            <w:pPr>
              <w:pStyle w:val="TableText"/>
              <w:jc w:val="center"/>
              <w:rPr>
                <w:rFonts w:cs="Arial"/>
                <w:sz w:val="24"/>
              </w:rPr>
            </w:pPr>
            <w:r w:rsidRPr="00DF1884">
              <w:rPr>
                <w:rFonts w:cs="Arial"/>
                <w:sz w:val="24"/>
              </w:rPr>
              <w:sym w:font="Wingdings" w:char="F0FC"/>
            </w:r>
          </w:p>
        </w:tc>
        <w:tc>
          <w:tcPr>
            <w:tcW w:w="6482" w:type="dxa"/>
            <w:tcBorders>
              <w:top w:val="single" w:sz="6" w:space="0" w:color="auto"/>
              <w:left w:val="single" w:sz="4" w:space="0" w:color="auto"/>
              <w:bottom w:val="single" w:sz="4" w:space="0" w:color="auto"/>
              <w:right w:val="single" w:sz="4" w:space="0" w:color="auto"/>
            </w:tcBorders>
          </w:tcPr>
          <w:p w14:paraId="57DEBD08" w14:textId="3041A8A4" w:rsidR="007D7E28" w:rsidRPr="00DF1884" w:rsidRDefault="0091463F" w:rsidP="0091463F">
            <w:pPr>
              <w:pStyle w:val="TableBullet"/>
            </w:pPr>
            <w:r>
              <w:t>Added a method and value sets to identify discharges for the event/diagnosis.</w:t>
            </w:r>
          </w:p>
        </w:tc>
      </w:tr>
      <w:tr w:rsidR="007D7E28" w:rsidRPr="00DF1884" w14:paraId="754E9A12" w14:textId="77777777" w:rsidTr="009D726B">
        <w:tc>
          <w:tcPr>
            <w:tcW w:w="2968" w:type="dxa"/>
            <w:tcBorders>
              <w:top w:val="single" w:sz="6" w:space="0" w:color="auto"/>
              <w:left w:val="single" w:sz="4" w:space="0" w:color="auto"/>
              <w:bottom w:val="single" w:sz="6" w:space="0" w:color="auto"/>
              <w:right w:val="single" w:sz="4" w:space="0" w:color="auto"/>
            </w:tcBorders>
          </w:tcPr>
          <w:p w14:paraId="7B11E88B" w14:textId="47B6AD43" w:rsidR="007D7E28" w:rsidRPr="00DF1884" w:rsidRDefault="007D7E28" w:rsidP="007D7E28">
            <w:pPr>
              <w:pStyle w:val="TableText"/>
              <w:rPr>
                <w:bCs/>
              </w:rPr>
            </w:pPr>
            <w:r w:rsidRPr="00DF1884">
              <w:rPr>
                <w:bCs/>
              </w:rPr>
              <w:t>Relative Resource Use for People With Hypertension</w:t>
            </w:r>
          </w:p>
        </w:tc>
        <w:tc>
          <w:tcPr>
            <w:tcW w:w="1350" w:type="dxa"/>
            <w:tcBorders>
              <w:top w:val="single" w:sz="6" w:space="0" w:color="auto"/>
              <w:left w:val="single" w:sz="4" w:space="0" w:color="auto"/>
              <w:bottom w:val="single" w:sz="6" w:space="0" w:color="auto"/>
              <w:right w:val="single" w:sz="4" w:space="0" w:color="auto"/>
            </w:tcBorders>
          </w:tcPr>
          <w:p w14:paraId="791309BD" w14:textId="77777777" w:rsidR="007D7E28" w:rsidRPr="00DF1884" w:rsidRDefault="007D7E28" w:rsidP="007D7E28">
            <w:pPr>
              <w:pStyle w:val="TableText"/>
              <w:jc w:val="center"/>
              <w:rPr>
                <w:rFonts w:cs="Arial"/>
                <w:sz w:val="24"/>
              </w:rPr>
            </w:pPr>
            <w:r w:rsidRPr="00DF1884">
              <w:rPr>
                <w:rFonts w:cs="Arial"/>
                <w:sz w:val="24"/>
              </w:rPr>
              <w:sym w:font="Wingdings" w:char="F0FC"/>
            </w:r>
          </w:p>
        </w:tc>
        <w:tc>
          <w:tcPr>
            <w:tcW w:w="1350" w:type="dxa"/>
            <w:tcBorders>
              <w:top w:val="single" w:sz="6" w:space="0" w:color="auto"/>
              <w:left w:val="single" w:sz="4" w:space="0" w:color="auto"/>
              <w:bottom w:val="single" w:sz="6" w:space="0" w:color="auto"/>
              <w:right w:val="single" w:sz="4" w:space="0" w:color="auto"/>
            </w:tcBorders>
          </w:tcPr>
          <w:p w14:paraId="6A699191" w14:textId="77777777" w:rsidR="007D7E28" w:rsidRPr="00DF1884" w:rsidRDefault="007D7E28" w:rsidP="007D7E28">
            <w:pPr>
              <w:pStyle w:val="TableText"/>
              <w:jc w:val="center"/>
              <w:rPr>
                <w:rFonts w:cs="Arial"/>
                <w:sz w:val="24"/>
              </w:rPr>
            </w:pPr>
            <w:r w:rsidRPr="00DF1884">
              <w:rPr>
                <w:rFonts w:cs="Arial"/>
                <w:sz w:val="24"/>
              </w:rPr>
              <w:sym w:font="Wingdings" w:char="F0FC"/>
            </w:r>
          </w:p>
        </w:tc>
        <w:tc>
          <w:tcPr>
            <w:tcW w:w="1170" w:type="dxa"/>
            <w:tcBorders>
              <w:top w:val="single" w:sz="6" w:space="0" w:color="auto"/>
              <w:left w:val="single" w:sz="4" w:space="0" w:color="auto"/>
              <w:bottom w:val="single" w:sz="6" w:space="0" w:color="auto"/>
              <w:right w:val="single" w:sz="4" w:space="0" w:color="auto"/>
            </w:tcBorders>
          </w:tcPr>
          <w:p w14:paraId="6F0255E5" w14:textId="77777777" w:rsidR="007D7E28" w:rsidRPr="00DF1884" w:rsidRDefault="007D7E28" w:rsidP="007D7E28">
            <w:pPr>
              <w:pStyle w:val="TableText"/>
              <w:jc w:val="center"/>
              <w:rPr>
                <w:rFonts w:cs="Arial"/>
                <w:sz w:val="24"/>
              </w:rPr>
            </w:pPr>
            <w:r w:rsidRPr="00DF1884">
              <w:rPr>
                <w:rFonts w:cs="Arial"/>
                <w:sz w:val="24"/>
              </w:rPr>
              <w:sym w:font="Wingdings" w:char="F0FC"/>
            </w:r>
          </w:p>
        </w:tc>
        <w:tc>
          <w:tcPr>
            <w:tcW w:w="6482" w:type="dxa"/>
            <w:tcBorders>
              <w:top w:val="single" w:sz="6" w:space="0" w:color="auto"/>
              <w:left w:val="single" w:sz="4" w:space="0" w:color="auto"/>
              <w:bottom w:val="single" w:sz="4" w:space="0" w:color="auto"/>
              <w:right w:val="single" w:sz="4" w:space="0" w:color="auto"/>
            </w:tcBorders>
          </w:tcPr>
          <w:p w14:paraId="4944F3ED" w14:textId="668ED036" w:rsidR="007D7E28" w:rsidRPr="00DF1884" w:rsidRDefault="0091463F" w:rsidP="007D7E28">
            <w:pPr>
              <w:pStyle w:val="TableBullet"/>
              <w:rPr>
                <w:i/>
                <w:iCs/>
              </w:rPr>
            </w:pPr>
            <w:r>
              <w:rPr>
                <w:iCs/>
              </w:rPr>
              <w:t>No changes to this measure.</w:t>
            </w:r>
          </w:p>
        </w:tc>
      </w:tr>
      <w:tr w:rsidR="007D7E28" w:rsidRPr="00DF1884" w14:paraId="471424A8" w14:textId="77777777" w:rsidTr="009D726B">
        <w:tc>
          <w:tcPr>
            <w:tcW w:w="2968" w:type="dxa"/>
            <w:tcBorders>
              <w:top w:val="single" w:sz="6" w:space="0" w:color="auto"/>
              <w:left w:val="single" w:sz="4" w:space="0" w:color="auto"/>
              <w:bottom w:val="single" w:sz="6" w:space="0" w:color="auto"/>
              <w:right w:val="single" w:sz="4" w:space="0" w:color="auto"/>
            </w:tcBorders>
          </w:tcPr>
          <w:p w14:paraId="63798F9C" w14:textId="248080CF" w:rsidR="007D7E28" w:rsidRPr="00DF1884" w:rsidRDefault="007D7E28" w:rsidP="007D7E28">
            <w:pPr>
              <w:pStyle w:val="TableText"/>
              <w:rPr>
                <w:bCs/>
              </w:rPr>
            </w:pPr>
            <w:r w:rsidRPr="00DF1884">
              <w:rPr>
                <w:bCs/>
              </w:rPr>
              <w:t>Relative Resource Use for People With COPD</w:t>
            </w:r>
          </w:p>
        </w:tc>
        <w:tc>
          <w:tcPr>
            <w:tcW w:w="1350" w:type="dxa"/>
            <w:tcBorders>
              <w:top w:val="single" w:sz="6" w:space="0" w:color="auto"/>
              <w:left w:val="single" w:sz="4" w:space="0" w:color="auto"/>
              <w:bottom w:val="single" w:sz="6" w:space="0" w:color="auto"/>
              <w:right w:val="single" w:sz="4" w:space="0" w:color="auto"/>
            </w:tcBorders>
          </w:tcPr>
          <w:p w14:paraId="4987433D" w14:textId="77777777" w:rsidR="007D7E28" w:rsidRPr="00DF1884" w:rsidRDefault="007D7E28" w:rsidP="007D7E28">
            <w:pPr>
              <w:pStyle w:val="TableText"/>
              <w:jc w:val="center"/>
              <w:rPr>
                <w:rFonts w:cs="Arial"/>
                <w:sz w:val="24"/>
              </w:rPr>
            </w:pPr>
            <w:r w:rsidRPr="00DF1884">
              <w:rPr>
                <w:rFonts w:cs="Arial"/>
                <w:sz w:val="24"/>
              </w:rPr>
              <w:sym w:font="Wingdings" w:char="F0FC"/>
            </w:r>
          </w:p>
        </w:tc>
        <w:tc>
          <w:tcPr>
            <w:tcW w:w="1350" w:type="dxa"/>
            <w:tcBorders>
              <w:top w:val="single" w:sz="6" w:space="0" w:color="auto"/>
              <w:left w:val="single" w:sz="4" w:space="0" w:color="auto"/>
              <w:bottom w:val="single" w:sz="6" w:space="0" w:color="auto"/>
              <w:right w:val="single" w:sz="4" w:space="0" w:color="auto"/>
            </w:tcBorders>
          </w:tcPr>
          <w:p w14:paraId="652B66C1" w14:textId="77777777" w:rsidR="007D7E28" w:rsidRPr="00DF1884" w:rsidRDefault="007D7E28" w:rsidP="007D7E28">
            <w:pPr>
              <w:pStyle w:val="TableText"/>
              <w:jc w:val="center"/>
              <w:rPr>
                <w:rFonts w:cs="Arial"/>
                <w:sz w:val="24"/>
              </w:rPr>
            </w:pPr>
            <w:r w:rsidRPr="00DF1884">
              <w:rPr>
                <w:rFonts w:cs="Arial"/>
                <w:sz w:val="24"/>
              </w:rPr>
              <w:sym w:font="Wingdings" w:char="F0FC"/>
            </w:r>
          </w:p>
        </w:tc>
        <w:tc>
          <w:tcPr>
            <w:tcW w:w="1170" w:type="dxa"/>
            <w:tcBorders>
              <w:top w:val="single" w:sz="6" w:space="0" w:color="auto"/>
              <w:left w:val="single" w:sz="4" w:space="0" w:color="auto"/>
              <w:bottom w:val="single" w:sz="6" w:space="0" w:color="auto"/>
              <w:right w:val="single" w:sz="4" w:space="0" w:color="auto"/>
            </w:tcBorders>
          </w:tcPr>
          <w:p w14:paraId="4D11F405" w14:textId="77777777" w:rsidR="007D7E28" w:rsidRPr="00DF1884" w:rsidRDefault="007D7E28" w:rsidP="007D7E28">
            <w:pPr>
              <w:pStyle w:val="TableText"/>
              <w:jc w:val="center"/>
              <w:rPr>
                <w:rFonts w:cs="Arial"/>
                <w:sz w:val="24"/>
              </w:rPr>
            </w:pPr>
            <w:r w:rsidRPr="00DF1884">
              <w:rPr>
                <w:rFonts w:cs="Arial"/>
                <w:sz w:val="24"/>
              </w:rPr>
              <w:sym w:font="Wingdings" w:char="F0FC"/>
            </w:r>
          </w:p>
        </w:tc>
        <w:tc>
          <w:tcPr>
            <w:tcW w:w="6482" w:type="dxa"/>
            <w:tcBorders>
              <w:top w:val="single" w:sz="6" w:space="0" w:color="auto"/>
              <w:left w:val="single" w:sz="4" w:space="0" w:color="auto"/>
              <w:bottom w:val="single" w:sz="4" w:space="0" w:color="auto"/>
              <w:right w:val="single" w:sz="4" w:space="0" w:color="auto"/>
            </w:tcBorders>
          </w:tcPr>
          <w:p w14:paraId="44CB51F6" w14:textId="0FD69145" w:rsidR="007D7E28" w:rsidRPr="00DF1884" w:rsidRDefault="0091463F" w:rsidP="007D7E28">
            <w:pPr>
              <w:pStyle w:val="TableBullet"/>
              <w:rPr>
                <w:i/>
                <w:iCs/>
              </w:rPr>
            </w:pPr>
            <w:r>
              <w:rPr>
                <w:iCs/>
              </w:rPr>
              <w:t>No changes to this measure.</w:t>
            </w:r>
          </w:p>
        </w:tc>
      </w:tr>
      <w:tr w:rsidR="007D7E28" w:rsidRPr="00DF1884" w14:paraId="46427CAA" w14:textId="77777777" w:rsidTr="009D726B">
        <w:tc>
          <w:tcPr>
            <w:tcW w:w="2968" w:type="dxa"/>
            <w:tcBorders>
              <w:top w:val="single" w:sz="6" w:space="0" w:color="auto"/>
              <w:left w:val="single" w:sz="4" w:space="0" w:color="auto"/>
              <w:bottom w:val="single" w:sz="6" w:space="0" w:color="auto"/>
              <w:right w:val="single" w:sz="4" w:space="0" w:color="auto"/>
            </w:tcBorders>
          </w:tcPr>
          <w:p w14:paraId="6ACF1626" w14:textId="3380F401" w:rsidR="007D7E28" w:rsidRPr="00DF1884" w:rsidRDefault="007D7E28" w:rsidP="007D7E28">
            <w:pPr>
              <w:pStyle w:val="TableText"/>
              <w:rPr>
                <w:bCs/>
              </w:rPr>
            </w:pPr>
            <w:r w:rsidRPr="00DF1884">
              <w:rPr>
                <w:bCs/>
              </w:rPr>
              <w:t>Relative Resource Use for People With Asthma</w:t>
            </w:r>
          </w:p>
        </w:tc>
        <w:tc>
          <w:tcPr>
            <w:tcW w:w="1350" w:type="dxa"/>
            <w:tcBorders>
              <w:top w:val="single" w:sz="6" w:space="0" w:color="auto"/>
              <w:left w:val="single" w:sz="4" w:space="0" w:color="auto"/>
              <w:bottom w:val="single" w:sz="6" w:space="0" w:color="auto"/>
              <w:right w:val="single" w:sz="4" w:space="0" w:color="auto"/>
            </w:tcBorders>
          </w:tcPr>
          <w:p w14:paraId="259196D5" w14:textId="77777777" w:rsidR="007D7E28" w:rsidRPr="00DF1884" w:rsidRDefault="007D7E28" w:rsidP="007D7E28">
            <w:pPr>
              <w:pStyle w:val="TableText"/>
              <w:jc w:val="center"/>
              <w:rPr>
                <w:rFonts w:cs="Arial"/>
                <w:sz w:val="24"/>
              </w:rPr>
            </w:pPr>
            <w:r w:rsidRPr="00DF1884">
              <w:rPr>
                <w:rFonts w:cs="Arial"/>
                <w:sz w:val="24"/>
              </w:rPr>
              <w:sym w:font="Wingdings" w:char="F0FC"/>
            </w:r>
          </w:p>
        </w:tc>
        <w:tc>
          <w:tcPr>
            <w:tcW w:w="1350" w:type="dxa"/>
            <w:tcBorders>
              <w:top w:val="single" w:sz="6" w:space="0" w:color="auto"/>
              <w:left w:val="single" w:sz="4" w:space="0" w:color="auto"/>
              <w:bottom w:val="single" w:sz="6" w:space="0" w:color="auto"/>
              <w:right w:val="single" w:sz="4" w:space="0" w:color="auto"/>
            </w:tcBorders>
          </w:tcPr>
          <w:p w14:paraId="5D5439ED" w14:textId="77777777" w:rsidR="007D7E28" w:rsidRPr="00DF1884" w:rsidRDefault="007D7E28" w:rsidP="007D7E28">
            <w:pPr>
              <w:pStyle w:val="TableText"/>
              <w:jc w:val="center"/>
              <w:rPr>
                <w:rFonts w:cs="Arial"/>
                <w:sz w:val="24"/>
              </w:rPr>
            </w:pPr>
            <w:r w:rsidRPr="00DF1884">
              <w:rPr>
                <w:rFonts w:cs="Arial"/>
                <w:sz w:val="24"/>
              </w:rPr>
              <w:sym w:font="Wingdings" w:char="F0FC"/>
            </w:r>
          </w:p>
        </w:tc>
        <w:tc>
          <w:tcPr>
            <w:tcW w:w="1170" w:type="dxa"/>
            <w:tcBorders>
              <w:top w:val="single" w:sz="6" w:space="0" w:color="auto"/>
              <w:left w:val="single" w:sz="4" w:space="0" w:color="auto"/>
              <w:bottom w:val="single" w:sz="6" w:space="0" w:color="auto"/>
              <w:right w:val="single" w:sz="4" w:space="0" w:color="auto"/>
            </w:tcBorders>
          </w:tcPr>
          <w:p w14:paraId="033F1D0E" w14:textId="77777777" w:rsidR="007D7E28" w:rsidRPr="00DF1884" w:rsidRDefault="007D7E28" w:rsidP="007D7E28">
            <w:pPr>
              <w:pStyle w:val="TableText"/>
              <w:jc w:val="center"/>
              <w:rPr>
                <w:rFonts w:cs="Arial"/>
                <w:sz w:val="24"/>
              </w:rPr>
            </w:pPr>
          </w:p>
        </w:tc>
        <w:tc>
          <w:tcPr>
            <w:tcW w:w="6482" w:type="dxa"/>
            <w:tcBorders>
              <w:top w:val="single" w:sz="6" w:space="0" w:color="auto"/>
              <w:left w:val="single" w:sz="4" w:space="0" w:color="auto"/>
              <w:bottom w:val="single" w:sz="4" w:space="0" w:color="auto"/>
              <w:right w:val="single" w:sz="4" w:space="0" w:color="auto"/>
            </w:tcBorders>
          </w:tcPr>
          <w:p w14:paraId="017D63E7" w14:textId="77777777" w:rsidR="00270535" w:rsidRPr="00DB46BD" w:rsidRDefault="00270535" w:rsidP="00270535">
            <w:pPr>
              <w:pStyle w:val="TableBullet"/>
            </w:pPr>
            <w:r w:rsidRPr="00DB46BD">
              <w:t>Expanded age range up to 85 years for the commercial product line.</w:t>
            </w:r>
          </w:p>
          <w:p w14:paraId="426E3C08" w14:textId="77777777" w:rsidR="00270535" w:rsidRPr="00DB46BD" w:rsidRDefault="00270535" w:rsidP="00270535">
            <w:pPr>
              <w:pStyle w:val="TableBullet"/>
            </w:pPr>
            <w:r w:rsidRPr="00DB46BD">
              <w:t>Added the Medicare product line.</w:t>
            </w:r>
          </w:p>
          <w:p w14:paraId="1A01D1B5" w14:textId="77777777" w:rsidR="00270535" w:rsidRPr="00DB46BD" w:rsidRDefault="00270535" w:rsidP="00270535">
            <w:pPr>
              <w:pStyle w:val="TableBullet"/>
            </w:pPr>
            <w:r w:rsidRPr="00DB46BD">
              <w:t xml:space="preserve">Removed the reference to the retired ASM measure in the eligible population Note. </w:t>
            </w:r>
          </w:p>
          <w:p w14:paraId="52D6C0AE" w14:textId="77777777" w:rsidR="00270535" w:rsidRPr="00DB46BD" w:rsidRDefault="00270535" w:rsidP="00270535">
            <w:pPr>
              <w:pStyle w:val="TableBullet"/>
            </w:pPr>
            <w:r w:rsidRPr="00DB46BD">
              <w:t xml:space="preserve">Replaced all references of Table ASM-C with “Table MMA-A" in step 1. </w:t>
            </w:r>
          </w:p>
          <w:p w14:paraId="6B87728D" w14:textId="2D7CA3AB" w:rsidR="007D7E28" w:rsidRPr="00DF1884" w:rsidRDefault="00270535" w:rsidP="00270535">
            <w:pPr>
              <w:pStyle w:val="TableBullet"/>
            </w:pPr>
            <w:r w:rsidRPr="00DB46BD">
              <w:t>Revised and renamed the reporting tables.</w:t>
            </w:r>
          </w:p>
        </w:tc>
      </w:tr>
    </w:tbl>
    <w:p w14:paraId="7FB55FE5" w14:textId="77777777" w:rsidR="00463667" w:rsidRPr="00DF1884" w:rsidRDefault="00463667" w:rsidP="00463667">
      <w:pPr>
        <w:sectPr w:rsidR="00463667" w:rsidRPr="00DF1884" w:rsidSect="0039781B">
          <w:headerReference w:type="even" r:id="rId43"/>
          <w:headerReference w:type="default" r:id="rId44"/>
          <w:footerReference w:type="even" r:id="rId45"/>
          <w:footerReference w:type="default" r:id="rId46"/>
          <w:pgSz w:w="15840" w:h="12240" w:orient="landscape" w:code="1"/>
          <w:pgMar w:top="1080" w:right="1080" w:bottom="1080" w:left="1440" w:header="720" w:footer="720" w:gutter="0"/>
          <w:cols w:space="720"/>
        </w:sectPr>
      </w:pPr>
    </w:p>
    <w:p w14:paraId="6C2CC1BC" w14:textId="0F5CF404" w:rsidR="00463667" w:rsidRPr="00DF1884" w:rsidRDefault="00463667" w:rsidP="00463667">
      <w:pPr>
        <w:pStyle w:val="TableHeadNotCondensed"/>
        <w:spacing w:before="0"/>
      </w:pPr>
      <w:r w:rsidRPr="00DF1884">
        <w:lastRenderedPageBreak/>
        <w:t>HEDIS</w:t>
      </w:r>
      <w:r w:rsidR="00DF1884" w:rsidRPr="00DF1884">
        <w:t xml:space="preserve"> </w:t>
      </w:r>
      <w:r w:rsidR="00442111" w:rsidRPr="00DF1884">
        <w:rPr>
          <w:iCs/>
        </w:rPr>
        <w:t>2016</w:t>
      </w:r>
      <w:r w:rsidR="00DF1884" w:rsidRPr="00DF1884">
        <w:t xml:space="preserve"> </w:t>
      </w:r>
      <w:r w:rsidRPr="00DF1884">
        <w:t>Summary</w:t>
      </w:r>
      <w:r w:rsidR="00DF1884" w:rsidRPr="00DF1884">
        <w:t xml:space="preserve"> </w:t>
      </w:r>
      <w:r w:rsidRPr="00DF1884">
        <w:t>Table</w:t>
      </w:r>
      <w:r w:rsidR="00DF1884" w:rsidRPr="00DF1884">
        <w:t xml:space="preserve"> </w:t>
      </w:r>
      <w:r w:rsidRPr="00DF1884">
        <w:t>of</w:t>
      </w:r>
      <w:r w:rsidR="00DF1884" w:rsidRPr="00DF1884">
        <w:t xml:space="preserve"> </w:t>
      </w:r>
      <w:r w:rsidRPr="00DF1884">
        <w:t>Measures,</w:t>
      </w:r>
      <w:r w:rsidR="00DF1884" w:rsidRPr="00DF1884">
        <w:t xml:space="preserve"> </w:t>
      </w:r>
      <w:r w:rsidRPr="00DF1884">
        <w:t>Product</w:t>
      </w:r>
      <w:r w:rsidR="00DF1884" w:rsidRPr="00DF1884">
        <w:t xml:space="preserve"> </w:t>
      </w:r>
      <w:r w:rsidRPr="00DF1884">
        <w:t>Lines</w:t>
      </w:r>
      <w:r w:rsidR="00DF1884" w:rsidRPr="00DF1884">
        <w:t xml:space="preserve"> </w:t>
      </w:r>
      <w:r w:rsidRPr="00DF1884">
        <w:t>and</w:t>
      </w:r>
      <w:r w:rsidR="00DF1884" w:rsidRPr="00DF1884">
        <w:t xml:space="preserve"> </w:t>
      </w:r>
      <w:r w:rsidRPr="00DF1884">
        <w:t>Changes</w:t>
      </w:r>
      <w:r w:rsidR="00DF1884" w:rsidRPr="00DF1884">
        <w:t xml:space="preserve"> </w:t>
      </w:r>
      <w:r w:rsidRPr="00DF1884">
        <w:rPr>
          <w:i/>
          <w:sz w:val="20"/>
          <w:szCs w:val="20"/>
        </w:rPr>
        <w:t>(continued)</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1350"/>
        <w:gridCol w:w="1350"/>
        <w:gridCol w:w="1260"/>
        <w:gridCol w:w="6390"/>
      </w:tblGrid>
      <w:tr w:rsidR="00463667" w:rsidRPr="00DF1884" w14:paraId="33EFE792" w14:textId="77777777" w:rsidTr="00C56CA6">
        <w:trPr>
          <w:cantSplit/>
        </w:trPr>
        <w:tc>
          <w:tcPr>
            <w:tcW w:w="2970" w:type="dxa"/>
            <w:vMerge w:val="restart"/>
            <w:tcBorders>
              <w:top w:val="single" w:sz="6" w:space="0" w:color="auto"/>
              <w:left w:val="single" w:sz="4" w:space="0" w:color="auto"/>
              <w:bottom w:val="single" w:sz="4" w:space="0" w:color="auto"/>
              <w:right w:val="single" w:sz="4" w:space="0" w:color="FFFFFF"/>
            </w:tcBorders>
            <w:shd w:val="clear" w:color="auto" w:fill="000000"/>
            <w:vAlign w:val="bottom"/>
          </w:tcPr>
          <w:p w14:paraId="0C1138B8" w14:textId="6FB49303" w:rsidR="00463667" w:rsidRPr="00DF1884" w:rsidRDefault="00463667" w:rsidP="00C56CA6">
            <w:pPr>
              <w:pStyle w:val="TableHead"/>
              <w:rPr>
                <w:color w:val="auto"/>
              </w:rPr>
            </w:pPr>
            <w:r w:rsidRPr="00DF1884">
              <w:rPr>
                <w:color w:val="auto"/>
              </w:rPr>
              <w:t>HEDIS</w:t>
            </w:r>
            <w:r w:rsidR="00DF1884" w:rsidRPr="00DF1884">
              <w:rPr>
                <w:color w:val="auto"/>
              </w:rPr>
              <w:t xml:space="preserve"> </w:t>
            </w:r>
            <w:r w:rsidR="00442111" w:rsidRPr="00DF1884">
              <w:rPr>
                <w:iCs/>
                <w:color w:val="auto"/>
              </w:rPr>
              <w:t>2016</w:t>
            </w:r>
            <w:r w:rsidR="00DF1884" w:rsidRPr="00DF1884">
              <w:rPr>
                <w:color w:val="auto"/>
              </w:rPr>
              <w:t xml:space="preserve"> </w:t>
            </w:r>
            <w:r w:rsidRPr="00DF1884">
              <w:rPr>
                <w:color w:val="auto"/>
              </w:rPr>
              <w:t>Measures</w:t>
            </w:r>
          </w:p>
        </w:tc>
        <w:tc>
          <w:tcPr>
            <w:tcW w:w="3960" w:type="dxa"/>
            <w:gridSpan w:val="3"/>
            <w:tcBorders>
              <w:top w:val="single" w:sz="6" w:space="0" w:color="auto"/>
              <w:left w:val="nil"/>
              <w:bottom w:val="single" w:sz="4" w:space="0" w:color="FFFFFF"/>
              <w:right w:val="single" w:sz="4" w:space="0" w:color="FFFFFF"/>
            </w:tcBorders>
            <w:shd w:val="clear" w:color="auto" w:fill="000000"/>
          </w:tcPr>
          <w:p w14:paraId="0BB9A238" w14:textId="1C4AAFD0" w:rsidR="00463667" w:rsidRPr="00DF1884" w:rsidRDefault="00463667" w:rsidP="00C56CA6">
            <w:pPr>
              <w:pStyle w:val="TableHead"/>
              <w:rPr>
                <w:color w:val="auto"/>
              </w:rPr>
            </w:pPr>
            <w:r w:rsidRPr="00DF1884">
              <w:rPr>
                <w:color w:val="auto"/>
              </w:rPr>
              <w:t>Applicable</w:t>
            </w:r>
            <w:r w:rsidR="00DF1884" w:rsidRPr="00DF1884">
              <w:rPr>
                <w:color w:val="auto"/>
              </w:rPr>
              <w:t xml:space="preserve"> </w:t>
            </w:r>
            <w:r w:rsidRPr="00DF1884">
              <w:rPr>
                <w:color w:val="auto"/>
              </w:rPr>
              <w:t>to:</w:t>
            </w:r>
          </w:p>
        </w:tc>
        <w:tc>
          <w:tcPr>
            <w:tcW w:w="6390" w:type="dxa"/>
            <w:vMerge w:val="restart"/>
            <w:tcBorders>
              <w:top w:val="single" w:sz="6" w:space="0" w:color="auto"/>
              <w:left w:val="nil"/>
              <w:bottom w:val="single" w:sz="4" w:space="0" w:color="auto"/>
            </w:tcBorders>
            <w:shd w:val="clear" w:color="auto" w:fill="000000"/>
            <w:vAlign w:val="bottom"/>
          </w:tcPr>
          <w:p w14:paraId="6B90FABC" w14:textId="3807B775" w:rsidR="00463667" w:rsidRPr="00DF1884" w:rsidRDefault="00463667" w:rsidP="00C56CA6">
            <w:pPr>
              <w:pStyle w:val="TableHead"/>
              <w:rPr>
                <w:color w:val="auto"/>
              </w:rPr>
            </w:pPr>
            <w:r w:rsidRPr="00DF1884">
              <w:rPr>
                <w:color w:val="auto"/>
              </w:rPr>
              <w:t>Changes</w:t>
            </w:r>
            <w:r w:rsidR="00DF1884" w:rsidRPr="00DF1884">
              <w:rPr>
                <w:color w:val="auto"/>
              </w:rPr>
              <w:t xml:space="preserve"> </w:t>
            </w:r>
            <w:r w:rsidRPr="00DF1884">
              <w:rPr>
                <w:color w:val="auto"/>
              </w:rPr>
              <w:t>to</w:t>
            </w:r>
            <w:r w:rsidR="00DF1884" w:rsidRPr="00DF1884">
              <w:rPr>
                <w:color w:val="auto"/>
              </w:rPr>
              <w:t xml:space="preserve"> </w:t>
            </w:r>
            <w:r w:rsidRPr="00DF1884">
              <w:rPr>
                <w:color w:val="auto"/>
              </w:rPr>
              <w:t>HEDIS</w:t>
            </w:r>
            <w:r w:rsidR="00DF1884" w:rsidRPr="00DF1884">
              <w:rPr>
                <w:color w:val="auto"/>
              </w:rPr>
              <w:t xml:space="preserve"> </w:t>
            </w:r>
            <w:r w:rsidR="00442111" w:rsidRPr="00DF1884">
              <w:rPr>
                <w:iCs/>
                <w:color w:val="auto"/>
              </w:rPr>
              <w:t>2016</w:t>
            </w:r>
          </w:p>
        </w:tc>
      </w:tr>
      <w:tr w:rsidR="00463667" w:rsidRPr="00DF1884" w14:paraId="1F237664" w14:textId="77777777" w:rsidTr="00C56CA6">
        <w:trPr>
          <w:cantSplit/>
        </w:trPr>
        <w:tc>
          <w:tcPr>
            <w:tcW w:w="2970" w:type="dxa"/>
            <w:vMerge/>
            <w:tcBorders>
              <w:top w:val="nil"/>
              <w:left w:val="single" w:sz="4" w:space="0" w:color="auto"/>
              <w:bottom w:val="single" w:sz="4" w:space="0" w:color="auto"/>
              <w:right w:val="single" w:sz="4" w:space="0" w:color="FFFFFF"/>
            </w:tcBorders>
          </w:tcPr>
          <w:p w14:paraId="1593ADD3" w14:textId="77777777" w:rsidR="00463667" w:rsidRPr="00DF1884" w:rsidRDefault="00463667" w:rsidP="00C56CA6">
            <w:pPr>
              <w:pStyle w:val="TableHead"/>
              <w:rPr>
                <w:color w:val="auto"/>
              </w:rPr>
            </w:pPr>
          </w:p>
        </w:tc>
        <w:tc>
          <w:tcPr>
            <w:tcW w:w="1350" w:type="dxa"/>
            <w:tcBorders>
              <w:top w:val="nil"/>
              <w:left w:val="nil"/>
              <w:bottom w:val="single" w:sz="4" w:space="0" w:color="auto"/>
              <w:right w:val="single" w:sz="4" w:space="0" w:color="FFFFFF"/>
            </w:tcBorders>
            <w:shd w:val="clear" w:color="auto" w:fill="000000"/>
          </w:tcPr>
          <w:p w14:paraId="5D802CB3" w14:textId="2ED3E1EC" w:rsidR="00463667" w:rsidRPr="00DF1884" w:rsidRDefault="00463667" w:rsidP="00C56CA6">
            <w:pPr>
              <w:pStyle w:val="TableHead"/>
              <w:rPr>
                <w:color w:val="auto"/>
              </w:rPr>
            </w:pPr>
            <w:r w:rsidRPr="00DF1884">
              <w:rPr>
                <w:color w:val="auto"/>
              </w:rPr>
              <w:t>Commercial</w:t>
            </w:r>
            <w:r w:rsidR="00DF1884" w:rsidRPr="00DF1884">
              <w:rPr>
                <w:color w:val="auto"/>
              </w:rPr>
              <w:t xml:space="preserve"> </w:t>
            </w:r>
          </w:p>
        </w:tc>
        <w:tc>
          <w:tcPr>
            <w:tcW w:w="1350" w:type="dxa"/>
            <w:tcBorders>
              <w:top w:val="nil"/>
              <w:left w:val="nil"/>
              <w:bottom w:val="single" w:sz="4" w:space="0" w:color="auto"/>
              <w:right w:val="single" w:sz="4" w:space="0" w:color="FFFFFF"/>
            </w:tcBorders>
            <w:shd w:val="clear" w:color="auto" w:fill="000000"/>
          </w:tcPr>
          <w:p w14:paraId="193FBFF2" w14:textId="77777777" w:rsidR="00463667" w:rsidRPr="00DF1884" w:rsidRDefault="00463667" w:rsidP="00C56CA6">
            <w:pPr>
              <w:pStyle w:val="TableHead"/>
              <w:rPr>
                <w:color w:val="auto"/>
              </w:rPr>
            </w:pPr>
            <w:r w:rsidRPr="00DF1884">
              <w:rPr>
                <w:color w:val="auto"/>
              </w:rPr>
              <w:t>Medicaid</w:t>
            </w:r>
          </w:p>
        </w:tc>
        <w:tc>
          <w:tcPr>
            <w:tcW w:w="1260" w:type="dxa"/>
            <w:tcBorders>
              <w:top w:val="nil"/>
              <w:left w:val="nil"/>
              <w:bottom w:val="single" w:sz="4" w:space="0" w:color="auto"/>
              <w:right w:val="single" w:sz="4" w:space="0" w:color="FFFFFF"/>
            </w:tcBorders>
            <w:shd w:val="clear" w:color="auto" w:fill="000000"/>
          </w:tcPr>
          <w:p w14:paraId="3DB3767D" w14:textId="77777777" w:rsidR="00463667" w:rsidRPr="00DF1884" w:rsidRDefault="00463667" w:rsidP="00C56CA6">
            <w:pPr>
              <w:pStyle w:val="TableHead"/>
              <w:rPr>
                <w:color w:val="auto"/>
              </w:rPr>
            </w:pPr>
            <w:r w:rsidRPr="00DF1884">
              <w:rPr>
                <w:color w:val="auto"/>
              </w:rPr>
              <w:t>Medicare</w:t>
            </w:r>
          </w:p>
        </w:tc>
        <w:tc>
          <w:tcPr>
            <w:tcW w:w="6390" w:type="dxa"/>
            <w:vMerge/>
            <w:tcBorders>
              <w:top w:val="nil"/>
              <w:left w:val="nil"/>
              <w:bottom w:val="single" w:sz="4" w:space="0" w:color="auto"/>
            </w:tcBorders>
            <w:vAlign w:val="bottom"/>
          </w:tcPr>
          <w:p w14:paraId="28D56F81" w14:textId="77777777" w:rsidR="00463667" w:rsidRPr="00DF1884" w:rsidRDefault="00463667" w:rsidP="00C56CA6">
            <w:pPr>
              <w:pStyle w:val="TableHead"/>
              <w:rPr>
                <w:color w:val="auto"/>
              </w:rPr>
            </w:pPr>
          </w:p>
        </w:tc>
      </w:tr>
      <w:tr w:rsidR="00463667" w:rsidRPr="00904532" w14:paraId="3D3AD1B6" w14:textId="77777777" w:rsidTr="00C56CA6">
        <w:trPr>
          <w:cantSplit/>
        </w:trPr>
        <w:tc>
          <w:tcPr>
            <w:tcW w:w="13320" w:type="dxa"/>
            <w:gridSpan w:val="5"/>
            <w:shd w:val="clear" w:color="auto" w:fill="C0C0C0"/>
          </w:tcPr>
          <w:p w14:paraId="2E819B98" w14:textId="53148276" w:rsidR="00463667" w:rsidRPr="00904532" w:rsidRDefault="00904532" w:rsidP="00904532">
            <w:pPr>
              <w:pStyle w:val="TableText2"/>
              <w:jc w:val="center"/>
              <w:rPr>
                <w:b/>
                <w:sz w:val="20"/>
                <w:szCs w:val="20"/>
              </w:rPr>
            </w:pPr>
            <w:r w:rsidRPr="00904532">
              <w:rPr>
                <w:b/>
                <w:sz w:val="20"/>
                <w:szCs w:val="20"/>
              </w:rPr>
              <w:t>HEALTH PLAN DESCRIPTIVE INFORMATION</w:t>
            </w:r>
          </w:p>
        </w:tc>
      </w:tr>
      <w:tr w:rsidR="00463667" w:rsidRPr="00DF1884" w14:paraId="7D9D6AE5" w14:textId="77777777" w:rsidTr="00C56CA6">
        <w:tc>
          <w:tcPr>
            <w:tcW w:w="2970" w:type="dxa"/>
          </w:tcPr>
          <w:p w14:paraId="148C1580" w14:textId="500C837A" w:rsidR="00463667" w:rsidRPr="00DF1884" w:rsidRDefault="00463667" w:rsidP="00C56CA6">
            <w:pPr>
              <w:pStyle w:val="TableText"/>
            </w:pPr>
            <w:r w:rsidRPr="00DF1884">
              <w:t>Board</w:t>
            </w:r>
            <w:r w:rsidR="00DF1884" w:rsidRPr="00DF1884">
              <w:t xml:space="preserve"> </w:t>
            </w:r>
            <w:r w:rsidRPr="00DF1884">
              <w:t>Certification</w:t>
            </w:r>
          </w:p>
        </w:tc>
        <w:tc>
          <w:tcPr>
            <w:tcW w:w="1350" w:type="dxa"/>
          </w:tcPr>
          <w:p w14:paraId="5D2195EE"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350" w:type="dxa"/>
          </w:tcPr>
          <w:p w14:paraId="6C81C1C5"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260" w:type="dxa"/>
          </w:tcPr>
          <w:p w14:paraId="48F39B80"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6390" w:type="dxa"/>
          </w:tcPr>
          <w:p w14:paraId="44A15DEF" w14:textId="32FE9889" w:rsidR="00463667" w:rsidRPr="00DF1884" w:rsidRDefault="00463667" w:rsidP="00463667">
            <w:pPr>
              <w:pStyle w:val="TableBullet"/>
            </w:pPr>
            <w:r w:rsidRPr="00DF1884">
              <w:t>No</w:t>
            </w:r>
            <w:r w:rsidR="00DF1884" w:rsidRPr="00DF1884">
              <w:t xml:space="preserve"> </w:t>
            </w:r>
            <w:r w:rsidRPr="00DF1884">
              <w:t>changes</w:t>
            </w:r>
            <w:r w:rsidR="00DF1884" w:rsidRPr="00DF1884">
              <w:t xml:space="preserve"> </w:t>
            </w:r>
            <w:r w:rsidRPr="00DF1884">
              <w:t>to</w:t>
            </w:r>
            <w:r w:rsidR="00DF1884" w:rsidRPr="00DF1884">
              <w:t xml:space="preserve"> </w:t>
            </w:r>
            <w:r w:rsidRPr="00DF1884">
              <w:t>this</w:t>
            </w:r>
            <w:r w:rsidR="00DF1884" w:rsidRPr="00DF1884">
              <w:t xml:space="preserve"> </w:t>
            </w:r>
            <w:r w:rsidRPr="00DF1884">
              <w:t>measure.</w:t>
            </w:r>
          </w:p>
        </w:tc>
      </w:tr>
      <w:tr w:rsidR="00463667" w:rsidRPr="00DF1884" w14:paraId="33A47925" w14:textId="77777777" w:rsidTr="00C56CA6">
        <w:tc>
          <w:tcPr>
            <w:tcW w:w="2970" w:type="dxa"/>
          </w:tcPr>
          <w:p w14:paraId="1B1AC190" w14:textId="283E2AA9" w:rsidR="00463667" w:rsidRPr="00DF1884" w:rsidRDefault="00463667" w:rsidP="00C56CA6">
            <w:pPr>
              <w:pStyle w:val="TableText"/>
            </w:pPr>
            <w:r w:rsidRPr="00DF1884">
              <w:t>Enrollment</w:t>
            </w:r>
            <w:r w:rsidR="00DF1884" w:rsidRPr="00DF1884">
              <w:t xml:space="preserve"> </w:t>
            </w:r>
            <w:r w:rsidRPr="00DF1884">
              <w:t>by</w:t>
            </w:r>
            <w:r w:rsidR="00DF1884" w:rsidRPr="00DF1884">
              <w:t xml:space="preserve"> </w:t>
            </w:r>
            <w:r w:rsidRPr="00DF1884">
              <w:t>Product</w:t>
            </w:r>
            <w:r w:rsidR="00DF1884" w:rsidRPr="00DF1884">
              <w:t xml:space="preserve"> </w:t>
            </w:r>
            <w:r w:rsidRPr="00DF1884">
              <w:t>Line</w:t>
            </w:r>
          </w:p>
        </w:tc>
        <w:tc>
          <w:tcPr>
            <w:tcW w:w="1350" w:type="dxa"/>
          </w:tcPr>
          <w:p w14:paraId="6C807A37"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350" w:type="dxa"/>
          </w:tcPr>
          <w:p w14:paraId="17DD8612"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260" w:type="dxa"/>
          </w:tcPr>
          <w:p w14:paraId="286D1E35"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6390" w:type="dxa"/>
          </w:tcPr>
          <w:p w14:paraId="7D2C9D89" w14:textId="5CC1723C" w:rsidR="00463667" w:rsidRPr="00DF1884" w:rsidRDefault="00463667" w:rsidP="00463667">
            <w:pPr>
              <w:pStyle w:val="TableBullet"/>
            </w:pPr>
            <w:r w:rsidRPr="00DF1884">
              <w:t>No</w:t>
            </w:r>
            <w:r w:rsidR="00DF1884" w:rsidRPr="00DF1884">
              <w:t xml:space="preserve"> </w:t>
            </w:r>
            <w:r w:rsidRPr="00DF1884">
              <w:t>changes</w:t>
            </w:r>
            <w:r w:rsidR="00DF1884" w:rsidRPr="00DF1884">
              <w:t xml:space="preserve"> </w:t>
            </w:r>
            <w:r w:rsidRPr="00DF1884">
              <w:t>to</w:t>
            </w:r>
            <w:r w:rsidR="00DF1884" w:rsidRPr="00DF1884">
              <w:t xml:space="preserve"> </w:t>
            </w:r>
            <w:r w:rsidRPr="00DF1884">
              <w:t>this</w:t>
            </w:r>
            <w:r w:rsidR="00DF1884" w:rsidRPr="00DF1884">
              <w:t xml:space="preserve"> </w:t>
            </w:r>
            <w:r w:rsidRPr="00DF1884">
              <w:t>measure.</w:t>
            </w:r>
          </w:p>
        </w:tc>
      </w:tr>
      <w:tr w:rsidR="00463667" w:rsidRPr="00DF1884" w14:paraId="7CF27C3D" w14:textId="77777777" w:rsidTr="00C56CA6">
        <w:tc>
          <w:tcPr>
            <w:tcW w:w="2970" w:type="dxa"/>
          </w:tcPr>
          <w:p w14:paraId="47C85B54" w14:textId="70601FE9" w:rsidR="00463667" w:rsidRPr="00DF1884" w:rsidRDefault="00463667" w:rsidP="00C56CA6">
            <w:pPr>
              <w:pStyle w:val="TableText"/>
            </w:pPr>
            <w:r w:rsidRPr="00DF1884">
              <w:t>Enrollment</w:t>
            </w:r>
            <w:r w:rsidR="00DF1884" w:rsidRPr="00DF1884">
              <w:t xml:space="preserve"> </w:t>
            </w:r>
            <w:r w:rsidRPr="00DF1884">
              <w:t>by</w:t>
            </w:r>
            <w:r w:rsidR="00DF1884" w:rsidRPr="00DF1884">
              <w:t xml:space="preserve"> </w:t>
            </w:r>
            <w:r w:rsidRPr="00DF1884">
              <w:t>State</w:t>
            </w:r>
          </w:p>
        </w:tc>
        <w:tc>
          <w:tcPr>
            <w:tcW w:w="1350" w:type="dxa"/>
          </w:tcPr>
          <w:p w14:paraId="6C648C04"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350" w:type="dxa"/>
          </w:tcPr>
          <w:p w14:paraId="685C61DF"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260" w:type="dxa"/>
          </w:tcPr>
          <w:p w14:paraId="3B23A1EC"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6390" w:type="dxa"/>
          </w:tcPr>
          <w:p w14:paraId="6107A284" w14:textId="69EAB3AA" w:rsidR="00463667" w:rsidRPr="00DF1884" w:rsidRDefault="00463667" w:rsidP="00463667">
            <w:pPr>
              <w:pStyle w:val="TableBullet"/>
            </w:pPr>
            <w:r w:rsidRPr="00DF1884">
              <w:t>No</w:t>
            </w:r>
            <w:r w:rsidR="00DF1884" w:rsidRPr="00DF1884">
              <w:t xml:space="preserve"> </w:t>
            </w:r>
            <w:r w:rsidRPr="00DF1884">
              <w:t>changes</w:t>
            </w:r>
            <w:r w:rsidR="00DF1884" w:rsidRPr="00DF1884">
              <w:t xml:space="preserve"> </w:t>
            </w:r>
            <w:r w:rsidRPr="00DF1884">
              <w:t>to</w:t>
            </w:r>
            <w:r w:rsidR="00DF1884" w:rsidRPr="00DF1884">
              <w:t xml:space="preserve"> </w:t>
            </w:r>
            <w:r w:rsidRPr="00DF1884">
              <w:t>this</w:t>
            </w:r>
            <w:r w:rsidR="00DF1884" w:rsidRPr="00DF1884">
              <w:t xml:space="preserve"> </w:t>
            </w:r>
            <w:r w:rsidRPr="00DF1884">
              <w:t>measure.</w:t>
            </w:r>
          </w:p>
        </w:tc>
      </w:tr>
      <w:tr w:rsidR="00463667" w:rsidRPr="00DF1884" w14:paraId="5E55E033" w14:textId="77777777" w:rsidTr="00C56CA6">
        <w:tc>
          <w:tcPr>
            <w:tcW w:w="2970" w:type="dxa"/>
          </w:tcPr>
          <w:p w14:paraId="7D952BA3" w14:textId="49407002" w:rsidR="00463667" w:rsidRPr="00DF1884" w:rsidRDefault="00463667" w:rsidP="00C56CA6">
            <w:pPr>
              <w:pStyle w:val="TableText"/>
            </w:pPr>
            <w:r w:rsidRPr="00DF1884">
              <w:t>Language</w:t>
            </w:r>
            <w:r w:rsidR="00DF1884" w:rsidRPr="00DF1884">
              <w:t xml:space="preserve"> </w:t>
            </w:r>
            <w:r w:rsidRPr="00DF1884">
              <w:t>Diversity</w:t>
            </w:r>
            <w:r w:rsidR="00DF1884" w:rsidRPr="00DF1884">
              <w:t xml:space="preserve"> </w:t>
            </w:r>
            <w:r w:rsidRPr="00DF1884">
              <w:t>of</w:t>
            </w:r>
            <w:r w:rsidR="00DF1884" w:rsidRPr="00DF1884">
              <w:t xml:space="preserve"> </w:t>
            </w:r>
            <w:r w:rsidRPr="00DF1884">
              <w:t>Membership</w:t>
            </w:r>
          </w:p>
        </w:tc>
        <w:tc>
          <w:tcPr>
            <w:tcW w:w="1350" w:type="dxa"/>
          </w:tcPr>
          <w:p w14:paraId="5EB8199A"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350" w:type="dxa"/>
          </w:tcPr>
          <w:p w14:paraId="57BB1FDB"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260" w:type="dxa"/>
          </w:tcPr>
          <w:p w14:paraId="40C1F883"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6390" w:type="dxa"/>
          </w:tcPr>
          <w:p w14:paraId="6C679F44" w14:textId="70BAD00F" w:rsidR="00463667" w:rsidRPr="00DF1884" w:rsidRDefault="00463667" w:rsidP="00463667">
            <w:pPr>
              <w:pStyle w:val="TableBullet"/>
            </w:pPr>
            <w:r w:rsidRPr="00DF1884">
              <w:t>No</w:t>
            </w:r>
            <w:r w:rsidR="00DF1884" w:rsidRPr="00DF1884">
              <w:t xml:space="preserve"> </w:t>
            </w:r>
            <w:r w:rsidRPr="00DF1884">
              <w:t>changes</w:t>
            </w:r>
            <w:r w:rsidR="00DF1884" w:rsidRPr="00DF1884">
              <w:t xml:space="preserve"> </w:t>
            </w:r>
            <w:r w:rsidRPr="00DF1884">
              <w:t>to</w:t>
            </w:r>
            <w:r w:rsidR="00DF1884" w:rsidRPr="00DF1884">
              <w:t xml:space="preserve"> </w:t>
            </w:r>
            <w:r w:rsidRPr="00DF1884">
              <w:t>this</w:t>
            </w:r>
            <w:r w:rsidR="00DF1884" w:rsidRPr="00DF1884">
              <w:t xml:space="preserve"> </w:t>
            </w:r>
            <w:r w:rsidRPr="00DF1884">
              <w:t>measure.</w:t>
            </w:r>
          </w:p>
        </w:tc>
      </w:tr>
      <w:tr w:rsidR="00463667" w:rsidRPr="00DF1884" w14:paraId="5D9AF147" w14:textId="77777777" w:rsidTr="00C56CA6">
        <w:tc>
          <w:tcPr>
            <w:tcW w:w="2970" w:type="dxa"/>
          </w:tcPr>
          <w:p w14:paraId="1F86DEF8" w14:textId="400E7FB6" w:rsidR="00463667" w:rsidRPr="00DF1884" w:rsidRDefault="00463667" w:rsidP="00C56CA6">
            <w:pPr>
              <w:pStyle w:val="TableText"/>
            </w:pPr>
            <w:r w:rsidRPr="00DF1884">
              <w:t>Race/Ethnicity</w:t>
            </w:r>
            <w:r w:rsidR="00DF1884" w:rsidRPr="00DF1884">
              <w:t xml:space="preserve"> </w:t>
            </w:r>
            <w:r w:rsidRPr="00DF1884">
              <w:t>Diversity</w:t>
            </w:r>
            <w:r w:rsidR="00DF1884" w:rsidRPr="00DF1884">
              <w:t xml:space="preserve"> </w:t>
            </w:r>
            <w:r w:rsidRPr="00DF1884">
              <w:t>of</w:t>
            </w:r>
            <w:r w:rsidR="00DF1884" w:rsidRPr="00DF1884">
              <w:t xml:space="preserve"> </w:t>
            </w:r>
            <w:r w:rsidRPr="00DF1884">
              <w:t>Membership</w:t>
            </w:r>
          </w:p>
        </w:tc>
        <w:tc>
          <w:tcPr>
            <w:tcW w:w="1350" w:type="dxa"/>
          </w:tcPr>
          <w:p w14:paraId="14248CCA"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350" w:type="dxa"/>
          </w:tcPr>
          <w:p w14:paraId="5939D9CD"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260" w:type="dxa"/>
          </w:tcPr>
          <w:p w14:paraId="1B658510"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6390" w:type="dxa"/>
          </w:tcPr>
          <w:p w14:paraId="20AE6665" w14:textId="0FA70E72" w:rsidR="00463667" w:rsidRPr="00DF1884" w:rsidRDefault="00463667" w:rsidP="00463667">
            <w:pPr>
              <w:pStyle w:val="TableBullet"/>
            </w:pPr>
            <w:r w:rsidRPr="00DF1884">
              <w:t>No</w:t>
            </w:r>
            <w:r w:rsidR="00DF1884" w:rsidRPr="00DF1884">
              <w:t xml:space="preserve"> </w:t>
            </w:r>
            <w:r w:rsidRPr="00DF1884">
              <w:t>changes</w:t>
            </w:r>
            <w:r w:rsidR="00DF1884" w:rsidRPr="00DF1884">
              <w:t xml:space="preserve"> </w:t>
            </w:r>
            <w:r w:rsidRPr="00DF1884">
              <w:t>to</w:t>
            </w:r>
            <w:r w:rsidR="00DF1884" w:rsidRPr="00DF1884">
              <w:t xml:space="preserve"> </w:t>
            </w:r>
            <w:r w:rsidRPr="00DF1884">
              <w:t>this</w:t>
            </w:r>
            <w:r w:rsidR="00DF1884" w:rsidRPr="00DF1884">
              <w:t xml:space="preserve"> </w:t>
            </w:r>
            <w:r w:rsidRPr="00DF1884">
              <w:t>measure.</w:t>
            </w:r>
          </w:p>
        </w:tc>
      </w:tr>
      <w:tr w:rsidR="00463667" w:rsidRPr="00DF1884" w14:paraId="1ADCA6FB" w14:textId="77777777" w:rsidTr="00C56CA6">
        <w:tc>
          <w:tcPr>
            <w:tcW w:w="2970" w:type="dxa"/>
          </w:tcPr>
          <w:p w14:paraId="1C2720AA" w14:textId="0E71B8B3" w:rsidR="00463667" w:rsidRPr="00DF1884" w:rsidRDefault="00463667" w:rsidP="00C56CA6">
            <w:pPr>
              <w:pStyle w:val="TableText"/>
            </w:pPr>
            <w:r w:rsidRPr="00DF1884">
              <w:t>Weeks</w:t>
            </w:r>
            <w:r w:rsidR="00DF1884" w:rsidRPr="00DF1884">
              <w:t xml:space="preserve"> </w:t>
            </w:r>
            <w:r w:rsidRPr="00DF1884">
              <w:t>of</w:t>
            </w:r>
            <w:r w:rsidR="00DF1884" w:rsidRPr="00DF1884">
              <w:t xml:space="preserve"> </w:t>
            </w:r>
            <w:r w:rsidRPr="00DF1884">
              <w:t>Pregnancy</w:t>
            </w:r>
            <w:r w:rsidR="00DF1884" w:rsidRPr="00DF1884">
              <w:t xml:space="preserve"> </w:t>
            </w:r>
            <w:r w:rsidRPr="00DF1884">
              <w:t>at</w:t>
            </w:r>
            <w:r w:rsidR="00DF1884" w:rsidRPr="00DF1884">
              <w:t xml:space="preserve"> </w:t>
            </w:r>
            <w:r w:rsidRPr="00DF1884">
              <w:t>Time</w:t>
            </w:r>
            <w:r w:rsidR="00DF1884" w:rsidRPr="00DF1884">
              <w:t xml:space="preserve"> </w:t>
            </w:r>
            <w:r w:rsidRPr="00DF1884">
              <w:t>of</w:t>
            </w:r>
            <w:r w:rsidR="00DF1884" w:rsidRPr="00DF1884">
              <w:t xml:space="preserve"> </w:t>
            </w:r>
            <w:r w:rsidRPr="00DF1884">
              <w:t>Enrollment</w:t>
            </w:r>
          </w:p>
        </w:tc>
        <w:tc>
          <w:tcPr>
            <w:tcW w:w="1350" w:type="dxa"/>
          </w:tcPr>
          <w:p w14:paraId="241CD481" w14:textId="77777777" w:rsidR="00463667" w:rsidRPr="00DF1884" w:rsidRDefault="00463667" w:rsidP="00C56CA6">
            <w:pPr>
              <w:pStyle w:val="TableText"/>
              <w:jc w:val="center"/>
              <w:rPr>
                <w:sz w:val="24"/>
              </w:rPr>
            </w:pPr>
          </w:p>
        </w:tc>
        <w:tc>
          <w:tcPr>
            <w:tcW w:w="1350" w:type="dxa"/>
          </w:tcPr>
          <w:p w14:paraId="01111BEE"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260" w:type="dxa"/>
          </w:tcPr>
          <w:p w14:paraId="08691C62" w14:textId="77777777" w:rsidR="00463667" w:rsidRPr="00DF1884" w:rsidRDefault="00463667" w:rsidP="00C56CA6">
            <w:pPr>
              <w:pStyle w:val="TableText"/>
              <w:jc w:val="center"/>
              <w:rPr>
                <w:rFonts w:cs="Arial"/>
                <w:b/>
                <w:sz w:val="24"/>
                <w:szCs w:val="24"/>
              </w:rPr>
            </w:pPr>
          </w:p>
        </w:tc>
        <w:tc>
          <w:tcPr>
            <w:tcW w:w="6390" w:type="dxa"/>
          </w:tcPr>
          <w:p w14:paraId="43728171" w14:textId="502E2AD3" w:rsidR="00463667" w:rsidRPr="00DF1884" w:rsidRDefault="004B17A3" w:rsidP="004B17A3">
            <w:pPr>
              <w:pStyle w:val="TableBullet"/>
            </w:pPr>
            <w:r>
              <w:t>Deleted the use of infant claims to identify deliveries</w:t>
            </w:r>
            <w:r w:rsidRPr="00463667">
              <w:t>.</w:t>
            </w:r>
          </w:p>
        </w:tc>
      </w:tr>
      <w:tr w:rsidR="007D7E28" w:rsidRPr="00DF1884" w14:paraId="31478894" w14:textId="77777777" w:rsidTr="00D05EFC">
        <w:tc>
          <w:tcPr>
            <w:tcW w:w="2970" w:type="dxa"/>
            <w:tcBorders>
              <w:bottom w:val="single" w:sz="6" w:space="0" w:color="auto"/>
            </w:tcBorders>
          </w:tcPr>
          <w:p w14:paraId="255040CA" w14:textId="77777777" w:rsidR="007D7E28" w:rsidRPr="00DF1884" w:rsidRDefault="007D7E28" w:rsidP="00D05EFC">
            <w:pPr>
              <w:pStyle w:val="TableText"/>
            </w:pPr>
            <w:r w:rsidRPr="00DF1884">
              <w:t>Total Membership</w:t>
            </w:r>
          </w:p>
        </w:tc>
        <w:tc>
          <w:tcPr>
            <w:tcW w:w="1350" w:type="dxa"/>
            <w:tcBorders>
              <w:bottom w:val="single" w:sz="6" w:space="0" w:color="auto"/>
            </w:tcBorders>
          </w:tcPr>
          <w:p w14:paraId="12D24E71" w14:textId="77777777" w:rsidR="007D7E28" w:rsidRPr="00DF1884" w:rsidRDefault="007D7E28" w:rsidP="00D05EFC">
            <w:pPr>
              <w:pStyle w:val="TableText"/>
              <w:jc w:val="center"/>
              <w:rPr>
                <w:rFonts w:cs="Arial"/>
                <w:sz w:val="24"/>
              </w:rPr>
            </w:pPr>
            <w:r w:rsidRPr="00DF1884">
              <w:rPr>
                <w:rFonts w:cs="Arial"/>
                <w:sz w:val="24"/>
              </w:rPr>
              <w:sym w:font="Wingdings" w:char="F0FC"/>
            </w:r>
          </w:p>
        </w:tc>
        <w:tc>
          <w:tcPr>
            <w:tcW w:w="1350" w:type="dxa"/>
            <w:tcBorders>
              <w:bottom w:val="single" w:sz="6" w:space="0" w:color="auto"/>
            </w:tcBorders>
          </w:tcPr>
          <w:p w14:paraId="2917FC59" w14:textId="77777777" w:rsidR="007D7E28" w:rsidRPr="00DF1884" w:rsidRDefault="007D7E28" w:rsidP="00D05EFC">
            <w:pPr>
              <w:pStyle w:val="TableText"/>
              <w:jc w:val="center"/>
              <w:rPr>
                <w:rFonts w:cs="Arial"/>
                <w:sz w:val="24"/>
              </w:rPr>
            </w:pPr>
            <w:r w:rsidRPr="00DF1884">
              <w:rPr>
                <w:rFonts w:cs="Arial"/>
                <w:sz w:val="24"/>
              </w:rPr>
              <w:sym w:font="Wingdings" w:char="F0FC"/>
            </w:r>
          </w:p>
        </w:tc>
        <w:tc>
          <w:tcPr>
            <w:tcW w:w="1260" w:type="dxa"/>
            <w:tcBorders>
              <w:bottom w:val="single" w:sz="6" w:space="0" w:color="auto"/>
            </w:tcBorders>
          </w:tcPr>
          <w:p w14:paraId="1838BE1F" w14:textId="77777777" w:rsidR="007D7E28" w:rsidRPr="00DF1884" w:rsidRDefault="007D7E28" w:rsidP="00D05EFC">
            <w:pPr>
              <w:pStyle w:val="TableText"/>
              <w:jc w:val="center"/>
              <w:rPr>
                <w:rFonts w:cs="Arial"/>
                <w:sz w:val="24"/>
              </w:rPr>
            </w:pPr>
            <w:r w:rsidRPr="00DF1884">
              <w:rPr>
                <w:rFonts w:cs="Arial"/>
                <w:sz w:val="24"/>
              </w:rPr>
              <w:sym w:font="Wingdings" w:char="F0FC"/>
            </w:r>
          </w:p>
        </w:tc>
        <w:tc>
          <w:tcPr>
            <w:tcW w:w="6390" w:type="dxa"/>
            <w:tcBorders>
              <w:bottom w:val="single" w:sz="6" w:space="0" w:color="auto"/>
            </w:tcBorders>
          </w:tcPr>
          <w:p w14:paraId="73E7AECB" w14:textId="77777777" w:rsidR="004B17A3" w:rsidRDefault="004B17A3" w:rsidP="004B17A3">
            <w:pPr>
              <w:pStyle w:val="TableBullet"/>
            </w:pPr>
            <w:r>
              <w:t xml:space="preserve">Added the EPO product. </w:t>
            </w:r>
          </w:p>
          <w:p w14:paraId="1A299A29" w14:textId="77777777" w:rsidR="004B17A3" w:rsidRDefault="004B17A3" w:rsidP="004B17A3">
            <w:pPr>
              <w:pStyle w:val="TableBullet"/>
            </w:pPr>
            <w:r>
              <w:t>Added the Marketplace product line.</w:t>
            </w:r>
          </w:p>
          <w:p w14:paraId="490BC679" w14:textId="77777777" w:rsidR="004B17A3" w:rsidRDefault="004B17A3" w:rsidP="004B17A3">
            <w:pPr>
              <w:pStyle w:val="TableBullet"/>
            </w:pPr>
            <w:r>
              <w:t>Clarified that Medicare-Medicaid Plans (MMP) are included in the Medicare count.</w:t>
            </w:r>
          </w:p>
          <w:p w14:paraId="53E2724B" w14:textId="3DE851C5" w:rsidR="007D7E28" w:rsidRPr="00DF1884" w:rsidRDefault="004B17A3" w:rsidP="004B17A3">
            <w:pPr>
              <w:pStyle w:val="TableBullet"/>
            </w:pPr>
            <w:r>
              <w:t>Clarified that this measure is reported for an organization in its entirely.</w:t>
            </w:r>
          </w:p>
        </w:tc>
      </w:tr>
      <w:tr w:rsidR="007D7E28" w:rsidRPr="00904532" w14:paraId="6420E0FF" w14:textId="77777777" w:rsidTr="00D05EFC">
        <w:trPr>
          <w:cantSplit/>
        </w:trPr>
        <w:tc>
          <w:tcPr>
            <w:tcW w:w="13320" w:type="dxa"/>
            <w:gridSpan w:val="5"/>
            <w:shd w:val="clear" w:color="auto" w:fill="C0C0C0"/>
          </w:tcPr>
          <w:p w14:paraId="46CDE6ED" w14:textId="511AF207" w:rsidR="007D7E28" w:rsidRPr="00904532" w:rsidRDefault="00904532" w:rsidP="00904532">
            <w:pPr>
              <w:pStyle w:val="TableText2"/>
              <w:jc w:val="center"/>
              <w:rPr>
                <w:b/>
                <w:sz w:val="20"/>
                <w:szCs w:val="20"/>
              </w:rPr>
            </w:pPr>
            <w:r w:rsidRPr="00904532">
              <w:rPr>
                <w:b/>
                <w:sz w:val="20"/>
                <w:szCs w:val="20"/>
              </w:rPr>
              <w:t>MEASURES COLLECTED USING ELECTRONIC CLINICAL DATA SYSTEMS</w:t>
            </w:r>
          </w:p>
        </w:tc>
      </w:tr>
      <w:tr w:rsidR="007D7E28" w:rsidRPr="00DF1884" w14:paraId="54977C22" w14:textId="77777777" w:rsidTr="00D05EFC">
        <w:tc>
          <w:tcPr>
            <w:tcW w:w="2970" w:type="dxa"/>
          </w:tcPr>
          <w:p w14:paraId="5C647ABD" w14:textId="62C11EC6" w:rsidR="007D7E28" w:rsidRPr="00DF1884" w:rsidRDefault="001356B5" w:rsidP="00D05EFC">
            <w:pPr>
              <w:pStyle w:val="TableText"/>
            </w:pPr>
            <w:r>
              <w:t>Utilization of the PHQ-9 to Monitor Depression Symptoms for Adolescents and Adults</w:t>
            </w:r>
          </w:p>
        </w:tc>
        <w:tc>
          <w:tcPr>
            <w:tcW w:w="1350" w:type="dxa"/>
          </w:tcPr>
          <w:p w14:paraId="15C59847" w14:textId="77777777" w:rsidR="007D7E28" w:rsidRPr="00DF1884" w:rsidRDefault="007D7E28" w:rsidP="00D05EFC">
            <w:pPr>
              <w:pStyle w:val="TableText"/>
              <w:jc w:val="center"/>
              <w:rPr>
                <w:rFonts w:cs="Arial"/>
                <w:sz w:val="24"/>
              </w:rPr>
            </w:pPr>
            <w:r w:rsidRPr="00DF1884">
              <w:rPr>
                <w:rFonts w:cs="Arial"/>
                <w:sz w:val="24"/>
              </w:rPr>
              <w:sym w:font="Wingdings" w:char="F0FC"/>
            </w:r>
          </w:p>
        </w:tc>
        <w:tc>
          <w:tcPr>
            <w:tcW w:w="1350" w:type="dxa"/>
          </w:tcPr>
          <w:p w14:paraId="586F99AF" w14:textId="77777777" w:rsidR="007D7E28" w:rsidRPr="00DF1884" w:rsidRDefault="007D7E28" w:rsidP="00D05EFC">
            <w:pPr>
              <w:pStyle w:val="TableText"/>
              <w:jc w:val="center"/>
              <w:rPr>
                <w:rFonts w:cs="Arial"/>
                <w:sz w:val="24"/>
              </w:rPr>
            </w:pPr>
            <w:r w:rsidRPr="00DF1884">
              <w:rPr>
                <w:rFonts w:cs="Arial"/>
                <w:sz w:val="24"/>
              </w:rPr>
              <w:sym w:font="Wingdings" w:char="F0FC"/>
            </w:r>
          </w:p>
        </w:tc>
        <w:tc>
          <w:tcPr>
            <w:tcW w:w="1260" w:type="dxa"/>
          </w:tcPr>
          <w:p w14:paraId="4C67A9C3" w14:textId="77777777" w:rsidR="007D7E28" w:rsidRPr="00DF1884" w:rsidRDefault="007D7E28" w:rsidP="00D05EFC">
            <w:pPr>
              <w:pStyle w:val="TableText"/>
              <w:jc w:val="center"/>
              <w:rPr>
                <w:rFonts w:cs="Arial"/>
                <w:sz w:val="24"/>
              </w:rPr>
            </w:pPr>
            <w:r w:rsidRPr="00DF1884">
              <w:rPr>
                <w:rFonts w:cs="Arial"/>
                <w:sz w:val="24"/>
              </w:rPr>
              <w:sym w:font="Wingdings" w:char="F0FC"/>
            </w:r>
          </w:p>
        </w:tc>
        <w:tc>
          <w:tcPr>
            <w:tcW w:w="6390" w:type="dxa"/>
          </w:tcPr>
          <w:p w14:paraId="3FE879DA" w14:textId="6FDB85C3" w:rsidR="007D7E28" w:rsidRPr="00DF1884" w:rsidRDefault="001356B5" w:rsidP="00D05EFC">
            <w:pPr>
              <w:pStyle w:val="TableBullet"/>
            </w:pPr>
            <w:r>
              <w:t>First-year measure.</w:t>
            </w:r>
          </w:p>
        </w:tc>
      </w:tr>
    </w:tbl>
    <w:p w14:paraId="5E14276A" w14:textId="77777777" w:rsidR="00463667" w:rsidRPr="00DF1884" w:rsidRDefault="00463667" w:rsidP="00463667">
      <w:pPr>
        <w:sectPr w:rsidR="00463667" w:rsidRPr="00DF1884" w:rsidSect="0039781B">
          <w:pgSz w:w="15840" w:h="12240" w:orient="landscape" w:code="1"/>
          <w:pgMar w:top="1080" w:right="1080" w:bottom="1080" w:left="1440" w:header="720" w:footer="720" w:gutter="0"/>
          <w:cols w:space="720"/>
        </w:sectPr>
      </w:pPr>
    </w:p>
    <w:p w14:paraId="4638E540" w14:textId="77777777" w:rsidR="00463667" w:rsidRPr="00DF1884" w:rsidRDefault="00463667" w:rsidP="00463667">
      <w:pPr>
        <w:sectPr w:rsidR="00463667" w:rsidRPr="00DF1884" w:rsidSect="0039781B">
          <w:headerReference w:type="even" r:id="rId47"/>
          <w:pgSz w:w="12240" w:h="15840" w:code="1"/>
          <w:pgMar w:top="1080" w:right="1080" w:bottom="1080" w:left="1440" w:header="720" w:footer="720" w:gutter="0"/>
          <w:cols w:space="720"/>
          <w:docGrid w:linePitch="272"/>
        </w:sectPr>
      </w:pPr>
    </w:p>
    <w:p w14:paraId="0FBF96A1" w14:textId="77777777" w:rsidR="00463667" w:rsidRPr="00DF1884" w:rsidRDefault="00463667" w:rsidP="00463667">
      <w:pPr>
        <w:pStyle w:val="Heading1"/>
        <w:spacing w:after="0"/>
        <w:jc w:val="right"/>
        <w:rPr>
          <w:caps/>
          <w:sz w:val="48"/>
        </w:rPr>
      </w:pPr>
    </w:p>
    <w:p w14:paraId="440251D0" w14:textId="77777777" w:rsidR="00463667" w:rsidRPr="00DF1884" w:rsidRDefault="00463667" w:rsidP="00463667">
      <w:pPr>
        <w:jc w:val="right"/>
        <w:rPr>
          <w:b/>
          <w:sz w:val="48"/>
        </w:rPr>
      </w:pPr>
    </w:p>
    <w:p w14:paraId="280982AA" w14:textId="77777777" w:rsidR="00463667" w:rsidRPr="00DF1884" w:rsidRDefault="00463667" w:rsidP="00463667">
      <w:pPr>
        <w:jc w:val="right"/>
        <w:rPr>
          <w:b/>
          <w:sz w:val="48"/>
        </w:rPr>
      </w:pPr>
    </w:p>
    <w:p w14:paraId="0FE66F08" w14:textId="77777777" w:rsidR="00463667" w:rsidRPr="00DF1884" w:rsidRDefault="00463667" w:rsidP="00463667">
      <w:pPr>
        <w:jc w:val="right"/>
        <w:rPr>
          <w:b/>
          <w:sz w:val="48"/>
        </w:rPr>
      </w:pPr>
    </w:p>
    <w:p w14:paraId="163E2D06" w14:textId="77777777" w:rsidR="00463667" w:rsidRPr="00DF1884" w:rsidRDefault="00463667" w:rsidP="00463667">
      <w:pPr>
        <w:jc w:val="right"/>
        <w:rPr>
          <w:b/>
          <w:sz w:val="48"/>
        </w:rPr>
      </w:pPr>
    </w:p>
    <w:p w14:paraId="6A51EB9C" w14:textId="6F750E85" w:rsidR="00463667" w:rsidRPr="00DF1884" w:rsidRDefault="00463667" w:rsidP="00463667">
      <w:pPr>
        <w:jc w:val="right"/>
        <w:rPr>
          <w:b/>
          <w:sz w:val="48"/>
        </w:rPr>
      </w:pPr>
      <w:r w:rsidRPr="00DF1884">
        <w:rPr>
          <w:b/>
          <w:sz w:val="48"/>
        </w:rPr>
        <w:t>Appendix</w:t>
      </w:r>
      <w:r w:rsidR="00DF1884" w:rsidRPr="00DF1884">
        <w:rPr>
          <w:b/>
          <w:sz w:val="48"/>
        </w:rPr>
        <w:t xml:space="preserve"> </w:t>
      </w:r>
      <w:r w:rsidRPr="00DF1884">
        <w:rPr>
          <w:b/>
          <w:sz w:val="48"/>
        </w:rPr>
        <w:t>2</w:t>
      </w:r>
    </w:p>
    <w:p w14:paraId="63C8B4DC" w14:textId="77777777" w:rsidR="00463667" w:rsidRPr="00DF1884" w:rsidRDefault="00463667" w:rsidP="00463667">
      <w:pPr>
        <w:jc w:val="right"/>
        <w:rPr>
          <w:b/>
          <w:sz w:val="48"/>
        </w:rPr>
      </w:pPr>
    </w:p>
    <w:p w14:paraId="25CF390F" w14:textId="3592E324" w:rsidR="00463667" w:rsidRPr="00DF1884" w:rsidRDefault="00463667" w:rsidP="00463667">
      <w:pPr>
        <w:jc w:val="right"/>
        <w:rPr>
          <w:b/>
          <w:sz w:val="48"/>
        </w:rPr>
      </w:pPr>
      <w:r w:rsidRPr="00DF1884">
        <w:rPr>
          <w:b/>
          <w:sz w:val="48"/>
        </w:rPr>
        <w:t>Technical</w:t>
      </w:r>
      <w:r w:rsidR="00DF1884" w:rsidRPr="00DF1884">
        <w:rPr>
          <w:b/>
          <w:sz w:val="48"/>
        </w:rPr>
        <w:t xml:space="preserve"> </w:t>
      </w:r>
      <w:r w:rsidRPr="00DF1884">
        <w:rPr>
          <w:b/>
          <w:sz w:val="48"/>
        </w:rPr>
        <w:t>Considerations</w:t>
      </w:r>
    </w:p>
    <w:p w14:paraId="19CCC5D3" w14:textId="69BCD5C3" w:rsidR="00463667" w:rsidRPr="00DF1884" w:rsidRDefault="00463667" w:rsidP="00463667">
      <w:pPr>
        <w:jc w:val="right"/>
        <w:rPr>
          <w:b/>
          <w:sz w:val="48"/>
        </w:rPr>
      </w:pPr>
      <w:r w:rsidRPr="00DF1884">
        <w:rPr>
          <w:b/>
          <w:sz w:val="48"/>
        </w:rPr>
        <w:t>for</w:t>
      </w:r>
      <w:r w:rsidR="00DF1884" w:rsidRPr="00DF1884">
        <w:rPr>
          <w:b/>
          <w:sz w:val="48"/>
        </w:rPr>
        <w:t xml:space="preserve"> </w:t>
      </w:r>
      <w:r w:rsidRPr="00DF1884">
        <w:rPr>
          <w:b/>
          <w:sz w:val="48"/>
        </w:rPr>
        <w:t>New</w:t>
      </w:r>
      <w:r w:rsidR="00DF1884" w:rsidRPr="00DF1884">
        <w:rPr>
          <w:b/>
          <w:sz w:val="48"/>
        </w:rPr>
        <w:t xml:space="preserve"> </w:t>
      </w:r>
      <w:r w:rsidRPr="00DF1884">
        <w:rPr>
          <w:b/>
          <w:sz w:val="48"/>
        </w:rPr>
        <w:t>Measures</w:t>
      </w:r>
    </w:p>
    <w:p w14:paraId="5FCDED2B" w14:textId="77777777" w:rsidR="00463667" w:rsidRPr="00DF1884" w:rsidRDefault="00463667" w:rsidP="00463667">
      <w:pPr>
        <w:pStyle w:val="EndnoteText"/>
        <w:sectPr w:rsidR="00463667" w:rsidRPr="00DF1884" w:rsidSect="0039781B">
          <w:headerReference w:type="even" r:id="rId48"/>
          <w:headerReference w:type="default" r:id="rId49"/>
          <w:footerReference w:type="even" r:id="rId50"/>
          <w:footerReference w:type="default" r:id="rId51"/>
          <w:headerReference w:type="first" r:id="rId52"/>
          <w:footerReference w:type="first" r:id="rId53"/>
          <w:pgSz w:w="12240" w:h="15840" w:code="1"/>
          <w:pgMar w:top="1080" w:right="1080" w:bottom="1080" w:left="1440" w:header="720" w:footer="720" w:gutter="0"/>
          <w:cols w:space="720"/>
        </w:sectPr>
      </w:pPr>
    </w:p>
    <w:p w14:paraId="7A106954" w14:textId="77777777" w:rsidR="00463667" w:rsidRPr="00DF1884" w:rsidRDefault="00463667" w:rsidP="00463667">
      <w:pPr>
        <w:sectPr w:rsidR="00463667" w:rsidRPr="00DF1884" w:rsidSect="0039781B">
          <w:headerReference w:type="even" r:id="rId54"/>
          <w:headerReference w:type="default" r:id="rId55"/>
          <w:footerReference w:type="default" r:id="rId56"/>
          <w:pgSz w:w="12240" w:h="15840" w:code="1"/>
          <w:pgMar w:top="1080" w:right="1080" w:bottom="1080" w:left="1440" w:header="720" w:footer="720" w:gutter="0"/>
          <w:pgNumType w:start="2"/>
          <w:cols w:space="720"/>
        </w:sectPr>
      </w:pPr>
    </w:p>
    <w:p w14:paraId="62A5AC22" w14:textId="12158695" w:rsidR="00463667" w:rsidRPr="00DF1884" w:rsidRDefault="00463667" w:rsidP="00463667">
      <w:pPr>
        <w:jc w:val="center"/>
        <w:rPr>
          <w:b/>
          <w:bCs/>
          <w:sz w:val="32"/>
          <w:szCs w:val="32"/>
        </w:rPr>
      </w:pPr>
      <w:r w:rsidRPr="00DF1884">
        <w:rPr>
          <w:b/>
          <w:sz w:val="32"/>
          <w:szCs w:val="32"/>
        </w:rPr>
        <w:lastRenderedPageBreak/>
        <w:t>APPENDIX</w:t>
      </w:r>
      <w:r w:rsidR="00DF1884" w:rsidRPr="00DF1884">
        <w:rPr>
          <w:b/>
          <w:sz w:val="32"/>
          <w:szCs w:val="32"/>
        </w:rPr>
        <w:t xml:space="preserve"> </w:t>
      </w:r>
      <w:r w:rsidRPr="00DF1884">
        <w:rPr>
          <w:b/>
          <w:sz w:val="32"/>
          <w:szCs w:val="32"/>
        </w:rPr>
        <w:t>2</w:t>
      </w:r>
    </w:p>
    <w:p w14:paraId="08C96E7E" w14:textId="4D90E021" w:rsidR="00463667" w:rsidRPr="00DF1884" w:rsidRDefault="00463667" w:rsidP="00EF7C1A">
      <w:pPr>
        <w:spacing w:before="120" w:after="360"/>
        <w:jc w:val="center"/>
        <w:rPr>
          <w:b/>
          <w:bCs/>
          <w:sz w:val="28"/>
        </w:rPr>
      </w:pPr>
      <w:r w:rsidRPr="00DF1884">
        <w:rPr>
          <w:b/>
          <w:sz w:val="28"/>
        </w:rPr>
        <w:t>TECHNICAL</w:t>
      </w:r>
      <w:r w:rsidR="00DF1884" w:rsidRPr="00DF1884">
        <w:rPr>
          <w:b/>
          <w:sz w:val="28"/>
        </w:rPr>
        <w:t xml:space="preserve"> </w:t>
      </w:r>
      <w:r w:rsidRPr="00DF1884">
        <w:rPr>
          <w:b/>
          <w:sz w:val="28"/>
        </w:rPr>
        <w:t>CONSIDERATIONS</w:t>
      </w:r>
      <w:r w:rsidR="00DF1884" w:rsidRPr="00DF1884">
        <w:rPr>
          <w:b/>
          <w:sz w:val="28"/>
        </w:rPr>
        <w:t xml:space="preserve"> </w:t>
      </w:r>
      <w:r w:rsidRPr="00DF1884">
        <w:rPr>
          <w:b/>
          <w:sz w:val="28"/>
        </w:rPr>
        <w:t>FOR</w:t>
      </w:r>
      <w:r w:rsidR="00DF1884" w:rsidRPr="00DF1884">
        <w:rPr>
          <w:b/>
          <w:sz w:val="28"/>
        </w:rPr>
        <w:t xml:space="preserve"> </w:t>
      </w:r>
      <w:r w:rsidRPr="00DF1884">
        <w:rPr>
          <w:b/>
          <w:sz w:val="28"/>
        </w:rPr>
        <w:t>NEW</w:t>
      </w:r>
      <w:r w:rsidR="00DF1884" w:rsidRPr="00DF1884">
        <w:rPr>
          <w:b/>
          <w:sz w:val="28"/>
        </w:rPr>
        <w:t xml:space="preserve"> </w:t>
      </w:r>
      <w:r w:rsidRPr="00DF1884">
        <w:rPr>
          <w:b/>
          <w:sz w:val="28"/>
        </w:rPr>
        <w:t>MEASURES</w:t>
      </w:r>
    </w:p>
    <w:p w14:paraId="32A09EF5" w14:textId="4A6AF808" w:rsidR="00463667" w:rsidRPr="00DF1884" w:rsidRDefault="00463667" w:rsidP="00463667">
      <w:pPr>
        <w:pStyle w:val="Body"/>
        <w:spacing w:before="0" w:after="240"/>
      </w:pPr>
      <w:r w:rsidRPr="00DF1884">
        <w:t>The</w:t>
      </w:r>
      <w:r w:rsidR="00DF1884" w:rsidRPr="00DF1884">
        <w:t xml:space="preserve"> </w:t>
      </w:r>
      <w:r w:rsidRPr="00DF1884">
        <w:t>NCQA</w:t>
      </w:r>
      <w:r w:rsidR="00DF1884" w:rsidRPr="00DF1884">
        <w:t xml:space="preserve"> </w:t>
      </w:r>
      <w:r w:rsidRPr="00DF1884">
        <w:t>Committee</w:t>
      </w:r>
      <w:r w:rsidR="00DF1884" w:rsidRPr="00DF1884">
        <w:t xml:space="preserve"> </w:t>
      </w:r>
      <w:r w:rsidRPr="00DF1884">
        <w:t>on</w:t>
      </w:r>
      <w:r w:rsidR="00DF1884" w:rsidRPr="00DF1884">
        <w:t xml:space="preserve"> </w:t>
      </w:r>
      <w:r w:rsidRPr="00DF1884">
        <w:t>Performance</w:t>
      </w:r>
      <w:r w:rsidR="00DF1884" w:rsidRPr="00DF1884">
        <w:t xml:space="preserve"> </w:t>
      </w:r>
      <w:r w:rsidRPr="00DF1884">
        <w:t>Measurement</w:t>
      </w:r>
      <w:r w:rsidR="00DF1884" w:rsidRPr="00DF1884">
        <w:t xml:space="preserve"> </w:t>
      </w:r>
      <w:r w:rsidRPr="00DF1884">
        <w:t>(CPM)</w:t>
      </w:r>
      <w:r w:rsidR="00DF1884" w:rsidRPr="00DF1884">
        <w:t xml:space="preserve"> </w:t>
      </w:r>
      <w:r w:rsidRPr="00DF1884">
        <w:t>approved</w:t>
      </w:r>
      <w:r w:rsidR="00DF1884" w:rsidRPr="00DF1884">
        <w:t xml:space="preserve"> </w:t>
      </w:r>
      <w:r w:rsidR="00E05A52" w:rsidRPr="00DF1884">
        <w:t>six</w:t>
      </w:r>
      <w:r w:rsidR="00DF1884" w:rsidRPr="00DF1884">
        <w:t xml:space="preserve"> </w:t>
      </w:r>
      <w:r w:rsidRPr="00DF1884">
        <w:t>new</w:t>
      </w:r>
      <w:r w:rsidR="00DF1884" w:rsidRPr="00DF1884">
        <w:t xml:space="preserve"> </w:t>
      </w:r>
      <w:r w:rsidRPr="00DF1884">
        <w:t>measures</w:t>
      </w:r>
      <w:r w:rsidR="00DF1884" w:rsidRPr="00DF1884">
        <w:t xml:space="preserve"> </w:t>
      </w:r>
      <w:r w:rsidRPr="00DF1884">
        <w:t>for</w:t>
      </w:r>
      <w:r w:rsidR="00DF1884" w:rsidRPr="00DF1884">
        <w:t xml:space="preserve"> </w:t>
      </w:r>
      <w:r w:rsidRPr="00DF1884">
        <w:t>HEDIS</w:t>
      </w:r>
      <w:r w:rsidR="00DF1884" w:rsidRPr="00DF1884">
        <w:t xml:space="preserve"> </w:t>
      </w:r>
      <w:r w:rsidR="00442111" w:rsidRPr="00DF1884">
        <w:t>2016</w:t>
      </w:r>
      <w:r w:rsidRPr="00DF1884">
        <w:t>.</w:t>
      </w:r>
      <w:r w:rsidR="00DF1884" w:rsidRPr="00DF1884">
        <w:t xml:space="preserve"> </w:t>
      </w:r>
      <w:r w:rsidR="00B636D6">
        <w:t>These</w:t>
      </w:r>
      <w:r w:rsidR="00B636D6" w:rsidRPr="00DF1884">
        <w:t xml:space="preserve"> </w:t>
      </w:r>
      <w:r w:rsidRPr="00DF1884">
        <w:t>measure</w:t>
      </w:r>
      <w:r w:rsidR="00B636D6">
        <w:t>s</w:t>
      </w:r>
      <w:r w:rsidR="00DF1884" w:rsidRPr="00DF1884">
        <w:t xml:space="preserve"> </w:t>
      </w:r>
      <w:r w:rsidRPr="00DF1884">
        <w:t>provide</w:t>
      </w:r>
      <w:r w:rsidR="00DF1884" w:rsidRPr="00DF1884">
        <w:t xml:space="preserve"> </w:t>
      </w:r>
      <w:r w:rsidRPr="00DF1884">
        <w:t>feasible</w:t>
      </w:r>
      <w:r w:rsidR="00DF1884" w:rsidRPr="00DF1884">
        <w:t xml:space="preserve"> </w:t>
      </w:r>
      <w:r w:rsidRPr="00DF1884">
        <w:t>assessment</w:t>
      </w:r>
      <w:r w:rsidR="00DF1884" w:rsidRPr="00DF1884">
        <w:t xml:space="preserve"> </w:t>
      </w:r>
      <w:r w:rsidRPr="00DF1884">
        <w:t>strategies</w:t>
      </w:r>
      <w:r w:rsidR="00DF1884" w:rsidRPr="00DF1884">
        <w:t xml:space="preserve"> </w:t>
      </w:r>
      <w:r w:rsidRPr="00DF1884">
        <w:t>that</w:t>
      </w:r>
      <w:r w:rsidR="00DF1884" w:rsidRPr="00DF1884">
        <w:t xml:space="preserve"> </w:t>
      </w:r>
      <w:r w:rsidRPr="00DF1884">
        <w:t>are</w:t>
      </w:r>
      <w:r w:rsidR="00DF1884" w:rsidRPr="00DF1884">
        <w:t xml:space="preserve"> </w:t>
      </w:r>
      <w:r w:rsidRPr="00DF1884">
        <w:t>meaningful</w:t>
      </w:r>
      <w:r w:rsidR="00DF1884" w:rsidRPr="00DF1884">
        <w:t xml:space="preserve"> </w:t>
      </w:r>
      <w:r w:rsidRPr="00DF1884">
        <w:t>to</w:t>
      </w:r>
      <w:r w:rsidR="00DF1884" w:rsidRPr="00DF1884">
        <w:t xml:space="preserve"> </w:t>
      </w:r>
      <w:r w:rsidRPr="00DF1884">
        <w:t>consumers,</w:t>
      </w:r>
      <w:r w:rsidR="00DF1884" w:rsidRPr="00DF1884">
        <w:t xml:space="preserve"> </w:t>
      </w:r>
      <w:r w:rsidRPr="00DF1884">
        <w:t>purchasers,</w:t>
      </w:r>
      <w:r w:rsidR="00DF1884" w:rsidRPr="00DF1884">
        <w:t xml:space="preserve"> </w:t>
      </w:r>
      <w:r w:rsidRPr="00DF1884">
        <w:t>organizations</w:t>
      </w:r>
      <w:r w:rsidR="00DF1884" w:rsidRPr="00DF1884">
        <w:t xml:space="preserve"> </w:t>
      </w:r>
      <w:r w:rsidRPr="00DF1884">
        <w:t>and</w:t>
      </w:r>
      <w:r w:rsidR="00DF1884" w:rsidRPr="00DF1884">
        <w:t xml:space="preserve"> </w:t>
      </w:r>
      <w:r w:rsidRPr="00DF1884">
        <w:t>clinicians.</w:t>
      </w:r>
      <w:r w:rsidR="00DF1884" w:rsidRPr="00DF1884">
        <w:t xml:space="preserve"> </w:t>
      </w:r>
    </w:p>
    <w:tbl>
      <w:tblPr>
        <w:tblW w:w="100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60"/>
        <w:gridCol w:w="1170"/>
        <w:gridCol w:w="1080"/>
        <w:gridCol w:w="990"/>
        <w:gridCol w:w="810"/>
        <w:gridCol w:w="914"/>
        <w:gridCol w:w="976"/>
        <w:gridCol w:w="1089"/>
      </w:tblGrid>
      <w:tr w:rsidR="004850EA" w:rsidRPr="00DF1884" w14:paraId="64A9FFFE" w14:textId="2709303A" w:rsidTr="00F03166">
        <w:tc>
          <w:tcPr>
            <w:tcW w:w="3060" w:type="dxa"/>
            <w:vMerge w:val="restart"/>
            <w:tcBorders>
              <w:right w:val="single" w:sz="4" w:space="0" w:color="FFFFFF"/>
            </w:tcBorders>
            <w:shd w:val="clear" w:color="auto" w:fill="000000"/>
            <w:tcMar>
              <w:left w:w="115" w:type="dxa"/>
              <w:right w:w="115" w:type="dxa"/>
            </w:tcMar>
            <w:vAlign w:val="bottom"/>
          </w:tcPr>
          <w:p w14:paraId="56FEE5E8" w14:textId="33266950" w:rsidR="004850EA" w:rsidRPr="00DF1884" w:rsidRDefault="004850EA" w:rsidP="00C56CA6">
            <w:pPr>
              <w:pStyle w:val="TableHead"/>
              <w:rPr>
                <w:color w:val="auto"/>
              </w:rPr>
            </w:pPr>
            <w:r w:rsidRPr="00DF1884">
              <w:rPr>
                <w:color w:val="auto"/>
              </w:rPr>
              <w:t>New</w:t>
            </w:r>
            <w:r w:rsidR="00DF1884" w:rsidRPr="00DF1884">
              <w:rPr>
                <w:color w:val="auto"/>
              </w:rPr>
              <w:t xml:space="preserve"> </w:t>
            </w:r>
            <w:r w:rsidRPr="00DF1884">
              <w:rPr>
                <w:color w:val="auto"/>
              </w:rPr>
              <w:t>HEDIS</w:t>
            </w:r>
            <w:r w:rsidR="00DF1884" w:rsidRPr="00DF1884">
              <w:rPr>
                <w:color w:val="auto"/>
              </w:rPr>
              <w:t xml:space="preserve"> </w:t>
            </w:r>
            <w:r w:rsidRPr="00DF1884">
              <w:rPr>
                <w:color w:val="auto"/>
              </w:rPr>
              <w:t>2016</w:t>
            </w:r>
            <w:r w:rsidR="00DF1884" w:rsidRPr="00DF1884">
              <w:rPr>
                <w:color w:val="auto"/>
              </w:rPr>
              <w:t xml:space="preserve"> </w:t>
            </w:r>
            <w:r w:rsidRPr="00DF1884">
              <w:rPr>
                <w:color w:val="auto"/>
              </w:rPr>
              <w:t>Measures</w:t>
            </w:r>
          </w:p>
        </w:tc>
        <w:tc>
          <w:tcPr>
            <w:tcW w:w="3240" w:type="dxa"/>
            <w:gridSpan w:val="3"/>
            <w:tcBorders>
              <w:left w:val="single" w:sz="4" w:space="0" w:color="FFFFFF"/>
              <w:bottom w:val="single" w:sz="4" w:space="0" w:color="FFFFFF"/>
              <w:right w:val="single" w:sz="12" w:space="0" w:color="FFFFFF"/>
            </w:tcBorders>
            <w:shd w:val="clear" w:color="auto" w:fill="000000"/>
            <w:tcMar>
              <w:left w:w="115" w:type="dxa"/>
              <w:right w:w="115" w:type="dxa"/>
            </w:tcMar>
          </w:tcPr>
          <w:p w14:paraId="0BC6EB5F" w14:textId="7D844BA6" w:rsidR="004850EA" w:rsidRPr="00DF1884" w:rsidRDefault="00F03166" w:rsidP="00C56CA6">
            <w:pPr>
              <w:pStyle w:val="TableHead"/>
              <w:rPr>
                <w:color w:val="auto"/>
              </w:rPr>
            </w:pPr>
            <w:r w:rsidRPr="00DF1884">
              <w:rPr>
                <w:color w:val="auto"/>
              </w:rPr>
              <w:t>PRODUCT</w:t>
            </w:r>
            <w:r w:rsidR="00DF1884" w:rsidRPr="00DF1884">
              <w:rPr>
                <w:color w:val="auto"/>
              </w:rPr>
              <w:t xml:space="preserve"> </w:t>
            </w:r>
            <w:r w:rsidRPr="00DF1884">
              <w:rPr>
                <w:color w:val="auto"/>
              </w:rPr>
              <w:t>LINE</w:t>
            </w:r>
          </w:p>
        </w:tc>
        <w:tc>
          <w:tcPr>
            <w:tcW w:w="3789" w:type="dxa"/>
            <w:gridSpan w:val="4"/>
            <w:tcBorders>
              <w:left w:val="single" w:sz="12" w:space="0" w:color="FFFFFF"/>
              <w:bottom w:val="single" w:sz="4" w:space="0" w:color="FFFFFF"/>
            </w:tcBorders>
            <w:shd w:val="clear" w:color="auto" w:fill="000000"/>
            <w:tcMar>
              <w:left w:w="115" w:type="dxa"/>
              <w:right w:w="115" w:type="dxa"/>
            </w:tcMar>
          </w:tcPr>
          <w:p w14:paraId="268BD7EB" w14:textId="4371FAA2" w:rsidR="004850EA" w:rsidRPr="00DF1884" w:rsidRDefault="00F03166" w:rsidP="00C56CA6">
            <w:pPr>
              <w:pStyle w:val="TableHead"/>
              <w:rPr>
                <w:color w:val="auto"/>
              </w:rPr>
            </w:pPr>
            <w:r w:rsidRPr="00DF1884">
              <w:rPr>
                <w:color w:val="auto"/>
              </w:rPr>
              <w:t>DATA</w:t>
            </w:r>
            <w:r w:rsidR="00DF1884" w:rsidRPr="00DF1884">
              <w:rPr>
                <w:color w:val="auto"/>
              </w:rPr>
              <w:t xml:space="preserve"> </w:t>
            </w:r>
            <w:r w:rsidRPr="00DF1884">
              <w:rPr>
                <w:color w:val="auto"/>
              </w:rPr>
              <w:t>SOURCE</w:t>
            </w:r>
          </w:p>
        </w:tc>
      </w:tr>
      <w:tr w:rsidR="004850EA" w:rsidRPr="00DF1884" w14:paraId="341528C2" w14:textId="5DE72AB6" w:rsidTr="00F03166">
        <w:tc>
          <w:tcPr>
            <w:tcW w:w="3060" w:type="dxa"/>
            <w:vMerge/>
            <w:tcBorders>
              <w:right w:val="single" w:sz="4" w:space="0" w:color="FFFFFF"/>
            </w:tcBorders>
            <w:tcMar>
              <w:left w:w="115" w:type="dxa"/>
              <w:right w:w="115" w:type="dxa"/>
            </w:tcMar>
          </w:tcPr>
          <w:p w14:paraId="68CE9BA5" w14:textId="77777777" w:rsidR="004850EA" w:rsidRPr="00DF1884" w:rsidRDefault="004850EA" w:rsidP="00C56CA6">
            <w:pPr>
              <w:pStyle w:val="TableHead"/>
              <w:rPr>
                <w:color w:val="auto"/>
              </w:rPr>
            </w:pPr>
          </w:p>
        </w:tc>
        <w:tc>
          <w:tcPr>
            <w:tcW w:w="1170" w:type="dxa"/>
            <w:tcBorders>
              <w:top w:val="single" w:sz="4" w:space="0" w:color="FFFFFF"/>
              <w:left w:val="single" w:sz="4" w:space="0" w:color="FFFFFF"/>
              <w:right w:val="single" w:sz="4" w:space="0" w:color="FFFFFF"/>
            </w:tcBorders>
            <w:shd w:val="clear" w:color="auto" w:fill="000000"/>
            <w:tcMar>
              <w:left w:w="115" w:type="dxa"/>
              <w:right w:w="115" w:type="dxa"/>
            </w:tcMar>
            <w:vAlign w:val="bottom"/>
          </w:tcPr>
          <w:p w14:paraId="59360A1E" w14:textId="77777777" w:rsidR="004850EA" w:rsidRPr="00DF1884" w:rsidRDefault="004850EA" w:rsidP="00F03166">
            <w:pPr>
              <w:pStyle w:val="TableHead"/>
              <w:rPr>
                <w:color w:val="auto"/>
              </w:rPr>
            </w:pPr>
            <w:r w:rsidRPr="00DF1884">
              <w:rPr>
                <w:color w:val="auto"/>
              </w:rPr>
              <w:t>Commercial</w:t>
            </w:r>
          </w:p>
        </w:tc>
        <w:tc>
          <w:tcPr>
            <w:tcW w:w="1080" w:type="dxa"/>
            <w:tcBorders>
              <w:top w:val="single" w:sz="4" w:space="0" w:color="FFFFFF"/>
              <w:left w:val="single" w:sz="4" w:space="0" w:color="FFFFFF"/>
              <w:right w:val="single" w:sz="4" w:space="0" w:color="FFFFFF"/>
            </w:tcBorders>
            <w:shd w:val="clear" w:color="auto" w:fill="000000"/>
            <w:tcMar>
              <w:left w:w="115" w:type="dxa"/>
              <w:right w:w="115" w:type="dxa"/>
            </w:tcMar>
            <w:vAlign w:val="bottom"/>
          </w:tcPr>
          <w:p w14:paraId="092F0070" w14:textId="77777777" w:rsidR="004850EA" w:rsidRPr="00DF1884" w:rsidRDefault="004850EA" w:rsidP="00F03166">
            <w:pPr>
              <w:pStyle w:val="TableHead"/>
              <w:rPr>
                <w:color w:val="auto"/>
              </w:rPr>
            </w:pPr>
            <w:r w:rsidRPr="00DF1884">
              <w:rPr>
                <w:color w:val="auto"/>
              </w:rPr>
              <w:t>Medicaid</w:t>
            </w:r>
          </w:p>
        </w:tc>
        <w:tc>
          <w:tcPr>
            <w:tcW w:w="990" w:type="dxa"/>
            <w:tcBorders>
              <w:top w:val="single" w:sz="4" w:space="0" w:color="FFFFFF"/>
              <w:left w:val="single" w:sz="4" w:space="0" w:color="FFFFFF"/>
              <w:right w:val="single" w:sz="12" w:space="0" w:color="FFFFFF"/>
            </w:tcBorders>
            <w:shd w:val="clear" w:color="auto" w:fill="000000"/>
            <w:tcMar>
              <w:left w:w="115" w:type="dxa"/>
              <w:right w:w="115" w:type="dxa"/>
            </w:tcMar>
            <w:vAlign w:val="bottom"/>
          </w:tcPr>
          <w:p w14:paraId="6B306C80" w14:textId="3FC251B5" w:rsidR="004850EA" w:rsidRPr="00DF1884" w:rsidRDefault="004850EA" w:rsidP="00F03166">
            <w:pPr>
              <w:pStyle w:val="TableHead"/>
              <w:rPr>
                <w:color w:val="auto"/>
              </w:rPr>
            </w:pPr>
            <w:r w:rsidRPr="00DF1884">
              <w:rPr>
                <w:color w:val="auto"/>
              </w:rPr>
              <w:t>Medicare</w:t>
            </w:r>
          </w:p>
        </w:tc>
        <w:tc>
          <w:tcPr>
            <w:tcW w:w="810" w:type="dxa"/>
            <w:tcBorders>
              <w:top w:val="single" w:sz="4" w:space="0" w:color="FFFFFF"/>
              <w:left w:val="single" w:sz="12" w:space="0" w:color="FFFFFF"/>
              <w:right w:val="single" w:sz="4" w:space="0" w:color="FFFFFF"/>
            </w:tcBorders>
            <w:shd w:val="clear" w:color="auto" w:fill="000000"/>
            <w:tcMar>
              <w:left w:w="115" w:type="dxa"/>
              <w:right w:w="115" w:type="dxa"/>
            </w:tcMar>
            <w:vAlign w:val="bottom"/>
          </w:tcPr>
          <w:p w14:paraId="3BBF63F6" w14:textId="77777777" w:rsidR="004850EA" w:rsidRPr="00DF1884" w:rsidRDefault="004850EA" w:rsidP="00F03166">
            <w:pPr>
              <w:pStyle w:val="TableHead"/>
              <w:rPr>
                <w:color w:val="auto"/>
              </w:rPr>
            </w:pPr>
            <w:r w:rsidRPr="00DF1884">
              <w:rPr>
                <w:color w:val="auto"/>
              </w:rPr>
              <w:t>Admin</w:t>
            </w:r>
          </w:p>
        </w:tc>
        <w:tc>
          <w:tcPr>
            <w:tcW w:w="914" w:type="dxa"/>
            <w:tcBorders>
              <w:top w:val="single" w:sz="4" w:space="0" w:color="FFFFFF"/>
              <w:left w:val="single" w:sz="4" w:space="0" w:color="FFFFFF"/>
              <w:right w:val="single" w:sz="4" w:space="0" w:color="FFFFFF"/>
            </w:tcBorders>
            <w:shd w:val="clear" w:color="auto" w:fill="000000"/>
            <w:tcMar>
              <w:left w:w="115" w:type="dxa"/>
              <w:right w:w="115" w:type="dxa"/>
            </w:tcMar>
            <w:vAlign w:val="bottom"/>
          </w:tcPr>
          <w:p w14:paraId="386A98C7" w14:textId="77777777" w:rsidR="004850EA" w:rsidRPr="00DF1884" w:rsidRDefault="004850EA" w:rsidP="00F03166">
            <w:pPr>
              <w:pStyle w:val="TableHead"/>
              <w:rPr>
                <w:color w:val="auto"/>
              </w:rPr>
            </w:pPr>
            <w:r w:rsidRPr="00DF1884">
              <w:rPr>
                <w:color w:val="auto"/>
              </w:rPr>
              <w:t>Hybrid</w:t>
            </w:r>
          </w:p>
        </w:tc>
        <w:tc>
          <w:tcPr>
            <w:tcW w:w="976" w:type="dxa"/>
            <w:tcBorders>
              <w:top w:val="single" w:sz="4" w:space="0" w:color="FFFFFF"/>
              <w:left w:val="single" w:sz="4" w:space="0" w:color="FFFFFF"/>
              <w:right w:val="single" w:sz="6" w:space="0" w:color="FFFFFF" w:themeColor="background1"/>
            </w:tcBorders>
            <w:shd w:val="clear" w:color="auto" w:fill="000000"/>
            <w:tcMar>
              <w:left w:w="115" w:type="dxa"/>
              <w:right w:w="115" w:type="dxa"/>
            </w:tcMar>
            <w:vAlign w:val="bottom"/>
          </w:tcPr>
          <w:p w14:paraId="6C73DDE9" w14:textId="77777777" w:rsidR="004850EA" w:rsidRPr="00DF1884" w:rsidRDefault="004850EA" w:rsidP="00F03166">
            <w:pPr>
              <w:pStyle w:val="TableHead"/>
              <w:rPr>
                <w:color w:val="auto"/>
              </w:rPr>
            </w:pPr>
            <w:r w:rsidRPr="00DF1884">
              <w:rPr>
                <w:color w:val="auto"/>
              </w:rPr>
              <w:t>Survey</w:t>
            </w:r>
          </w:p>
        </w:tc>
        <w:tc>
          <w:tcPr>
            <w:tcW w:w="1089" w:type="dxa"/>
            <w:tcBorders>
              <w:top w:val="single" w:sz="4" w:space="0" w:color="FFFFFF"/>
              <w:left w:val="single" w:sz="6" w:space="0" w:color="FFFFFF" w:themeColor="background1"/>
            </w:tcBorders>
            <w:shd w:val="clear" w:color="auto" w:fill="000000"/>
            <w:vAlign w:val="bottom"/>
          </w:tcPr>
          <w:p w14:paraId="085E67E1" w14:textId="54FE1A4B" w:rsidR="004850EA" w:rsidRPr="00DF1884" w:rsidRDefault="00F03166" w:rsidP="00F03166">
            <w:pPr>
              <w:pStyle w:val="TableHead"/>
              <w:rPr>
                <w:color w:val="auto"/>
              </w:rPr>
            </w:pPr>
            <w:r w:rsidRPr="00DF1884">
              <w:rPr>
                <w:color w:val="auto"/>
              </w:rPr>
              <w:t>ECDS</w:t>
            </w:r>
          </w:p>
        </w:tc>
      </w:tr>
      <w:tr w:rsidR="004850EA" w:rsidRPr="00DF1884" w14:paraId="0CF61F4F" w14:textId="28C3DB76" w:rsidTr="00F03166">
        <w:tblPrEx>
          <w:tblCellMar>
            <w:left w:w="0" w:type="dxa"/>
            <w:right w:w="0" w:type="dxa"/>
          </w:tblCellMar>
          <w:tblLook w:val="0000" w:firstRow="0" w:lastRow="0" w:firstColumn="0" w:lastColumn="0" w:noHBand="0" w:noVBand="0"/>
        </w:tblPrEx>
        <w:tc>
          <w:tcPr>
            <w:tcW w:w="9000" w:type="dxa"/>
            <w:gridSpan w:val="7"/>
            <w:shd w:val="clear" w:color="auto" w:fill="C0C0C0"/>
            <w:tcMar>
              <w:left w:w="43" w:type="dxa"/>
              <w:right w:w="115" w:type="dxa"/>
            </w:tcMar>
            <w:vAlign w:val="center"/>
          </w:tcPr>
          <w:p w14:paraId="2AC970B8" w14:textId="275BE720" w:rsidR="004850EA" w:rsidRPr="00DF1884" w:rsidRDefault="004850EA" w:rsidP="00C56CA6">
            <w:pPr>
              <w:pStyle w:val="TableText"/>
              <w:rPr>
                <w:b/>
              </w:rPr>
            </w:pPr>
            <w:r w:rsidRPr="00DF1884">
              <w:rPr>
                <w:b/>
              </w:rPr>
              <w:t>Effectiveness</w:t>
            </w:r>
            <w:r w:rsidR="00DF1884" w:rsidRPr="00DF1884">
              <w:rPr>
                <w:b/>
              </w:rPr>
              <w:t xml:space="preserve"> </w:t>
            </w:r>
            <w:r w:rsidRPr="00DF1884">
              <w:rPr>
                <w:b/>
              </w:rPr>
              <w:t>of</w:t>
            </w:r>
            <w:r w:rsidR="00DF1884" w:rsidRPr="00DF1884">
              <w:rPr>
                <w:b/>
              </w:rPr>
              <w:t xml:space="preserve"> </w:t>
            </w:r>
            <w:r w:rsidRPr="00DF1884">
              <w:rPr>
                <w:b/>
              </w:rPr>
              <w:t>Care</w:t>
            </w:r>
          </w:p>
        </w:tc>
        <w:tc>
          <w:tcPr>
            <w:tcW w:w="1089" w:type="dxa"/>
            <w:shd w:val="clear" w:color="auto" w:fill="C0C0C0"/>
          </w:tcPr>
          <w:p w14:paraId="7CC70499" w14:textId="77777777" w:rsidR="004850EA" w:rsidRPr="00DF1884" w:rsidRDefault="004850EA" w:rsidP="00C56CA6">
            <w:pPr>
              <w:pStyle w:val="TableText"/>
              <w:rPr>
                <w:b/>
              </w:rPr>
            </w:pPr>
          </w:p>
        </w:tc>
      </w:tr>
      <w:tr w:rsidR="004850EA" w:rsidRPr="00DF1884" w14:paraId="29DA2B2B" w14:textId="7A084D67" w:rsidTr="00F03166">
        <w:tblPrEx>
          <w:tblCellMar>
            <w:left w:w="0" w:type="dxa"/>
            <w:right w:w="0" w:type="dxa"/>
          </w:tblCellMar>
          <w:tblLook w:val="0000" w:firstRow="0" w:lastRow="0" w:firstColumn="0" w:lastColumn="0" w:noHBand="0" w:noVBand="0"/>
        </w:tblPrEx>
        <w:tc>
          <w:tcPr>
            <w:tcW w:w="3060" w:type="dxa"/>
            <w:tcMar>
              <w:left w:w="43" w:type="dxa"/>
              <w:right w:w="115" w:type="dxa"/>
            </w:tcMar>
            <w:vAlign w:val="center"/>
          </w:tcPr>
          <w:p w14:paraId="591BD2B8" w14:textId="335E316B" w:rsidR="004850EA" w:rsidRPr="00DF1884" w:rsidRDefault="004850EA" w:rsidP="00C56CA6">
            <w:pPr>
              <w:pStyle w:val="TableText"/>
            </w:pPr>
            <w:r w:rsidRPr="00DF1884">
              <w:t>Statin</w:t>
            </w:r>
            <w:r w:rsidR="00DF1884" w:rsidRPr="00DF1884">
              <w:t xml:space="preserve"> </w:t>
            </w:r>
            <w:r w:rsidRPr="00DF1884">
              <w:t>Therapy</w:t>
            </w:r>
            <w:r w:rsidR="00DF1884" w:rsidRPr="00DF1884">
              <w:t xml:space="preserve"> </w:t>
            </w:r>
            <w:r w:rsidRPr="00DF1884">
              <w:t>for</w:t>
            </w:r>
            <w:r w:rsidR="00DF1884" w:rsidRPr="00DF1884">
              <w:t xml:space="preserve"> </w:t>
            </w:r>
            <w:r w:rsidRPr="00DF1884">
              <w:t>Patients</w:t>
            </w:r>
            <w:r w:rsidR="00DF1884" w:rsidRPr="00DF1884">
              <w:t xml:space="preserve"> </w:t>
            </w:r>
            <w:r w:rsidRPr="00DF1884">
              <w:t>With</w:t>
            </w:r>
            <w:r w:rsidR="00DF1884" w:rsidRPr="00DF1884">
              <w:t xml:space="preserve"> </w:t>
            </w:r>
            <w:r w:rsidRPr="00DF1884">
              <w:t>Cardiovascular</w:t>
            </w:r>
            <w:r w:rsidR="00DF1884" w:rsidRPr="00DF1884">
              <w:t xml:space="preserve"> </w:t>
            </w:r>
            <w:r w:rsidRPr="00DF1884">
              <w:t>Disease</w:t>
            </w:r>
            <w:r w:rsidR="00DF1884" w:rsidRPr="00DF1884">
              <w:t xml:space="preserve"> </w:t>
            </w:r>
          </w:p>
        </w:tc>
        <w:tc>
          <w:tcPr>
            <w:tcW w:w="1170" w:type="dxa"/>
            <w:tcMar>
              <w:left w:w="115" w:type="dxa"/>
              <w:right w:w="115" w:type="dxa"/>
            </w:tcMar>
            <w:vAlign w:val="center"/>
          </w:tcPr>
          <w:p w14:paraId="1B6FBF74" w14:textId="09651D05" w:rsidR="004850EA" w:rsidRPr="00DF1884" w:rsidRDefault="004850EA" w:rsidP="00C56CA6">
            <w:pPr>
              <w:spacing w:before="40" w:after="40" w:line="240" w:lineRule="exact"/>
              <w:jc w:val="center"/>
              <w:rPr>
                <w:rFonts w:ascii="Arial Narrow" w:hAnsi="Arial Narrow" w:cs="Arial"/>
                <w:sz w:val="24"/>
              </w:rPr>
            </w:pPr>
            <w:r w:rsidRPr="00DF1884">
              <w:rPr>
                <w:rFonts w:ascii="Wingdings" w:hAnsi="Wingdings" w:cs="Wingdings"/>
                <w:sz w:val="24"/>
              </w:rPr>
              <w:t></w:t>
            </w:r>
          </w:p>
        </w:tc>
        <w:tc>
          <w:tcPr>
            <w:tcW w:w="1080" w:type="dxa"/>
            <w:tcMar>
              <w:left w:w="43" w:type="dxa"/>
            </w:tcMar>
            <w:vAlign w:val="center"/>
          </w:tcPr>
          <w:p w14:paraId="29107A1E" w14:textId="17EDBA04" w:rsidR="004850EA" w:rsidRPr="00DF1884" w:rsidRDefault="004850EA" w:rsidP="00C56CA6">
            <w:pPr>
              <w:spacing w:before="40" w:after="40" w:line="240" w:lineRule="exact"/>
              <w:jc w:val="center"/>
              <w:rPr>
                <w:rFonts w:ascii="Arial Narrow" w:hAnsi="Arial Narrow" w:cs="Arial"/>
                <w:sz w:val="24"/>
              </w:rPr>
            </w:pPr>
            <w:r w:rsidRPr="00DF1884">
              <w:rPr>
                <w:rFonts w:ascii="Wingdings" w:hAnsi="Wingdings" w:cs="Wingdings"/>
                <w:sz w:val="24"/>
              </w:rPr>
              <w:t></w:t>
            </w:r>
          </w:p>
        </w:tc>
        <w:tc>
          <w:tcPr>
            <w:tcW w:w="990" w:type="dxa"/>
            <w:tcBorders>
              <w:right w:val="single" w:sz="12" w:space="0" w:color="auto"/>
            </w:tcBorders>
            <w:tcMar>
              <w:left w:w="43" w:type="dxa"/>
            </w:tcMar>
            <w:vAlign w:val="center"/>
          </w:tcPr>
          <w:p w14:paraId="7829947B" w14:textId="0EE05884" w:rsidR="004850EA" w:rsidRPr="00DF1884" w:rsidRDefault="004850EA" w:rsidP="00C56CA6">
            <w:pPr>
              <w:jc w:val="center"/>
              <w:rPr>
                <w:b/>
              </w:rPr>
            </w:pPr>
            <w:r w:rsidRPr="00DF1884">
              <w:rPr>
                <w:rFonts w:ascii="Wingdings" w:hAnsi="Wingdings" w:cs="Wingdings"/>
                <w:sz w:val="24"/>
              </w:rPr>
              <w:t></w:t>
            </w:r>
          </w:p>
        </w:tc>
        <w:tc>
          <w:tcPr>
            <w:tcW w:w="810" w:type="dxa"/>
            <w:tcBorders>
              <w:left w:val="single" w:sz="12" w:space="0" w:color="auto"/>
            </w:tcBorders>
            <w:tcMar>
              <w:left w:w="43" w:type="dxa"/>
            </w:tcMar>
            <w:vAlign w:val="center"/>
          </w:tcPr>
          <w:p w14:paraId="6E322CBD" w14:textId="7D0A7737" w:rsidR="004850EA" w:rsidRPr="00DF1884" w:rsidRDefault="004850EA" w:rsidP="00C56CA6">
            <w:pPr>
              <w:jc w:val="center"/>
            </w:pPr>
            <w:r w:rsidRPr="00DF1884">
              <w:rPr>
                <w:rFonts w:ascii="Wingdings" w:hAnsi="Wingdings" w:cs="Wingdings"/>
                <w:sz w:val="24"/>
              </w:rPr>
              <w:t></w:t>
            </w:r>
          </w:p>
        </w:tc>
        <w:tc>
          <w:tcPr>
            <w:tcW w:w="914" w:type="dxa"/>
            <w:tcMar>
              <w:left w:w="43" w:type="dxa"/>
            </w:tcMar>
            <w:vAlign w:val="center"/>
          </w:tcPr>
          <w:p w14:paraId="15EB4AD2" w14:textId="77777777" w:rsidR="004850EA" w:rsidRPr="00DF1884" w:rsidRDefault="004850EA" w:rsidP="00C56CA6">
            <w:pPr>
              <w:pStyle w:val="TableText"/>
              <w:spacing w:line="240" w:lineRule="exact"/>
              <w:jc w:val="center"/>
              <w:rPr>
                <w:b/>
                <w:sz w:val="24"/>
                <w:szCs w:val="24"/>
              </w:rPr>
            </w:pPr>
          </w:p>
        </w:tc>
        <w:tc>
          <w:tcPr>
            <w:tcW w:w="976" w:type="dxa"/>
            <w:tcMar>
              <w:left w:w="43" w:type="dxa"/>
            </w:tcMar>
            <w:vAlign w:val="center"/>
          </w:tcPr>
          <w:p w14:paraId="7EA20D03" w14:textId="77777777" w:rsidR="004850EA" w:rsidRPr="00DF1884" w:rsidRDefault="004850EA" w:rsidP="00C56CA6">
            <w:pPr>
              <w:pStyle w:val="TableText"/>
              <w:spacing w:line="240" w:lineRule="exact"/>
              <w:jc w:val="center"/>
              <w:rPr>
                <w:b/>
                <w:sz w:val="24"/>
                <w:szCs w:val="24"/>
              </w:rPr>
            </w:pPr>
          </w:p>
        </w:tc>
        <w:tc>
          <w:tcPr>
            <w:tcW w:w="1089" w:type="dxa"/>
          </w:tcPr>
          <w:p w14:paraId="2B8E50F2" w14:textId="77777777" w:rsidR="004850EA" w:rsidRPr="00DF1884" w:rsidRDefault="004850EA" w:rsidP="00C56CA6">
            <w:pPr>
              <w:pStyle w:val="TableText"/>
              <w:spacing w:line="240" w:lineRule="exact"/>
              <w:jc w:val="center"/>
              <w:rPr>
                <w:b/>
                <w:sz w:val="24"/>
                <w:szCs w:val="24"/>
              </w:rPr>
            </w:pPr>
          </w:p>
        </w:tc>
      </w:tr>
      <w:tr w:rsidR="004850EA" w:rsidRPr="00DF1884" w14:paraId="6341709F" w14:textId="0DC41661" w:rsidTr="00F03166">
        <w:tblPrEx>
          <w:tblCellMar>
            <w:left w:w="0" w:type="dxa"/>
            <w:right w:w="0" w:type="dxa"/>
          </w:tblCellMar>
          <w:tblLook w:val="0000" w:firstRow="0" w:lastRow="0" w:firstColumn="0" w:lastColumn="0" w:noHBand="0" w:noVBand="0"/>
        </w:tblPrEx>
        <w:tc>
          <w:tcPr>
            <w:tcW w:w="3060" w:type="dxa"/>
            <w:tcMar>
              <w:left w:w="43" w:type="dxa"/>
              <w:right w:w="115" w:type="dxa"/>
            </w:tcMar>
            <w:vAlign w:val="center"/>
          </w:tcPr>
          <w:p w14:paraId="31B6ECDC" w14:textId="763788FC" w:rsidR="004850EA" w:rsidRPr="00DF1884" w:rsidDel="00B47A32" w:rsidRDefault="004850EA" w:rsidP="00C56CA6">
            <w:pPr>
              <w:pStyle w:val="TableText"/>
              <w:rPr>
                <w:rFonts w:cs="Arial"/>
              </w:rPr>
            </w:pPr>
            <w:r w:rsidRPr="00DF1884">
              <w:rPr>
                <w:rFonts w:cs="Arial"/>
              </w:rPr>
              <w:t>Statin</w:t>
            </w:r>
            <w:r w:rsidR="00DF1884" w:rsidRPr="00DF1884">
              <w:rPr>
                <w:rFonts w:cs="Arial"/>
              </w:rPr>
              <w:t xml:space="preserve"> </w:t>
            </w:r>
            <w:r w:rsidRPr="00DF1884">
              <w:rPr>
                <w:rFonts w:cs="Arial"/>
              </w:rPr>
              <w:t>Therapy</w:t>
            </w:r>
            <w:r w:rsidR="00DF1884" w:rsidRPr="00DF1884">
              <w:rPr>
                <w:rFonts w:cs="Arial"/>
              </w:rPr>
              <w:t xml:space="preserve"> </w:t>
            </w:r>
            <w:r w:rsidRPr="00DF1884">
              <w:rPr>
                <w:rFonts w:cs="Arial"/>
              </w:rPr>
              <w:t>for</w:t>
            </w:r>
            <w:r w:rsidR="00DF1884" w:rsidRPr="00DF1884">
              <w:rPr>
                <w:rFonts w:cs="Arial"/>
              </w:rPr>
              <w:t xml:space="preserve"> </w:t>
            </w:r>
            <w:r w:rsidRPr="00DF1884">
              <w:rPr>
                <w:rFonts w:cs="Arial"/>
              </w:rPr>
              <w:t>Patients</w:t>
            </w:r>
            <w:r w:rsidR="00DF1884" w:rsidRPr="00DF1884">
              <w:rPr>
                <w:rFonts w:cs="Arial"/>
              </w:rPr>
              <w:t xml:space="preserve"> </w:t>
            </w:r>
            <w:r w:rsidRPr="00DF1884">
              <w:rPr>
                <w:rFonts w:cs="Arial"/>
              </w:rPr>
              <w:t>With</w:t>
            </w:r>
            <w:r w:rsidR="00DF1884" w:rsidRPr="00DF1884">
              <w:rPr>
                <w:rFonts w:cs="Arial"/>
              </w:rPr>
              <w:t xml:space="preserve"> </w:t>
            </w:r>
            <w:r w:rsidRPr="00DF1884">
              <w:rPr>
                <w:rFonts w:cs="Arial"/>
              </w:rPr>
              <w:t>Diabetes</w:t>
            </w:r>
          </w:p>
        </w:tc>
        <w:tc>
          <w:tcPr>
            <w:tcW w:w="1170" w:type="dxa"/>
            <w:tcMar>
              <w:left w:w="115" w:type="dxa"/>
              <w:right w:w="115" w:type="dxa"/>
            </w:tcMar>
            <w:vAlign w:val="center"/>
          </w:tcPr>
          <w:p w14:paraId="51A97E66" w14:textId="7CC2AB2F" w:rsidR="004850EA" w:rsidRPr="00DF1884" w:rsidRDefault="004850EA" w:rsidP="00C56CA6">
            <w:pPr>
              <w:spacing w:before="40" w:after="40" w:line="240" w:lineRule="exact"/>
              <w:jc w:val="center"/>
              <w:rPr>
                <w:rFonts w:ascii="Arial Narrow" w:hAnsi="Arial Narrow" w:cs="Arial"/>
                <w:sz w:val="24"/>
              </w:rPr>
            </w:pPr>
            <w:r w:rsidRPr="00DF1884">
              <w:rPr>
                <w:rFonts w:ascii="Wingdings" w:hAnsi="Wingdings" w:cs="Wingdings"/>
                <w:sz w:val="24"/>
              </w:rPr>
              <w:t></w:t>
            </w:r>
          </w:p>
        </w:tc>
        <w:tc>
          <w:tcPr>
            <w:tcW w:w="1080" w:type="dxa"/>
            <w:tcMar>
              <w:left w:w="43" w:type="dxa"/>
            </w:tcMar>
            <w:vAlign w:val="center"/>
          </w:tcPr>
          <w:p w14:paraId="6E62FE05" w14:textId="532E29C0" w:rsidR="004850EA" w:rsidRPr="00DF1884" w:rsidRDefault="004850EA" w:rsidP="00C56CA6">
            <w:pPr>
              <w:spacing w:before="40" w:after="40" w:line="240" w:lineRule="exact"/>
              <w:jc w:val="center"/>
              <w:rPr>
                <w:rFonts w:ascii="Arial Narrow" w:hAnsi="Arial Narrow" w:cs="Arial"/>
                <w:b/>
                <w:sz w:val="24"/>
              </w:rPr>
            </w:pPr>
            <w:r w:rsidRPr="00DF1884">
              <w:rPr>
                <w:rFonts w:ascii="Wingdings" w:hAnsi="Wingdings" w:cs="Wingdings"/>
                <w:sz w:val="24"/>
              </w:rPr>
              <w:t></w:t>
            </w:r>
          </w:p>
        </w:tc>
        <w:tc>
          <w:tcPr>
            <w:tcW w:w="990" w:type="dxa"/>
            <w:tcBorders>
              <w:right w:val="single" w:sz="12" w:space="0" w:color="auto"/>
            </w:tcBorders>
            <w:tcMar>
              <w:left w:w="43" w:type="dxa"/>
            </w:tcMar>
            <w:vAlign w:val="center"/>
          </w:tcPr>
          <w:p w14:paraId="66B80664" w14:textId="2D04985F" w:rsidR="004850EA" w:rsidRPr="00DF1884" w:rsidRDefault="004850EA" w:rsidP="00C56CA6">
            <w:pPr>
              <w:jc w:val="center"/>
            </w:pPr>
            <w:r w:rsidRPr="00DF1884">
              <w:rPr>
                <w:rFonts w:ascii="Wingdings" w:hAnsi="Wingdings" w:cs="Wingdings"/>
                <w:sz w:val="24"/>
              </w:rPr>
              <w:t></w:t>
            </w:r>
          </w:p>
        </w:tc>
        <w:tc>
          <w:tcPr>
            <w:tcW w:w="810" w:type="dxa"/>
            <w:tcBorders>
              <w:left w:val="single" w:sz="12" w:space="0" w:color="auto"/>
            </w:tcBorders>
            <w:tcMar>
              <w:left w:w="43" w:type="dxa"/>
            </w:tcMar>
            <w:vAlign w:val="center"/>
          </w:tcPr>
          <w:p w14:paraId="3CDA1ED8" w14:textId="158C7331" w:rsidR="004850EA" w:rsidRPr="00DF1884" w:rsidRDefault="004850EA" w:rsidP="00C56CA6">
            <w:pPr>
              <w:jc w:val="center"/>
            </w:pPr>
            <w:r w:rsidRPr="00DF1884">
              <w:rPr>
                <w:rFonts w:ascii="Wingdings" w:hAnsi="Wingdings" w:cs="Wingdings"/>
                <w:sz w:val="24"/>
              </w:rPr>
              <w:t></w:t>
            </w:r>
          </w:p>
        </w:tc>
        <w:tc>
          <w:tcPr>
            <w:tcW w:w="914" w:type="dxa"/>
            <w:tcMar>
              <w:left w:w="43" w:type="dxa"/>
            </w:tcMar>
            <w:vAlign w:val="center"/>
          </w:tcPr>
          <w:p w14:paraId="16DE0941" w14:textId="77777777" w:rsidR="004850EA" w:rsidRPr="00DF1884" w:rsidRDefault="004850EA" w:rsidP="00C56CA6">
            <w:pPr>
              <w:pStyle w:val="TableText"/>
              <w:spacing w:line="240" w:lineRule="exact"/>
              <w:jc w:val="center"/>
              <w:rPr>
                <w:b/>
                <w:sz w:val="24"/>
                <w:szCs w:val="24"/>
              </w:rPr>
            </w:pPr>
          </w:p>
        </w:tc>
        <w:tc>
          <w:tcPr>
            <w:tcW w:w="976" w:type="dxa"/>
            <w:tcMar>
              <w:left w:w="43" w:type="dxa"/>
            </w:tcMar>
            <w:vAlign w:val="center"/>
          </w:tcPr>
          <w:p w14:paraId="5F15D2B6" w14:textId="77777777" w:rsidR="004850EA" w:rsidRPr="00DF1884" w:rsidRDefault="004850EA" w:rsidP="00C56CA6">
            <w:pPr>
              <w:pStyle w:val="TableText"/>
              <w:spacing w:line="240" w:lineRule="exact"/>
              <w:jc w:val="center"/>
              <w:rPr>
                <w:b/>
                <w:sz w:val="24"/>
                <w:szCs w:val="24"/>
              </w:rPr>
            </w:pPr>
          </w:p>
        </w:tc>
        <w:tc>
          <w:tcPr>
            <w:tcW w:w="1089" w:type="dxa"/>
          </w:tcPr>
          <w:p w14:paraId="369B3F23" w14:textId="77777777" w:rsidR="004850EA" w:rsidRPr="00DF1884" w:rsidRDefault="004850EA" w:rsidP="00C56CA6">
            <w:pPr>
              <w:pStyle w:val="TableText"/>
              <w:spacing w:line="240" w:lineRule="exact"/>
              <w:jc w:val="center"/>
              <w:rPr>
                <w:b/>
                <w:sz w:val="24"/>
                <w:szCs w:val="24"/>
              </w:rPr>
            </w:pPr>
          </w:p>
        </w:tc>
      </w:tr>
      <w:tr w:rsidR="004850EA" w:rsidRPr="00DF1884" w14:paraId="5E00F82F" w14:textId="7CD1E885" w:rsidTr="00F03166">
        <w:tblPrEx>
          <w:tblCellMar>
            <w:left w:w="0" w:type="dxa"/>
            <w:right w:w="0" w:type="dxa"/>
          </w:tblCellMar>
          <w:tblLook w:val="0000" w:firstRow="0" w:lastRow="0" w:firstColumn="0" w:lastColumn="0" w:noHBand="0" w:noVBand="0"/>
        </w:tblPrEx>
        <w:tc>
          <w:tcPr>
            <w:tcW w:w="9000" w:type="dxa"/>
            <w:gridSpan w:val="7"/>
            <w:shd w:val="clear" w:color="auto" w:fill="C0C0C0"/>
            <w:tcMar>
              <w:left w:w="43" w:type="dxa"/>
              <w:right w:w="115" w:type="dxa"/>
            </w:tcMar>
            <w:vAlign w:val="center"/>
          </w:tcPr>
          <w:p w14:paraId="08F5EFE6" w14:textId="57D3ECD9" w:rsidR="004850EA" w:rsidRPr="00DF1884" w:rsidRDefault="008859E9" w:rsidP="008859E9">
            <w:pPr>
              <w:pStyle w:val="TableText"/>
              <w:rPr>
                <w:b/>
              </w:rPr>
            </w:pPr>
            <w:r>
              <w:rPr>
                <w:b/>
              </w:rPr>
              <w:t xml:space="preserve">Utilization and </w:t>
            </w:r>
            <w:r w:rsidR="004850EA" w:rsidRPr="00DF1884">
              <w:rPr>
                <w:b/>
              </w:rPr>
              <w:t>Risk</w:t>
            </w:r>
            <w:r w:rsidR="00DF1884" w:rsidRPr="00DF1884">
              <w:rPr>
                <w:b/>
              </w:rPr>
              <w:t xml:space="preserve"> </w:t>
            </w:r>
            <w:r w:rsidR="004850EA" w:rsidRPr="00DF1884">
              <w:rPr>
                <w:b/>
              </w:rPr>
              <w:t>Adjusted</w:t>
            </w:r>
            <w:r w:rsidR="00DF1884" w:rsidRPr="00DF1884">
              <w:rPr>
                <w:b/>
              </w:rPr>
              <w:t xml:space="preserve"> </w:t>
            </w:r>
            <w:r w:rsidR="004850EA" w:rsidRPr="00DF1884">
              <w:rPr>
                <w:b/>
              </w:rPr>
              <w:t>Utilization</w:t>
            </w:r>
            <w:r w:rsidR="00DF1884" w:rsidRPr="00DF1884">
              <w:rPr>
                <w:b/>
              </w:rPr>
              <w:t xml:space="preserve"> </w:t>
            </w:r>
          </w:p>
        </w:tc>
        <w:tc>
          <w:tcPr>
            <w:tcW w:w="1089" w:type="dxa"/>
            <w:shd w:val="clear" w:color="auto" w:fill="C0C0C0"/>
          </w:tcPr>
          <w:p w14:paraId="1BD2291C" w14:textId="77777777" w:rsidR="004850EA" w:rsidRPr="00DF1884" w:rsidRDefault="004850EA" w:rsidP="00C56CA6">
            <w:pPr>
              <w:pStyle w:val="TableText"/>
              <w:rPr>
                <w:b/>
              </w:rPr>
            </w:pPr>
          </w:p>
        </w:tc>
      </w:tr>
      <w:tr w:rsidR="004850EA" w:rsidRPr="00DF1884" w14:paraId="4CBCF1F6" w14:textId="687FD523" w:rsidTr="00F03166">
        <w:tblPrEx>
          <w:tblCellMar>
            <w:left w:w="0" w:type="dxa"/>
            <w:right w:w="0" w:type="dxa"/>
          </w:tblCellMar>
          <w:tblLook w:val="0000" w:firstRow="0" w:lastRow="0" w:firstColumn="0" w:lastColumn="0" w:noHBand="0" w:noVBand="0"/>
        </w:tblPrEx>
        <w:tc>
          <w:tcPr>
            <w:tcW w:w="3060" w:type="dxa"/>
            <w:tcMar>
              <w:left w:w="43" w:type="dxa"/>
              <w:right w:w="115" w:type="dxa"/>
            </w:tcMar>
            <w:vAlign w:val="center"/>
          </w:tcPr>
          <w:p w14:paraId="663E14AA" w14:textId="674FA479" w:rsidR="004850EA" w:rsidRPr="00DF1884" w:rsidRDefault="004850EA" w:rsidP="00C56CA6">
            <w:pPr>
              <w:pStyle w:val="TableText"/>
              <w:rPr>
                <w:rFonts w:cs="Arial"/>
              </w:rPr>
            </w:pPr>
            <w:r w:rsidRPr="00DF1884">
              <w:rPr>
                <w:rFonts w:cs="Arial"/>
              </w:rPr>
              <w:t>Inpatient</w:t>
            </w:r>
            <w:r w:rsidR="00DF1884" w:rsidRPr="00DF1884">
              <w:rPr>
                <w:rFonts w:cs="Arial"/>
              </w:rPr>
              <w:t xml:space="preserve"> </w:t>
            </w:r>
            <w:r w:rsidRPr="00DF1884">
              <w:rPr>
                <w:rFonts w:cs="Arial"/>
              </w:rPr>
              <w:t>Hospital</w:t>
            </w:r>
            <w:r w:rsidR="00DF1884" w:rsidRPr="00DF1884">
              <w:rPr>
                <w:rFonts w:cs="Arial"/>
              </w:rPr>
              <w:t xml:space="preserve"> </w:t>
            </w:r>
            <w:r w:rsidRPr="00DF1884">
              <w:rPr>
                <w:rFonts w:cs="Arial"/>
              </w:rPr>
              <w:t>Utilization</w:t>
            </w:r>
          </w:p>
        </w:tc>
        <w:tc>
          <w:tcPr>
            <w:tcW w:w="1170" w:type="dxa"/>
            <w:tcMar>
              <w:left w:w="115" w:type="dxa"/>
              <w:right w:w="115" w:type="dxa"/>
            </w:tcMar>
            <w:vAlign w:val="center"/>
          </w:tcPr>
          <w:p w14:paraId="76ABA5AE" w14:textId="27C99268" w:rsidR="004850EA" w:rsidRPr="00DF1884" w:rsidRDefault="004850EA" w:rsidP="00F03166">
            <w:pPr>
              <w:spacing w:before="40" w:after="40" w:line="240" w:lineRule="exact"/>
              <w:jc w:val="center"/>
              <w:rPr>
                <w:sz w:val="24"/>
              </w:rPr>
            </w:pPr>
            <w:r w:rsidRPr="00DF1884">
              <w:rPr>
                <w:rFonts w:ascii="Wingdings" w:hAnsi="Wingdings" w:cs="Wingdings"/>
                <w:sz w:val="24"/>
              </w:rPr>
              <w:t></w:t>
            </w:r>
          </w:p>
        </w:tc>
        <w:tc>
          <w:tcPr>
            <w:tcW w:w="1080" w:type="dxa"/>
            <w:tcMar>
              <w:left w:w="43" w:type="dxa"/>
            </w:tcMar>
            <w:vAlign w:val="center"/>
          </w:tcPr>
          <w:p w14:paraId="320001F1" w14:textId="58665143" w:rsidR="004850EA" w:rsidRPr="00DF1884" w:rsidRDefault="004850EA" w:rsidP="00F03166">
            <w:pPr>
              <w:spacing w:before="40" w:after="40" w:line="240" w:lineRule="exact"/>
              <w:jc w:val="center"/>
              <w:rPr>
                <w:sz w:val="24"/>
              </w:rPr>
            </w:pPr>
          </w:p>
        </w:tc>
        <w:tc>
          <w:tcPr>
            <w:tcW w:w="990" w:type="dxa"/>
            <w:tcBorders>
              <w:right w:val="single" w:sz="12" w:space="0" w:color="auto"/>
            </w:tcBorders>
            <w:tcMar>
              <w:left w:w="43" w:type="dxa"/>
            </w:tcMar>
            <w:vAlign w:val="center"/>
          </w:tcPr>
          <w:p w14:paraId="45574C99" w14:textId="7B026589" w:rsidR="004850EA" w:rsidRPr="00DF1884" w:rsidRDefault="004850EA" w:rsidP="00F03166">
            <w:pPr>
              <w:jc w:val="center"/>
            </w:pPr>
            <w:r w:rsidRPr="00DF1884">
              <w:rPr>
                <w:rFonts w:ascii="Wingdings" w:hAnsi="Wingdings" w:cs="Wingdings"/>
                <w:sz w:val="24"/>
              </w:rPr>
              <w:t></w:t>
            </w:r>
          </w:p>
        </w:tc>
        <w:tc>
          <w:tcPr>
            <w:tcW w:w="810" w:type="dxa"/>
            <w:tcBorders>
              <w:left w:val="single" w:sz="12" w:space="0" w:color="auto"/>
            </w:tcBorders>
            <w:tcMar>
              <w:left w:w="43" w:type="dxa"/>
            </w:tcMar>
            <w:vAlign w:val="center"/>
          </w:tcPr>
          <w:p w14:paraId="41225F73" w14:textId="6A6C9D1A" w:rsidR="004850EA" w:rsidRPr="00DF1884" w:rsidRDefault="004850EA" w:rsidP="00F03166">
            <w:pPr>
              <w:jc w:val="center"/>
              <w:rPr>
                <w:sz w:val="24"/>
              </w:rPr>
            </w:pPr>
            <w:r w:rsidRPr="00DF1884">
              <w:rPr>
                <w:rFonts w:ascii="Wingdings" w:hAnsi="Wingdings" w:cs="Wingdings"/>
                <w:sz w:val="24"/>
              </w:rPr>
              <w:t></w:t>
            </w:r>
          </w:p>
        </w:tc>
        <w:tc>
          <w:tcPr>
            <w:tcW w:w="914" w:type="dxa"/>
            <w:tcMar>
              <w:left w:w="43" w:type="dxa"/>
            </w:tcMar>
            <w:vAlign w:val="center"/>
          </w:tcPr>
          <w:p w14:paraId="5EB49EC2" w14:textId="77777777" w:rsidR="004850EA" w:rsidRPr="00DF1884" w:rsidRDefault="004850EA" w:rsidP="00F03166">
            <w:pPr>
              <w:pStyle w:val="TableText"/>
              <w:spacing w:line="240" w:lineRule="exact"/>
              <w:jc w:val="center"/>
              <w:rPr>
                <w:b/>
                <w:sz w:val="24"/>
                <w:szCs w:val="24"/>
              </w:rPr>
            </w:pPr>
          </w:p>
        </w:tc>
        <w:tc>
          <w:tcPr>
            <w:tcW w:w="976" w:type="dxa"/>
            <w:tcMar>
              <w:left w:w="43" w:type="dxa"/>
            </w:tcMar>
            <w:vAlign w:val="center"/>
          </w:tcPr>
          <w:p w14:paraId="523B6C77" w14:textId="77777777" w:rsidR="004850EA" w:rsidRPr="00DF1884" w:rsidRDefault="004850EA" w:rsidP="00C56CA6">
            <w:pPr>
              <w:pStyle w:val="TableText"/>
              <w:spacing w:line="240" w:lineRule="exact"/>
              <w:jc w:val="center"/>
              <w:rPr>
                <w:b/>
                <w:sz w:val="24"/>
                <w:szCs w:val="24"/>
              </w:rPr>
            </w:pPr>
          </w:p>
        </w:tc>
        <w:tc>
          <w:tcPr>
            <w:tcW w:w="1089" w:type="dxa"/>
          </w:tcPr>
          <w:p w14:paraId="0B2081E0" w14:textId="77777777" w:rsidR="004850EA" w:rsidRPr="00DF1884" w:rsidRDefault="004850EA" w:rsidP="00C56CA6">
            <w:pPr>
              <w:pStyle w:val="TableText"/>
              <w:spacing w:line="240" w:lineRule="exact"/>
              <w:jc w:val="center"/>
              <w:rPr>
                <w:b/>
                <w:sz w:val="24"/>
                <w:szCs w:val="24"/>
              </w:rPr>
            </w:pPr>
          </w:p>
        </w:tc>
      </w:tr>
      <w:tr w:rsidR="004850EA" w:rsidRPr="00DF1884" w14:paraId="5FA38F68" w14:textId="79231FE6" w:rsidTr="00F03166">
        <w:tblPrEx>
          <w:tblCellMar>
            <w:left w:w="0" w:type="dxa"/>
            <w:right w:w="0" w:type="dxa"/>
          </w:tblCellMar>
          <w:tblLook w:val="0000" w:firstRow="0" w:lastRow="0" w:firstColumn="0" w:lastColumn="0" w:noHBand="0" w:noVBand="0"/>
        </w:tblPrEx>
        <w:tc>
          <w:tcPr>
            <w:tcW w:w="3060" w:type="dxa"/>
            <w:tcMar>
              <w:left w:w="43" w:type="dxa"/>
              <w:right w:w="115" w:type="dxa"/>
            </w:tcMar>
            <w:vAlign w:val="center"/>
          </w:tcPr>
          <w:p w14:paraId="79612914" w14:textId="2A94027A" w:rsidR="004850EA" w:rsidRPr="00DF1884" w:rsidRDefault="004850EA" w:rsidP="00C56CA6">
            <w:pPr>
              <w:pStyle w:val="TableText"/>
              <w:rPr>
                <w:rFonts w:cs="Arial"/>
              </w:rPr>
            </w:pPr>
            <w:r w:rsidRPr="00DF1884">
              <w:rPr>
                <w:rFonts w:cs="Arial"/>
              </w:rPr>
              <w:t>Emergency</w:t>
            </w:r>
            <w:r w:rsidR="00DF1884" w:rsidRPr="00DF1884">
              <w:rPr>
                <w:rFonts w:cs="Arial"/>
              </w:rPr>
              <w:t xml:space="preserve"> </w:t>
            </w:r>
            <w:r w:rsidRPr="00DF1884">
              <w:rPr>
                <w:rFonts w:cs="Arial"/>
              </w:rPr>
              <w:t>Department</w:t>
            </w:r>
            <w:r w:rsidR="00DF1884" w:rsidRPr="00DF1884">
              <w:rPr>
                <w:rFonts w:cs="Arial"/>
              </w:rPr>
              <w:t xml:space="preserve"> </w:t>
            </w:r>
            <w:r w:rsidRPr="00DF1884">
              <w:rPr>
                <w:rFonts w:cs="Arial"/>
              </w:rPr>
              <w:t>Utilization</w:t>
            </w:r>
          </w:p>
        </w:tc>
        <w:tc>
          <w:tcPr>
            <w:tcW w:w="1170" w:type="dxa"/>
            <w:tcMar>
              <w:left w:w="115" w:type="dxa"/>
              <w:right w:w="115" w:type="dxa"/>
            </w:tcMar>
            <w:vAlign w:val="center"/>
          </w:tcPr>
          <w:p w14:paraId="1F71EE5C" w14:textId="36A827BC" w:rsidR="004850EA" w:rsidRPr="00DF1884" w:rsidRDefault="004850EA" w:rsidP="00F03166">
            <w:pPr>
              <w:spacing w:before="40" w:after="40" w:line="240" w:lineRule="exact"/>
              <w:jc w:val="center"/>
              <w:rPr>
                <w:sz w:val="24"/>
              </w:rPr>
            </w:pPr>
            <w:r w:rsidRPr="00DF1884">
              <w:rPr>
                <w:rFonts w:ascii="Wingdings" w:hAnsi="Wingdings" w:cs="Wingdings"/>
                <w:sz w:val="24"/>
              </w:rPr>
              <w:t></w:t>
            </w:r>
          </w:p>
        </w:tc>
        <w:tc>
          <w:tcPr>
            <w:tcW w:w="1080" w:type="dxa"/>
            <w:tcMar>
              <w:left w:w="43" w:type="dxa"/>
            </w:tcMar>
            <w:vAlign w:val="center"/>
          </w:tcPr>
          <w:p w14:paraId="70D21044" w14:textId="77777777" w:rsidR="004850EA" w:rsidRPr="00DF1884" w:rsidRDefault="004850EA" w:rsidP="00F03166">
            <w:pPr>
              <w:spacing w:before="40" w:after="40" w:line="240" w:lineRule="exact"/>
              <w:jc w:val="center"/>
              <w:rPr>
                <w:sz w:val="24"/>
              </w:rPr>
            </w:pPr>
          </w:p>
        </w:tc>
        <w:tc>
          <w:tcPr>
            <w:tcW w:w="990" w:type="dxa"/>
            <w:tcBorders>
              <w:right w:val="single" w:sz="12" w:space="0" w:color="auto"/>
            </w:tcBorders>
            <w:tcMar>
              <w:left w:w="43" w:type="dxa"/>
            </w:tcMar>
            <w:vAlign w:val="center"/>
          </w:tcPr>
          <w:p w14:paraId="45C70088" w14:textId="6C0919E8" w:rsidR="004850EA" w:rsidRPr="00DF1884" w:rsidRDefault="004850EA" w:rsidP="00F03166">
            <w:pPr>
              <w:jc w:val="center"/>
            </w:pPr>
            <w:r w:rsidRPr="00DF1884">
              <w:rPr>
                <w:rFonts w:ascii="Wingdings" w:hAnsi="Wingdings" w:cs="Wingdings"/>
                <w:sz w:val="24"/>
              </w:rPr>
              <w:t></w:t>
            </w:r>
          </w:p>
        </w:tc>
        <w:tc>
          <w:tcPr>
            <w:tcW w:w="810" w:type="dxa"/>
            <w:tcBorders>
              <w:left w:val="single" w:sz="12" w:space="0" w:color="auto"/>
            </w:tcBorders>
            <w:tcMar>
              <w:left w:w="43" w:type="dxa"/>
            </w:tcMar>
            <w:vAlign w:val="center"/>
          </w:tcPr>
          <w:p w14:paraId="7E6C36BF" w14:textId="3433C57B" w:rsidR="004850EA" w:rsidRPr="00DF1884" w:rsidRDefault="004850EA" w:rsidP="00F03166">
            <w:pPr>
              <w:jc w:val="center"/>
              <w:rPr>
                <w:sz w:val="24"/>
              </w:rPr>
            </w:pPr>
            <w:r w:rsidRPr="00DF1884">
              <w:rPr>
                <w:rFonts w:ascii="Wingdings" w:hAnsi="Wingdings" w:cs="Wingdings"/>
                <w:sz w:val="24"/>
              </w:rPr>
              <w:t></w:t>
            </w:r>
          </w:p>
        </w:tc>
        <w:tc>
          <w:tcPr>
            <w:tcW w:w="914" w:type="dxa"/>
            <w:tcMar>
              <w:left w:w="43" w:type="dxa"/>
            </w:tcMar>
            <w:vAlign w:val="center"/>
          </w:tcPr>
          <w:p w14:paraId="187D3952" w14:textId="77777777" w:rsidR="004850EA" w:rsidRPr="00DF1884" w:rsidRDefault="004850EA" w:rsidP="00F03166">
            <w:pPr>
              <w:pStyle w:val="TableText"/>
              <w:spacing w:line="240" w:lineRule="exact"/>
              <w:jc w:val="center"/>
              <w:rPr>
                <w:b/>
                <w:sz w:val="24"/>
                <w:szCs w:val="24"/>
              </w:rPr>
            </w:pPr>
          </w:p>
        </w:tc>
        <w:tc>
          <w:tcPr>
            <w:tcW w:w="976" w:type="dxa"/>
            <w:tcMar>
              <w:left w:w="43" w:type="dxa"/>
            </w:tcMar>
            <w:vAlign w:val="center"/>
          </w:tcPr>
          <w:p w14:paraId="170CC30D" w14:textId="77777777" w:rsidR="004850EA" w:rsidRPr="00DF1884" w:rsidRDefault="004850EA" w:rsidP="00C56CA6">
            <w:pPr>
              <w:pStyle w:val="TableText"/>
              <w:spacing w:line="240" w:lineRule="exact"/>
              <w:jc w:val="center"/>
              <w:rPr>
                <w:b/>
                <w:sz w:val="24"/>
                <w:szCs w:val="24"/>
              </w:rPr>
            </w:pPr>
          </w:p>
        </w:tc>
        <w:tc>
          <w:tcPr>
            <w:tcW w:w="1089" w:type="dxa"/>
          </w:tcPr>
          <w:p w14:paraId="538BBD3B" w14:textId="77777777" w:rsidR="004850EA" w:rsidRPr="00DF1884" w:rsidRDefault="004850EA" w:rsidP="00C56CA6">
            <w:pPr>
              <w:pStyle w:val="TableText"/>
              <w:spacing w:line="240" w:lineRule="exact"/>
              <w:jc w:val="center"/>
              <w:rPr>
                <w:b/>
                <w:sz w:val="24"/>
                <w:szCs w:val="24"/>
              </w:rPr>
            </w:pPr>
          </w:p>
        </w:tc>
      </w:tr>
      <w:tr w:rsidR="004850EA" w:rsidRPr="00DF1884" w14:paraId="5E00C466" w14:textId="32E751E2" w:rsidTr="00F03166">
        <w:tblPrEx>
          <w:tblCellMar>
            <w:left w:w="0" w:type="dxa"/>
            <w:right w:w="0" w:type="dxa"/>
          </w:tblCellMar>
          <w:tblLook w:val="0000" w:firstRow="0" w:lastRow="0" w:firstColumn="0" w:lastColumn="0" w:noHBand="0" w:noVBand="0"/>
        </w:tblPrEx>
        <w:tc>
          <w:tcPr>
            <w:tcW w:w="3060" w:type="dxa"/>
            <w:tcMar>
              <w:left w:w="43" w:type="dxa"/>
              <w:right w:w="115" w:type="dxa"/>
            </w:tcMar>
            <w:vAlign w:val="center"/>
          </w:tcPr>
          <w:p w14:paraId="5968AA5F" w14:textId="278C0012" w:rsidR="004850EA" w:rsidRPr="00DF1884" w:rsidRDefault="004850EA" w:rsidP="00C56CA6">
            <w:pPr>
              <w:pStyle w:val="TableText"/>
              <w:rPr>
                <w:rFonts w:cs="Arial"/>
              </w:rPr>
            </w:pPr>
            <w:r w:rsidRPr="00DF1884">
              <w:rPr>
                <w:rFonts w:cs="Arial"/>
              </w:rPr>
              <w:t>Hospitalization</w:t>
            </w:r>
            <w:r w:rsidR="00DF1884" w:rsidRPr="00DF1884">
              <w:rPr>
                <w:rFonts w:cs="Arial"/>
              </w:rPr>
              <w:t xml:space="preserve"> </w:t>
            </w:r>
            <w:r w:rsidRPr="00DF1884">
              <w:rPr>
                <w:rFonts w:cs="Arial"/>
              </w:rPr>
              <w:t>for</w:t>
            </w:r>
            <w:r w:rsidR="00DF1884" w:rsidRPr="00DF1884">
              <w:rPr>
                <w:rFonts w:cs="Arial"/>
              </w:rPr>
              <w:t xml:space="preserve"> </w:t>
            </w:r>
            <w:r w:rsidRPr="00DF1884">
              <w:rPr>
                <w:rFonts w:cs="Arial"/>
              </w:rPr>
              <w:t>Potentially</w:t>
            </w:r>
            <w:r w:rsidR="00DF1884" w:rsidRPr="00DF1884">
              <w:rPr>
                <w:rFonts w:cs="Arial"/>
              </w:rPr>
              <w:t xml:space="preserve"> </w:t>
            </w:r>
            <w:r w:rsidRPr="00DF1884">
              <w:rPr>
                <w:rFonts w:cs="Arial"/>
              </w:rPr>
              <w:t>Preventable</w:t>
            </w:r>
            <w:r w:rsidR="00DF1884" w:rsidRPr="00DF1884">
              <w:rPr>
                <w:rFonts w:cs="Arial"/>
              </w:rPr>
              <w:t xml:space="preserve"> </w:t>
            </w:r>
            <w:r w:rsidRPr="00DF1884">
              <w:rPr>
                <w:rFonts w:cs="Arial"/>
              </w:rPr>
              <w:t>Complications</w:t>
            </w:r>
          </w:p>
        </w:tc>
        <w:tc>
          <w:tcPr>
            <w:tcW w:w="1170" w:type="dxa"/>
            <w:tcMar>
              <w:left w:w="115" w:type="dxa"/>
              <w:right w:w="115" w:type="dxa"/>
            </w:tcMar>
            <w:vAlign w:val="center"/>
          </w:tcPr>
          <w:p w14:paraId="1F5CD61B" w14:textId="77777777" w:rsidR="004850EA" w:rsidRPr="00DF1884" w:rsidRDefault="004850EA" w:rsidP="00F03166">
            <w:pPr>
              <w:spacing w:before="40" w:after="40" w:line="240" w:lineRule="exact"/>
              <w:jc w:val="center"/>
              <w:rPr>
                <w:sz w:val="24"/>
              </w:rPr>
            </w:pPr>
          </w:p>
        </w:tc>
        <w:tc>
          <w:tcPr>
            <w:tcW w:w="1080" w:type="dxa"/>
            <w:tcMar>
              <w:left w:w="43" w:type="dxa"/>
            </w:tcMar>
            <w:vAlign w:val="center"/>
          </w:tcPr>
          <w:p w14:paraId="478E8A3F" w14:textId="77777777" w:rsidR="004850EA" w:rsidRPr="00DF1884" w:rsidRDefault="004850EA" w:rsidP="00F03166">
            <w:pPr>
              <w:spacing w:before="40" w:after="40" w:line="240" w:lineRule="exact"/>
              <w:jc w:val="center"/>
              <w:rPr>
                <w:sz w:val="24"/>
              </w:rPr>
            </w:pPr>
          </w:p>
        </w:tc>
        <w:tc>
          <w:tcPr>
            <w:tcW w:w="990" w:type="dxa"/>
            <w:tcBorders>
              <w:right w:val="single" w:sz="12" w:space="0" w:color="auto"/>
            </w:tcBorders>
            <w:tcMar>
              <w:left w:w="43" w:type="dxa"/>
            </w:tcMar>
            <w:vAlign w:val="center"/>
          </w:tcPr>
          <w:p w14:paraId="425A74D1" w14:textId="2A841188" w:rsidR="004850EA" w:rsidRPr="00DF1884" w:rsidRDefault="004850EA" w:rsidP="00F03166">
            <w:pPr>
              <w:jc w:val="center"/>
            </w:pPr>
            <w:r w:rsidRPr="00DF1884">
              <w:rPr>
                <w:rFonts w:ascii="Wingdings" w:hAnsi="Wingdings" w:cs="Wingdings"/>
                <w:sz w:val="24"/>
              </w:rPr>
              <w:t></w:t>
            </w:r>
          </w:p>
        </w:tc>
        <w:tc>
          <w:tcPr>
            <w:tcW w:w="810" w:type="dxa"/>
            <w:tcBorders>
              <w:left w:val="single" w:sz="12" w:space="0" w:color="auto"/>
            </w:tcBorders>
            <w:tcMar>
              <w:left w:w="43" w:type="dxa"/>
            </w:tcMar>
            <w:vAlign w:val="center"/>
          </w:tcPr>
          <w:p w14:paraId="23405F47" w14:textId="27A15E35" w:rsidR="004850EA" w:rsidRPr="00DF1884" w:rsidRDefault="004850EA" w:rsidP="00F03166">
            <w:pPr>
              <w:jc w:val="center"/>
              <w:rPr>
                <w:sz w:val="24"/>
              </w:rPr>
            </w:pPr>
            <w:r w:rsidRPr="00DF1884">
              <w:rPr>
                <w:rFonts w:ascii="Wingdings" w:hAnsi="Wingdings" w:cs="Wingdings"/>
                <w:sz w:val="24"/>
              </w:rPr>
              <w:t></w:t>
            </w:r>
          </w:p>
        </w:tc>
        <w:tc>
          <w:tcPr>
            <w:tcW w:w="914" w:type="dxa"/>
            <w:tcMar>
              <w:left w:w="43" w:type="dxa"/>
            </w:tcMar>
            <w:vAlign w:val="center"/>
          </w:tcPr>
          <w:p w14:paraId="7793E91A" w14:textId="77777777" w:rsidR="004850EA" w:rsidRPr="00DF1884" w:rsidRDefault="004850EA" w:rsidP="00F03166">
            <w:pPr>
              <w:pStyle w:val="TableText"/>
              <w:spacing w:line="240" w:lineRule="exact"/>
              <w:jc w:val="center"/>
              <w:rPr>
                <w:b/>
                <w:sz w:val="24"/>
                <w:szCs w:val="24"/>
              </w:rPr>
            </w:pPr>
          </w:p>
        </w:tc>
        <w:tc>
          <w:tcPr>
            <w:tcW w:w="976" w:type="dxa"/>
            <w:tcMar>
              <w:left w:w="43" w:type="dxa"/>
            </w:tcMar>
            <w:vAlign w:val="center"/>
          </w:tcPr>
          <w:p w14:paraId="00628123" w14:textId="77777777" w:rsidR="004850EA" w:rsidRPr="00DF1884" w:rsidRDefault="004850EA" w:rsidP="00C56CA6">
            <w:pPr>
              <w:pStyle w:val="TableText"/>
              <w:spacing w:line="240" w:lineRule="exact"/>
              <w:jc w:val="center"/>
              <w:rPr>
                <w:b/>
                <w:sz w:val="24"/>
                <w:szCs w:val="24"/>
              </w:rPr>
            </w:pPr>
          </w:p>
        </w:tc>
        <w:tc>
          <w:tcPr>
            <w:tcW w:w="1089" w:type="dxa"/>
          </w:tcPr>
          <w:p w14:paraId="6F3D0F95" w14:textId="77777777" w:rsidR="004850EA" w:rsidRPr="00DF1884" w:rsidRDefault="004850EA" w:rsidP="00C56CA6">
            <w:pPr>
              <w:pStyle w:val="TableText"/>
              <w:spacing w:line="240" w:lineRule="exact"/>
              <w:jc w:val="center"/>
              <w:rPr>
                <w:b/>
                <w:sz w:val="24"/>
                <w:szCs w:val="24"/>
              </w:rPr>
            </w:pPr>
          </w:p>
        </w:tc>
      </w:tr>
      <w:tr w:rsidR="00F03166" w:rsidRPr="00DF1884" w14:paraId="78E91FC1" w14:textId="148BC815" w:rsidTr="00F03166">
        <w:tblPrEx>
          <w:tblCellMar>
            <w:left w:w="0" w:type="dxa"/>
            <w:right w:w="0" w:type="dxa"/>
          </w:tblCellMar>
          <w:tblLook w:val="0000" w:firstRow="0" w:lastRow="0" w:firstColumn="0" w:lastColumn="0" w:noHBand="0" w:noVBand="0"/>
        </w:tblPrEx>
        <w:tc>
          <w:tcPr>
            <w:tcW w:w="10089" w:type="dxa"/>
            <w:gridSpan w:val="8"/>
            <w:shd w:val="clear" w:color="auto" w:fill="C0C0C0"/>
            <w:tcMar>
              <w:left w:w="43" w:type="dxa"/>
              <w:right w:w="115" w:type="dxa"/>
            </w:tcMar>
            <w:vAlign w:val="center"/>
          </w:tcPr>
          <w:p w14:paraId="51879855" w14:textId="17BAAD25" w:rsidR="004850EA" w:rsidRPr="00DF1884" w:rsidRDefault="00FC357C" w:rsidP="00F03166">
            <w:pPr>
              <w:pStyle w:val="TableText"/>
              <w:rPr>
                <w:b/>
              </w:rPr>
            </w:pPr>
            <w:r w:rsidRPr="00DF1884">
              <w:rPr>
                <w:b/>
              </w:rPr>
              <w:t>Measures</w:t>
            </w:r>
            <w:r w:rsidR="00DF1884" w:rsidRPr="00DF1884">
              <w:rPr>
                <w:b/>
              </w:rPr>
              <w:t xml:space="preserve"> </w:t>
            </w:r>
            <w:r w:rsidRPr="00DF1884">
              <w:rPr>
                <w:b/>
              </w:rPr>
              <w:t>Collected</w:t>
            </w:r>
            <w:r w:rsidR="00DF1884" w:rsidRPr="00DF1884">
              <w:rPr>
                <w:b/>
              </w:rPr>
              <w:t xml:space="preserve"> </w:t>
            </w:r>
            <w:r w:rsidRPr="00DF1884">
              <w:rPr>
                <w:b/>
              </w:rPr>
              <w:t>using</w:t>
            </w:r>
            <w:r w:rsidR="00DF1884" w:rsidRPr="00DF1884">
              <w:rPr>
                <w:b/>
              </w:rPr>
              <w:t xml:space="preserve"> </w:t>
            </w:r>
            <w:r w:rsidRPr="00DF1884">
              <w:rPr>
                <w:b/>
              </w:rPr>
              <w:t>Electronic</w:t>
            </w:r>
            <w:r w:rsidR="00DF1884" w:rsidRPr="00DF1884">
              <w:rPr>
                <w:b/>
              </w:rPr>
              <w:t xml:space="preserve"> </w:t>
            </w:r>
            <w:r w:rsidRPr="00DF1884">
              <w:rPr>
                <w:b/>
              </w:rPr>
              <w:t>Clinical</w:t>
            </w:r>
            <w:r w:rsidR="00DF1884" w:rsidRPr="00DF1884">
              <w:rPr>
                <w:b/>
              </w:rPr>
              <w:t xml:space="preserve"> </w:t>
            </w:r>
            <w:r w:rsidRPr="00DF1884">
              <w:rPr>
                <w:b/>
              </w:rPr>
              <w:t>Data</w:t>
            </w:r>
            <w:r w:rsidR="00DF1884" w:rsidRPr="00DF1884">
              <w:rPr>
                <w:b/>
              </w:rPr>
              <w:t xml:space="preserve"> </w:t>
            </w:r>
            <w:r w:rsidRPr="00DF1884">
              <w:rPr>
                <w:b/>
              </w:rPr>
              <w:t>Systems</w:t>
            </w:r>
          </w:p>
        </w:tc>
      </w:tr>
      <w:tr w:rsidR="004850EA" w:rsidRPr="00DF1884" w14:paraId="17593BDE" w14:textId="59EBD263" w:rsidTr="00F03166">
        <w:tblPrEx>
          <w:tblCellMar>
            <w:left w:w="0" w:type="dxa"/>
            <w:right w:w="0" w:type="dxa"/>
          </w:tblCellMar>
          <w:tblLook w:val="0000" w:firstRow="0" w:lastRow="0" w:firstColumn="0" w:lastColumn="0" w:noHBand="0" w:noVBand="0"/>
        </w:tblPrEx>
        <w:tc>
          <w:tcPr>
            <w:tcW w:w="3060" w:type="dxa"/>
            <w:tcMar>
              <w:left w:w="43" w:type="dxa"/>
              <w:right w:w="115" w:type="dxa"/>
            </w:tcMar>
            <w:vAlign w:val="center"/>
          </w:tcPr>
          <w:p w14:paraId="1356C47E" w14:textId="2BA65932" w:rsidR="004850EA" w:rsidRPr="00DF1884" w:rsidRDefault="004850EA" w:rsidP="00E50355">
            <w:pPr>
              <w:pStyle w:val="TableText"/>
              <w:rPr>
                <w:rFonts w:cs="Arial"/>
              </w:rPr>
            </w:pPr>
            <w:r w:rsidRPr="00DF1884">
              <w:rPr>
                <w:rFonts w:cs="Arial"/>
              </w:rPr>
              <w:t>Utilization</w:t>
            </w:r>
            <w:r w:rsidR="00DF1884" w:rsidRPr="00DF1884">
              <w:rPr>
                <w:rFonts w:cs="Arial"/>
              </w:rPr>
              <w:t xml:space="preserve"> </w:t>
            </w:r>
            <w:r w:rsidRPr="00DF1884">
              <w:rPr>
                <w:rFonts w:cs="Arial"/>
              </w:rPr>
              <w:t>of</w:t>
            </w:r>
            <w:r w:rsidR="00DF1884" w:rsidRPr="00DF1884">
              <w:rPr>
                <w:rFonts w:cs="Arial"/>
              </w:rPr>
              <w:t xml:space="preserve"> </w:t>
            </w:r>
            <w:r w:rsidRPr="00DF1884">
              <w:rPr>
                <w:rFonts w:cs="Arial"/>
              </w:rPr>
              <w:t>the</w:t>
            </w:r>
            <w:r w:rsidR="00DF1884" w:rsidRPr="00DF1884">
              <w:rPr>
                <w:rFonts w:cs="Arial"/>
              </w:rPr>
              <w:t xml:space="preserve"> </w:t>
            </w:r>
            <w:r w:rsidRPr="00DF1884">
              <w:rPr>
                <w:rFonts w:cs="Arial"/>
              </w:rPr>
              <w:t>PHQ-9</w:t>
            </w:r>
            <w:r w:rsidR="00DF1884" w:rsidRPr="00DF1884">
              <w:rPr>
                <w:rFonts w:cs="Arial"/>
              </w:rPr>
              <w:t xml:space="preserve"> </w:t>
            </w:r>
            <w:r w:rsidRPr="00DF1884">
              <w:rPr>
                <w:rFonts w:cs="Arial"/>
              </w:rPr>
              <w:t>to</w:t>
            </w:r>
            <w:r w:rsidR="00DF1884" w:rsidRPr="00DF1884">
              <w:rPr>
                <w:rFonts w:cs="Arial"/>
              </w:rPr>
              <w:t xml:space="preserve"> </w:t>
            </w:r>
            <w:r w:rsidRPr="00DF1884">
              <w:rPr>
                <w:rFonts w:cs="Arial"/>
              </w:rPr>
              <w:t>Monitor</w:t>
            </w:r>
            <w:r w:rsidR="00DF1884" w:rsidRPr="00DF1884">
              <w:rPr>
                <w:rFonts w:cs="Arial"/>
              </w:rPr>
              <w:t xml:space="preserve"> </w:t>
            </w:r>
            <w:r w:rsidRPr="00DF1884">
              <w:rPr>
                <w:rFonts w:cs="Arial"/>
              </w:rPr>
              <w:t>Depression</w:t>
            </w:r>
            <w:r w:rsidR="00DF1884" w:rsidRPr="00DF1884">
              <w:rPr>
                <w:rFonts w:cs="Arial"/>
              </w:rPr>
              <w:t xml:space="preserve"> </w:t>
            </w:r>
            <w:r w:rsidRPr="00DF1884">
              <w:rPr>
                <w:rFonts w:cs="Arial"/>
              </w:rPr>
              <w:t>Symptoms</w:t>
            </w:r>
            <w:r w:rsidR="00DF1884" w:rsidRPr="00DF1884">
              <w:rPr>
                <w:rFonts w:cs="Arial"/>
              </w:rPr>
              <w:t xml:space="preserve"> </w:t>
            </w:r>
            <w:r w:rsidRPr="00DF1884">
              <w:rPr>
                <w:rFonts w:cs="Arial"/>
              </w:rPr>
              <w:t>for</w:t>
            </w:r>
            <w:r w:rsidR="00DF1884" w:rsidRPr="00DF1884">
              <w:rPr>
                <w:rFonts w:cs="Arial"/>
              </w:rPr>
              <w:t xml:space="preserve"> </w:t>
            </w:r>
            <w:r w:rsidRPr="00DF1884">
              <w:rPr>
                <w:rFonts w:cs="Arial"/>
              </w:rPr>
              <w:t>Adolescents</w:t>
            </w:r>
            <w:r w:rsidR="00DF1884" w:rsidRPr="00DF1884">
              <w:rPr>
                <w:rFonts w:cs="Arial"/>
              </w:rPr>
              <w:t xml:space="preserve"> </w:t>
            </w:r>
            <w:r w:rsidRPr="00DF1884">
              <w:rPr>
                <w:rFonts w:cs="Arial"/>
              </w:rPr>
              <w:t>and</w:t>
            </w:r>
            <w:r w:rsidR="00DF1884" w:rsidRPr="00DF1884">
              <w:rPr>
                <w:rFonts w:cs="Arial"/>
              </w:rPr>
              <w:t xml:space="preserve"> </w:t>
            </w:r>
            <w:r w:rsidRPr="00DF1884">
              <w:rPr>
                <w:rFonts w:cs="Arial"/>
              </w:rPr>
              <w:t>Adults</w:t>
            </w:r>
            <w:r w:rsidR="00B54824" w:rsidRPr="00DF1884">
              <w:rPr>
                <w:rFonts w:cs="Arial"/>
              </w:rPr>
              <w:t>*</w:t>
            </w:r>
          </w:p>
        </w:tc>
        <w:tc>
          <w:tcPr>
            <w:tcW w:w="1170" w:type="dxa"/>
            <w:tcMar>
              <w:left w:w="115" w:type="dxa"/>
              <w:right w:w="115" w:type="dxa"/>
            </w:tcMar>
            <w:vAlign w:val="center"/>
          </w:tcPr>
          <w:p w14:paraId="02BCD7DD" w14:textId="77777777" w:rsidR="004850EA" w:rsidRPr="00DF1884" w:rsidRDefault="004850EA" w:rsidP="00F03166">
            <w:pPr>
              <w:spacing w:before="40" w:after="40" w:line="240" w:lineRule="exact"/>
              <w:jc w:val="center"/>
              <w:rPr>
                <w:sz w:val="24"/>
              </w:rPr>
            </w:pPr>
            <w:r w:rsidRPr="00DF1884">
              <w:rPr>
                <w:rFonts w:ascii="Wingdings" w:hAnsi="Wingdings" w:cs="Wingdings"/>
                <w:sz w:val="24"/>
              </w:rPr>
              <w:t></w:t>
            </w:r>
          </w:p>
        </w:tc>
        <w:tc>
          <w:tcPr>
            <w:tcW w:w="1080" w:type="dxa"/>
            <w:tcMar>
              <w:left w:w="43" w:type="dxa"/>
            </w:tcMar>
            <w:vAlign w:val="center"/>
          </w:tcPr>
          <w:p w14:paraId="21B1F4B5" w14:textId="0F5E3129" w:rsidR="004850EA" w:rsidRPr="00DF1884" w:rsidRDefault="004850EA" w:rsidP="00F03166">
            <w:pPr>
              <w:spacing w:before="40" w:after="40" w:line="240" w:lineRule="exact"/>
              <w:jc w:val="center"/>
              <w:rPr>
                <w:sz w:val="24"/>
              </w:rPr>
            </w:pPr>
            <w:r w:rsidRPr="00DF1884">
              <w:rPr>
                <w:rFonts w:ascii="Wingdings" w:hAnsi="Wingdings" w:cs="Wingdings"/>
                <w:sz w:val="24"/>
              </w:rPr>
              <w:t></w:t>
            </w:r>
          </w:p>
        </w:tc>
        <w:tc>
          <w:tcPr>
            <w:tcW w:w="990" w:type="dxa"/>
            <w:tcBorders>
              <w:right w:val="single" w:sz="12" w:space="0" w:color="auto"/>
            </w:tcBorders>
            <w:tcMar>
              <w:left w:w="43" w:type="dxa"/>
            </w:tcMar>
            <w:vAlign w:val="center"/>
          </w:tcPr>
          <w:p w14:paraId="430578CE" w14:textId="77777777" w:rsidR="004850EA" w:rsidRPr="00DF1884" w:rsidRDefault="004850EA" w:rsidP="00F03166">
            <w:pPr>
              <w:jc w:val="center"/>
            </w:pPr>
            <w:r w:rsidRPr="00DF1884">
              <w:rPr>
                <w:rFonts w:ascii="Wingdings" w:hAnsi="Wingdings" w:cs="Wingdings"/>
                <w:sz w:val="24"/>
              </w:rPr>
              <w:t></w:t>
            </w:r>
          </w:p>
        </w:tc>
        <w:tc>
          <w:tcPr>
            <w:tcW w:w="810" w:type="dxa"/>
            <w:tcBorders>
              <w:left w:val="single" w:sz="12" w:space="0" w:color="auto"/>
            </w:tcBorders>
            <w:tcMar>
              <w:left w:w="43" w:type="dxa"/>
            </w:tcMar>
            <w:vAlign w:val="center"/>
          </w:tcPr>
          <w:p w14:paraId="43F85865" w14:textId="6C17832F" w:rsidR="004850EA" w:rsidRPr="00DF1884" w:rsidRDefault="004850EA" w:rsidP="00F03166">
            <w:pPr>
              <w:jc w:val="center"/>
              <w:rPr>
                <w:sz w:val="24"/>
              </w:rPr>
            </w:pPr>
          </w:p>
        </w:tc>
        <w:tc>
          <w:tcPr>
            <w:tcW w:w="914" w:type="dxa"/>
            <w:tcMar>
              <w:left w:w="43" w:type="dxa"/>
            </w:tcMar>
            <w:vAlign w:val="center"/>
          </w:tcPr>
          <w:p w14:paraId="2963E133" w14:textId="77777777" w:rsidR="004850EA" w:rsidRPr="00DF1884" w:rsidRDefault="004850EA" w:rsidP="00F03166">
            <w:pPr>
              <w:pStyle w:val="TableText"/>
              <w:spacing w:line="240" w:lineRule="exact"/>
              <w:jc w:val="center"/>
              <w:rPr>
                <w:b/>
                <w:sz w:val="24"/>
                <w:szCs w:val="24"/>
              </w:rPr>
            </w:pPr>
          </w:p>
        </w:tc>
        <w:tc>
          <w:tcPr>
            <w:tcW w:w="976" w:type="dxa"/>
            <w:tcMar>
              <w:left w:w="43" w:type="dxa"/>
            </w:tcMar>
            <w:vAlign w:val="center"/>
          </w:tcPr>
          <w:p w14:paraId="77C33871" w14:textId="77777777" w:rsidR="004850EA" w:rsidRPr="00DF1884" w:rsidRDefault="004850EA" w:rsidP="00F03166">
            <w:pPr>
              <w:pStyle w:val="TableText"/>
              <w:spacing w:line="240" w:lineRule="exact"/>
              <w:jc w:val="center"/>
              <w:rPr>
                <w:b/>
                <w:sz w:val="24"/>
                <w:szCs w:val="24"/>
              </w:rPr>
            </w:pPr>
          </w:p>
        </w:tc>
        <w:tc>
          <w:tcPr>
            <w:tcW w:w="1089" w:type="dxa"/>
            <w:vAlign w:val="center"/>
          </w:tcPr>
          <w:p w14:paraId="46F3142E" w14:textId="6656497F" w:rsidR="004850EA" w:rsidRPr="00DF1884" w:rsidRDefault="004850EA" w:rsidP="00F03166">
            <w:pPr>
              <w:jc w:val="center"/>
              <w:rPr>
                <w:b/>
                <w:sz w:val="24"/>
              </w:rPr>
            </w:pPr>
            <w:r w:rsidRPr="00DF1884">
              <w:rPr>
                <w:rFonts w:ascii="Wingdings" w:hAnsi="Wingdings" w:cs="Wingdings"/>
                <w:sz w:val="24"/>
              </w:rPr>
              <w:t></w:t>
            </w:r>
          </w:p>
        </w:tc>
      </w:tr>
    </w:tbl>
    <w:p w14:paraId="74FB6F16" w14:textId="04BA23A0" w:rsidR="00B54824" w:rsidRPr="00DF1884" w:rsidRDefault="00B54824" w:rsidP="00F03166">
      <w:pPr>
        <w:pStyle w:val="TableText"/>
        <w:spacing w:before="120"/>
        <w:ind w:left="90" w:hanging="90"/>
        <w:sectPr w:rsidR="00B54824" w:rsidRPr="00DF1884" w:rsidSect="0039781B">
          <w:headerReference w:type="even" r:id="rId57"/>
          <w:headerReference w:type="default" r:id="rId58"/>
          <w:footerReference w:type="even" r:id="rId59"/>
          <w:footerReference w:type="default" r:id="rId60"/>
          <w:footnotePr>
            <w:pos w:val="beneathText"/>
            <w:numFmt w:val="chicago"/>
          </w:footnotePr>
          <w:endnotePr>
            <w:numFmt w:val="decimal"/>
          </w:endnotePr>
          <w:pgSz w:w="12240" w:h="15840" w:code="1"/>
          <w:pgMar w:top="1080" w:right="1080" w:bottom="1080" w:left="1440" w:header="720" w:footer="720" w:gutter="0"/>
          <w:pgNumType w:start="1"/>
          <w:cols w:space="720"/>
        </w:sectPr>
      </w:pPr>
      <w:r w:rsidRPr="00DF1884">
        <w:t>*This</w:t>
      </w:r>
      <w:r w:rsidR="00DF1884" w:rsidRPr="00DF1884">
        <w:t xml:space="preserve"> </w:t>
      </w:r>
      <w:r w:rsidRPr="00DF1884">
        <w:t>measure</w:t>
      </w:r>
      <w:r w:rsidR="00DF1884" w:rsidRPr="00DF1884">
        <w:t xml:space="preserve"> </w:t>
      </w:r>
      <w:r w:rsidRPr="00DF1884">
        <w:t>is</w:t>
      </w:r>
      <w:r w:rsidR="00DF1884" w:rsidRPr="00DF1884">
        <w:t xml:space="preserve"> </w:t>
      </w:r>
      <w:r w:rsidRPr="00DF1884">
        <w:t>part</w:t>
      </w:r>
      <w:r w:rsidR="00DF1884" w:rsidRPr="00DF1884">
        <w:t xml:space="preserve"> </w:t>
      </w:r>
      <w:r w:rsidRPr="00DF1884">
        <w:t>of</w:t>
      </w:r>
      <w:r w:rsidR="00DF1884" w:rsidRPr="00DF1884">
        <w:t xml:space="preserve"> </w:t>
      </w:r>
      <w:r w:rsidRPr="00DF1884">
        <w:t>a</w:t>
      </w:r>
      <w:r w:rsidR="00DF1884" w:rsidRPr="00DF1884">
        <w:t xml:space="preserve"> </w:t>
      </w:r>
      <w:r w:rsidRPr="00DF1884">
        <w:t>pilot</w:t>
      </w:r>
      <w:r w:rsidR="00DF1884" w:rsidRPr="00DF1884">
        <w:t xml:space="preserve"> </w:t>
      </w:r>
      <w:r w:rsidRPr="00DF1884">
        <w:t>implementation.</w:t>
      </w:r>
      <w:r w:rsidR="00DF1884" w:rsidRPr="00DF1884">
        <w:t xml:space="preserve"> </w:t>
      </w:r>
      <w:r w:rsidR="00F03166" w:rsidRPr="00DF1884">
        <w:t>I</w:t>
      </w:r>
      <w:r w:rsidRPr="00DF1884">
        <w:t>t</w:t>
      </w:r>
      <w:r w:rsidR="00DF1884" w:rsidRPr="00DF1884">
        <w:t xml:space="preserve"> </w:t>
      </w:r>
      <w:r w:rsidRPr="00DF1884">
        <w:t>is</w:t>
      </w:r>
      <w:r w:rsidR="00DF1884" w:rsidRPr="00DF1884">
        <w:t xml:space="preserve"> </w:t>
      </w:r>
      <w:r w:rsidRPr="00DF1884">
        <w:t>not</w:t>
      </w:r>
      <w:r w:rsidR="00DF1884" w:rsidRPr="00DF1884">
        <w:t xml:space="preserve"> </w:t>
      </w:r>
      <w:r w:rsidRPr="00DF1884">
        <w:t>part</w:t>
      </w:r>
      <w:r w:rsidR="00DF1884" w:rsidRPr="00DF1884">
        <w:t xml:space="preserve"> </w:t>
      </w:r>
      <w:r w:rsidRPr="00DF1884">
        <w:t>of</w:t>
      </w:r>
      <w:r w:rsidR="00DF1884" w:rsidRPr="00DF1884">
        <w:t xml:space="preserve"> </w:t>
      </w:r>
      <w:r w:rsidRPr="00DF1884">
        <w:t>NCQA’s</w:t>
      </w:r>
      <w:r w:rsidR="00DF1884" w:rsidRPr="00DF1884">
        <w:t xml:space="preserve"> </w:t>
      </w:r>
      <w:r w:rsidRPr="00DF1884">
        <w:t>Measure</w:t>
      </w:r>
      <w:r w:rsidR="00DF1884" w:rsidRPr="00DF1884">
        <w:t xml:space="preserve"> </w:t>
      </w:r>
      <w:r w:rsidRPr="00DF1884">
        <w:t>Certification</w:t>
      </w:r>
      <w:r w:rsidR="00DF1884" w:rsidRPr="00DF1884">
        <w:t xml:space="preserve"> </w:t>
      </w:r>
      <w:r w:rsidRPr="00DF1884">
        <w:t>or</w:t>
      </w:r>
      <w:r w:rsidR="00DF1884" w:rsidRPr="00DF1884">
        <w:t xml:space="preserve"> </w:t>
      </w:r>
      <w:r w:rsidRPr="00DF1884">
        <w:t>Audit</w:t>
      </w:r>
      <w:r w:rsidR="00DF1884" w:rsidRPr="00DF1884">
        <w:t xml:space="preserve"> </w:t>
      </w:r>
      <w:r w:rsidRPr="00DF1884">
        <w:t>programs</w:t>
      </w:r>
      <w:r w:rsidR="00DF1884" w:rsidRPr="00DF1884">
        <w:t xml:space="preserve"> </w:t>
      </w:r>
      <w:r w:rsidR="00F03166" w:rsidRPr="00DF1884">
        <w:t>for</w:t>
      </w:r>
      <w:r w:rsidR="00DF1884" w:rsidRPr="00DF1884">
        <w:t xml:space="preserve"> </w:t>
      </w:r>
      <w:r w:rsidR="00F03166" w:rsidRPr="00DF1884">
        <w:t>HEDIS</w:t>
      </w:r>
      <w:r w:rsidR="00DF1884" w:rsidRPr="00DF1884">
        <w:t xml:space="preserve"> </w:t>
      </w:r>
      <w:r w:rsidR="00F03166" w:rsidRPr="00DF1884">
        <w:t>2016</w:t>
      </w:r>
      <w:r w:rsidRPr="00DF1884">
        <w:t>.</w:t>
      </w:r>
      <w:r w:rsidR="00DF1884" w:rsidRPr="00DF1884">
        <w:t xml:space="preserve"> </w:t>
      </w:r>
    </w:p>
    <w:p w14:paraId="227CFD41" w14:textId="3B8A9D90" w:rsidR="005B5649" w:rsidRPr="00DF1884" w:rsidRDefault="005B5649" w:rsidP="005B5649">
      <w:pPr>
        <w:pStyle w:val="Heading2"/>
        <w:spacing w:after="0"/>
        <w:ind w:left="360"/>
      </w:pPr>
      <w:r w:rsidRPr="00DF1884">
        <w:lastRenderedPageBreak/>
        <w:t>Statin</w:t>
      </w:r>
      <w:r w:rsidR="00DF1884" w:rsidRPr="00DF1884">
        <w:t xml:space="preserve"> </w:t>
      </w:r>
      <w:r w:rsidRPr="00DF1884">
        <w:t>Therapy</w:t>
      </w:r>
      <w:r w:rsidR="00DF1884" w:rsidRPr="00DF1884">
        <w:t xml:space="preserve"> </w:t>
      </w:r>
      <w:r w:rsidRPr="00DF1884">
        <w:t>for</w:t>
      </w:r>
      <w:r w:rsidR="00DF1884" w:rsidRPr="00DF1884">
        <w:t xml:space="preserve"> </w:t>
      </w:r>
      <w:r w:rsidRPr="00DF1884">
        <w:t>Patients</w:t>
      </w:r>
      <w:r w:rsidR="00DF1884" w:rsidRPr="00DF1884">
        <w:t xml:space="preserve"> </w:t>
      </w:r>
      <w:r w:rsidRPr="00DF1884">
        <w:t>With</w:t>
      </w:r>
      <w:r w:rsidR="00DF1884" w:rsidRPr="00DF1884">
        <w:t xml:space="preserve"> </w:t>
      </w:r>
      <w:r w:rsidRPr="00DF1884">
        <w:t>Cardiovascular</w:t>
      </w:r>
      <w:r w:rsidR="00DF1884" w:rsidRPr="00DF1884">
        <w:t xml:space="preserve"> </w:t>
      </w:r>
      <w:r w:rsidRPr="00DF1884">
        <w:t>Disease</w:t>
      </w:r>
      <w:r w:rsidR="00DF1884" w:rsidRPr="00DF1884">
        <w:t xml:space="preserve"> </w:t>
      </w:r>
      <w:r w:rsidRPr="00DF1884">
        <w:t>(SPC)</w:t>
      </w:r>
    </w:p>
    <w:p w14:paraId="300C6973" w14:textId="77777777" w:rsidR="005B5649" w:rsidRPr="00DF1884" w:rsidRDefault="005B5649" w:rsidP="005B5649">
      <w:pPr>
        <w:pStyle w:val="StdHead"/>
      </w:pPr>
      <w:r w:rsidRPr="00DF1884">
        <w:t>Description</w:t>
      </w:r>
    </w:p>
    <w:p w14:paraId="03AFAFDC" w14:textId="77777777" w:rsidR="002155C3" w:rsidRPr="006148DC" w:rsidRDefault="002155C3" w:rsidP="002155C3">
      <w:pPr>
        <w:pStyle w:val="Body"/>
        <w:rPr>
          <w:lang w:val="en-NZ"/>
        </w:rPr>
      </w:pPr>
      <w:r>
        <w:rPr>
          <w:lang w:val="en-NZ"/>
        </w:rPr>
        <w:t>T</w:t>
      </w:r>
      <w:r w:rsidRPr="006148DC">
        <w:rPr>
          <w:lang w:val="en-NZ"/>
        </w:rPr>
        <w:t xml:space="preserve">he percentage of males 21–75 years of age and females 40–75 years of age during the measurement year, who were identified as having clinical atherosclerotic cardiovascular disease (ASCVD) </w:t>
      </w:r>
      <w:r>
        <w:rPr>
          <w:lang w:val="en-NZ"/>
        </w:rPr>
        <w:t>and met the following criteria.</w:t>
      </w:r>
      <w:r w:rsidRPr="006148DC">
        <w:rPr>
          <w:lang w:val="en-NZ"/>
        </w:rPr>
        <w:t xml:space="preserve"> T</w:t>
      </w:r>
      <w:r>
        <w:rPr>
          <w:lang w:val="en-NZ"/>
        </w:rPr>
        <w:t>he following</w:t>
      </w:r>
      <w:r w:rsidRPr="006148DC">
        <w:rPr>
          <w:lang w:val="en-NZ"/>
        </w:rPr>
        <w:t xml:space="preserve"> rates are reported:</w:t>
      </w:r>
    </w:p>
    <w:p w14:paraId="05FA43B9" w14:textId="77777777" w:rsidR="002155C3" w:rsidRPr="006148DC" w:rsidRDefault="002155C3" w:rsidP="002155C3">
      <w:pPr>
        <w:pStyle w:val="Body"/>
        <w:numPr>
          <w:ilvl w:val="0"/>
          <w:numId w:val="16"/>
        </w:numPr>
        <w:spacing w:before="120"/>
        <w:ind w:left="648" w:hanging="288"/>
        <w:rPr>
          <w:rFonts w:cs="Arial"/>
          <w:color w:val="000000"/>
          <w:szCs w:val="22"/>
          <w:lang w:val="en-NZ"/>
        </w:rPr>
      </w:pPr>
      <w:r w:rsidRPr="006148DC">
        <w:rPr>
          <w:rFonts w:cs="Arial"/>
          <w:i/>
          <w:color w:val="000000"/>
          <w:szCs w:val="22"/>
          <w:lang w:val="en-NZ"/>
        </w:rPr>
        <w:t xml:space="preserve">Received Statin Therapy. </w:t>
      </w:r>
      <w:r>
        <w:rPr>
          <w:rFonts w:cs="Arial"/>
          <w:color w:val="000000"/>
          <w:szCs w:val="22"/>
          <w:lang w:val="en-NZ"/>
        </w:rPr>
        <w:t>M</w:t>
      </w:r>
      <w:r w:rsidRPr="006148DC">
        <w:rPr>
          <w:rFonts w:cs="Arial"/>
          <w:color w:val="000000"/>
          <w:szCs w:val="22"/>
          <w:lang w:val="en-NZ"/>
        </w:rPr>
        <w:t>embers who were dispensed at least</w:t>
      </w:r>
      <w:r>
        <w:rPr>
          <w:rFonts w:cs="Arial"/>
          <w:color w:val="000000"/>
          <w:szCs w:val="22"/>
          <w:lang w:val="en-NZ"/>
        </w:rPr>
        <w:t xml:space="preserve"> one</w:t>
      </w:r>
      <w:r w:rsidRPr="006148DC">
        <w:rPr>
          <w:rFonts w:cs="Arial"/>
          <w:color w:val="000000"/>
          <w:szCs w:val="22"/>
          <w:lang w:val="en-NZ"/>
        </w:rPr>
        <w:t xml:space="preserve"> </w:t>
      </w:r>
      <w:r>
        <w:rPr>
          <w:rFonts w:cs="Arial"/>
          <w:color w:val="000000"/>
          <w:szCs w:val="22"/>
          <w:lang w:val="en-NZ"/>
        </w:rPr>
        <w:t xml:space="preserve">high or </w:t>
      </w:r>
      <w:r w:rsidRPr="006148DC">
        <w:rPr>
          <w:rFonts w:cs="Arial"/>
          <w:color w:val="000000"/>
          <w:szCs w:val="22"/>
          <w:lang w:val="en-NZ"/>
        </w:rPr>
        <w:t>moderate</w:t>
      </w:r>
      <w:r>
        <w:rPr>
          <w:rFonts w:cs="Arial"/>
          <w:color w:val="000000"/>
          <w:szCs w:val="22"/>
          <w:lang w:val="en-NZ"/>
        </w:rPr>
        <w:t>-</w:t>
      </w:r>
      <w:r w:rsidRPr="006148DC">
        <w:rPr>
          <w:rFonts w:cs="Arial"/>
          <w:color w:val="000000"/>
          <w:szCs w:val="22"/>
          <w:lang w:val="en-NZ"/>
        </w:rPr>
        <w:t>intensity statin medication during the measurement year.</w:t>
      </w:r>
    </w:p>
    <w:p w14:paraId="6D04B78B" w14:textId="77777777" w:rsidR="002155C3" w:rsidRPr="00C740CE" w:rsidRDefault="002155C3" w:rsidP="002155C3">
      <w:pPr>
        <w:pStyle w:val="Body"/>
        <w:numPr>
          <w:ilvl w:val="0"/>
          <w:numId w:val="16"/>
        </w:numPr>
        <w:spacing w:before="120"/>
        <w:ind w:left="648" w:hanging="288"/>
        <w:rPr>
          <w:rFonts w:cs="Arial"/>
          <w:szCs w:val="20"/>
        </w:rPr>
      </w:pPr>
      <w:r w:rsidRPr="006148DC">
        <w:rPr>
          <w:rFonts w:cs="Arial"/>
          <w:i/>
          <w:color w:val="000000"/>
          <w:szCs w:val="22"/>
          <w:lang w:val="en-NZ"/>
        </w:rPr>
        <w:t>Statin Adherence 80</w:t>
      </w:r>
      <w:r>
        <w:rPr>
          <w:rFonts w:cs="Arial"/>
          <w:i/>
          <w:color w:val="000000"/>
          <w:szCs w:val="22"/>
          <w:lang w:val="en-NZ"/>
        </w:rPr>
        <w:t>%</w:t>
      </w:r>
      <w:r w:rsidRPr="006148DC">
        <w:rPr>
          <w:rFonts w:cs="Arial"/>
          <w:i/>
          <w:color w:val="000000"/>
          <w:szCs w:val="22"/>
          <w:lang w:val="en-NZ"/>
        </w:rPr>
        <w:t>.</w:t>
      </w:r>
      <w:r w:rsidRPr="006148DC">
        <w:rPr>
          <w:rFonts w:cs="Arial"/>
          <w:color w:val="000000"/>
          <w:szCs w:val="22"/>
          <w:lang w:val="en-NZ"/>
        </w:rPr>
        <w:t xml:space="preserve"> </w:t>
      </w:r>
      <w:r>
        <w:rPr>
          <w:rFonts w:cs="Arial"/>
          <w:color w:val="000000"/>
          <w:szCs w:val="22"/>
          <w:lang w:val="en-NZ"/>
        </w:rPr>
        <w:t>M</w:t>
      </w:r>
      <w:r w:rsidRPr="006148DC">
        <w:rPr>
          <w:rFonts w:cs="Arial"/>
          <w:color w:val="000000"/>
          <w:szCs w:val="22"/>
          <w:lang w:val="en-NZ"/>
        </w:rPr>
        <w:t xml:space="preserve">embers who </w:t>
      </w:r>
      <w:r>
        <w:rPr>
          <w:rFonts w:cs="Arial"/>
          <w:color w:val="000000"/>
          <w:szCs w:val="22"/>
          <w:lang w:val="en-NZ"/>
        </w:rPr>
        <w:t>remained on a high or</w:t>
      </w:r>
      <w:r w:rsidRPr="006148DC">
        <w:rPr>
          <w:rFonts w:cs="Arial"/>
          <w:color w:val="000000"/>
          <w:szCs w:val="22"/>
          <w:lang w:val="en-NZ"/>
        </w:rPr>
        <w:t xml:space="preserve"> moderate-intensity statin medication</w:t>
      </w:r>
      <w:r>
        <w:rPr>
          <w:rFonts w:cs="Arial"/>
          <w:color w:val="000000"/>
          <w:szCs w:val="22"/>
          <w:lang w:val="en-NZ"/>
        </w:rPr>
        <w:t xml:space="preserve"> for at least 80%</w:t>
      </w:r>
      <w:r w:rsidRPr="006148DC">
        <w:rPr>
          <w:rFonts w:cs="Arial"/>
          <w:color w:val="000000"/>
          <w:szCs w:val="22"/>
          <w:lang w:val="en-NZ"/>
        </w:rPr>
        <w:t xml:space="preserve"> of the treatment period.</w:t>
      </w:r>
    </w:p>
    <w:p w14:paraId="7779D41D" w14:textId="77777777" w:rsidR="005B5649" w:rsidRPr="00DF1884" w:rsidRDefault="005B5649" w:rsidP="005B5649">
      <w:pPr>
        <w:pStyle w:val="StdHead"/>
      </w:pPr>
      <w:r w:rsidRPr="00DF1884">
        <w:t>Background</w:t>
      </w:r>
      <w:r w:rsidRPr="00DF1884">
        <w:tab/>
      </w:r>
    </w:p>
    <w:p w14:paraId="17CB6428" w14:textId="01740B4A" w:rsidR="005B5649" w:rsidRPr="00DF1884" w:rsidRDefault="005B5649" w:rsidP="005B5649">
      <w:pPr>
        <w:pStyle w:val="Body"/>
      </w:pPr>
      <w:r w:rsidRPr="00DF1884">
        <w:t>Cardiovascular</w:t>
      </w:r>
      <w:r w:rsidR="00DF1884" w:rsidRPr="00DF1884">
        <w:t xml:space="preserve"> </w:t>
      </w:r>
      <w:r w:rsidRPr="00DF1884">
        <w:t>disease</w:t>
      </w:r>
      <w:r w:rsidR="00DF1884" w:rsidRPr="00DF1884">
        <w:t xml:space="preserve"> </w:t>
      </w:r>
      <w:r w:rsidRPr="00DF1884">
        <w:t>is</w:t>
      </w:r>
      <w:r w:rsidR="00DF1884" w:rsidRPr="00DF1884">
        <w:t xml:space="preserve"> </w:t>
      </w:r>
      <w:r w:rsidRPr="00DF1884">
        <w:t>the</w:t>
      </w:r>
      <w:r w:rsidR="00DF1884" w:rsidRPr="00DF1884">
        <w:t xml:space="preserve"> </w:t>
      </w:r>
      <w:r w:rsidRPr="00DF1884">
        <w:t>leading</w:t>
      </w:r>
      <w:r w:rsidR="00DF1884" w:rsidRPr="00DF1884">
        <w:t xml:space="preserve"> </w:t>
      </w:r>
      <w:r w:rsidRPr="00DF1884">
        <w:t>cause</w:t>
      </w:r>
      <w:r w:rsidR="00DF1884" w:rsidRPr="00DF1884">
        <w:t xml:space="preserve"> </w:t>
      </w:r>
      <w:r w:rsidRPr="00DF1884">
        <w:t>of</w:t>
      </w:r>
      <w:r w:rsidR="00DF1884" w:rsidRPr="00DF1884">
        <w:t xml:space="preserve"> </w:t>
      </w:r>
      <w:r w:rsidRPr="00DF1884">
        <w:t>death</w:t>
      </w:r>
      <w:r w:rsidR="00DF1884" w:rsidRPr="00DF1884">
        <w:t xml:space="preserve"> </w:t>
      </w:r>
      <w:r w:rsidRPr="00DF1884">
        <w:t>in</w:t>
      </w:r>
      <w:r w:rsidR="00DF1884" w:rsidRPr="00DF1884">
        <w:t xml:space="preserve"> </w:t>
      </w:r>
      <w:r w:rsidRPr="00DF1884">
        <w:t>the</w:t>
      </w:r>
      <w:r w:rsidR="00DF1884" w:rsidRPr="00DF1884">
        <w:t xml:space="preserve"> </w:t>
      </w:r>
      <w:r w:rsidRPr="00DF1884">
        <w:t>United</w:t>
      </w:r>
      <w:r w:rsidR="00DF1884" w:rsidRPr="00DF1884">
        <w:t xml:space="preserve"> </w:t>
      </w:r>
      <w:r w:rsidRPr="00DF1884">
        <w:t>States.</w:t>
      </w:r>
      <w:r w:rsidR="00DF1884" w:rsidRPr="00DF1884">
        <w:t xml:space="preserve"> </w:t>
      </w:r>
      <w:r w:rsidR="00F03166" w:rsidRPr="00DF1884">
        <w:t>Although</w:t>
      </w:r>
      <w:r w:rsidR="00DF1884" w:rsidRPr="00DF1884">
        <w:t xml:space="preserve"> </w:t>
      </w:r>
      <w:r w:rsidR="00F03166" w:rsidRPr="00DF1884">
        <w:t>th</w:t>
      </w:r>
      <w:r w:rsidRPr="00DF1884">
        <w:t>e</w:t>
      </w:r>
      <w:r w:rsidR="00DF1884" w:rsidRPr="00DF1884">
        <w:t xml:space="preserve"> </w:t>
      </w:r>
      <w:r w:rsidRPr="00DF1884">
        <w:t>death</w:t>
      </w:r>
      <w:r w:rsidR="00DF1884" w:rsidRPr="00DF1884">
        <w:t xml:space="preserve"> </w:t>
      </w:r>
      <w:r w:rsidRPr="00DF1884">
        <w:t>rate</w:t>
      </w:r>
      <w:r w:rsidR="00DF1884" w:rsidRPr="00DF1884">
        <w:t xml:space="preserve"> </w:t>
      </w:r>
      <w:r w:rsidRPr="00DF1884">
        <w:t>due</w:t>
      </w:r>
      <w:r w:rsidR="00DF1884" w:rsidRPr="00DF1884">
        <w:t xml:space="preserve"> </w:t>
      </w:r>
      <w:r w:rsidRPr="00DF1884">
        <w:t>to</w:t>
      </w:r>
      <w:r w:rsidR="00DF1884" w:rsidRPr="00DF1884">
        <w:t xml:space="preserve"> </w:t>
      </w:r>
      <w:r w:rsidRPr="00DF1884">
        <w:t>cardiovascular</w:t>
      </w:r>
      <w:r w:rsidR="00DF1884" w:rsidRPr="00DF1884">
        <w:t xml:space="preserve"> </w:t>
      </w:r>
      <w:r w:rsidRPr="00DF1884">
        <w:t>disease</w:t>
      </w:r>
      <w:r w:rsidR="00DF1884" w:rsidRPr="00DF1884">
        <w:t xml:space="preserve"> </w:t>
      </w:r>
      <w:r w:rsidRPr="00DF1884">
        <w:t>fell</w:t>
      </w:r>
      <w:r w:rsidR="00DF1884" w:rsidRPr="00DF1884">
        <w:t xml:space="preserve"> </w:t>
      </w:r>
      <w:r w:rsidRPr="00DF1884">
        <w:t>by</w:t>
      </w:r>
      <w:r w:rsidR="00DF1884" w:rsidRPr="00DF1884">
        <w:t xml:space="preserve"> </w:t>
      </w:r>
      <w:r w:rsidRPr="00DF1884">
        <w:t>39</w:t>
      </w:r>
      <w:r w:rsidR="00DF1884" w:rsidRPr="00DF1884">
        <w:t xml:space="preserve"> </w:t>
      </w:r>
      <w:r w:rsidRPr="00DF1884">
        <w:t>percent</w:t>
      </w:r>
      <w:r w:rsidR="00DF1884" w:rsidRPr="00DF1884">
        <w:t xml:space="preserve"> </w:t>
      </w:r>
      <w:r w:rsidRPr="00DF1884">
        <w:t>between</w:t>
      </w:r>
      <w:r w:rsidR="00DF1884" w:rsidRPr="00DF1884">
        <w:t xml:space="preserve"> </w:t>
      </w:r>
      <w:r w:rsidRPr="00DF1884">
        <w:t>2001</w:t>
      </w:r>
      <w:r w:rsidR="00DF1884" w:rsidRPr="00DF1884">
        <w:t xml:space="preserve"> </w:t>
      </w:r>
      <w:r w:rsidRPr="00DF1884">
        <w:t>and</w:t>
      </w:r>
      <w:r w:rsidR="00DF1884" w:rsidRPr="00DF1884">
        <w:t xml:space="preserve"> </w:t>
      </w:r>
      <w:r w:rsidRPr="00DF1884">
        <w:t>2011,</w:t>
      </w:r>
      <w:r w:rsidR="00DF1884" w:rsidRPr="00DF1884">
        <w:t xml:space="preserve"> </w:t>
      </w:r>
      <w:r w:rsidRPr="00DF1884">
        <w:t>the</w:t>
      </w:r>
      <w:r w:rsidR="00DF1884" w:rsidRPr="00DF1884">
        <w:t xml:space="preserve"> </w:t>
      </w:r>
      <w:r w:rsidRPr="00DF1884">
        <w:t>public</w:t>
      </w:r>
      <w:r w:rsidR="00DF1884" w:rsidRPr="00DF1884">
        <w:t xml:space="preserve"> </w:t>
      </w:r>
      <w:r w:rsidRPr="00DF1884">
        <w:t>health</w:t>
      </w:r>
      <w:r w:rsidR="00DF1884" w:rsidRPr="00DF1884">
        <w:t xml:space="preserve"> </w:t>
      </w:r>
      <w:r w:rsidRPr="00DF1884">
        <w:t>burden</w:t>
      </w:r>
      <w:r w:rsidR="00DF1884" w:rsidRPr="00DF1884">
        <w:t xml:space="preserve"> </w:t>
      </w:r>
      <w:r w:rsidRPr="00DF1884">
        <w:t>remains</w:t>
      </w:r>
      <w:r w:rsidR="00DF1884" w:rsidRPr="00DF1884">
        <w:t xml:space="preserve"> </w:t>
      </w:r>
      <w:r w:rsidRPr="00DF1884">
        <w:t>significant.</w:t>
      </w:r>
      <w:r w:rsidR="00DF1884" w:rsidRPr="00DF1884">
        <w:t xml:space="preserve"> </w:t>
      </w:r>
      <w:r w:rsidRPr="00DF1884">
        <w:t>More</w:t>
      </w:r>
      <w:r w:rsidR="00DF1884" w:rsidRPr="00DF1884">
        <w:t xml:space="preserve"> </w:t>
      </w:r>
      <w:r w:rsidRPr="00DF1884">
        <w:t>than</w:t>
      </w:r>
      <w:r w:rsidR="00DF1884" w:rsidRPr="00DF1884">
        <w:t xml:space="preserve"> </w:t>
      </w:r>
      <w:r w:rsidRPr="00DF1884">
        <w:t>85</w:t>
      </w:r>
      <w:r w:rsidR="00DF1884" w:rsidRPr="00DF1884">
        <w:t xml:space="preserve"> </w:t>
      </w:r>
      <w:r w:rsidRPr="00DF1884">
        <w:t>million</w:t>
      </w:r>
      <w:r w:rsidR="00DF1884" w:rsidRPr="00DF1884">
        <w:t xml:space="preserve"> </w:t>
      </w:r>
      <w:r w:rsidRPr="00DF1884">
        <w:t>American</w:t>
      </w:r>
      <w:r w:rsidR="00DF1884" w:rsidRPr="00DF1884">
        <w:t xml:space="preserve"> </w:t>
      </w:r>
      <w:r w:rsidRPr="00DF1884">
        <w:t>adults</w:t>
      </w:r>
      <w:r w:rsidR="00DF1884" w:rsidRPr="00DF1884">
        <w:t xml:space="preserve"> </w:t>
      </w:r>
      <w:r w:rsidRPr="00DF1884">
        <w:t>have</w:t>
      </w:r>
      <w:r w:rsidR="00DF1884" w:rsidRPr="00DF1884">
        <w:t xml:space="preserve"> </w:t>
      </w:r>
      <w:r w:rsidRPr="00DF1884">
        <w:t>one</w:t>
      </w:r>
      <w:r w:rsidR="00DF1884" w:rsidRPr="00DF1884">
        <w:t xml:space="preserve"> </w:t>
      </w:r>
      <w:r w:rsidRPr="00DF1884">
        <w:t>or</w:t>
      </w:r>
      <w:r w:rsidR="00DF1884" w:rsidRPr="00DF1884">
        <w:t xml:space="preserve"> </w:t>
      </w:r>
      <w:r w:rsidRPr="00DF1884">
        <w:t>more</w:t>
      </w:r>
      <w:r w:rsidR="00DF1884" w:rsidRPr="00DF1884">
        <w:t xml:space="preserve"> </w:t>
      </w:r>
      <w:r w:rsidRPr="00DF1884">
        <w:t>types</w:t>
      </w:r>
      <w:r w:rsidR="00DF1884" w:rsidRPr="00DF1884">
        <w:t xml:space="preserve"> </w:t>
      </w:r>
      <w:r w:rsidRPr="00DF1884">
        <w:t>of</w:t>
      </w:r>
      <w:r w:rsidR="00DF1884" w:rsidRPr="00DF1884">
        <w:t xml:space="preserve"> </w:t>
      </w:r>
      <w:r w:rsidRPr="00DF1884">
        <w:t>cardiovascular</w:t>
      </w:r>
      <w:r w:rsidR="00DF1884" w:rsidRPr="00DF1884">
        <w:t xml:space="preserve"> </w:t>
      </w:r>
      <w:r w:rsidRPr="00DF1884">
        <w:t>disease</w:t>
      </w:r>
      <w:r w:rsidR="00DF1884" w:rsidRPr="00DF1884">
        <w:t xml:space="preserve"> </w:t>
      </w:r>
      <w:r w:rsidRPr="00DF1884">
        <w:t>(Mozaffarian</w:t>
      </w:r>
      <w:r w:rsidR="00DF1884" w:rsidRPr="00DF1884">
        <w:t xml:space="preserve"> </w:t>
      </w:r>
      <w:r w:rsidRPr="00DF1884">
        <w:t>et</w:t>
      </w:r>
      <w:r w:rsidR="00DF1884" w:rsidRPr="00DF1884">
        <w:t xml:space="preserve"> </w:t>
      </w:r>
      <w:r w:rsidRPr="00DF1884">
        <w:t>al.,</w:t>
      </w:r>
      <w:r w:rsidR="00DF1884" w:rsidRPr="00DF1884">
        <w:t xml:space="preserve"> </w:t>
      </w:r>
      <w:r w:rsidRPr="00DF1884">
        <w:t>2015).</w:t>
      </w:r>
      <w:r w:rsidR="00DF1884" w:rsidRPr="00DF1884">
        <w:t xml:space="preserve"> </w:t>
      </w:r>
      <w:r w:rsidRPr="00DF1884">
        <w:t>It</w:t>
      </w:r>
      <w:r w:rsidR="00DF1884" w:rsidRPr="00DF1884">
        <w:t xml:space="preserve"> </w:t>
      </w:r>
      <w:r w:rsidRPr="00DF1884">
        <w:t>is</w:t>
      </w:r>
      <w:r w:rsidR="00DF1884" w:rsidRPr="00DF1884">
        <w:t xml:space="preserve"> </w:t>
      </w:r>
      <w:r w:rsidRPr="00DF1884">
        <w:t>estimated</w:t>
      </w:r>
      <w:r w:rsidR="00DF1884" w:rsidRPr="00DF1884">
        <w:t xml:space="preserve"> </w:t>
      </w:r>
      <w:r w:rsidRPr="00DF1884">
        <w:t>that</w:t>
      </w:r>
      <w:r w:rsidR="00DF1884" w:rsidRPr="00DF1884">
        <w:t xml:space="preserve"> </w:t>
      </w:r>
      <w:r w:rsidRPr="00DF1884">
        <w:t>by</w:t>
      </w:r>
      <w:r w:rsidR="00DF1884" w:rsidRPr="00DF1884">
        <w:t xml:space="preserve"> </w:t>
      </w:r>
      <w:r w:rsidRPr="00DF1884">
        <w:t>2030</w:t>
      </w:r>
      <w:r w:rsidR="00F03166" w:rsidRPr="00DF1884">
        <w:t>,</w:t>
      </w:r>
      <w:r w:rsidR="00DF1884" w:rsidRPr="00DF1884">
        <w:t xml:space="preserve"> </w:t>
      </w:r>
      <w:r w:rsidRPr="00DF1884">
        <w:t>more</w:t>
      </w:r>
      <w:r w:rsidR="00DF1884" w:rsidRPr="00DF1884">
        <w:t xml:space="preserve"> </w:t>
      </w:r>
      <w:r w:rsidRPr="00DF1884">
        <w:t>than</w:t>
      </w:r>
      <w:r w:rsidR="00DF1884" w:rsidRPr="00DF1884">
        <w:t xml:space="preserve"> </w:t>
      </w:r>
      <w:r w:rsidRPr="00DF1884">
        <w:t>43</w:t>
      </w:r>
      <w:r w:rsidR="00DF1884" w:rsidRPr="00DF1884">
        <w:t xml:space="preserve"> </w:t>
      </w:r>
      <w:r w:rsidRPr="00DF1884">
        <w:t>percent</w:t>
      </w:r>
      <w:r w:rsidR="00DF1884" w:rsidRPr="00DF1884">
        <w:t xml:space="preserve"> </w:t>
      </w:r>
      <w:r w:rsidRPr="00DF1884">
        <w:t>of</w:t>
      </w:r>
      <w:r w:rsidR="00DF1884" w:rsidRPr="00DF1884">
        <w:t xml:space="preserve"> </w:t>
      </w:r>
      <w:r w:rsidRPr="00DF1884">
        <w:t>Americans</w:t>
      </w:r>
      <w:r w:rsidR="00DF1884" w:rsidRPr="00DF1884">
        <w:t xml:space="preserve"> </w:t>
      </w:r>
      <w:r w:rsidRPr="00DF1884">
        <w:t>will</w:t>
      </w:r>
      <w:r w:rsidR="00DF1884" w:rsidRPr="00DF1884">
        <w:t xml:space="preserve"> </w:t>
      </w:r>
      <w:r w:rsidRPr="00DF1884">
        <w:t>have</w:t>
      </w:r>
      <w:r w:rsidR="00DF1884" w:rsidRPr="00DF1884">
        <w:t xml:space="preserve"> </w:t>
      </w:r>
      <w:r w:rsidRPr="00DF1884">
        <w:t>a</w:t>
      </w:r>
      <w:r w:rsidR="00DF1884" w:rsidRPr="00DF1884">
        <w:t xml:space="preserve"> </w:t>
      </w:r>
      <w:r w:rsidRPr="00DF1884">
        <w:t>form</w:t>
      </w:r>
      <w:r w:rsidR="00DF1884" w:rsidRPr="00DF1884">
        <w:t xml:space="preserve"> </w:t>
      </w:r>
      <w:r w:rsidRPr="00DF1884">
        <w:t>of</w:t>
      </w:r>
      <w:r w:rsidR="00DF1884" w:rsidRPr="00DF1884">
        <w:t xml:space="preserve"> </w:t>
      </w:r>
      <w:r w:rsidRPr="00DF1884">
        <w:t>cardiovascular</w:t>
      </w:r>
      <w:r w:rsidR="00DF1884" w:rsidRPr="00DF1884">
        <w:t xml:space="preserve"> </w:t>
      </w:r>
      <w:r w:rsidRPr="00DF1884">
        <w:t>disease</w:t>
      </w:r>
      <w:r w:rsidR="00DF1884" w:rsidRPr="00DF1884">
        <w:t xml:space="preserve"> </w:t>
      </w:r>
      <w:r w:rsidRPr="00DF1884">
        <w:t>(Heidenreich</w:t>
      </w:r>
      <w:r w:rsidR="00DF1884" w:rsidRPr="00DF1884">
        <w:t xml:space="preserve"> </w:t>
      </w:r>
      <w:r w:rsidRPr="00DF1884">
        <w:t>et</w:t>
      </w:r>
      <w:r w:rsidR="00DF1884" w:rsidRPr="00DF1884">
        <w:t xml:space="preserve"> </w:t>
      </w:r>
      <w:r w:rsidRPr="00DF1884">
        <w:t>al.,</w:t>
      </w:r>
      <w:r w:rsidR="00DF1884" w:rsidRPr="00DF1884">
        <w:t xml:space="preserve"> </w:t>
      </w:r>
      <w:r w:rsidRPr="00DF1884">
        <w:t>2011).</w:t>
      </w:r>
      <w:r w:rsidR="00DF1884" w:rsidRPr="00DF1884">
        <w:t xml:space="preserve"> </w:t>
      </w:r>
    </w:p>
    <w:p w14:paraId="70CE23AD" w14:textId="16363410" w:rsidR="005B5649" w:rsidRPr="00DF1884" w:rsidRDefault="005B5649" w:rsidP="005B5649">
      <w:pPr>
        <w:pStyle w:val="Body"/>
      </w:pPr>
      <w:r w:rsidRPr="00DF1884">
        <w:t>Atherosclerosis</w:t>
      </w:r>
      <w:r w:rsidR="00DF1884" w:rsidRPr="00DF1884">
        <w:t xml:space="preserve"> </w:t>
      </w:r>
      <w:r w:rsidRPr="00DF1884">
        <w:t>is</w:t>
      </w:r>
      <w:r w:rsidR="00DF1884" w:rsidRPr="00DF1884">
        <w:t xml:space="preserve"> </w:t>
      </w:r>
      <w:r w:rsidRPr="00DF1884">
        <w:t>a</w:t>
      </w:r>
      <w:r w:rsidR="00DF1884" w:rsidRPr="00DF1884">
        <w:t xml:space="preserve"> </w:t>
      </w:r>
      <w:r w:rsidRPr="00DF1884">
        <w:t>systemic</w:t>
      </w:r>
      <w:r w:rsidR="00DF1884" w:rsidRPr="00DF1884">
        <w:t xml:space="preserve"> </w:t>
      </w:r>
      <w:r w:rsidRPr="00DF1884">
        <w:t>disease</w:t>
      </w:r>
      <w:r w:rsidR="00DF1884" w:rsidRPr="00DF1884">
        <w:t xml:space="preserve"> </w:t>
      </w:r>
      <w:r w:rsidRPr="00DF1884">
        <w:t>process</w:t>
      </w:r>
      <w:r w:rsidR="00DF1884" w:rsidRPr="00DF1884">
        <w:t xml:space="preserve"> </w:t>
      </w:r>
      <w:r w:rsidRPr="00DF1884">
        <w:t>that</w:t>
      </w:r>
      <w:r w:rsidR="00DF1884" w:rsidRPr="00DF1884">
        <w:t xml:space="preserve"> </w:t>
      </w:r>
      <w:r w:rsidRPr="00DF1884">
        <w:t>occurs</w:t>
      </w:r>
      <w:r w:rsidR="00DF1884" w:rsidRPr="00DF1884">
        <w:t xml:space="preserve"> </w:t>
      </w:r>
      <w:r w:rsidRPr="00DF1884">
        <w:t>when</w:t>
      </w:r>
      <w:r w:rsidR="00DF1884" w:rsidRPr="00DF1884">
        <w:t xml:space="preserve"> </w:t>
      </w:r>
      <w:r w:rsidRPr="00DF1884">
        <w:t>plaque</w:t>
      </w:r>
      <w:r w:rsidR="00DF1884" w:rsidRPr="00DF1884">
        <w:t xml:space="preserve"> </w:t>
      </w:r>
      <w:r w:rsidRPr="00DF1884">
        <w:t>builds</w:t>
      </w:r>
      <w:r w:rsidR="00DF1884" w:rsidRPr="00DF1884">
        <w:t xml:space="preserve"> </w:t>
      </w:r>
      <w:r w:rsidRPr="00DF1884">
        <w:t>up</w:t>
      </w:r>
      <w:r w:rsidR="00DF1884" w:rsidRPr="00DF1884">
        <w:t xml:space="preserve"> </w:t>
      </w:r>
      <w:r w:rsidRPr="00DF1884">
        <w:t>within</w:t>
      </w:r>
      <w:r w:rsidR="00DF1884" w:rsidRPr="00DF1884">
        <w:t xml:space="preserve"> </w:t>
      </w:r>
      <w:r w:rsidRPr="00DF1884">
        <w:t>the</w:t>
      </w:r>
      <w:r w:rsidR="00DF1884" w:rsidRPr="00DF1884">
        <w:t xml:space="preserve"> </w:t>
      </w:r>
      <w:r w:rsidRPr="00DF1884">
        <w:t>walls</w:t>
      </w:r>
      <w:r w:rsidR="00DF1884" w:rsidRPr="00DF1884">
        <w:t xml:space="preserve"> </w:t>
      </w:r>
      <w:r w:rsidRPr="00DF1884">
        <w:t>of</w:t>
      </w:r>
      <w:r w:rsidR="00DF1884" w:rsidRPr="00DF1884">
        <w:t xml:space="preserve"> </w:t>
      </w:r>
      <w:r w:rsidRPr="00DF1884">
        <w:t>arteries.</w:t>
      </w:r>
      <w:r w:rsidR="00DF1884" w:rsidRPr="00DF1884">
        <w:t xml:space="preserve"> </w:t>
      </w:r>
      <w:r w:rsidRPr="00DF1884">
        <w:t>Plaque</w:t>
      </w:r>
      <w:r w:rsidR="00DF1884" w:rsidRPr="00DF1884">
        <w:t xml:space="preserve"> </w:t>
      </w:r>
      <w:r w:rsidRPr="00DF1884">
        <w:t>consists</w:t>
      </w:r>
      <w:r w:rsidR="00DF1884" w:rsidRPr="00DF1884">
        <w:t xml:space="preserve"> </w:t>
      </w:r>
      <w:r w:rsidRPr="00DF1884">
        <w:t>of</w:t>
      </w:r>
      <w:r w:rsidR="00DF1884" w:rsidRPr="00DF1884">
        <w:t xml:space="preserve"> </w:t>
      </w:r>
      <w:r w:rsidRPr="00DF1884">
        <w:t>fat,</w:t>
      </w:r>
      <w:r w:rsidR="00DF1884" w:rsidRPr="00DF1884">
        <w:t xml:space="preserve"> </w:t>
      </w:r>
      <w:r w:rsidRPr="00DF1884">
        <w:t>cholesterol,</w:t>
      </w:r>
      <w:r w:rsidR="00DF1884" w:rsidRPr="00DF1884">
        <w:t xml:space="preserve"> </w:t>
      </w:r>
      <w:r w:rsidRPr="00DF1884">
        <w:t>calcium,</w:t>
      </w:r>
      <w:r w:rsidR="00DF1884" w:rsidRPr="00DF1884">
        <w:t xml:space="preserve"> </w:t>
      </w:r>
      <w:r w:rsidRPr="00DF1884">
        <w:t>inflammatory</w:t>
      </w:r>
      <w:r w:rsidR="00DF1884" w:rsidRPr="00DF1884">
        <w:t xml:space="preserve"> </w:t>
      </w:r>
      <w:r w:rsidRPr="00DF1884">
        <w:t>cells</w:t>
      </w:r>
      <w:r w:rsidR="00DF1884" w:rsidRPr="00DF1884">
        <w:t xml:space="preserve"> </w:t>
      </w:r>
      <w:r w:rsidRPr="00DF1884">
        <w:t>and</w:t>
      </w:r>
      <w:r w:rsidR="00DF1884" w:rsidRPr="00DF1884">
        <w:t xml:space="preserve"> </w:t>
      </w:r>
      <w:r w:rsidRPr="00DF1884">
        <w:t>scar</w:t>
      </w:r>
      <w:r w:rsidR="00DF1884" w:rsidRPr="00DF1884">
        <w:t xml:space="preserve"> </w:t>
      </w:r>
      <w:r w:rsidRPr="00DF1884">
        <w:t>tissue</w:t>
      </w:r>
      <w:r w:rsidR="00DF1884" w:rsidRPr="00DF1884">
        <w:t xml:space="preserve"> </w:t>
      </w:r>
      <w:r w:rsidRPr="00DF1884">
        <w:t>that</w:t>
      </w:r>
      <w:r w:rsidR="00DF1884" w:rsidRPr="00DF1884">
        <w:t xml:space="preserve"> </w:t>
      </w:r>
      <w:r w:rsidRPr="00DF1884">
        <w:t>can</w:t>
      </w:r>
      <w:r w:rsidR="00DF1884" w:rsidRPr="00DF1884">
        <w:t xml:space="preserve"> </w:t>
      </w:r>
      <w:r w:rsidRPr="00DF1884">
        <w:t>harden</w:t>
      </w:r>
      <w:r w:rsidR="00DF1884" w:rsidRPr="00DF1884">
        <w:t xml:space="preserve"> </w:t>
      </w:r>
      <w:r w:rsidRPr="00DF1884">
        <w:t>over</w:t>
      </w:r>
      <w:r w:rsidR="00DF1884" w:rsidRPr="00DF1884">
        <w:t xml:space="preserve"> </w:t>
      </w:r>
      <w:r w:rsidRPr="00DF1884">
        <w:t>time</w:t>
      </w:r>
      <w:r w:rsidR="00DF1884" w:rsidRPr="00DF1884">
        <w:t xml:space="preserve"> </w:t>
      </w:r>
      <w:r w:rsidRPr="00DF1884">
        <w:t>and</w:t>
      </w:r>
      <w:r w:rsidR="00DF1884" w:rsidRPr="00DF1884">
        <w:t xml:space="preserve"> </w:t>
      </w:r>
      <w:r w:rsidRPr="00DF1884">
        <w:t>narrow</w:t>
      </w:r>
      <w:r w:rsidR="00DF1884" w:rsidRPr="00DF1884">
        <w:t xml:space="preserve"> </w:t>
      </w:r>
      <w:r w:rsidRPr="00DF1884">
        <w:t>arteries</w:t>
      </w:r>
      <w:r w:rsidR="00F03166" w:rsidRPr="00DF1884">
        <w:t>,</w:t>
      </w:r>
      <w:r w:rsidR="00DF1884" w:rsidRPr="00DF1884">
        <w:t xml:space="preserve"> </w:t>
      </w:r>
      <w:r w:rsidR="00F03166" w:rsidRPr="00DF1884">
        <w:t>which</w:t>
      </w:r>
      <w:r w:rsidR="00DF1884" w:rsidRPr="00DF1884">
        <w:t xml:space="preserve"> </w:t>
      </w:r>
      <w:r w:rsidRPr="00DF1884">
        <w:t>reduces</w:t>
      </w:r>
      <w:r w:rsidR="00DF1884" w:rsidRPr="00DF1884">
        <w:t xml:space="preserve"> </w:t>
      </w:r>
      <w:r w:rsidRPr="00DF1884">
        <w:t>the</w:t>
      </w:r>
      <w:r w:rsidR="00DF1884" w:rsidRPr="00DF1884">
        <w:t xml:space="preserve"> </w:t>
      </w:r>
      <w:r w:rsidRPr="00DF1884">
        <w:t>flow</w:t>
      </w:r>
      <w:r w:rsidR="00DF1884" w:rsidRPr="00DF1884">
        <w:t xml:space="preserve"> </w:t>
      </w:r>
      <w:r w:rsidRPr="00DF1884">
        <w:t>of</w:t>
      </w:r>
      <w:r w:rsidR="00DF1884" w:rsidRPr="00DF1884">
        <w:t xml:space="preserve"> </w:t>
      </w:r>
      <w:r w:rsidRPr="00DF1884">
        <w:t>oxygen</w:t>
      </w:r>
      <w:r w:rsidR="00DF1884" w:rsidRPr="00DF1884">
        <w:t xml:space="preserve"> </w:t>
      </w:r>
      <w:r w:rsidRPr="00DF1884">
        <w:t>to</w:t>
      </w:r>
      <w:r w:rsidR="00DF1884" w:rsidRPr="00DF1884">
        <w:t xml:space="preserve"> </w:t>
      </w:r>
      <w:r w:rsidRPr="00DF1884">
        <w:t>organs</w:t>
      </w:r>
      <w:r w:rsidR="00DF1884" w:rsidRPr="00DF1884">
        <w:t xml:space="preserve"> </w:t>
      </w:r>
      <w:r w:rsidRPr="00DF1884">
        <w:t>and</w:t>
      </w:r>
      <w:r w:rsidR="00DF1884" w:rsidRPr="00DF1884">
        <w:t xml:space="preserve"> </w:t>
      </w:r>
      <w:r w:rsidRPr="00DF1884">
        <w:t>throughout</w:t>
      </w:r>
      <w:r w:rsidR="00DF1884" w:rsidRPr="00DF1884">
        <w:t xml:space="preserve"> </w:t>
      </w:r>
      <w:r w:rsidRPr="00DF1884">
        <w:t>the</w:t>
      </w:r>
      <w:r w:rsidR="00DF1884" w:rsidRPr="00DF1884">
        <w:t xml:space="preserve"> </w:t>
      </w:r>
      <w:r w:rsidRPr="00DF1884">
        <w:t>body</w:t>
      </w:r>
      <w:r w:rsidR="00DF1884" w:rsidRPr="00DF1884">
        <w:t xml:space="preserve"> </w:t>
      </w:r>
      <w:r w:rsidR="00F03166" w:rsidRPr="00DF1884">
        <w:t>and</w:t>
      </w:r>
      <w:r w:rsidR="00DF1884" w:rsidRPr="00DF1884">
        <w:t xml:space="preserve"> </w:t>
      </w:r>
      <w:r w:rsidRPr="00DF1884">
        <w:t>results</w:t>
      </w:r>
      <w:r w:rsidR="00DF1884" w:rsidRPr="00DF1884">
        <w:t xml:space="preserve"> </w:t>
      </w:r>
      <w:r w:rsidRPr="00DF1884">
        <w:t>in</w:t>
      </w:r>
      <w:r w:rsidR="00DF1884" w:rsidRPr="00DF1884">
        <w:t xml:space="preserve"> </w:t>
      </w:r>
      <w:r w:rsidRPr="00DF1884">
        <w:t>most</w:t>
      </w:r>
      <w:r w:rsidR="00DF1884" w:rsidRPr="00DF1884">
        <w:t xml:space="preserve"> </w:t>
      </w:r>
      <w:r w:rsidRPr="00DF1884">
        <w:t>cardiovascular</w:t>
      </w:r>
      <w:r w:rsidR="00DF1884" w:rsidRPr="00DF1884">
        <w:t xml:space="preserve"> </w:t>
      </w:r>
      <w:r w:rsidRPr="00DF1884">
        <w:t>events,</w:t>
      </w:r>
      <w:r w:rsidR="00DF1884" w:rsidRPr="00DF1884">
        <w:t xml:space="preserve"> </w:t>
      </w:r>
      <w:r w:rsidRPr="00DF1884">
        <w:t>including</w:t>
      </w:r>
      <w:r w:rsidR="00DF1884" w:rsidRPr="00DF1884">
        <w:t xml:space="preserve"> </w:t>
      </w:r>
      <w:r w:rsidRPr="00DF1884">
        <w:t>heart</w:t>
      </w:r>
      <w:r w:rsidR="00DF1884" w:rsidRPr="00DF1884">
        <w:t xml:space="preserve"> </w:t>
      </w:r>
      <w:r w:rsidRPr="00DF1884">
        <w:t>attack</w:t>
      </w:r>
      <w:r w:rsidR="00DF1884" w:rsidRPr="00DF1884">
        <w:t xml:space="preserve"> </w:t>
      </w:r>
      <w:r w:rsidRPr="00DF1884">
        <w:t>and</w:t>
      </w:r>
      <w:r w:rsidR="00DF1884" w:rsidRPr="00DF1884">
        <w:t xml:space="preserve"> </w:t>
      </w:r>
      <w:r w:rsidRPr="00DF1884">
        <w:t>stroke</w:t>
      </w:r>
      <w:r w:rsidR="00DF1884" w:rsidRPr="00DF1884">
        <w:t xml:space="preserve"> </w:t>
      </w:r>
      <w:r w:rsidRPr="00DF1884">
        <w:t>(NHLBI,</w:t>
      </w:r>
      <w:r w:rsidR="00DF1884" w:rsidRPr="00DF1884">
        <w:t xml:space="preserve"> </w:t>
      </w:r>
      <w:r w:rsidRPr="00DF1884">
        <w:t>2014).</w:t>
      </w:r>
    </w:p>
    <w:p w14:paraId="2F3B9930" w14:textId="4F3DF15B" w:rsidR="005B5649" w:rsidRPr="00DF1884" w:rsidRDefault="005B5649" w:rsidP="005B5649">
      <w:pPr>
        <w:pStyle w:val="Body"/>
      </w:pPr>
      <w:r w:rsidRPr="00DF1884">
        <w:t>Research</w:t>
      </w:r>
      <w:r w:rsidR="00DF1884" w:rsidRPr="00DF1884">
        <w:t xml:space="preserve"> </w:t>
      </w:r>
      <w:r w:rsidRPr="00DF1884">
        <w:t>shows</w:t>
      </w:r>
      <w:r w:rsidR="00DF1884" w:rsidRPr="00DF1884">
        <w:t xml:space="preserve"> </w:t>
      </w:r>
      <w:r w:rsidRPr="00DF1884">
        <w:t>that</w:t>
      </w:r>
      <w:r w:rsidR="00DF1884" w:rsidRPr="00DF1884">
        <w:t xml:space="preserve"> </w:t>
      </w:r>
      <w:r w:rsidRPr="00DF1884">
        <w:t>adherence</w:t>
      </w:r>
      <w:r w:rsidR="00DF1884" w:rsidRPr="00DF1884">
        <w:t xml:space="preserve"> </w:t>
      </w:r>
      <w:r w:rsidRPr="00DF1884">
        <w:t>to</w:t>
      </w:r>
      <w:r w:rsidR="00DF1884" w:rsidRPr="00DF1884">
        <w:t xml:space="preserve"> </w:t>
      </w:r>
      <w:r w:rsidRPr="00DF1884">
        <w:t>statin</w:t>
      </w:r>
      <w:r w:rsidR="00DF1884" w:rsidRPr="00DF1884">
        <w:t xml:space="preserve"> </w:t>
      </w:r>
      <w:r w:rsidRPr="00DF1884">
        <w:t>medications</w:t>
      </w:r>
      <w:r w:rsidR="00DF1884" w:rsidRPr="00DF1884">
        <w:t xml:space="preserve"> </w:t>
      </w:r>
      <w:r w:rsidRPr="00DF1884">
        <w:t>is</w:t>
      </w:r>
      <w:r w:rsidR="00DF1884" w:rsidRPr="00DF1884">
        <w:t xml:space="preserve"> </w:t>
      </w:r>
      <w:r w:rsidRPr="00DF1884">
        <w:t>poor</w:t>
      </w:r>
      <w:r w:rsidR="00DF1884" w:rsidRPr="00DF1884">
        <w:t xml:space="preserve"> </w:t>
      </w:r>
      <w:r w:rsidRPr="00DF1884">
        <w:t>in</w:t>
      </w:r>
      <w:r w:rsidR="00DF1884" w:rsidRPr="00DF1884">
        <w:t xml:space="preserve"> </w:t>
      </w:r>
      <w:r w:rsidRPr="00DF1884">
        <w:t>the</w:t>
      </w:r>
      <w:r w:rsidR="00DF1884" w:rsidRPr="00DF1884">
        <w:t xml:space="preserve"> </w:t>
      </w:r>
      <w:r w:rsidRPr="00DF1884">
        <w:t>United</w:t>
      </w:r>
      <w:r w:rsidR="00DF1884" w:rsidRPr="00DF1884">
        <w:t xml:space="preserve"> </w:t>
      </w:r>
      <w:r w:rsidRPr="00DF1884">
        <w:t>States.</w:t>
      </w:r>
      <w:r w:rsidR="00DF1884" w:rsidRPr="00DF1884">
        <w:t xml:space="preserve"> </w:t>
      </w:r>
      <w:r w:rsidRPr="00DF1884">
        <w:t>In</w:t>
      </w:r>
      <w:r w:rsidR="00DF1884" w:rsidRPr="00DF1884">
        <w:t xml:space="preserve"> </w:t>
      </w:r>
      <w:r w:rsidRPr="00DF1884">
        <w:t>a</w:t>
      </w:r>
      <w:r w:rsidR="00DF1884" w:rsidRPr="00DF1884">
        <w:t xml:space="preserve"> </w:t>
      </w:r>
      <w:r w:rsidRPr="00DF1884">
        <w:t>randomized</w:t>
      </w:r>
      <w:r w:rsidR="00DF1884" w:rsidRPr="00DF1884">
        <w:t xml:space="preserve"> </w:t>
      </w:r>
      <w:r w:rsidRPr="00DF1884">
        <w:t>trial</w:t>
      </w:r>
      <w:r w:rsidR="00DF1884" w:rsidRPr="00DF1884">
        <w:t xml:space="preserve"> </w:t>
      </w:r>
      <w:r w:rsidRPr="00DF1884">
        <w:t>of</w:t>
      </w:r>
      <w:r w:rsidR="00DF1884" w:rsidRPr="00DF1884">
        <w:t xml:space="preserve"> </w:t>
      </w:r>
      <w:r w:rsidRPr="00DF1884">
        <w:t>medication</w:t>
      </w:r>
      <w:r w:rsidR="00DF1884" w:rsidRPr="00DF1884">
        <w:t xml:space="preserve"> </w:t>
      </w:r>
      <w:r w:rsidRPr="00DF1884">
        <w:t>coverage,</w:t>
      </w:r>
      <w:r w:rsidR="00DF1884" w:rsidRPr="00DF1884">
        <w:t xml:space="preserve"> </w:t>
      </w:r>
      <w:r w:rsidRPr="00DF1884">
        <w:t>50</w:t>
      </w:r>
      <w:r w:rsidR="00DF1884" w:rsidRPr="00DF1884">
        <w:t xml:space="preserve"> </w:t>
      </w:r>
      <w:r w:rsidRPr="00DF1884">
        <w:t>percent</w:t>
      </w:r>
      <w:r w:rsidR="00DF1884" w:rsidRPr="00DF1884">
        <w:t xml:space="preserve"> </w:t>
      </w:r>
      <w:r w:rsidRPr="00DF1884">
        <w:t>of</w:t>
      </w:r>
      <w:r w:rsidR="00DF1884" w:rsidRPr="00DF1884">
        <w:t xml:space="preserve"> </w:t>
      </w:r>
      <w:r w:rsidRPr="00DF1884">
        <w:t>patients</w:t>
      </w:r>
      <w:r w:rsidR="00DF1884" w:rsidRPr="00DF1884">
        <w:t xml:space="preserve"> </w:t>
      </w:r>
      <w:r w:rsidRPr="00DF1884">
        <w:t>in</w:t>
      </w:r>
      <w:r w:rsidR="00DF1884" w:rsidRPr="00DF1884">
        <w:t xml:space="preserve"> </w:t>
      </w:r>
      <w:r w:rsidRPr="00DF1884">
        <w:t>the</w:t>
      </w:r>
      <w:r w:rsidR="00DF1884" w:rsidRPr="00DF1884">
        <w:t xml:space="preserve"> </w:t>
      </w:r>
      <w:r w:rsidRPr="00DF1884">
        <w:t>control</w:t>
      </w:r>
      <w:r w:rsidR="00DF1884" w:rsidRPr="00DF1884">
        <w:t xml:space="preserve"> </w:t>
      </w:r>
      <w:r w:rsidRPr="00DF1884">
        <w:t>group</w:t>
      </w:r>
      <w:r w:rsidR="00DF1884" w:rsidRPr="00DF1884">
        <w:t xml:space="preserve"> </w:t>
      </w:r>
      <w:r w:rsidRPr="00DF1884">
        <w:t>(usual</w:t>
      </w:r>
      <w:r w:rsidR="00DF1884" w:rsidRPr="00DF1884">
        <w:t xml:space="preserve"> </w:t>
      </w:r>
      <w:r w:rsidRPr="00DF1884">
        <w:t>coverage)</w:t>
      </w:r>
      <w:r w:rsidR="00DF1884" w:rsidRPr="00DF1884">
        <w:t xml:space="preserve"> </w:t>
      </w:r>
      <w:r w:rsidRPr="00DF1884">
        <w:t>stopped</w:t>
      </w:r>
      <w:r w:rsidR="00DF1884" w:rsidRPr="00DF1884">
        <w:t xml:space="preserve"> </w:t>
      </w:r>
      <w:r w:rsidRPr="00DF1884">
        <w:t>using</w:t>
      </w:r>
      <w:r w:rsidR="00DF1884" w:rsidRPr="00DF1884">
        <w:t xml:space="preserve"> </w:t>
      </w:r>
      <w:r w:rsidRPr="00DF1884">
        <w:t>statin</w:t>
      </w:r>
      <w:r w:rsidR="00DF1884" w:rsidRPr="00DF1884">
        <w:t xml:space="preserve"> </w:t>
      </w:r>
      <w:r w:rsidRPr="00DF1884">
        <w:t>medications</w:t>
      </w:r>
      <w:r w:rsidR="00DF1884" w:rsidRPr="00DF1884">
        <w:t xml:space="preserve"> </w:t>
      </w:r>
      <w:r w:rsidRPr="00DF1884">
        <w:t>within</w:t>
      </w:r>
      <w:r w:rsidR="00DF1884" w:rsidRPr="00DF1884">
        <w:t xml:space="preserve"> </w:t>
      </w:r>
      <w:r w:rsidRPr="00DF1884">
        <w:t>one</w:t>
      </w:r>
      <w:r w:rsidR="00DF1884" w:rsidRPr="00DF1884">
        <w:t xml:space="preserve"> </w:t>
      </w:r>
      <w:r w:rsidRPr="00DF1884">
        <w:t>year</w:t>
      </w:r>
      <w:r w:rsidR="00DF1884" w:rsidRPr="00DF1884">
        <w:t xml:space="preserve"> </w:t>
      </w:r>
      <w:r w:rsidRPr="00DF1884">
        <w:t>of</w:t>
      </w:r>
      <w:r w:rsidR="00DF1884" w:rsidRPr="00DF1884">
        <w:t xml:space="preserve"> </w:t>
      </w:r>
      <w:r w:rsidRPr="00DF1884">
        <w:t>starting</w:t>
      </w:r>
      <w:r w:rsidR="00DF1884" w:rsidRPr="00DF1884">
        <w:t xml:space="preserve"> </w:t>
      </w:r>
      <w:r w:rsidRPr="00DF1884">
        <w:t>treatment</w:t>
      </w:r>
      <w:r w:rsidR="00DF1884" w:rsidRPr="00DF1884">
        <w:t xml:space="preserve"> </w:t>
      </w:r>
      <w:r w:rsidRPr="00DF1884">
        <w:t>(Choudhry,</w:t>
      </w:r>
      <w:r w:rsidR="00DF1884" w:rsidRPr="00DF1884">
        <w:t xml:space="preserve"> </w:t>
      </w:r>
      <w:r w:rsidRPr="00DF1884">
        <w:t>2011).</w:t>
      </w:r>
      <w:r w:rsidR="00DF1884" w:rsidRPr="00DF1884">
        <w:t xml:space="preserve"> </w:t>
      </w:r>
      <w:r w:rsidRPr="00DF1884">
        <w:t>NCQA</w:t>
      </w:r>
      <w:r w:rsidR="00DF1884" w:rsidRPr="00DF1884">
        <w:t xml:space="preserve"> </w:t>
      </w:r>
      <w:r w:rsidRPr="00DF1884">
        <w:t>seeks</w:t>
      </w:r>
      <w:r w:rsidR="00DF1884" w:rsidRPr="00DF1884">
        <w:t xml:space="preserve"> </w:t>
      </w:r>
      <w:r w:rsidRPr="00DF1884">
        <w:t>to</w:t>
      </w:r>
      <w:r w:rsidR="00DF1884" w:rsidRPr="00DF1884">
        <w:t xml:space="preserve"> </w:t>
      </w:r>
      <w:r w:rsidRPr="00DF1884">
        <w:t>improve</w:t>
      </w:r>
      <w:r w:rsidR="00DF1884" w:rsidRPr="00DF1884">
        <w:t xml:space="preserve"> </w:t>
      </w:r>
      <w:r w:rsidRPr="00DF1884">
        <w:t>statin</w:t>
      </w:r>
      <w:r w:rsidR="00DF1884" w:rsidRPr="00DF1884">
        <w:t xml:space="preserve"> </w:t>
      </w:r>
      <w:r w:rsidRPr="00DF1884">
        <w:t>adherence</w:t>
      </w:r>
      <w:r w:rsidR="00DF1884" w:rsidRPr="00DF1884">
        <w:t xml:space="preserve"> </w:t>
      </w:r>
      <w:r w:rsidRPr="00DF1884">
        <w:t>in</w:t>
      </w:r>
      <w:r w:rsidR="00DF1884" w:rsidRPr="00DF1884">
        <w:t xml:space="preserve"> </w:t>
      </w:r>
      <w:r w:rsidRPr="00DF1884">
        <w:t>patients</w:t>
      </w:r>
      <w:r w:rsidR="00DF1884" w:rsidRPr="00DF1884">
        <w:t xml:space="preserve"> </w:t>
      </w:r>
      <w:r w:rsidRPr="00DF1884">
        <w:t>with</w:t>
      </w:r>
      <w:r w:rsidR="00DF1884" w:rsidRPr="00DF1884">
        <w:t xml:space="preserve"> </w:t>
      </w:r>
      <w:r w:rsidRPr="00DF1884">
        <w:t>cardiovascular</w:t>
      </w:r>
      <w:r w:rsidR="00DF1884" w:rsidRPr="00DF1884">
        <w:t xml:space="preserve"> </w:t>
      </w:r>
      <w:r w:rsidRPr="00DF1884">
        <w:t>disease</w:t>
      </w:r>
      <w:r w:rsidR="00DF1884" w:rsidRPr="00DF1884">
        <w:t xml:space="preserve"> </w:t>
      </w:r>
      <w:r w:rsidRPr="00DF1884">
        <w:t>and</w:t>
      </w:r>
      <w:r w:rsidR="00DF1884" w:rsidRPr="00DF1884">
        <w:t xml:space="preserve"> </w:t>
      </w:r>
      <w:r w:rsidRPr="00DF1884">
        <w:t>thereby</w:t>
      </w:r>
      <w:r w:rsidR="00DF1884" w:rsidRPr="00DF1884">
        <w:t xml:space="preserve"> </w:t>
      </w:r>
      <w:r w:rsidRPr="00DF1884">
        <w:t>reduce</w:t>
      </w:r>
      <w:r w:rsidR="00DF1884" w:rsidRPr="00DF1884">
        <w:t xml:space="preserve"> </w:t>
      </w:r>
      <w:r w:rsidRPr="00DF1884">
        <w:t>the</w:t>
      </w:r>
      <w:r w:rsidR="00DF1884" w:rsidRPr="00DF1884">
        <w:t xml:space="preserve"> </w:t>
      </w:r>
      <w:r w:rsidRPr="00DF1884">
        <w:t>risk</w:t>
      </w:r>
      <w:r w:rsidR="00DF1884" w:rsidRPr="00DF1884">
        <w:t xml:space="preserve"> </w:t>
      </w:r>
      <w:r w:rsidRPr="00DF1884">
        <w:t>for</w:t>
      </w:r>
      <w:r w:rsidR="00DF1884" w:rsidRPr="00DF1884">
        <w:t xml:space="preserve"> </w:t>
      </w:r>
      <w:r w:rsidRPr="00DF1884">
        <w:t>cardiovascular</w:t>
      </w:r>
      <w:r w:rsidR="00DF1884" w:rsidRPr="00DF1884">
        <w:t xml:space="preserve"> </w:t>
      </w:r>
      <w:r w:rsidRPr="00DF1884">
        <w:t>related</w:t>
      </w:r>
      <w:r w:rsidR="00DF1884" w:rsidRPr="00DF1884">
        <w:t xml:space="preserve"> </w:t>
      </w:r>
      <w:r w:rsidRPr="00DF1884">
        <w:t>mortality.</w:t>
      </w:r>
    </w:p>
    <w:p w14:paraId="1C708B4D" w14:textId="77777777" w:rsidR="005B5649" w:rsidRPr="00DF1884" w:rsidRDefault="005B5649" w:rsidP="005B5649">
      <w:pPr>
        <w:pStyle w:val="StdHead"/>
      </w:pPr>
      <w:r w:rsidRPr="00DF1884">
        <w:t>Relevance</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8270"/>
      </w:tblGrid>
      <w:tr w:rsidR="00F03166" w:rsidRPr="00DF1884" w14:paraId="02904EBC" w14:textId="77777777" w:rsidTr="00F03166">
        <w:tc>
          <w:tcPr>
            <w:tcW w:w="1530" w:type="dxa"/>
          </w:tcPr>
          <w:p w14:paraId="04B24DC5" w14:textId="27438602" w:rsidR="00F03166" w:rsidRPr="00DF1884" w:rsidRDefault="00F03166" w:rsidP="00F03166">
            <w:pPr>
              <w:pStyle w:val="MarginSubhead"/>
            </w:pPr>
            <w:r w:rsidRPr="00DF1884">
              <w:t>Health</w:t>
            </w:r>
            <w:r w:rsidR="00DF1884" w:rsidRPr="00DF1884">
              <w:t xml:space="preserve"> </w:t>
            </w:r>
            <w:r w:rsidRPr="00DF1884">
              <w:t>importance</w:t>
            </w:r>
          </w:p>
        </w:tc>
        <w:tc>
          <w:tcPr>
            <w:tcW w:w="8270" w:type="dxa"/>
          </w:tcPr>
          <w:p w14:paraId="2EE1D1D9" w14:textId="0A19AA65" w:rsidR="00F03166" w:rsidRPr="00DF1884" w:rsidRDefault="00F03166" w:rsidP="00F03166">
            <w:pPr>
              <w:pStyle w:val="Body"/>
            </w:pPr>
            <w:r w:rsidRPr="00DF1884">
              <w:t>Statins</w:t>
            </w:r>
            <w:r w:rsidR="00DF1884" w:rsidRPr="00DF1884">
              <w:t xml:space="preserve"> </w:t>
            </w:r>
            <w:r w:rsidRPr="00DF1884">
              <w:t>(HMG</w:t>
            </w:r>
            <w:r w:rsidR="00DF1884" w:rsidRPr="00DF1884">
              <w:t xml:space="preserve"> </w:t>
            </w:r>
            <w:r w:rsidRPr="00DF1884">
              <w:t>CoA</w:t>
            </w:r>
            <w:r w:rsidR="00DF1884" w:rsidRPr="00DF1884">
              <w:t xml:space="preserve"> </w:t>
            </w:r>
            <w:r w:rsidRPr="00DF1884">
              <w:t>reductase</w:t>
            </w:r>
            <w:r w:rsidR="00DF1884" w:rsidRPr="00DF1884">
              <w:t xml:space="preserve"> </w:t>
            </w:r>
            <w:r w:rsidRPr="00DF1884">
              <w:t>inhibitors)</w:t>
            </w:r>
            <w:r w:rsidR="00DF1884" w:rsidRPr="00DF1884">
              <w:t xml:space="preserve"> </w:t>
            </w:r>
            <w:r w:rsidRPr="00DF1884">
              <w:t>are</w:t>
            </w:r>
            <w:r w:rsidR="00DF1884" w:rsidRPr="00DF1884">
              <w:t xml:space="preserve"> </w:t>
            </w:r>
            <w:r w:rsidRPr="00DF1884">
              <w:t>a</w:t>
            </w:r>
            <w:r w:rsidR="00DF1884" w:rsidRPr="00DF1884">
              <w:t xml:space="preserve"> </w:t>
            </w:r>
            <w:r w:rsidRPr="00DF1884">
              <w:t>class</w:t>
            </w:r>
            <w:r w:rsidR="00DF1884" w:rsidRPr="00DF1884">
              <w:t xml:space="preserve"> </w:t>
            </w:r>
            <w:r w:rsidRPr="00DF1884">
              <w:t>of</w:t>
            </w:r>
            <w:r w:rsidR="00DF1884" w:rsidRPr="00DF1884">
              <w:t xml:space="preserve"> </w:t>
            </w:r>
            <w:r w:rsidRPr="00DF1884">
              <w:t>drugs</w:t>
            </w:r>
            <w:r w:rsidR="00DF1884" w:rsidRPr="00DF1884">
              <w:t xml:space="preserve"> </w:t>
            </w:r>
            <w:r w:rsidRPr="00DF1884">
              <w:t>that</w:t>
            </w:r>
            <w:r w:rsidR="00DF1884" w:rsidRPr="00DF1884">
              <w:t xml:space="preserve"> </w:t>
            </w:r>
            <w:r w:rsidRPr="00DF1884">
              <w:t>lower</w:t>
            </w:r>
            <w:r w:rsidR="00DF1884" w:rsidRPr="00DF1884">
              <w:t xml:space="preserve"> </w:t>
            </w:r>
            <w:r w:rsidRPr="00DF1884">
              <w:t>blood</w:t>
            </w:r>
            <w:r w:rsidR="00DF1884" w:rsidRPr="00DF1884">
              <w:t xml:space="preserve"> </w:t>
            </w:r>
            <w:r w:rsidRPr="00DF1884">
              <w:t>cholesterol.</w:t>
            </w:r>
            <w:r w:rsidR="00DF1884" w:rsidRPr="00DF1884">
              <w:t xml:space="preserve"> </w:t>
            </w:r>
            <w:r w:rsidRPr="00DF1884">
              <w:t>Statins</w:t>
            </w:r>
            <w:r w:rsidR="00DF1884" w:rsidRPr="00DF1884">
              <w:t xml:space="preserve"> </w:t>
            </w:r>
            <w:r w:rsidRPr="00DF1884">
              <w:t>work</w:t>
            </w:r>
            <w:r w:rsidR="00DF1884" w:rsidRPr="00DF1884">
              <w:t xml:space="preserve"> </w:t>
            </w:r>
            <w:r w:rsidRPr="00DF1884">
              <w:t>in</w:t>
            </w:r>
            <w:r w:rsidR="00DF1884" w:rsidRPr="00DF1884">
              <w:t xml:space="preserve"> </w:t>
            </w:r>
            <w:r w:rsidRPr="00DF1884">
              <w:t>the</w:t>
            </w:r>
            <w:r w:rsidR="00DF1884" w:rsidRPr="00DF1884">
              <w:t xml:space="preserve"> </w:t>
            </w:r>
            <w:r w:rsidRPr="00DF1884">
              <w:t>liver</w:t>
            </w:r>
            <w:r w:rsidR="00DF1884" w:rsidRPr="00DF1884">
              <w:t xml:space="preserve"> </w:t>
            </w:r>
            <w:r w:rsidRPr="00DF1884">
              <w:t>by</w:t>
            </w:r>
            <w:r w:rsidR="00DF1884" w:rsidRPr="00DF1884">
              <w:t xml:space="preserve"> </w:t>
            </w:r>
            <w:r w:rsidRPr="00DF1884">
              <w:t>preventing</w:t>
            </w:r>
            <w:r w:rsidR="00DF1884" w:rsidRPr="00DF1884">
              <w:t xml:space="preserve"> </w:t>
            </w:r>
            <w:r w:rsidRPr="00DF1884">
              <w:t>the</w:t>
            </w:r>
            <w:r w:rsidR="00DF1884" w:rsidRPr="00DF1884">
              <w:t xml:space="preserve"> </w:t>
            </w:r>
            <w:r w:rsidRPr="00DF1884">
              <w:t>formation</w:t>
            </w:r>
            <w:r w:rsidR="00DF1884" w:rsidRPr="00DF1884">
              <w:t xml:space="preserve"> </w:t>
            </w:r>
            <w:r w:rsidRPr="00DF1884">
              <w:t>of</w:t>
            </w:r>
            <w:r w:rsidR="00DF1884" w:rsidRPr="00DF1884">
              <w:t xml:space="preserve"> </w:t>
            </w:r>
            <w:r w:rsidRPr="00DF1884">
              <w:t>cholesterol,</w:t>
            </w:r>
            <w:r w:rsidR="00DF1884" w:rsidRPr="00DF1884">
              <w:t xml:space="preserve"> </w:t>
            </w:r>
            <w:r w:rsidRPr="00DF1884">
              <w:t>thus</w:t>
            </w:r>
            <w:r w:rsidR="00DF1884" w:rsidRPr="00DF1884">
              <w:t xml:space="preserve"> </w:t>
            </w:r>
            <w:r w:rsidRPr="00DF1884">
              <w:t>lowering</w:t>
            </w:r>
            <w:r w:rsidR="00DF1884" w:rsidRPr="00DF1884">
              <w:t xml:space="preserve"> </w:t>
            </w:r>
            <w:r w:rsidRPr="00DF1884">
              <w:t>the</w:t>
            </w:r>
            <w:r w:rsidR="00DF1884" w:rsidRPr="00DF1884">
              <w:t xml:space="preserve"> </w:t>
            </w:r>
            <w:r w:rsidRPr="00DF1884">
              <w:t>amount</w:t>
            </w:r>
            <w:r w:rsidR="00DF1884" w:rsidRPr="00DF1884">
              <w:t xml:space="preserve"> </w:t>
            </w:r>
            <w:r w:rsidRPr="00DF1884">
              <w:t>of</w:t>
            </w:r>
            <w:r w:rsidR="00DF1884" w:rsidRPr="00DF1884">
              <w:t xml:space="preserve"> </w:t>
            </w:r>
            <w:r w:rsidRPr="00DF1884">
              <w:t>cholesterol</w:t>
            </w:r>
            <w:r w:rsidR="00DF1884" w:rsidRPr="00DF1884">
              <w:t xml:space="preserve"> </w:t>
            </w:r>
            <w:r w:rsidRPr="00DF1884">
              <w:t>in</w:t>
            </w:r>
            <w:r w:rsidR="00DF1884" w:rsidRPr="00DF1884">
              <w:t xml:space="preserve"> </w:t>
            </w:r>
            <w:r w:rsidRPr="00DF1884">
              <w:t>the</w:t>
            </w:r>
            <w:r w:rsidR="00DF1884" w:rsidRPr="00DF1884">
              <w:t xml:space="preserve"> </w:t>
            </w:r>
            <w:r w:rsidRPr="00DF1884">
              <w:t>blood</w:t>
            </w:r>
            <w:r w:rsidR="00DF1884" w:rsidRPr="00DF1884">
              <w:t xml:space="preserve"> </w:t>
            </w:r>
            <w:r w:rsidRPr="00DF1884">
              <w:t>(AHA,</w:t>
            </w:r>
            <w:r w:rsidR="00DF1884" w:rsidRPr="00DF1884">
              <w:t xml:space="preserve"> </w:t>
            </w:r>
            <w:r w:rsidRPr="00DF1884">
              <w:t>2014).</w:t>
            </w:r>
            <w:r w:rsidR="00DF1884" w:rsidRPr="00DF1884">
              <w:t xml:space="preserve"> </w:t>
            </w:r>
            <w:r w:rsidRPr="00DF1884">
              <w:t>Statins</w:t>
            </w:r>
            <w:r w:rsidR="00DF1884" w:rsidRPr="00DF1884">
              <w:t xml:space="preserve"> </w:t>
            </w:r>
            <w:r w:rsidRPr="00DF1884">
              <w:t>are</w:t>
            </w:r>
            <w:r w:rsidR="00DF1884" w:rsidRPr="00DF1884">
              <w:t xml:space="preserve"> </w:t>
            </w:r>
            <w:r w:rsidRPr="00DF1884">
              <w:t>most</w:t>
            </w:r>
            <w:r w:rsidR="00DF1884" w:rsidRPr="00DF1884">
              <w:t xml:space="preserve"> </w:t>
            </w:r>
            <w:r w:rsidRPr="00DF1884">
              <w:t>effective</w:t>
            </w:r>
            <w:r w:rsidR="00DF1884" w:rsidRPr="00DF1884">
              <w:t xml:space="preserve"> </w:t>
            </w:r>
            <w:r w:rsidRPr="00DF1884">
              <w:t>in</w:t>
            </w:r>
            <w:r w:rsidR="00DF1884" w:rsidRPr="00DF1884">
              <w:t xml:space="preserve"> </w:t>
            </w:r>
            <w:r w:rsidRPr="00DF1884">
              <w:t>lowering</w:t>
            </w:r>
            <w:r w:rsidR="00DF1884" w:rsidRPr="00DF1884">
              <w:t xml:space="preserve"> </w:t>
            </w:r>
            <w:r w:rsidRPr="00DF1884">
              <w:t>low-density</w:t>
            </w:r>
            <w:r w:rsidR="00DF1884" w:rsidRPr="00DF1884">
              <w:t xml:space="preserve"> </w:t>
            </w:r>
            <w:r w:rsidRPr="00DF1884">
              <w:t>lipoprotein</w:t>
            </w:r>
            <w:r w:rsidR="00DF1884" w:rsidRPr="00DF1884">
              <w:t xml:space="preserve"> </w:t>
            </w:r>
            <w:r w:rsidRPr="00DF1884">
              <w:t>cholesterol</w:t>
            </w:r>
            <w:r w:rsidR="00DF1884" w:rsidRPr="00DF1884">
              <w:t xml:space="preserve"> </w:t>
            </w:r>
            <w:r w:rsidRPr="00DF1884">
              <w:t>(LDL-C).</w:t>
            </w:r>
            <w:r w:rsidR="00DF1884" w:rsidRPr="00DF1884">
              <w:t xml:space="preserve"> </w:t>
            </w:r>
            <w:r w:rsidRPr="00DF1884">
              <w:t>The</w:t>
            </w:r>
            <w:r w:rsidR="00DF1884" w:rsidRPr="00DF1884">
              <w:t xml:space="preserve"> </w:t>
            </w:r>
            <w:r w:rsidRPr="00DF1884">
              <w:t>amount</w:t>
            </w:r>
            <w:r w:rsidR="00DF1884" w:rsidRPr="00DF1884">
              <w:t xml:space="preserve"> </w:t>
            </w:r>
            <w:r w:rsidRPr="00DF1884">
              <w:t>of</w:t>
            </w:r>
            <w:r w:rsidR="00DF1884" w:rsidRPr="00DF1884">
              <w:t xml:space="preserve"> </w:t>
            </w:r>
            <w:r w:rsidRPr="00DF1884">
              <w:t>cholesterol</w:t>
            </w:r>
            <w:r w:rsidR="00DF1884" w:rsidRPr="00DF1884">
              <w:t xml:space="preserve"> </w:t>
            </w:r>
            <w:r w:rsidRPr="00DF1884">
              <w:t>lowering</w:t>
            </w:r>
            <w:r w:rsidR="00DF1884" w:rsidRPr="00DF1884">
              <w:t xml:space="preserve"> </w:t>
            </w:r>
            <w:r w:rsidRPr="00DF1884">
              <w:t>effect</w:t>
            </w:r>
            <w:r w:rsidR="00DF1884" w:rsidRPr="00DF1884">
              <w:t xml:space="preserve"> </w:t>
            </w:r>
            <w:r w:rsidRPr="00DF1884">
              <w:t>is</w:t>
            </w:r>
            <w:r w:rsidR="00DF1884" w:rsidRPr="00DF1884">
              <w:t xml:space="preserve"> </w:t>
            </w:r>
            <w:r w:rsidRPr="00DF1884">
              <w:t>based</w:t>
            </w:r>
            <w:r w:rsidR="00DF1884" w:rsidRPr="00DF1884">
              <w:t xml:space="preserve"> </w:t>
            </w:r>
            <w:r w:rsidRPr="00DF1884">
              <w:t>on</w:t>
            </w:r>
            <w:r w:rsidR="00DF1884" w:rsidRPr="00DF1884">
              <w:t xml:space="preserve"> </w:t>
            </w:r>
            <w:r w:rsidRPr="00DF1884">
              <w:t>statin</w:t>
            </w:r>
            <w:r w:rsidR="00DF1884" w:rsidRPr="00DF1884">
              <w:t xml:space="preserve"> </w:t>
            </w:r>
            <w:r w:rsidRPr="00DF1884">
              <w:t>intensity,</w:t>
            </w:r>
            <w:r w:rsidR="00DF1884" w:rsidRPr="00DF1884">
              <w:t xml:space="preserve"> </w:t>
            </w:r>
            <w:r w:rsidRPr="00DF1884">
              <w:t>which</w:t>
            </w:r>
            <w:r w:rsidR="00DF1884" w:rsidRPr="00DF1884">
              <w:t xml:space="preserve"> </w:t>
            </w:r>
            <w:r w:rsidRPr="00DF1884">
              <w:t>is</w:t>
            </w:r>
            <w:r w:rsidR="00DF1884" w:rsidRPr="00DF1884">
              <w:t xml:space="preserve"> </w:t>
            </w:r>
            <w:r w:rsidRPr="00DF1884">
              <w:t>classified</w:t>
            </w:r>
            <w:r w:rsidR="00DF1884" w:rsidRPr="00DF1884">
              <w:t xml:space="preserve"> </w:t>
            </w:r>
            <w:r w:rsidRPr="00DF1884">
              <w:t>as</w:t>
            </w:r>
            <w:r w:rsidR="00DF1884" w:rsidRPr="00DF1884">
              <w:t xml:space="preserve"> </w:t>
            </w:r>
            <w:r w:rsidRPr="00DF1884">
              <w:t>either</w:t>
            </w:r>
            <w:r w:rsidR="00DF1884" w:rsidRPr="00DF1884">
              <w:t xml:space="preserve"> </w:t>
            </w:r>
            <w:r w:rsidRPr="00DF1884">
              <w:t>high,</w:t>
            </w:r>
            <w:r w:rsidR="00DF1884" w:rsidRPr="00DF1884">
              <w:t xml:space="preserve"> </w:t>
            </w:r>
            <w:r w:rsidRPr="00DF1884">
              <w:t>moderate</w:t>
            </w:r>
            <w:r w:rsidR="00DF1884" w:rsidRPr="00DF1884">
              <w:t xml:space="preserve"> </w:t>
            </w:r>
            <w:r w:rsidRPr="00DF1884">
              <w:t>or</w:t>
            </w:r>
            <w:r w:rsidR="00DF1884" w:rsidRPr="00DF1884">
              <w:t xml:space="preserve"> </w:t>
            </w:r>
            <w:r w:rsidRPr="00DF1884">
              <w:t>low</w:t>
            </w:r>
            <w:r w:rsidR="00DF1884" w:rsidRPr="00DF1884">
              <w:t xml:space="preserve"> </w:t>
            </w:r>
            <w:r w:rsidRPr="00DF1884">
              <w:t>intensity.</w:t>
            </w:r>
            <w:r w:rsidR="00DF1884" w:rsidRPr="00DF1884">
              <w:t xml:space="preserve"> </w:t>
            </w:r>
          </w:p>
          <w:p w14:paraId="2C32B707" w14:textId="69C21350" w:rsidR="00F03166" w:rsidRPr="00DF1884" w:rsidRDefault="00F03166" w:rsidP="00F03166">
            <w:pPr>
              <w:pStyle w:val="Body"/>
            </w:pPr>
            <w:r w:rsidRPr="00DF1884">
              <w:t>Statins</w:t>
            </w:r>
            <w:r w:rsidR="00DF1884" w:rsidRPr="00DF1884">
              <w:t xml:space="preserve"> </w:t>
            </w:r>
            <w:r w:rsidRPr="00DF1884">
              <w:t>are</w:t>
            </w:r>
            <w:r w:rsidR="00DF1884" w:rsidRPr="00DF1884">
              <w:t xml:space="preserve"> </w:t>
            </w:r>
            <w:r w:rsidRPr="00DF1884">
              <w:t>among</w:t>
            </w:r>
            <w:r w:rsidR="00DF1884" w:rsidRPr="00DF1884">
              <w:t xml:space="preserve"> </w:t>
            </w:r>
            <w:r w:rsidRPr="00DF1884">
              <w:t>the</w:t>
            </w:r>
            <w:r w:rsidR="00DF1884" w:rsidRPr="00DF1884">
              <w:t xml:space="preserve"> </w:t>
            </w:r>
            <w:r w:rsidRPr="00DF1884">
              <w:t>most</w:t>
            </w:r>
            <w:r w:rsidR="00DF1884" w:rsidRPr="00DF1884">
              <w:t xml:space="preserve"> </w:t>
            </w:r>
            <w:r w:rsidRPr="00DF1884">
              <w:t>commonly</w:t>
            </w:r>
            <w:r w:rsidR="00DF1884" w:rsidRPr="00DF1884">
              <w:t xml:space="preserve"> </w:t>
            </w:r>
            <w:r w:rsidRPr="00DF1884">
              <w:t>prescribed</w:t>
            </w:r>
            <w:r w:rsidR="00DF1884" w:rsidRPr="00DF1884">
              <w:t xml:space="preserve"> </w:t>
            </w:r>
            <w:r w:rsidRPr="00DF1884">
              <w:t>medications</w:t>
            </w:r>
            <w:r w:rsidR="00DF1884" w:rsidRPr="00DF1884">
              <w:t xml:space="preserve"> </w:t>
            </w:r>
            <w:r w:rsidRPr="00DF1884">
              <w:t>in</w:t>
            </w:r>
            <w:r w:rsidR="00DF1884" w:rsidRPr="00DF1884">
              <w:t xml:space="preserve"> </w:t>
            </w:r>
            <w:r w:rsidRPr="00DF1884">
              <w:t>the</w:t>
            </w:r>
            <w:r w:rsidR="00DF1884" w:rsidRPr="00DF1884">
              <w:t xml:space="preserve"> </w:t>
            </w:r>
            <w:r w:rsidRPr="00DF1884">
              <w:t>United</w:t>
            </w:r>
            <w:r w:rsidR="00DF1884" w:rsidRPr="00DF1884">
              <w:t xml:space="preserve"> </w:t>
            </w:r>
            <w:r w:rsidRPr="00DF1884">
              <w:t>States,</w:t>
            </w:r>
            <w:r w:rsidR="00DF1884" w:rsidRPr="00DF1884">
              <w:t xml:space="preserve"> </w:t>
            </w:r>
            <w:r w:rsidRPr="00DF1884">
              <w:t>accumulating</w:t>
            </w:r>
            <w:r w:rsidR="00DF1884" w:rsidRPr="00DF1884">
              <w:t xml:space="preserve"> </w:t>
            </w:r>
            <w:r w:rsidRPr="00DF1884">
              <w:t>$17</w:t>
            </w:r>
            <w:r w:rsidR="00DF1884" w:rsidRPr="00DF1884">
              <w:t xml:space="preserve"> </w:t>
            </w:r>
            <w:r w:rsidRPr="00DF1884">
              <w:t>billion</w:t>
            </w:r>
            <w:r w:rsidR="00DF1884" w:rsidRPr="00DF1884">
              <w:t xml:space="preserve"> </w:t>
            </w:r>
            <w:r w:rsidRPr="00DF1884">
              <w:t>in</w:t>
            </w:r>
            <w:r w:rsidR="00DF1884" w:rsidRPr="00DF1884">
              <w:t xml:space="preserve"> </w:t>
            </w:r>
            <w:r w:rsidRPr="00DF1884">
              <w:t>sales</w:t>
            </w:r>
            <w:r w:rsidR="00DF1884" w:rsidRPr="00DF1884">
              <w:t xml:space="preserve"> </w:t>
            </w:r>
            <w:r w:rsidRPr="00DF1884">
              <w:t>in</w:t>
            </w:r>
            <w:r w:rsidR="00DF1884" w:rsidRPr="00DF1884">
              <w:t xml:space="preserve"> </w:t>
            </w:r>
            <w:r w:rsidRPr="00DF1884">
              <w:t>2012</w:t>
            </w:r>
            <w:r w:rsidR="00DF1884" w:rsidRPr="00DF1884">
              <w:t xml:space="preserve"> </w:t>
            </w:r>
            <w:r w:rsidRPr="00DF1884">
              <w:t>(Consumer</w:t>
            </w:r>
            <w:r w:rsidR="00DF1884" w:rsidRPr="00DF1884">
              <w:t xml:space="preserve"> </w:t>
            </w:r>
            <w:r w:rsidRPr="00DF1884">
              <w:t>Reports,</w:t>
            </w:r>
            <w:r w:rsidR="00DF1884" w:rsidRPr="00DF1884">
              <w:t xml:space="preserve"> </w:t>
            </w:r>
            <w:r w:rsidRPr="00DF1884">
              <w:t>2014).</w:t>
            </w:r>
            <w:r w:rsidR="00DF1884" w:rsidRPr="00DF1884">
              <w:t xml:space="preserve"> </w:t>
            </w:r>
            <w:r w:rsidRPr="00DF1884">
              <w:t>According</w:t>
            </w:r>
            <w:r w:rsidR="00DF1884" w:rsidRPr="00DF1884">
              <w:t xml:space="preserve"> </w:t>
            </w:r>
            <w:r w:rsidRPr="00DF1884">
              <w:t>to</w:t>
            </w:r>
            <w:r w:rsidR="00DF1884" w:rsidRPr="00DF1884">
              <w:t xml:space="preserve"> </w:t>
            </w:r>
            <w:r w:rsidRPr="00DF1884">
              <w:t>recent</w:t>
            </w:r>
            <w:r w:rsidR="00DF1884" w:rsidRPr="00DF1884">
              <w:t xml:space="preserve"> </w:t>
            </w:r>
            <w:r w:rsidRPr="00DF1884">
              <w:t>blood</w:t>
            </w:r>
            <w:r w:rsidR="00DF1884" w:rsidRPr="00DF1884">
              <w:t xml:space="preserve"> </w:t>
            </w:r>
            <w:r w:rsidRPr="00DF1884">
              <w:t>cholesterol</w:t>
            </w:r>
            <w:r w:rsidR="00DF1884" w:rsidRPr="00DF1884">
              <w:t xml:space="preserve"> </w:t>
            </w:r>
            <w:r w:rsidRPr="00DF1884">
              <w:t>treatment</w:t>
            </w:r>
            <w:r w:rsidR="00DF1884" w:rsidRPr="00DF1884">
              <w:t xml:space="preserve"> </w:t>
            </w:r>
            <w:r w:rsidRPr="00DF1884">
              <w:t>guidelines</w:t>
            </w:r>
            <w:r w:rsidR="00DF1884" w:rsidRPr="00DF1884">
              <w:t xml:space="preserve"> </w:t>
            </w:r>
            <w:r w:rsidRPr="00DF1884">
              <w:t>from</w:t>
            </w:r>
            <w:r w:rsidR="00DF1884" w:rsidRPr="00DF1884">
              <w:t xml:space="preserve"> </w:t>
            </w:r>
            <w:r w:rsidRPr="00DF1884">
              <w:t>the</w:t>
            </w:r>
            <w:r w:rsidR="00DF1884" w:rsidRPr="00DF1884">
              <w:t xml:space="preserve"> </w:t>
            </w:r>
            <w:r w:rsidRPr="00DF1884">
              <w:t>American</w:t>
            </w:r>
            <w:r w:rsidR="00DF1884" w:rsidRPr="00DF1884">
              <w:t xml:space="preserve"> </w:t>
            </w:r>
            <w:r w:rsidRPr="00DF1884">
              <w:t>College</w:t>
            </w:r>
            <w:r w:rsidR="00DF1884" w:rsidRPr="00DF1884">
              <w:t xml:space="preserve"> </w:t>
            </w:r>
            <w:r w:rsidRPr="00DF1884">
              <w:t>of</w:t>
            </w:r>
            <w:r w:rsidR="00DF1884" w:rsidRPr="00DF1884">
              <w:t xml:space="preserve"> </w:t>
            </w:r>
            <w:r w:rsidRPr="00DF1884">
              <w:t>Cardiology</w:t>
            </w:r>
            <w:r w:rsidR="00DF1884" w:rsidRPr="00DF1884">
              <w:t xml:space="preserve"> </w:t>
            </w:r>
            <w:r w:rsidRPr="00DF1884">
              <w:t>and</w:t>
            </w:r>
            <w:r w:rsidR="00DF1884" w:rsidRPr="00DF1884">
              <w:t xml:space="preserve"> </w:t>
            </w:r>
            <w:r w:rsidRPr="00DF1884">
              <w:t>American</w:t>
            </w:r>
            <w:r w:rsidR="00DF1884" w:rsidRPr="00DF1884">
              <w:t xml:space="preserve"> </w:t>
            </w:r>
            <w:r w:rsidRPr="00DF1884">
              <w:t>Heart</w:t>
            </w:r>
            <w:r w:rsidR="00DF1884" w:rsidRPr="00DF1884">
              <w:t xml:space="preserve"> </w:t>
            </w:r>
            <w:r w:rsidRPr="00DF1884">
              <w:t>Association</w:t>
            </w:r>
            <w:r w:rsidR="00DF1884" w:rsidRPr="00DF1884">
              <w:t xml:space="preserve"> </w:t>
            </w:r>
            <w:r w:rsidRPr="00DF1884">
              <w:t>(ACC/AHA),</w:t>
            </w:r>
            <w:r w:rsidR="00DF1884" w:rsidRPr="00DF1884">
              <w:t xml:space="preserve"> </w:t>
            </w:r>
            <w:r w:rsidRPr="00DF1884">
              <w:t>statins</w:t>
            </w:r>
            <w:r w:rsidR="00DF1884" w:rsidRPr="00DF1884">
              <w:t xml:space="preserve"> </w:t>
            </w:r>
            <w:r w:rsidRPr="00DF1884">
              <w:t>of</w:t>
            </w:r>
            <w:r w:rsidR="00DF1884" w:rsidRPr="00DF1884">
              <w:t xml:space="preserve"> </w:t>
            </w:r>
            <w:r w:rsidRPr="00DF1884">
              <w:t>moderate</w:t>
            </w:r>
            <w:r w:rsidR="00DF1884" w:rsidRPr="00DF1884">
              <w:t xml:space="preserve"> </w:t>
            </w:r>
            <w:r w:rsidRPr="00DF1884">
              <w:t>or</w:t>
            </w:r>
            <w:r w:rsidR="00DF1884" w:rsidRPr="00DF1884">
              <w:t xml:space="preserve"> </w:t>
            </w:r>
            <w:r w:rsidRPr="00DF1884">
              <w:t>high</w:t>
            </w:r>
            <w:r w:rsidR="00DF1884" w:rsidRPr="00DF1884">
              <w:t xml:space="preserve"> </w:t>
            </w:r>
            <w:r w:rsidRPr="00DF1884">
              <w:t>intensity</w:t>
            </w:r>
            <w:r w:rsidR="00DF1884" w:rsidRPr="00DF1884">
              <w:t xml:space="preserve"> </w:t>
            </w:r>
            <w:r w:rsidRPr="00DF1884">
              <w:t>are</w:t>
            </w:r>
            <w:r w:rsidR="00DF1884" w:rsidRPr="00DF1884">
              <w:t xml:space="preserve"> </w:t>
            </w:r>
            <w:r w:rsidRPr="00DF1884">
              <w:t>recommended</w:t>
            </w:r>
            <w:r w:rsidR="00DF1884" w:rsidRPr="00DF1884">
              <w:t xml:space="preserve"> </w:t>
            </w:r>
            <w:r w:rsidRPr="00DF1884">
              <w:t>for</w:t>
            </w:r>
            <w:r w:rsidR="00DF1884" w:rsidRPr="00DF1884">
              <w:t xml:space="preserve"> </w:t>
            </w:r>
            <w:r w:rsidRPr="00DF1884">
              <w:t>adults</w:t>
            </w:r>
            <w:r w:rsidR="00DF1884" w:rsidRPr="00DF1884">
              <w:t xml:space="preserve"> </w:t>
            </w:r>
            <w:r w:rsidRPr="00DF1884">
              <w:t>with</w:t>
            </w:r>
            <w:r w:rsidR="00DF1884" w:rsidRPr="00DF1884">
              <w:t xml:space="preserve"> </w:t>
            </w:r>
            <w:r w:rsidRPr="00DF1884">
              <w:t>established</w:t>
            </w:r>
            <w:r w:rsidR="00DF1884" w:rsidRPr="00DF1884">
              <w:t xml:space="preserve"> </w:t>
            </w:r>
            <w:r w:rsidRPr="00DF1884">
              <w:t>clinical</w:t>
            </w:r>
            <w:r w:rsidR="00DF1884" w:rsidRPr="00DF1884">
              <w:t xml:space="preserve"> </w:t>
            </w:r>
            <w:r w:rsidRPr="00DF1884">
              <w:t>ASCVD.</w:t>
            </w:r>
            <w:r w:rsidR="00DF1884" w:rsidRPr="00DF1884">
              <w:t xml:space="preserve"> </w:t>
            </w:r>
            <w:r w:rsidRPr="00DF1884">
              <w:t>Many</w:t>
            </w:r>
            <w:r w:rsidR="00DF1884" w:rsidRPr="00DF1884">
              <w:t xml:space="preserve"> </w:t>
            </w:r>
            <w:r w:rsidRPr="00DF1884">
              <w:t>studies</w:t>
            </w:r>
            <w:r w:rsidR="00DF1884" w:rsidRPr="00DF1884">
              <w:t xml:space="preserve"> </w:t>
            </w:r>
            <w:r w:rsidRPr="00DF1884">
              <w:t>support</w:t>
            </w:r>
            <w:r w:rsidR="00DF1884" w:rsidRPr="00DF1884">
              <w:t xml:space="preserve"> </w:t>
            </w:r>
            <w:r w:rsidRPr="00DF1884">
              <w:t>the</w:t>
            </w:r>
            <w:r w:rsidR="00DF1884" w:rsidRPr="00DF1884">
              <w:t xml:space="preserve"> </w:t>
            </w:r>
            <w:r w:rsidRPr="00DF1884">
              <w:t>use</w:t>
            </w:r>
            <w:r w:rsidR="00DF1884" w:rsidRPr="00DF1884">
              <w:t xml:space="preserve"> </w:t>
            </w:r>
            <w:r w:rsidRPr="00DF1884">
              <w:t>of</w:t>
            </w:r>
            <w:r w:rsidR="00DF1884" w:rsidRPr="00DF1884">
              <w:t xml:space="preserve"> </w:t>
            </w:r>
            <w:r w:rsidRPr="00DF1884">
              <w:t>statins</w:t>
            </w:r>
            <w:r w:rsidR="00DF1884" w:rsidRPr="00DF1884">
              <w:t xml:space="preserve"> </w:t>
            </w:r>
            <w:r w:rsidRPr="00DF1884">
              <w:t>to</w:t>
            </w:r>
            <w:r w:rsidR="00DF1884" w:rsidRPr="00DF1884">
              <w:t xml:space="preserve"> </w:t>
            </w:r>
            <w:r w:rsidRPr="00DF1884">
              <w:t>reduce</w:t>
            </w:r>
            <w:r w:rsidR="00DF1884" w:rsidRPr="00DF1884">
              <w:t xml:space="preserve"> </w:t>
            </w:r>
            <w:r w:rsidRPr="00DF1884">
              <w:t>ASCVD</w:t>
            </w:r>
            <w:r w:rsidR="00DF1884" w:rsidRPr="00DF1884">
              <w:t xml:space="preserve"> </w:t>
            </w:r>
            <w:r w:rsidRPr="00DF1884">
              <w:t>events</w:t>
            </w:r>
            <w:r w:rsidR="00DF1884" w:rsidRPr="00DF1884">
              <w:t xml:space="preserve"> </w:t>
            </w:r>
            <w:r w:rsidRPr="00DF1884">
              <w:t>in</w:t>
            </w:r>
            <w:r w:rsidR="00DF1884" w:rsidRPr="00DF1884">
              <w:t xml:space="preserve"> </w:t>
            </w:r>
            <w:r w:rsidRPr="00DF1884">
              <w:t>primary</w:t>
            </w:r>
            <w:r w:rsidR="00DF1884" w:rsidRPr="00DF1884">
              <w:t xml:space="preserve"> </w:t>
            </w:r>
            <w:r w:rsidRPr="00DF1884">
              <w:t>and</w:t>
            </w:r>
            <w:r w:rsidR="00DF1884" w:rsidRPr="00DF1884">
              <w:t xml:space="preserve"> </w:t>
            </w:r>
            <w:r w:rsidRPr="00DF1884">
              <w:t>secondary</w:t>
            </w:r>
            <w:r w:rsidR="00DF1884" w:rsidRPr="00DF1884">
              <w:t xml:space="preserve"> </w:t>
            </w:r>
            <w:r w:rsidRPr="00DF1884">
              <w:t>prevention.</w:t>
            </w:r>
          </w:p>
          <w:p w14:paraId="6E923C22" w14:textId="3C69451B" w:rsidR="00F03166" w:rsidRPr="00DF1884" w:rsidRDefault="00F03166" w:rsidP="00F03166">
            <w:pPr>
              <w:spacing w:before="180"/>
            </w:pPr>
            <w:r w:rsidRPr="00DF1884">
              <w:t>One</w:t>
            </w:r>
            <w:r w:rsidR="00DF1884" w:rsidRPr="00DF1884">
              <w:t xml:space="preserve"> </w:t>
            </w:r>
            <w:r w:rsidRPr="00DF1884">
              <w:t>meta-analysis</w:t>
            </w:r>
            <w:r w:rsidR="00DF1884" w:rsidRPr="00DF1884">
              <w:t xml:space="preserve"> </w:t>
            </w:r>
            <w:r w:rsidRPr="00DF1884">
              <w:t>of</w:t>
            </w:r>
            <w:r w:rsidR="00DF1884" w:rsidRPr="00DF1884">
              <w:t xml:space="preserve"> </w:t>
            </w:r>
            <w:r w:rsidRPr="00DF1884">
              <w:t>data</w:t>
            </w:r>
            <w:r w:rsidR="00DF1884" w:rsidRPr="00DF1884">
              <w:t xml:space="preserve"> </w:t>
            </w:r>
            <w:r w:rsidRPr="00DF1884">
              <w:t>from</w:t>
            </w:r>
            <w:r w:rsidR="00DF1884" w:rsidRPr="00DF1884">
              <w:t xml:space="preserve"> </w:t>
            </w:r>
            <w:r w:rsidRPr="00DF1884">
              <w:t>170,000</w:t>
            </w:r>
            <w:r w:rsidR="00DF1884" w:rsidRPr="00DF1884">
              <w:t xml:space="preserve"> </w:t>
            </w:r>
            <w:r w:rsidRPr="00DF1884">
              <w:t>patients</w:t>
            </w:r>
            <w:r w:rsidR="00DF1884" w:rsidRPr="00DF1884">
              <w:t xml:space="preserve"> </w:t>
            </w:r>
            <w:r w:rsidRPr="00DF1884">
              <w:t>in</w:t>
            </w:r>
            <w:r w:rsidR="00DF1884" w:rsidRPr="00DF1884">
              <w:t xml:space="preserve"> </w:t>
            </w:r>
            <w:r w:rsidRPr="00DF1884">
              <w:t>26</w:t>
            </w:r>
            <w:r w:rsidR="00DF1884" w:rsidRPr="00DF1884">
              <w:t xml:space="preserve"> </w:t>
            </w:r>
            <w:r w:rsidRPr="00DF1884">
              <w:t>randomized</w:t>
            </w:r>
            <w:r w:rsidR="00DF1884" w:rsidRPr="00DF1884">
              <w:t xml:space="preserve"> </w:t>
            </w:r>
            <w:r w:rsidRPr="00DF1884">
              <w:t>controlled</w:t>
            </w:r>
            <w:r w:rsidR="00DF1884" w:rsidRPr="00DF1884">
              <w:t xml:space="preserve"> </w:t>
            </w:r>
            <w:r w:rsidRPr="00DF1884">
              <w:t>trials</w:t>
            </w:r>
            <w:r w:rsidR="00DF1884" w:rsidRPr="00DF1884">
              <w:t xml:space="preserve"> </w:t>
            </w:r>
            <w:r w:rsidRPr="00DF1884">
              <w:t>found</w:t>
            </w:r>
            <w:r w:rsidR="00DF1884" w:rsidRPr="00DF1884">
              <w:t xml:space="preserve"> </w:t>
            </w:r>
            <w:r w:rsidRPr="00DF1884">
              <w:t>that</w:t>
            </w:r>
            <w:r w:rsidR="00DF1884" w:rsidRPr="00DF1884">
              <w:t xml:space="preserve"> </w:t>
            </w:r>
            <w:r w:rsidRPr="00DF1884">
              <w:t>intensive</w:t>
            </w:r>
            <w:r w:rsidR="00DF1884" w:rsidRPr="00DF1884">
              <w:t xml:space="preserve"> </w:t>
            </w:r>
            <w:r w:rsidRPr="00DF1884">
              <w:t>statin</w:t>
            </w:r>
            <w:r w:rsidR="00DF1884" w:rsidRPr="00DF1884">
              <w:t xml:space="preserve"> </w:t>
            </w:r>
            <w:r w:rsidRPr="00DF1884">
              <w:t>therapy</w:t>
            </w:r>
            <w:r w:rsidR="00DF1884" w:rsidRPr="00DF1884">
              <w:t xml:space="preserve"> </w:t>
            </w:r>
            <w:r w:rsidRPr="00DF1884">
              <w:t>reduces</w:t>
            </w:r>
            <w:r w:rsidR="00DF1884" w:rsidRPr="00DF1884">
              <w:t xml:space="preserve"> </w:t>
            </w:r>
            <w:r w:rsidRPr="00DF1884">
              <w:t>major</w:t>
            </w:r>
            <w:r w:rsidR="00DF1884" w:rsidRPr="00DF1884">
              <w:t xml:space="preserve"> </w:t>
            </w:r>
            <w:r w:rsidRPr="00DF1884">
              <w:t>vascular</w:t>
            </w:r>
            <w:r w:rsidR="00DF1884" w:rsidRPr="00DF1884">
              <w:t xml:space="preserve"> </w:t>
            </w:r>
            <w:r w:rsidRPr="00DF1884">
              <w:t>events</w:t>
            </w:r>
            <w:r w:rsidR="00DF1884" w:rsidRPr="00DF1884">
              <w:t xml:space="preserve"> </w:t>
            </w:r>
            <w:r w:rsidRPr="00DF1884">
              <w:t>by</w:t>
            </w:r>
            <w:r w:rsidR="00DF1884" w:rsidRPr="00DF1884">
              <w:t xml:space="preserve"> </w:t>
            </w:r>
            <w:r w:rsidRPr="00DF1884">
              <w:t>15</w:t>
            </w:r>
            <w:r w:rsidR="00DF1884" w:rsidRPr="00DF1884">
              <w:t xml:space="preserve"> </w:t>
            </w:r>
            <w:r w:rsidRPr="00DF1884">
              <w:t>percent</w:t>
            </w:r>
            <w:r w:rsidR="00DF1884" w:rsidRPr="00DF1884">
              <w:t xml:space="preserve"> </w:t>
            </w:r>
            <w:r w:rsidRPr="00DF1884">
              <w:t>(CTT,</w:t>
            </w:r>
            <w:r w:rsidR="00DF1884" w:rsidRPr="00DF1884">
              <w:t xml:space="preserve"> </w:t>
            </w:r>
            <w:r w:rsidRPr="00DF1884">
              <w:t>2010).</w:t>
            </w:r>
            <w:r w:rsidR="00DF1884" w:rsidRPr="00DF1884">
              <w:t xml:space="preserve"> </w:t>
            </w:r>
            <w:r w:rsidRPr="00DF1884">
              <w:t>The</w:t>
            </w:r>
            <w:r w:rsidR="00DF1884" w:rsidRPr="00DF1884">
              <w:t xml:space="preserve"> </w:t>
            </w:r>
            <w:r w:rsidRPr="00DF1884">
              <w:t>study</w:t>
            </w:r>
            <w:r w:rsidR="00DF1884" w:rsidRPr="00DF1884">
              <w:t xml:space="preserve"> </w:t>
            </w:r>
            <w:r w:rsidRPr="00DF1884">
              <w:t>also</w:t>
            </w:r>
            <w:r w:rsidR="00DF1884" w:rsidRPr="00DF1884">
              <w:t xml:space="preserve"> </w:t>
            </w:r>
            <w:r w:rsidRPr="00DF1884">
              <w:t>found</w:t>
            </w:r>
            <w:r w:rsidR="00DF1884" w:rsidRPr="00DF1884">
              <w:t xml:space="preserve"> </w:t>
            </w:r>
            <w:r w:rsidRPr="00DF1884">
              <w:t>a</w:t>
            </w:r>
            <w:r w:rsidR="00DF1884" w:rsidRPr="00DF1884">
              <w:t xml:space="preserve"> </w:t>
            </w:r>
            <w:r w:rsidRPr="00DF1884">
              <w:t>13</w:t>
            </w:r>
            <w:r w:rsidR="00DF1884" w:rsidRPr="00DF1884">
              <w:t xml:space="preserve"> </w:t>
            </w:r>
            <w:r w:rsidRPr="00DF1884">
              <w:t>percent</w:t>
            </w:r>
            <w:r w:rsidR="00DF1884" w:rsidRPr="00DF1884">
              <w:t xml:space="preserve"> </w:t>
            </w:r>
            <w:r w:rsidRPr="00DF1884">
              <w:t>reduction</w:t>
            </w:r>
            <w:r w:rsidR="00DF1884" w:rsidRPr="00DF1884">
              <w:t xml:space="preserve"> </w:t>
            </w:r>
            <w:r w:rsidRPr="00DF1884">
              <w:t>in</w:t>
            </w:r>
            <w:r w:rsidR="00DF1884" w:rsidRPr="00DF1884">
              <w:t xml:space="preserve"> </w:t>
            </w:r>
            <w:r w:rsidRPr="00DF1884">
              <w:t>coronary</w:t>
            </w:r>
            <w:r w:rsidR="00DF1884" w:rsidRPr="00DF1884">
              <w:t xml:space="preserve"> </w:t>
            </w:r>
            <w:r w:rsidRPr="00DF1884">
              <w:t>death</w:t>
            </w:r>
            <w:r w:rsidR="00DF1884" w:rsidRPr="00DF1884">
              <w:t xml:space="preserve"> </w:t>
            </w:r>
            <w:r w:rsidRPr="00DF1884">
              <w:t>or</w:t>
            </w:r>
            <w:r w:rsidR="00DF1884" w:rsidRPr="00DF1884">
              <w:t xml:space="preserve"> </w:t>
            </w:r>
            <w:r w:rsidRPr="00DF1884">
              <w:t>nonfatal</w:t>
            </w:r>
            <w:r w:rsidR="00DF1884" w:rsidRPr="00DF1884">
              <w:t xml:space="preserve"> </w:t>
            </w:r>
            <w:r w:rsidRPr="00DF1884">
              <w:t>myocardial</w:t>
            </w:r>
            <w:r w:rsidR="00DF1884" w:rsidRPr="00DF1884">
              <w:t xml:space="preserve"> </w:t>
            </w:r>
            <w:r w:rsidRPr="00DF1884">
              <w:t>infarction,</w:t>
            </w:r>
            <w:r w:rsidR="00DF1884" w:rsidRPr="00DF1884">
              <w:t xml:space="preserve"> </w:t>
            </w:r>
            <w:r w:rsidRPr="00DF1884">
              <w:t>a</w:t>
            </w:r>
            <w:r w:rsidR="00DF1884" w:rsidRPr="00DF1884">
              <w:t xml:space="preserve"> </w:t>
            </w:r>
            <w:r w:rsidRPr="00DF1884">
              <w:t>19</w:t>
            </w:r>
            <w:r w:rsidR="00DF1884" w:rsidRPr="00DF1884">
              <w:t xml:space="preserve"> </w:t>
            </w:r>
            <w:r w:rsidRPr="00DF1884">
              <w:t>percent</w:t>
            </w:r>
            <w:r w:rsidR="00DF1884" w:rsidRPr="00DF1884">
              <w:t xml:space="preserve"> </w:t>
            </w:r>
            <w:r w:rsidRPr="00DF1884">
              <w:t>reduction</w:t>
            </w:r>
            <w:r w:rsidR="00DF1884" w:rsidRPr="00DF1884">
              <w:t xml:space="preserve"> </w:t>
            </w:r>
            <w:r w:rsidRPr="00DF1884">
              <w:t>in</w:t>
            </w:r>
            <w:r w:rsidR="00DF1884" w:rsidRPr="00DF1884">
              <w:t xml:space="preserve"> </w:t>
            </w:r>
            <w:r w:rsidRPr="00DF1884">
              <w:t>coronary</w:t>
            </w:r>
            <w:r w:rsidR="00DF1884" w:rsidRPr="00DF1884">
              <w:t xml:space="preserve"> </w:t>
            </w:r>
            <w:r w:rsidRPr="00DF1884">
              <w:t>revascularization</w:t>
            </w:r>
            <w:r w:rsidR="00DF1884" w:rsidRPr="00DF1884">
              <w:t xml:space="preserve"> </w:t>
            </w:r>
            <w:r w:rsidRPr="00DF1884">
              <w:t>and</w:t>
            </w:r>
            <w:r w:rsidR="00DF1884" w:rsidRPr="00DF1884">
              <w:t xml:space="preserve"> </w:t>
            </w:r>
            <w:r w:rsidRPr="00DF1884">
              <w:t>a</w:t>
            </w:r>
            <w:r w:rsidR="00DF1884" w:rsidRPr="00DF1884">
              <w:t xml:space="preserve"> </w:t>
            </w:r>
            <w:r w:rsidRPr="00DF1884">
              <w:t>16</w:t>
            </w:r>
            <w:r w:rsidR="00DF1884" w:rsidRPr="00DF1884">
              <w:t xml:space="preserve"> </w:t>
            </w:r>
            <w:r w:rsidRPr="00DF1884">
              <w:t>percent</w:t>
            </w:r>
            <w:r w:rsidR="00DF1884" w:rsidRPr="00DF1884">
              <w:t xml:space="preserve"> </w:t>
            </w:r>
            <w:r w:rsidRPr="00DF1884">
              <w:t>reduction</w:t>
            </w:r>
            <w:r w:rsidR="00DF1884" w:rsidRPr="00DF1884">
              <w:t xml:space="preserve"> </w:t>
            </w:r>
            <w:r w:rsidRPr="00DF1884">
              <w:t>in</w:t>
            </w:r>
            <w:r w:rsidR="00DF1884" w:rsidRPr="00DF1884">
              <w:t xml:space="preserve"> </w:t>
            </w:r>
            <w:r w:rsidRPr="00DF1884">
              <w:t>ischemic</w:t>
            </w:r>
            <w:r w:rsidR="00DF1884" w:rsidRPr="00DF1884">
              <w:t xml:space="preserve"> </w:t>
            </w:r>
            <w:r w:rsidRPr="00DF1884">
              <w:t>stroke</w:t>
            </w:r>
            <w:r w:rsidR="00DF1884" w:rsidRPr="00DF1884">
              <w:t xml:space="preserve"> </w:t>
            </w:r>
            <w:r w:rsidRPr="00DF1884">
              <w:t>(CTT,</w:t>
            </w:r>
            <w:r w:rsidR="00DF1884" w:rsidRPr="00DF1884">
              <w:t xml:space="preserve"> </w:t>
            </w:r>
            <w:r w:rsidRPr="00DF1884">
              <w:t>2010).</w:t>
            </w:r>
          </w:p>
          <w:p w14:paraId="475E2A79" w14:textId="29985201" w:rsidR="00F03166" w:rsidRPr="00DF1884" w:rsidRDefault="00F03166" w:rsidP="00F03166">
            <w:pPr>
              <w:pStyle w:val="Body"/>
            </w:pPr>
            <w:r w:rsidRPr="00DF1884">
              <w:t>Another</w:t>
            </w:r>
            <w:r w:rsidR="00DF1884" w:rsidRPr="00DF1884">
              <w:t xml:space="preserve"> </w:t>
            </w:r>
            <w:r w:rsidRPr="00DF1884">
              <w:t>systematic</w:t>
            </w:r>
            <w:r w:rsidR="00DF1884" w:rsidRPr="00DF1884">
              <w:t xml:space="preserve"> </w:t>
            </w:r>
            <w:r w:rsidRPr="00DF1884">
              <w:t>review</w:t>
            </w:r>
            <w:r w:rsidR="00DF1884" w:rsidRPr="00DF1884">
              <w:t xml:space="preserve"> </w:t>
            </w:r>
            <w:r w:rsidRPr="00DF1884">
              <w:t>and</w:t>
            </w:r>
            <w:r w:rsidR="00DF1884" w:rsidRPr="00DF1884">
              <w:t xml:space="preserve"> </w:t>
            </w:r>
            <w:r w:rsidRPr="00DF1884">
              <w:t>meta-analysis</w:t>
            </w:r>
            <w:r w:rsidR="00DF1884" w:rsidRPr="00DF1884">
              <w:t xml:space="preserve"> </w:t>
            </w:r>
            <w:r w:rsidRPr="00DF1884">
              <w:t>estimates</w:t>
            </w:r>
            <w:r w:rsidR="00DF1884" w:rsidRPr="00DF1884">
              <w:t xml:space="preserve"> </w:t>
            </w:r>
            <w:r w:rsidRPr="00DF1884">
              <w:t>that</w:t>
            </w:r>
            <w:r w:rsidR="00DF1884" w:rsidRPr="00DF1884">
              <w:t xml:space="preserve"> </w:t>
            </w:r>
            <w:r w:rsidRPr="00DF1884">
              <w:t>long-term</w:t>
            </w:r>
            <w:r w:rsidR="00DF1884" w:rsidRPr="00DF1884">
              <w:t xml:space="preserve"> </w:t>
            </w:r>
            <w:r w:rsidRPr="00DF1884">
              <w:t>statin</w:t>
            </w:r>
            <w:r w:rsidR="00DF1884" w:rsidRPr="00DF1884">
              <w:t xml:space="preserve"> </w:t>
            </w:r>
            <w:r w:rsidRPr="00DF1884">
              <w:t>therapy</w:t>
            </w:r>
            <w:r w:rsidR="00DF1884" w:rsidRPr="00DF1884">
              <w:t xml:space="preserve"> </w:t>
            </w:r>
            <w:r w:rsidRPr="00DF1884">
              <w:t>reduces</w:t>
            </w:r>
            <w:r w:rsidR="00DF1884" w:rsidRPr="00DF1884">
              <w:t xml:space="preserve"> </w:t>
            </w:r>
            <w:r w:rsidRPr="00DF1884">
              <w:t>the</w:t>
            </w:r>
            <w:r w:rsidR="00DF1884" w:rsidRPr="00DF1884">
              <w:t xml:space="preserve"> </w:t>
            </w:r>
            <w:r w:rsidRPr="00DF1884">
              <w:t>risk</w:t>
            </w:r>
            <w:r w:rsidR="00DF1884" w:rsidRPr="00DF1884">
              <w:t xml:space="preserve"> </w:t>
            </w:r>
            <w:r w:rsidRPr="00DF1884">
              <w:t>for</w:t>
            </w:r>
            <w:r w:rsidR="00DF1884" w:rsidRPr="00DF1884">
              <w:t xml:space="preserve"> </w:t>
            </w:r>
            <w:r w:rsidRPr="00DF1884">
              <w:t>ASCVD</w:t>
            </w:r>
            <w:r w:rsidR="00DF1884" w:rsidRPr="00DF1884">
              <w:t xml:space="preserve"> </w:t>
            </w:r>
            <w:r w:rsidRPr="00DF1884">
              <w:t>events</w:t>
            </w:r>
            <w:r w:rsidR="00DF1884" w:rsidRPr="00DF1884">
              <w:t xml:space="preserve"> </w:t>
            </w:r>
            <w:r w:rsidRPr="00DF1884">
              <w:t>by</w:t>
            </w:r>
            <w:r w:rsidR="00DF1884" w:rsidRPr="00DF1884">
              <w:t xml:space="preserve"> </w:t>
            </w:r>
            <w:r w:rsidRPr="00DF1884">
              <w:t>25</w:t>
            </w:r>
            <w:r w:rsidR="00DF1884" w:rsidRPr="00DF1884">
              <w:t xml:space="preserve"> </w:t>
            </w:r>
            <w:r w:rsidRPr="00DF1884">
              <w:t>percent–45</w:t>
            </w:r>
            <w:r w:rsidR="00DF1884" w:rsidRPr="00DF1884">
              <w:t xml:space="preserve"> </w:t>
            </w:r>
            <w:r w:rsidRPr="00DF1884">
              <w:t>percent</w:t>
            </w:r>
            <w:r w:rsidR="00DF1884" w:rsidRPr="00DF1884">
              <w:t xml:space="preserve"> </w:t>
            </w:r>
            <w:r w:rsidRPr="00DF1884">
              <w:t>(Law,</w:t>
            </w:r>
            <w:r w:rsidR="00DF1884" w:rsidRPr="00DF1884">
              <w:t xml:space="preserve"> </w:t>
            </w:r>
            <w:r w:rsidRPr="00DF1884">
              <w:t>2003).</w:t>
            </w:r>
          </w:p>
        </w:tc>
      </w:tr>
    </w:tbl>
    <w:p w14:paraId="77535B4E" w14:textId="77777777" w:rsidR="00F03166" w:rsidRPr="00DF1884" w:rsidRDefault="00F03166" w:rsidP="005B5649">
      <w:pPr>
        <w:pStyle w:val="MarginSubhead"/>
        <w:sectPr w:rsidR="00F03166" w:rsidRPr="00DF1884" w:rsidSect="0039781B">
          <w:endnotePr>
            <w:numFmt w:val="decimal"/>
          </w:endnotePr>
          <w:pgSz w:w="12240" w:h="15840" w:code="1"/>
          <w:pgMar w:top="1080" w:right="1080" w:bottom="1080" w:left="1440" w:header="720" w:footer="720" w:gutter="0"/>
          <w:cols w:space="720"/>
          <w:docGrid w:linePitch="360"/>
        </w:sectPr>
      </w:pPr>
    </w:p>
    <w:tbl>
      <w:tblPr>
        <w:tblW w:w="9851" w:type="dxa"/>
        <w:tblInd w:w="-41" w:type="dxa"/>
        <w:tblLayout w:type="fixed"/>
        <w:tblCellMar>
          <w:left w:w="180" w:type="dxa"/>
          <w:right w:w="180" w:type="dxa"/>
        </w:tblCellMar>
        <w:tblLook w:val="0000" w:firstRow="0" w:lastRow="0" w:firstColumn="0" w:lastColumn="0" w:noHBand="0" w:noVBand="0"/>
      </w:tblPr>
      <w:tblGrid>
        <w:gridCol w:w="1931"/>
        <w:gridCol w:w="7920"/>
      </w:tblGrid>
      <w:tr w:rsidR="005B5649" w:rsidRPr="00DF1884" w14:paraId="79F7133C" w14:textId="77777777" w:rsidTr="00F03166">
        <w:tc>
          <w:tcPr>
            <w:tcW w:w="1931" w:type="dxa"/>
            <w:tcMar>
              <w:left w:w="115" w:type="dxa"/>
              <w:right w:w="115" w:type="dxa"/>
            </w:tcMar>
          </w:tcPr>
          <w:p w14:paraId="59FE19C3" w14:textId="7E9C1D28" w:rsidR="005B5649" w:rsidRPr="00DF1884" w:rsidRDefault="005B5649" w:rsidP="00F03166">
            <w:pPr>
              <w:pStyle w:val="MarginSubhead"/>
              <w:spacing w:before="0"/>
            </w:pPr>
            <w:r w:rsidRPr="00DF1884">
              <w:lastRenderedPageBreak/>
              <w:t>Financial</w:t>
            </w:r>
            <w:r w:rsidR="00DF1884" w:rsidRPr="00DF1884">
              <w:t xml:space="preserve"> </w:t>
            </w:r>
            <w:r w:rsidRPr="00DF1884">
              <w:t>importance</w:t>
            </w:r>
            <w:r w:rsidR="00DF1884" w:rsidRPr="00DF1884">
              <w:t xml:space="preserve"> </w:t>
            </w:r>
          </w:p>
        </w:tc>
        <w:tc>
          <w:tcPr>
            <w:tcW w:w="7920" w:type="dxa"/>
            <w:tcMar>
              <w:left w:w="115" w:type="dxa"/>
              <w:right w:w="115" w:type="dxa"/>
            </w:tcMar>
          </w:tcPr>
          <w:p w14:paraId="042F21B0" w14:textId="2CD946F6" w:rsidR="005B5649" w:rsidRPr="00DF1884" w:rsidRDefault="005B5649" w:rsidP="00F03166">
            <w:pPr>
              <w:pStyle w:val="Body"/>
              <w:spacing w:before="0"/>
            </w:pPr>
            <w:r w:rsidRPr="00DF1884">
              <w:t>In</w:t>
            </w:r>
            <w:r w:rsidR="00DF1884" w:rsidRPr="00DF1884">
              <w:t xml:space="preserve"> </w:t>
            </w:r>
            <w:r w:rsidRPr="00DF1884">
              <w:t>2011,</w:t>
            </w:r>
            <w:r w:rsidR="00DF1884" w:rsidRPr="00DF1884">
              <w:t xml:space="preserve"> </w:t>
            </w:r>
            <w:r w:rsidRPr="00DF1884">
              <w:t>the</w:t>
            </w:r>
            <w:r w:rsidR="00DF1884" w:rsidRPr="00DF1884">
              <w:t xml:space="preserve"> </w:t>
            </w:r>
            <w:r w:rsidRPr="00DF1884">
              <w:t>total</w:t>
            </w:r>
            <w:r w:rsidR="00DF1884" w:rsidRPr="00DF1884">
              <w:t xml:space="preserve"> </w:t>
            </w:r>
            <w:r w:rsidRPr="00DF1884">
              <w:t>cost</w:t>
            </w:r>
            <w:r w:rsidR="00DF1884" w:rsidRPr="00DF1884">
              <w:t xml:space="preserve"> </w:t>
            </w:r>
            <w:r w:rsidRPr="00DF1884">
              <w:t>of</w:t>
            </w:r>
            <w:r w:rsidR="00DF1884" w:rsidRPr="00DF1884">
              <w:t xml:space="preserve"> </w:t>
            </w:r>
            <w:r w:rsidRPr="00DF1884">
              <w:t>cardiovascular</w:t>
            </w:r>
            <w:r w:rsidR="00DF1884" w:rsidRPr="00DF1884">
              <w:t xml:space="preserve"> </w:t>
            </w:r>
            <w:r w:rsidRPr="00DF1884">
              <w:t>disease</w:t>
            </w:r>
            <w:r w:rsidR="00DF1884" w:rsidRPr="00DF1884">
              <w:t xml:space="preserve"> </w:t>
            </w:r>
            <w:r w:rsidRPr="00DF1884">
              <w:t>and</w:t>
            </w:r>
            <w:r w:rsidR="00DF1884" w:rsidRPr="00DF1884">
              <w:t xml:space="preserve"> </w:t>
            </w:r>
            <w:r w:rsidRPr="00DF1884">
              <w:t>stroke</w:t>
            </w:r>
            <w:r w:rsidR="00DF1884" w:rsidRPr="00DF1884">
              <w:t xml:space="preserve"> </w:t>
            </w:r>
            <w:r w:rsidRPr="00DF1884">
              <w:t>in</w:t>
            </w:r>
            <w:r w:rsidR="00DF1884" w:rsidRPr="00DF1884">
              <w:t xml:space="preserve"> </w:t>
            </w:r>
            <w:r w:rsidRPr="00DF1884">
              <w:t>the</w:t>
            </w:r>
            <w:r w:rsidR="00DF1884" w:rsidRPr="00DF1884">
              <w:t xml:space="preserve"> </w:t>
            </w:r>
            <w:r w:rsidRPr="00DF1884">
              <w:t>United</w:t>
            </w:r>
            <w:r w:rsidR="00DF1884" w:rsidRPr="00DF1884">
              <w:t xml:space="preserve"> </w:t>
            </w:r>
            <w:r w:rsidRPr="00DF1884">
              <w:t>States</w:t>
            </w:r>
            <w:r w:rsidR="00DF1884" w:rsidRPr="00DF1884">
              <w:t xml:space="preserve"> </w:t>
            </w:r>
            <w:r w:rsidRPr="00DF1884">
              <w:t>was</w:t>
            </w:r>
            <w:r w:rsidR="00DF1884" w:rsidRPr="00DF1884">
              <w:t xml:space="preserve"> </w:t>
            </w:r>
            <w:r w:rsidRPr="00DF1884">
              <w:t>estimated</w:t>
            </w:r>
            <w:r w:rsidR="00DF1884" w:rsidRPr="00DF1884">
              <w:t xml:space="preserve"> </w:t>
            </w:r>
            <w:r w:rsidRPr="00DF1884">
              <w:t>to</w:t>
            </w:r>
            <w:r w:rsidR="00DF1884" w:rsidRPr="00DF1884">
              <w:t xml:space="preserve"> </w:t>
            </w:r>
            <w:r w:rsidRPr="00DF1884">
              <w:t>be</w:t>
            </w:r>
            <w:r w:rsidR="00DF1884" w:rsidRPr="00DF1884">
              <w:t xml:space="preserve"> </w:t>
            </w:r>
            <w:r w:rsidRPr="00DF1884">
              <w:t>$320</w:t>
            </w:r>
            <w:r w:rsidR="00DF1884" w:rsidRPr="00DF1884">
              <w:t xml:space="preserve"> </w:t>
            </w:r>
            <w:r w:rsidRPr="00DF1884">
              <w:t>billion.</w:t>
            </w:r>
            <w:r w:rsidR="00DF1884" w:rsidRPr="00DF1884">
              <w:t xml:space="preserve"> </w:t>
            </w:r>
            <w:r w:rsidRPr="00DF1884">
              <w:t>This</w:t>
            </w:r>
            <w:r w:rsidR="00DF1884" w:rsidRPr="00DF1884">
              <w:t xml:space="preserve"> </w:t>
            </w:r>
            <w:r w:rsidRPr="00DF1884">
              <w:t>total</w:t>
            </w:r>
            <w:r w:rsidR="00DF1884" w:rsidRPr="00DF1884">
              <w:t xml:space="preserve"> </w:t>
            </w:r>
            <w:r w:rsidRPr="00DF1884">
              <w:t>includes</w:t>
            </w:r>
            <w:r w:rsidR="00DF1884" w:rsidRPr="00DF1884">
              <w:t xml:space="preserve"> </w:t>
            </w:r>
            <w:r w:rsidRPr="00DF1884">
              <w:t>direct</w:t>
            </w:r>
            <w:r w:rsidR="00DF1884" w:rsidRPr="00DF1884">
              <w:t xml:space="preserve"> </w:t>
            </w:r>
            <w:r w:rsidRPr="00DF1884">
              <w:t>costs</w:t>
            </w:r>
            <w:r w:rsidR="00F03166" w:rsidRPr="00DF1884">
              <w:t>,</w:t>
            </w:r>
            <w:r w:rsidR="00DF1884" w:rsidRPr="00DF1884">
              <w:t xml:space="preserve"> </w:t>
            </w:r>
            <w:r w:rsidRPr="00DF1884">
              <w:t>such</w:t>
            </w:r>
            <w:r w:rsidR="00DF1884" w:rsidRPr="00DF1884">
              <w:t xml:space="preserve"> </w:t>
            </w:r>
            <w:r w:rsidRPr="00DF1884">
              <w:t>as</w:t>
            </w:r>
            <w:r w:rsidR="00DF1884" w:rsidRPr="00DF1884">
              <w:t xml:space="preserve"> </w:t>
            </w:r>
            <w:r w:rsidRPr="00DF1884">
              <w:t>the</w:t>
            </w:r>
            <w:r w:rsidR="00DF1884" w:rsidRPr="00DF1884">
              <w:t xml:space="preserve"> </w:t>
            </w:r>
            <w:r w:rsidRPr="00DF1884">
              <w:t>cost</w:t>
            </w:r>
            <w:r w:rsidR="00DF1884" w:rsidRPr="00DF1884">
              <w:t xml:space="preserve"> </w:t>
            </w:r>
            <w:r w:rsidRPr="00DF1884">
              <w:t>of</w:t>
            </w:r>
            <w:r w:rsidR="00DF1884" w:rsidRPr="00DF1884">
              <w:t xml:space="preserve"> </w:t>
            </w:r>
            <w:r w:rsidRPr="00DF1884">
              <w:t>physicians</w:t>
            </w:r>
            <w:r w:rsidR="00DF1884" w:rsidRPr="00DF1884">
              <w:t xml:space="preserve"> </w:t>
            </w:r>
            <w:r w:rsidRPr="00DF1884">
              <w:t>and</w:t>
            </w:r>
            <w:r w:rsidR="00DF1884" w:rsidRPr="00DF1884">
              <w:t xml:space="preserve"> </w:t>
            </w:r>
            <w:r w:rsidRPr="00DF1884">
              <w:t>other</w:t>
            </w:r>
            <w:r w:rsidR="00DF1884" w:rsidRPr="00DF1884">
              <w:t xml:space="preserve"> </w:t>
            </w:r>
            <w:r w:rsidRPr="00DF1884">
              <w:t>health</w:t>
            </w:r>
            <w:r w:rsidR="00DF1884" w:rsidRPr="00DF1884">
              <w:t xml:space="preserve"> </w:t>
            </w:r>
            <w:r w:rsidRPr="00DF1884">
              <w:t>professionals,</w:t>
            </w:r>
            <w:r w:rsidR="00DF1884" w:rsidRPr="00DF1884">
              <w:t xml:space="preserve"> </w:t>
            </w:r>
            <w:r w:rsidRPr="00DF1884">
              <w:t>hospital</w:t>
            </w:r>
            <w:r w:rsidR="00DF1884" w:rsidRPr="00DF1884">
              <w:t xml:space="preserve"> </w:t>
            </w:r>
            <w:r w:rsidRPr="00DF1884">
              <w:t>services,</w:t>
            </w:r>
            <w:r w:rsidR="00DF1884" w:rsidRPr="00DF1884">
              <w:t xml:space="preserve"> </w:t>
            </w:r>
            <w:r w:rsidRPr="00DF1884">
              <w:t>prescribed</w:t>
            </w:r>
            <w:r w:rsidR="00DF1884" w:rsidRPr="00DF1884">
              <w:t xml:space="preserve"> </w:t>
            </w:r>
            <w:r w:rsidRPr="00DF1884">
              <w:t>medications</w:t>
            </w:r>
            <w:r w:rsidR="00DF1884" w:rsidRPr="00DF1884">
              <w:t xml:space="preserve"> </w:t>
            </w:r>
            <w:r w:rsidRPr="00DF1884">
              <w:t>and</w:t>
            </w:r>
            <w:r w:rsidR="00DF1884" w:rsidRPr="00DF1884">
              <w:t xml:space="preserve"> </w:t>
            </w:r>
            <w:r w:rsidRPr="00DF1884">
              <w:t>home</w:t>
            </w:r>
            <w:r w:rsidR="00DF1884" w:rsidRPr="00DF1884">
              <w:t xml:space="preserve"> </w:t>
            </w:r>
            <w:r w:rsidRPr="00DF1884">
              <w:t>health</w:t>
            </w:r>
            <w:r w:rsidR="00DF1884" w:rsidRPr="00DF1884">
              <w:t xml:space="preserve"> </w:t>
            </w:r>
            <w:r w:rsidRPr="00DF1884">
              <w:t>care,</w:t>
            </w:r>
            <w:r w:rsidR="00DF1884" w:rsidRPr="00DF1884">
              <w:t xml:space="preserve"> </w:t>
            </w:r>
            <w:r w:rsidRPr="00DF1884">
              <w:t>as</w:t>
            </w:r>
            <w:r w:rsidR="00DF1884" w:rsidRPr="00DF1884">
              <w:t xml:space="preserve"> </w:t>
            </w:r>
            <w:r w:rsidRPr="00DF1884">
              <w:t>well</w:t>
            </w:r>
            <w:r w:rsidR="00DF1884" w:rsidRPr="00DF1884">
              <w:t xml:space="preserve"> </w:t>
            </w:r>
            <w:r w:rsidRPr="00DF1884">
              <w:t>as</w:t>
            </w:r>
            <w:r w:rsidR="00DF1884" w:rsidRPr="00DF1884">
              <w:t xml:space="preserve"> </w:t>
            </w:r>
            <w:r w:rsidRPr="00DF1884">
              <w:t>indirect</w:t>
            </w:r>
            <w:r w:rsidR="00DF1884" w:rsidRPr="00DF1884">
              <w:t xml:space="preserve"> </w:t>
            </w:r>
            <w:r w:rsidRPr="00DF1884">
              <w:t>costs</w:t>
            </w:r>
            <w:r w:rsidR="00DF1884" w:rsidRPr="00DF1884">
              <w:t xml:space="preserve"> </w:t>
            </w:r>
            <w:r w:rsidRPr="00DF1884">
              <w:t>due</w:t>
            </w:r>
            <w:r w:rsidR="00DF1884" w:rsidRPr="00DF1884">
              <w:t xml:space="preserve"> </w:t>
            </w:r>
            <w:r w:rsidRPr="00DF1884">
              <w:t>to</w:t>
            </w:r>
            <w:r w:rsidR="00DF1884" w:rsidRPr="00DF1884">
              <w:t xml:space="preserve"> </w:t>
            </w:r>
            <w:r w:rsidRPr="00DF1884">
              <w:t>loss</w:t>
            </w:r>
            <w:r w:rsidR="00DF1884" w:rsidRPr="00DF1884">
              <w:t xml:space="preserve"> </w:t>
            </w:r>
            <w:r w:rsidRPr="00DF1884">
              <w:t>of</w:t>
            </w:r>
            <w:r w:rsidR="00DF1884" w:rsidRPr="00DF1884">
              <w:t xml:space="preserve"> </w:t>
            </w:r>
            <w:r w:rsidRPr="00DF1884">
              <w:t>productivity</w:t>
            </w:r>
            <w:r w:rsidR="00DF1884" w:rsidRPr="00DF1884">
              <w:t xml:space="preserve"> </w:t>
            </w:r>
            <w:r w:rsidRPr="00DF1884">
              <w:t>from</w:t>
            </w:r>
            <w:r w:rsidR="00DF1884" w:rsidRPr="00DF1884">
              <w:t xml:space="preserve"> </w:t>
            </w:r>
            <w:r w:rsidRPr="00DF1884">
              <w:t>premature</w:t>
            </w:r>
            <w:r w:rsidR="00DF1884" w:rsidRPr="00DF1884">
              <w:t xml:space="preserve"> </w:t>
            </w:r>
            <w:r w:rsidRPr="00DF1884">
              <w:t>mortality.</w:t>
            </w:r>
            <w:r w:rsidR="00DF1884" w:rsidRPr="00DF1884">
              <w:t xml:space="preserve"> </w:t>
            </w:r>
          </w:p>
          <w:p w14:paraId="1F2C1A3B" w14:textId="4EE13160" w:rsidR="005B5649" w:rsidRPr="00DF1884" w:rsidRDefault="005B5649" w:rsidP="005B5649">
            <w:pPr>
              <w:spacing w:before="180"/>
            </w:pPr>
            <w:r w:rsidRPr="00DF1884">
              <w:t>Interventions</w:t>
            </w:r>
            <w:r w:rsidR="00DF1884" w:rsidRPr="00DF1884">
              <w:t xml:space="preserve"> </w:t>
            </w:r>
            <w:r w:rsidRPr="00DF1884">
              <w:t>to</w:t>
            </w:r>
            <w:r w:rsidR="00DF1884" w:rsidRPr="00DF1884">
              <w:t xml:space="preserve"> </w:t>
            </w:r>
            <w:r w:rsidRPr="00DF1884">
              <w:t>address</w:t>
            </w:r>
            <w:r w:rsidR="00DF1884" w:rsidRPr="00DF1884">
              <w:t xml:space="preserve"> </w:t>
            </w:r>
            <w:r w:rsidRPr="00DF1884">
              <w:t>cardiovascular</w:t>
            </w:r>
            <w:r w:rsidR="00DF1884" w:rsidRPr="00DF1884">
              <w:t xml:space="preserve"> </w:t>
            </w:r>
            <w:r w:rsidRPr="00DF1884">
              <w:t>disease</w:t>
            </w:r>
            <w:r w:rsidR="00DF1884" w:rsidRPr="00DF1884">
              <w:t xml:space="preserve"> </w:t>
            </w:r>
            <w:r w:rsidRPr="00DF1884">
              <w:t>are</w:t>
            </w:r>
            <w:r w:rsidR="00DF1884" w:rsidRPr="00DF1884">
              <w:t xml:space="preserve"> </w:t>
            </w:r>
            <w:r w:rsidRPr="00DF1884">
              <w:t>increasing:</w:t>
            </w:r>
            <w:r w:rsidR="00DF1884" w:rsidRPr="00DF1884">
              <w:t xml:space="preserve"> </w:t>
            </w:r>
            <w:r w:rsidRPr="00DF1884">
              <w:t>since</w:t>
            </w:r>
            <w:r w:rsidR="00DF1884" w:rsidRPr="00DF1884">
              <w:t xml:space="preserve"> </w:t>
            </w:r>
            <w:r w:rsidRPr="00DF1884">
              <w:t>2000,</w:t>
            </w:r>
            <w:r w:rsidR="00DF1884" w:rsidRPr="00DF1884">
              <w:t xml:space="preserve"> </w:t>
            </w:r>
            <w:r w:rsidRPr="00DF1884">
              <w:t>the</w:t>
            </w:r>
            <w:r w:rsidR="00DF1884" w:rsidRPr="00DF1884">
              <w:t xml:space="preserve"> </w:t>
            </w:r>
            <w:r w:rsidRPr="00DF1884">
              <w:t>number</w:t>
            </w:r>
            <w:r w:rsidR="00DF1884" w:rsidRPr="00DF1884">
              <w:t xml:space="preserve"> </w:t>
            </w:r>
            <w:r w:rsidRPr="00DF1884">
              <w:t>of</w:t>
            </w:r>
            <w:r w:rsidR="00DF1884" w:rsidRPr="00DF1884">
              <w:t xml:space="preserve"> </w:t>
            </w:r>
            <w:r w:rsidRPr="00DF1884">
              <w:t>inpatient</w:t>
            </w:r>
            <w:r w:rsidR="00DF1884" w:rsidRPr="00DF1884">
              <w:t xml:space="preserve"> </w:t>
            </w:r>
            <w:r w:rsidRPr="00DF1884">
              <w:t>cardiovascular</w:t>
            </w:r>
            <w:r w:rsidR="00DF1884" w:rsidRPr="00DF1884">
              <w:t xml:space="preserve"> </w:t>
            </w:r>
            <w:r w:rsidRPr="00DF1884">
              <w:t>operations</w:t>
            </w:r>
            <w:r w:rsidR="00DF1884" w:rsidRPr="00DF1884">
              <w:t xml:space="preserve"> </w:t>
            </w:r>
            <w:r w:rsidRPr="00DF1884">
              <w:t>and</w:t>
            </w:r>
            <w:r w:rsidR="00DF1884" w:rsidRPr="00DF1884">
              <w:t xml:space="preserve"> </w:t>
            </w:r>
            <w:r w:rsidRPr="00DF1884">
              <w:t>procedures</w:t>
            </w:r>
            <w:r w:rsidR="00DF1884" w:rsidRPr="00DF1884">
              <w:t xml:space="preserve"> </w:t>
            </w:r>
            <w:r w:rsidRPr="00DF1884">
              <w:t>increased</w:t>
            </w:r>
            <w:r w:rsidR="00DF1884" w:rsidRPr="00DF1884">
              <w:t xml:space="preserve"> </w:t>
            </w:r>
            <w:r w:rsidRPr="00DF1884">
              <w:t>by</w:t>
            </w:r>
            <w:r w:rsidR="00DF1884" w:rsidRPr="00DF1884">
              <w:t xml:space="preserve"> </w:t>
            </w:r>
            <w:r w:rsidRPr="00DF1884">
              <w:t>28</w:t>
            </w:r>
            <w:r w:rsidR="00DF1884" w:rsidRPr="00DF1884">
              <w:t xml:space="preserve"> </w:t>
            </w:r>
            <w:r w:rsidRPr="00DF1884">
              <w:t>percent,</w:t>
            </w:r>
            <w:r w:rsidR="00DF1884" w:rsidRPr="00DF1884">
              <w:t xml:space="preserve"> </w:t>
            </w:r>
            <w:r w:rsidRPr="00DF1884">
              <w:t>from</w:t>
            </w:r>
            <w:r w:rsidR="00DF1884" w:rsidRPr="00DF1884">
              <w:t xml:space="preserve"> </w:t>
            </w:r>
            <w:r w:rsidRPr="00DF1884">
              <w:t>5,939,000</w:t>
            </w:r>
            <w:r w:rsidR="00DF1884" w:rsidRPr="00DF1884">
              <w:t xml:space="preserve"> </w:t>
            </w:r>
            <w:r w:rsidRPr="00DF1884">
              <w:t>to</w:t>
            </w:r>
            <w:r w:rsidR="00DF1884" w:rsidRPr="00DF1884">
              <w:t xml:space="preserve"> </w:t>
            </w:r>
            <w:r w:rsidRPr="00DF1884">
              <w:t>7,588,000</w:t>
            </w:r>
            <w:r w:rsidR="00DF1884" w:rsidRPr="00DF1884">
              <w:t xml:space="preserve"> </w:t>
            </w:r>
            <w:r w:rsidRPr="00DF1884">
              <w:t>(Mozaffarian</w:t>
            </w:r>
            <w:r w:rsidR="00DF1884" w:rsidRPr="00DF1884">
              <w:t xml:space="preserve"> </w:t>
            </w:r>
            <w:r w:rsidRPr="00DF1884">
              <w:t>et</w:t>
            </w:r>
            <w:r w:rsidR="00DF1884" w:rsidRPr="00DF1884">
              <w:t xml:space="preserve"> </w:t>
            </w:r>
            <w:r w:rsidRPr="00DF1884">
              <w:t>al.,</w:t>
            </w:r>
            <w:r w:rsidR="00DF1884" w:rsidRPr="00DF1884">
              <w:t xml:space="preserve"> </w:t>
            </w:r>
            <w:r w:rsidRPr="00DF1884">
              <w:t>2015).</w:t>
            </w:r>
            <w:r w:rsidR="00DF1884" w:rsidRPr="00DF1884">
              <w:t xml:space="preserve"> </w:t>
            </w:r>
            <w:r w:rsidRPr="00DF1884">
              <w:t>By</w:t>
            </w:r>
            <w:r w:rsidR="00DF1884" w:rsidRPr="00DF1884">
              <w:t xml:space="preserve"> </w:t>
            </w:r>
            <w:r w:rsidRPr="00DF1884">
              <w:t>2030,</w:t>
            </w:r>
            <w:r w:rsidR="00DF1884" w:rsidRPr="00DF1884">
              <w:t xml:space="preserve"> </w:t>
            </w:r>
            <w:r w:rsidRPr="00DF1884">
              <w:t>direct</w:t>
            </w:r>
            <w:r w:rsidR="00DF1884" w:rsidRPr="00DF1884">
              <w:t xml:space="preserve"> </w:t>
            </w:r>
            <w:r w:rsidRPr="00DF1884">
              <w:t>medical</w:t>
            </w:r>
            <w:r w:rsidR="00DF1884" w:rsidRPr="00DF1884">
              <w:t xml:space="preserve"> </w:t>
            </w:r>
            <w:r w:rsidRPr="00DF1884">
              <w:t>costs</w:t>
            </w:r>
            <w:r w:rsidR="00DF1884" w:rsidRPr="00DF1884">
              <w:t xml:space="preserve"> </w:t>
            </w:r>
            <w:r w:rsidRPr="00DF1884">
              <w:t>for</w:t>
            </w:r>
            <w:r w:rsidR="00DF1884" w:rsidRPr="00DF1884">
              <w:t xml:space="preserve"> </w:t>
            </w:r>
            <w:r w:rsidRPr="00DF1884">
              <w:t>cardiovascular</w:t>
            </w:r>
            <w:r w:rsidR="00DF1884" w:rsidRPr="00DF1884">
              <w:t xml:space="preserve"> </w:t>
            </w:r>
            <w:r w:rsidRPr="00DF1884">
              <w:t>disease</w:t>
            </w:r>
            <w:r w:rsidR="00DF1884" w:rsidRPr="00DF1884">
              <w:t xml:space="preserve"> </w:t>
            </w:r>
            <w:r w:rsidRPr="00DF1884">
              <w:t>are</w:t>
            </w:r>
            <w:r w:rsidR="00DF1884" w:rsidRPr="00DF1884">
              <w:t xml:space="preserve"> </w:t>
            </w:r>
            <w:r w:rsidRPr="00DF1884">
              <w:t>projected</w:t>
            </w:r>
            <w:r w:rsidR="00DF1884" w:rsidRPr="00DF1884">
              <w:t xml:space="preserve"> </w:t>
            </w:r>
            <w:r w:rsidRPr="00DF1884">
              <w:t>to</w:t>
            </w:r>
            <w:r w:rsidR="00DF1884" w:rsidRPr="00DF1884">
              <w:t xml:space="preserve"> </w:t>
            </w:r>
            <w:r w:rsidRPr="00DF1884">
              <w:t>increase</w:t>
            </w:r>
            <w:r w:rsidR="00DF1884" w:rsidRPr="00DF1884">
              <w:t xml:space="preserve"> </w:t>
            </w:r>
            <w:r w:rsidRPr="00DF1884">
              <w:t>to</w:t>
            </w:r>
            <w:r w:rsidR="00DF1884" w:rsidRPr="00DF1884">
              <w:t xml:space="preserve"> </w:t>
            </w:r>
            <w:r w:rsidRPr="00DF1884">
              <w:t>nearly</w:t>
            </w:r>
            <w:r w:rsidR="00DF1884" w:rsidRPr="00DF1884">
              <w:t xml:space="preserve"> </w:t>
            </w:r>
            <w:r w:rsidRPr="00DF1884">
              <w:t>$918</w:t>
            </w:r>
            <w:r w:rsidR="00DF1884" w:rsidRPr="00DF1884">
              <w:t xml:space="preserve"> </w:t>
            </w:r>
            <w:r w:rsidRPr="00DF1884">
              <w:t>billion</w:t>
            </w:r>
            <w:r w:rsidR="00DF1884" w:rsidRPr="00DF1884">
              <w:t xml:space="preserve"> </w:t>
            </w:r>
            <w:r w:rsidRPr="00DF1884">
              <w:t>(Heidenreich,</w:t>
            </w:r>
            <w:r w:rsidR="00DF1884" w:rsidRPr="00DF1884">
              <w:t xml:space="preserve"> </w:t>
            </w:r>
            <w:r w:rsidRPr="00DF1884">
              <w:t>2011).</w:t>
            </w:r>
          </w:p>
        </w:tc>
      </w:tr>
      <w:tr w:rsidR="005B5649" w:rsidRPr="00DF1884" w14:paraId="7F2716D4" w14:textId="77777777" w:rsidTr="00F03166">
        <w:trPr>
          <w:trHeight w:val="648"/>
        </w:trPr>
        <w:tc>
          <w:tcPr>
            <w:tcW w:w="1931" w:type="dxa"/>
            <w:tcMar>
              <w:left w:w="115" w:type="dxa"/>
              <w:right w:w="115" w:type="dxa"/>
            </w:tcMar>
          </w:tcPr>
          <w:p w14:paraId="16A9E1C8" w14:textId="08D0D669" w:rsidR="005B5649" w:rsidRPr="00DF1884" w:rsidRDefault="005B5649" w:rsidP="005B5649">
            <w:pPr>
              <w:pStyle w:val="MarginSubhead"/>
            </w:pPr>
            <w:r w:rsidRPr="00DF1884">
              <w:t>Potential</w:t>
            </w:r>
            <w:r w:rsidR="00DF1884" w:rsidRPr="00DF1884">
              <w:t xml:space="preserve"> </w:t>
            </w:r>
            <w:r w:rsidRPr="00DF1884">
              <w:t>for</w:t>
            </w:r>
            <w:r w:rsidR="00DF1884" w:rsidRPr="00DF1884">
              <w:t xml:space="preserve"> </w:t>
            </w:r>
            <w:r w:rsidRPr="00DF1884">
              <w:t>improvement</w:t>
            </w:r>
          </w:p>
        </w:tc>
        <w:tc>
          <w:tcPr>
            <w:tcW w:w="7920" w:type="dxa"/>
            <w:tcMar>
              <w:left w:w="115" w:type="dxa"/>
              <w:right w:w="115" w:type="dxa"/>
            </w:tcMar>
          </w:tcPr>
          <w:p w14:paraId="0E47683C" w14:textId="538F532A" w:rsidR="005B5649" w:rsidRPr="00DF1884" w:rsidRDefault="005B5649" w:rsidP="005B5649">
            <w:pPr>
              <w:pStyle w:val="Body"/>
            </w:pPr>
            <w:r w:rsidRPr="00DF1884">
              <w:t>The</w:t>
            </w:r>
            <w:r w:rsidR="00DF1884" w:rsidRPr="00DF1884">
              <w:t xml:space="preserve"> </w:t>
            </w:r>
            <w:r w:rsidRPr="00DF1884">
              <w:t>ACC/AHA</w:t>
            </w:r>
            <w:r w:rsidR="00DF1884" w:rsidRPr="00DF1884">
              <w:t xml:space="preserve"> </w:t>
            </w:r>
            <w:r w:rsidRPr="00DF1884">
              <w:t>guidelines</w:t>
            </w:r>
            <w:r w:rsidR="00DF1884" w:rsidRPr="00DF1884">
              <w:t xml:space="preserve"> </w:t>
            </w:r>
            <w:r w:rsidRPr="00DF1884">
              <w:t>state</w:t>
            </w:r>
            <w:r w:rsidR="00DF1884" w:rsidRPr="00DF1884">
              <w:t xml:space="preserve"> </w:t>
            </w:r>
            <w:r w:rsidRPr="00DF1884">
              <w:t>“adherence</w:t>
            </w:r>
            <w:r w:rsidR="00DF1884" w:rsidRPr="00DF1884">
              <w:t xml:space="preserve"> </w:t>
            </w:r>
            <w:r w:rsidRPr="00DF1884">
              <w:t>to</w:t>
            </w:r>
            <w:r w:rsidR="00DF1884" w:rsidRPr="00DF1884">
              <w:t xml:space="preserve"> </w:t>
            </w:r>
            <w:r w:rsidRPr="00DF1884">
              <w:t>both</w:t>
            </w:r>
            <w:r w:rsidR="00DF1884" w:rsidRPr="00DF1884">
              <w:t xml:space="preserve"> </w:t>
            </w:r>
            <w:r w:rsidRPr="00DF1884">
              <w:t>medication</w:t>
            </w:r>
            <w:r w:rsidR="00DF1884" w:rsidRPr="00DF1884">
              <w:t xml:space="preserve"> </w:t>
            </w:r>
            <w:r w:rsidRPr="00DF1884">
              <w:t>and</w:t>
            </w:r>
            <w:r w:rsidR="00DF1884" w:rsidRPr="00DF1884">
              <w:t xml:space="preserve"> </w:t>
            </w:r>
            <w:r w:rsidRPr="00DF1884">
              <w:t>lifestyle</w:t>
            </w:r>
            <w:r w:rsidR="00DF1884" w:rsidRPr="00DF1884">
              <w:t xml:space="preserve"> </w:t>
            </w:r>
            <w:r w:rsidRPr="00DF1884">
              <w:t>regimens</w:t>
            </w:r>
            <w:r w:rsidR="00DF1884" w:rsidRPr="00DF1884">
              <w:t xml:space="preserve"> </w:t>
            </w:r>
            <w:r w:rsidRPr="00DF1884">
              <w:t>are</w:t>
            </w:r>
            <w:r w:rsidR="00DF1884" w:rsidRPr="00DF1884">
              <w:t xml:space="preserve"> </w:t>
            </w:r>
            <w:r w:rsidRPr="00DF1884">
              <w:t>required</w:t>
            </w:r>
            <w:r w:rsidR="00DF1884" w:rsidRPr="00DF1884">
              <w:t xml:space="preserve"> </w:t>
            </w:r>
            <w:r w:rsidRPr="00DF1884">
              <w:t>for</w:t>
            </w:r>
            <w:r w:rsidR="00DF1884" w:rsidRPr="00DF1884">
              <w:t xml:space="preserve"> </w:t>
            </w:r>
            <w:r w:rsidRPr="00DF1884">
              <w:t>ASCVD</w:t>
            </w:r>
            <w:r w:rsidR="00DF1884" w:rsidRPr="00DF1884">
              <w:t xml:space="preserve"> </w:t>
            </w:r>
            <w:r w:rsidRPr="00DF1884">
              <w:t>risk</w:t>
            </w:r>
            <w:r w:rsidR="00DF1884" w:rsidRPr="00DF1884">
              <w:t xml:space="preserve"> </w:t>
            </w:r>
            <w:r w:rsidRPr="00DF1884">
              <w:t>reduction”</w:t>
            </w:r>
            <w:r w:rsidR="00DF1884" w:rsidRPr="00DF1884">
              <w:t xml:space="preserve"> </w:t>
            </w:r>
            <w:r w:rsidRPr="00DF1884">
              <w:t>(Stone</w:t>
            </w:r>
            <w:r w:rsidR="00DF1884" w:rsidRPr="00DF1884">
              <w:t xml:space="preserve"> </w:t>
            </w:r>
            <w:r w:rsidRPr="00DF1884">
              <w:t>et</w:t>
            </w:r>
            <w:r w:rsidR="00DF1884" w:rsidRPr="00DF1884">
              <w:t xml:space="preserve"> </w:t>
            </w:r>
            <w:r w:rsidRPr="00DF1884">
              <w:t>al.,</w:t>
            </w:r>
            <w:r w:rsidR="00DF1884" w:rsidRPr="00DF1884">
              <w:t xml:space="preserve"> </w:t>
            </w:r>
            <w:r w:rsidRPr="00DF1884">
              <w:t>2013).</w:t>
            </w:r>
            <w:r w:rsidR="00DF1884" w:rsidRPr="00DF1884">
              <w:t xml:space="preserve"> </w:t>
            </w:r>
            <w:r w:rsidRPr="00DF1884">
              <w:t>This</w:t>
            </w:r>
            <w:r w:rsidR="00DF1884" w:rsidRPr="00DF1884">
              <w:t xml:space="preserve"> </w:t>
            </w:r>
            <w:r w:rsidRPr="00DF1884">
              <w:t>measure</w:t>
            </w:r>
            <w:r w:rsidR="00DF1884" w:rsidRPr="00DF1884">
              <w:t xml:space="preserve"> </w:t>
            </w:r>
            <w:r w:rsidRPr="00DF1884">
              <w:t>uses</w:t>
            </w:r>
            <w:r w:rsidR="00DF1884" w:rsidRPr="00DF1884">
              <w:t xml:space="preserve"> </w:t>
            </w:r>
            <w:r w:rsidRPr="00DF1884">
              <w:t>the</w:t>
            </w:r>
            <w:r w:rsidR="00DF1884" w:rsidRPr="00DF1884">
              <w:t xml:space="preserve"> </w:t>
            </w:r>
            <w:r w:rsidRPr="00DF1884">
              <w:t>proportion</w:t>
            </w:r>
            <w:r w:rsidR="00DF1884" w:rsidRPr="00DF1884">
              <w:t xml:space="preserve"> </w:t>
            </w:r>
            <w:r w:rsidRPr="00DF1884">
              <w:t>of</w:t>
            </w:r>
            <w:r w:rsidR="00DF1884" w:rsidRPr="00DF1884">
              <w:t xml:space="preserve"> </w:t>
            </w:r>
            <w:r w:rsidRPr="00DF1884">
              <w:t>days</w:t>
            </w:r>
            <w:r w:rsidR="00DF1884" w:rsidRPr="00DF1884">
              <w:t xml:space="preserve"> </w:t>
            </w:r>
            <w:r w:rsidRPr="00DF1884">
              <w:t>covered</w:t>
            </w:r>
            <w:r w:rsidR="00DF1884" w:rsidRPr="00DF1884">
              <w:t xml:space="preserve"> </w:t>
            </w:r>
            <w:r w:rsidRPr="00DF1884">
              <w:t>(PDC)</w:t>
            </w:r>
            <w:r w:rsidR="00DF1884" w:rsidRPr="00DF1884">
              <w:t xml:space="preserve"> </w:t>
            </w:r>
            <w:r w:rsidRPr="00DF1884">
              <w:t>to</w:t>
            </w:r>
            <w:r w:rsidR="00DF1884" w:rsidRPr="00DF1884">
              <w:t xml:space="preserve"> </w:t>
            </w:r>
            <w:r w:rsidRPr="00DF1884">
              <w:t>assess</w:t>
            </w:r>
            <w:r w:rsidR="00DF1884" w:rsidRPr="00DF1884">
              <w:t xml:space="preserve"> </w:t>
            </w:r>
            <w:r w:rsidRPr="00DF1884">
              <w:t>adherence.</w:t>
            </w:r>
            <w:r w:rsidR="00DF1884" w:rsidRPr="00DF1884">
              <w:t xml:space="preserve"> </w:t>
            </w:r>
            <w:r w:rsidRPr="00DF1884">
              <w:t>According</w:t>
            </w:r>
            <w:r w:rsidR="00DF1884" w:rsidRPr="00DF1884">
              <w:t xml:space="preserve"> </w:t>
            </w:r>
            <w:r w:rsidRPr="00DF1884">
              <w:t>to</w:t>
            </w:r>
            <w:r w:rsidR="00DF1884" w:rsidRPr="00DF1884">
              <w:t xml:space="preserve"> </w:t>
            </w:r>
            <w:r w:rsidRPr="00DF1884">
              <w:t>the</w:t>
            </w:r>
            <w:r w:rsidR="00DF1884" w:rsidRPr="00DF1884">
              <w:t xml:space="preserve"> </w:t>
            </w:r>
            <w:r w:rsidRPr="00DF1884">
              <w:t>Pharmacy</w:t>
            </w:r>
            <w:r w:rsidR="00DF1884" w:rsidRPr="00DF1884">
              <w:t xml:space="preserve"> </w:t>
            </w:r>
            <w:r w:rsidRPr="00DF1884">
              <w:t>Quality</w:t>
            </w:r>
            <w:r w:rsidR="00DF1884" w:rsidRPr="00DF1884">
              <w:t xml:space="preserve"> </w:t>
            </w:r>
            <w:r w:rsidRPr="00DF1884">
              <w:t>Alliance,</w:t>
            </w:r>
            <w:r w:rsidR="00DF1884" w:rsidRPr="00DF1884">
              <w:t xml:space="preserve"> </w:t>
            </w:r>
            <w:r w:rsidRPr="00DF1884">
              <w:t>a</w:t>
            </w:r>
            <w:r w:rsidR="00DF1884" w:rsidRPr="00DF1884">
              <w:t xml:space="preserve"> </w:t>
            </w:r>
            <w:r w:rsidRPr="00DF1884">
              <w:t>PDC</w:t>
            </w:r>
            <w:r w:rsidR="00DF1884" w:rsidRPr="00DF1884">
              <w:t xml:space="preserve"> </w:t>
            </w:r>
            <w:r w:rsidRPr="00DF1884">
              <w:t>threshold</w:t>
            </w:r>
            <w:r w:rsidR="00DF1884" w:rsidRPr="00DF1884">
              <w:t xml:space="preserve"> </w:t>
            </w:r>
            <w:r w:rsidRPr="00DF1884">
              <w:t>of</w:t>
            </w:r>
            <w:r w:rsidR="00DF1884" w:rsidRPr="00DF1884">
              <w:t xml:space="preserve"> </w:t>
            </w:r>
            <w:r w:rsidRPr="00DF1884">
              <w:t>80</w:t>
            </w:r>
            <w:r w:rsidR="00DF1884" w:rsidRPr="00DF1884">
              <w:t xml:space="preserve"> </w:t>
            </w:r>
            <w:r w:rsidRPr="00DF1884">
              <w:t>percent</w:t>
            </w:r>
            <w:r w:rsidR="00DF1884" w:rsidRPr="00DF1884">
              <w:t xml:space="preserve"> </w:t>
            </w:r>
            <w:r w:rsidRPr="00DF1884">
              <w:t>is</w:t>
            </w:r>
            <w:r w:rsidR="00DF1884" w:rsidRPr="00DF1884">
              <w:t xml:space="preserve"> </w:t>
            </w:r>
            <w:r w:rsidRPr="00DF1884">
              <w:t>considered</w:t>
            </w:r>
            <w:r w:rsidR="00DF1884" w:rsidRPr="00DF1884">
              <w:t xml:space="preserve"> </w:t>
            </w:r>
            <w:r w:rsidRPr="00DF1884">
              <w:t>highly</w:t>
            </w:r>
            <w:r w:rsidR="00DF1884" w:rsidRPr="00DF1884">
              <w:t xml:space="preserve"> </w:t>
            </w:r>
            <w:r w:rsidRPr="00DF1884">
              <w:t>adherent</w:t>
            </w:r>
            <w:r w:rsidR="00DF1884" w:rsidRPr="00DF1884">
              <w:t xml:space="preserve"> </w:t>
            </w:r>
            <w:r w:rsidRPr="00DF1884">
              <w:t>for</w:t>
            </w:r>
            <w:r w:rsidR="00DF1884" w:rsidRPr="00DF1884">
              <w:t xml:space="preserve"> </w:t>
            </w:r>
            <w:r w:rsidRPr="00DF1884">
              <w:t>most</w:t>
            </w:r>
            <w:r w:rsidR="00DF1884" w:rsidRPr="00DF1884">
              <w:t xml:space="preserve"> </w:t>
            </w:r>
            <w:r w:rsidRPr="00DF1884">
              <w:t>classes</w:t>
            </w:r>
            <w:r w:rsidR="00DF1884" w:rsidRPr="00DF1884">
              <w:t xml:space="preserve"> </w:t>
            </w:r>
            <w:r w:rsidRPr="00DF1884">
              <w:t>of</w:t>
            </w:r>
            <w:r w:rsidR="00DF1884" w:rsidRPr="00DF1884">
              <w:t xml:space="preserve"> </w:t>
            </w:r>
            <w:r w:rsidRPr="00DF1884">
              <w:t>chronic</w:t>
            </w:r>
            <w:r w:rsidR="00DF1884" w:rsidRPr="00DF1884">
              <w:t xml:space="preserve"> </w:t>
            </w:r>
            <w:r w:rsidRPr="00DF1884">
              <w:t>medications</w:t>
            </w:r>
            <w:r w:rsidR="00DF1884" w:rsidRPr="00DF1884">
              <w:t xml:space="preserve"> </w:t>
            </w:r>
            <w:r w:rsidRPr="00DF1884">
              <w:t>(Nau,</w:t>
            </w:r>
            <w:r w:rsidR="00DF1884" w:rsidRPr="00DF1884">
              <w:t xml:space="preserve"> </w:t>
            </w:r>
            <w:r w:rsidRPr="00DF1884">
              <w:t>2012).</w:t>
            </w:r>
          </w:p>
          <w:p w14:paraId="33953BE2" w14:textId="77ECDADE" w:rsidR="005B5649" w:rsidRPr="00DF1884" w:rsidRDefault="005B5649" w:rsidP="00F03166">
            <w:pPr>
              <w:pStyle w:val="Body"/>
            </w:pPr>
            <w:r w:rsidRPr="00DF1884">
              <w:t>The</w:t>
            </w:r>
            <w:r w:rsidR="00DF1884" w:rsidRPr="00DF1884">
              <w:t xml:space="preserve"> </w:t>
            </w:r>
            <w:r w:rsidRPr="00DF1884">
              <w:t>impact</w:t>
            </w:r>
            <w:r w:rsidR="00DF1884" w:rsidRPr="00DF1884">
              <w:t xml:space="preserve"> </w:t>
            </w:r>
            <w:r w:rsidRPr="00DF1884">
              <w:t>of</w:t>
            </w:r>
            <w:r w:rsidR="00DF1884" w:rsidRPr="00DF1884">
              <w:t xml:space="preserve"> </w:t>
            </w:r>
            <w:r w:rsidRPr="00DF1884">
              <w:t>adherence</w:t>
            </w:r>
            <w:r w:rsidR="00DF1884" w:rsidRPr="00DF1884">
              <w:t xml:space="preserve"> </w:t>
            </w:r>
            <w:r w:rsidRPr="00DF1884">
              <w:t>on</w:t>
            </w:r>
            <w:r w:rsidR="00DF1884" w:rsidRPr="00DF1884">
              <w:t xml:space="preserve"> </w:t>
            </w:r>
            <w:r w:rsidRPr="00DF1884">
              <w:t>statin</w:t>
            </w:r>
            <w:r w:rsidR="00DF1884" w:rsidRPr="00DF1884">
              <w:t xml:space="preserve"> </w:t>
            </w:r>
            <w:r w:rsidRPr="00DF1884">
              <w:t>efficacy</w:t>
            </w:r>
            <w:r w:rsidR="00DF1884" w:rsidRPr="00DF1884">
              <w:t xml:space="preserve"> </w:t>
            </w:r>
            <w:r w:rsidRPr="00DF1884">
              <w:t>has</w:t>
            </w:r>
            <w:r w:rsidR="00DF1884" w:rsidRPr="00DF1884">
              <w:t xml:space="preserve"> </w:t>
            </w:r>
            <w:r w:rsidRPr="00DF1884">
              <w:t>been</w:t>
            </w:r>
            <w:r w:rsidR="00DF1884" w:rsidRPr="00DF1884">
              <w:t xml:space="preserve"> </w:t>
            </w:r>
            <w:r w:rsidRPr="00DF1884">
              <w:t>shown:</w:t>
            </w:r>
            <w:r w:rsidR="00DF1884" w:rsidRPr="00DF1884">
              <w:t xml:space="preserve"> </w:t>
            </w:r>
            <w:r w:rsidRPr="00DF1884">
              <w:t>each</w:t>
            </w:r>
            <w:r w:rsidR="00DF1884" w:rsidRPr="00DF1884">
              <w:t xml:space="preserve"> </w:t>
            </w:r>
            <w:r w:rsidRPr="00DF1884">
              <w:t>25</w:t>
            </w:r>
            <w:r w:rsidR="00DF1884" w:rsidRPr="00DF1884">
              <w:t xml:space="preserve"> </w:t>
            </w:r>
            <w:r w:rsidRPr="00DF1884">
              <w:t>percent</w:t>
            </w:r>
            <w:r w:rsidR="00DF1884" w:rsidRPr="00DF1884">
              <w:t xml:space="preserve"> </w:t>
            </w:r>
            <w:r w:rsidRPr="00DF1884">
              <w:t>increase</w:t>
            </w:r>
            <w:r w:rsidR="00DF1884" w:rsidRPr="00DF1884">
              <w:t xml:space="preserve"> </w:t>
            </w:r>
            <w:r w:rsidRPr="00DF1884">
              <w:t>in</w:t>
            </w:r>
            <w:r w:rsidR="00DF1884" w:rsidRPr="00DF1884">
              <w:t xml:space="preserve"> </w:t>
            </w:r>
            <w:r w:rsidRPr="00DF1884">
              <w:t>statin</w:t>
            </w:r>
            <w:r w:rsidR="00DF1884" w:rsidRPr="00DF1884">
              <w:t xml:space="preserve"> </w:t>
            </w:r>
            <w:r w:rsidRPr="00DF1884">
              <w:t>adherence</w:t>
            </w:r>
            <w:r w:rsidR="00DF1884" w:rsidRPr="00DF1884">
              <w:t xml:space="preserve"> </w:t>
            </w:r>
            <w:r w:rsidRPr="00DF1884">
              <w:t>is</w:t>
            </w:r>
            <w:r w:rsidR="00DF1884" w:rsidRPr="00DF1884">
              <w:t xml:space="preserve"> </w:t>
            </w:r>
            <w:r w:rsidRPr="00DF1884">
              <w:t>associated</w:t>
            </w:r>
            <w:r w:rsidR="00DF1884" w:rsidRPr="00DF1884">
              <w:t xml:space="preserve"> </w:t>
            </w:r>
            <w:r w:rsidRPr="00DF1884">
              <w:t>with</w:t>
            </w:r>
            <w:r w:rsidR="00DF1884" w:rsidRPr="00DF1884">
              <w:t xml:space="preserve"> </w:t>
            </w:r>
            <w:r w:rsidRPr="00DF1884">
              <w:t>a</w:t>
            </w:r>
            <w:r w:rsidR="00DF1884" w:rsidRPr="00DF1884">
              <w:t xml:space="preserve"> </w:t>
            </w:r>
            <w:r w:rsidRPr="00DF1884">
              <w:t>~3.8</w:t>
            </w:r>
            <w:r w:rsidR="00DF1884" w:rsidRPr="00DF1884">
              <w:t xml:space="preserve"> </w:t>
            </w:r>
            <w:r w:rsidRPr="00DF1884">
              <w:t>mg/dL</w:t>
            </w:r>
            <w:r w:rsidR="00DF1884" w:rsidRPr="00DF1884">
              <w:t xml:space="preserve"> </w:t>
            </w:r>
            <w:r w:rsidRPr="00DF1884">
              <w:t>reduction</w:t>
            </w:r>
            <w:r w:rsidR="00DF1884" w:rsidRPr="00DF1884">
              <w:t xml:space="preserve"> </w:t>
            </w:r>
            <w:r w:rsidRPr="00DF1884">
              <w:t>in</w:t>
            </w:r>
            <w:r w:rsidR="00DF1884" w:rsidRPr="00DF1884">
              <w:t xml:space="preserve"> </w:t>
            </w:r>
            <w:r w:rsidRPr="00DF1884">
              <w:t>low-density</w:t>
            </w:r>
            <w:r w:rsidR="00DF1884" w:rsidRPr="00DF1884">
              <w:t xml:space="preserve"> </w:t>
            </w:r>
            <w:r w:rsidRPr="00DF1884">
              <w:t>lipoprotei</w:t>
            </w:r>
            <w:r w:rsidR="00F03166" w:rsidRPr="00DF1884">
              <w:t>n</w:t>
            </w:r>
            <w:r w:rsidR="00DF1884" w:rsidRPr="00DF1884">
              <w:t xml:space="preserve"> </w:t>
            </w:r>
            <w:r w:rsidR="00F03166" w:rsidRPr="00DF1884">
              <w:t>cholesterol</w:t>
            </w:r>
            <w:r w:rsidR="00DF1884" w:rsidRPr="00DF1884">
              <w:t xml:space="preserve"> </w:t>
            </w:r>
            <w:r w:rsidR="00F03166" w:rsidRPr="00DF1884">
              <w:t>(Ho,</w:t>
            </w:r>
            <w:r w:rsidR="00DF1884" w:rsidRPr="00DF1884">
              <w:t xml:space="preserve"> </w:t>
            </w:r>
            <w:r w:rsidR="00F03166" w:rsidRPr="00DF1884">
              <w:t>2009).</w:t>
            </w:r>
            <w:r w:rsidR="00DF1884" w:rsidRPr="00DF1884">
              <w:t xml:space="preserve"> </w:t>
            </w:r>
            <w:r w:rsidR="00F03166" w:rsidRPr="00DF1884">
              <w:t>Non</w:t>
            </w:r>
            <w:r w:rsidRPr="00DF1884">
              <w:t>adherence</w:t>
            </w:r>
            <w:r w:rsidR="00DF1884" w:rsidRPr="00DF1884">
              <w:t xml:space="preserve"> </w:t>
            </w:r>
            <w:r w:rsidRPr="00DF1884">
              <w:t>to</w:t>
            </w:r>
            <w:r w:rsidR="00DF1884" w:rsidRPr="00DF1884">
              <w:t xml:space="preserve"> </w:t>
            </w:r>
            <w:r w:rsidRPr="00DF1884">
              <w:t>statin</w:t>
            </w:r>
            <w:r w:rsidR="00DF1884" w:rsidRPr="00DF1884">
              <w:t xml:space="preserve"> </w:t>
            </w:r>
            <w:r w:rsidRPr="00DF1884">
              <w:t>therapy</w:t>
            </w:r>
            <w:r w:rsidR="00DF1884" w:rsidRPr="00DF1884">
              <w:t xml:space="preserve"> </w:t>
            </w:r>
            <w:r w:rsidRPr="00DF1884">
              <w:t>can</w:t>
            </w:r>
            <w:r w:rsidR="00DF1884" w:rsidRPr="00DF1884">
              <w:t xml:space="preserve"> </w:t>
            </w:r>
            <w:r w:rsidRPr="00DF1884">
              <w:t>result</w:t>
            </w:r>
            <w:r w:rsidR="00DF1884" w:rsidRPr="00DF1884">
              <w:t xml:space="preserve"> </w:t>
            </w:r>
            <w:r w:rsidRPr="00DF1884">
              <w:t>in</w:t>
            </w:r>
            <w:r w:rsidR="00DF1884" w:rsidRPr="00DF1884">
              <w:t xml:space="preserve"> </w:t>
            </w:r>
            <w:r w:rsidRPr="00DF1884">
              <w:t>an</w:t>
            </w:r>
            <w:r w:rsidR="00DF1884" w:rsidRPr="00DF1884">
              <w:t xml:space="preserve"> </w:t>
            </w:r>
            <w:r w:rsidRPr="00DF1884">
              <w:t>increased</w:t>
            </w:r>
            <w:r w:rsidR="00DF1884" w:rsidRPr="00DF1884">
              <w:t xml:space="preserve"> </w:t>
            </w:r>
            <w:r w:rsidRPr="00DF1884">
              <w:t>risk</w:t>
            </w:r>
            <w:r w:rsidR="00DF1884" w:rsidRPr="00DF1884">
              <w:t xml:space="preserve"> </w:t>
            </w:r>
            <w:r w:rsidRPr="00DF1884">
              <w:t>for</w:t>
            </w:r>
            <w:r w:rsidR="00DF1884" w:rsidRPr="00DF1884">
              <w:t xml:space="preserve"> </w:t>
            </w:r>
            <w:r w:rsidRPr="00DF1884">
              <w:t>mortality.</w:t>
            </w:r>
            <w:r w:rsidR="00DF1884" w:rsidRPr="00DF1884">
              <w:t xml:space="preserve"> </w:t>
            </w:r>
            <w:r w:rsidRPr="00DF1884">
              <w:t>One</w:t>
            </w:r>
            <w:r w:rsidR="00DF1884" w:rsidRPr="00DF1884">
              <w:t xml:space="preserve"> </w:t>
            </w:r>
            <w:r w:rsidRPr="00DF1884">
              <w:t>study</w:t>
            </w:r>
            <w:r w:rsidR="00DF1884" w:rsidRPr="00DF1884">
              <w:t xml:space="preserve"> </w:t>
            </w:r>
            <w:r w:rsidRPr="00DF1884">
              <w:t>found</w:t>
            </w:r>
            <w:r w:rsidR="00DF1884" w:rsidRPr="00DF1884">
              <w:t xml:space="preserve"> </w:t>
            </w:r>
            <w:r w:rsidRPr="00DF1884">
              <w:t>a</w:t>
            </w:r>
            <w:r w:rsidR="00DF1884" w:rsidRPr="00DF1884">
              <w:t xml:space="preserve"> </w:t>
            </w:r>
            <w:r w:rsidRPr="00DF1884">
              <w:t>12</w:t>
            </w:r>
            <w:r w:rsidR="00DF1884" w:rsidRPr="00DF1884">
              <w:t xml:space="preserve"> </w:t>
            </w:r>
            <w:r w:rsidRPr="00DF1884">
              <w:t>percent–25</w:t>
            </w:r>
            <w:r w:rsidR="00DF1884" w:rsidRPr="00DF1884">
              <w:t xml:space="preserve"> </w:t>
            </w:r>
            <w:r w:rsidRPr="00DF1884">
              <w:t>percent</w:t>
            </w:r>
            <w:r w:rsidR="00DF1884" w:rsidRPr="00DF1884">
              <w:t xml:space="preserve"> </w:t>
            </w:r>
            <w:r w:rsidRPr="00DF1884">
              <w:t>increase</w:t>
            </w:r>
            <w:r w:rsidR="00DF1884" w:rsidRPr="00DF1884">
              <w:t xml:space="preserve"> </w:t>
            </w:r>
            <w:r w:rsidRPr="00DF1884">
              <w:t>in</w:t>
            </w:r>
            <w:r w:rsidR="00DF1884" w:rsidRPr="00DF1884">
              <w:t xml:space="preserve"> </w:t>
            </w:r>
            <w:r w:rsidRPr="00DF1884">
              <w:t>the</w:t>
            </w:r>
            <w:r w:rsidR="00DF1884" w:rsidRPr="00DF1884">
              <w:t xml:space="preserve"> </w:t>
            </w:r>
            <w:r w:rsidRPr="00DF1884">
              <w:t>risk</w:t>
            </w:r>
            <w:r w:rsidR="00DF1884" w:rsidRPr="00DF1884">
              <w:t xml:space="preserve"> </w:t>
            </w:r>
            <w:r w:rsidRPr="00DF1884">
              <w:t>for</w:t>
            </w:r>
            <w:r w:rsidR="00DF1884" w:rsidRPr="00DF1884">
              <w:t xml:space="preserve"> </w:t>
            </w:r>
            <w:r w:rsidRPr="00DF1884">
              <w:t>mortality</w:t>
            </w:r>
            <w:r w:rsidR="00DF1884" w:rsidRPr="00DF1884">
              <w:t xml:space="preserve"> </w:t>
            </w:r>
            <w:r w:rsidRPr="00DF1884">
              <w:t>with</w:t>
            </w:r>
            <w:r w:rsidR="00DF1884" w:rsidRPr="00DF1884">
              <w:t xml:space="preserve"> </w:t>
            </w:r>
            <w:r w:rsidRPr="00DF1884">
              <w:t>nonadherence</w:t>
            </w:r>
            <w:r w:rsidR="00DF1884" w:rsidRPr="00DF1884">
              <w:t xml:space="preserve"> </w:t>
            </w:r>
            <w:r w:rsidRPr="00DF1884">
              <w:t>to</w:t>
            </w:r>
            <w:r w:rsidR="00DF1884" w:rsidRPr="00DF1884">
              <w:t xml:space="preserve"> </w:t>
            </w:r>
            <w:r w:rsidRPr="00DF1884">
              <w:t>statins</w:t>
            </w:r>
            <w:r w:rsidR="00DF1884" w:rsidRPr="00DF1884">
              <w:t xml:space="preserve"> </w:t>
            </w:r>
            <w:r w:rsidRPr="00DF1884">
              <w:t>after</w:t>
            </w:r>
            <w:r w:rsidR="00DF1884" w:rsidRPr="00DF1884">
              <w:t xml:space="preserve"> </w:t>
            </w:r>
            <w:r w:rsidRPr="00DF1884">
              <w:t>an</w:t>
            </w:r>
            <w:r w:rsidR="00DF1884" w:rsidRPr="00DF1884">
              <w:t xml:space="preserve"> </w:t>
            </w:r>
            <w:r w:rsidRPr="00DF1884">
              <w:t>acute</w:t>
            </w:r>
            <w:r w:rsidR="00DF1884" w:rsidRPr="00DF1884">
              <w:t xml:space="preserve"> </w:t>
            </w:r>
            <w:r w:rsidRPr="00DF1884">
              <w:t>myocardial</w:t>
            </w:r>
            <w:r w:rsidR="00DF1884" w:rsidRPr="00DF1884">
              <w:t xml:space="preserve"> </w:t>
            </w:r>
            <w:r w:rsidRPr="00DF1884">
              <w:t>infarction</w:t>
            </w:r>
            <w:r w:rsidR="00DF1884" w:rsidRPr="00DF1884">
              <w:t xml:space="preserve"> </w:t>
            </w:r>
            <w:r w:rsidRPr="00DF1884">
              <w:t>(Rasmussen,</w:t>
            </w:r>
            <w:r w:rsidR="00DF1884" w:rsidRPr="00DF1884">
              <w:t xml:space="preserve"> </w:t>
            </w:r>
            <w:r w:rsidRPr="00DF1884">
              <w:t>2007).</w:t>
            </w:r>
            <w:r w:rsidR="00DF1884" w:rsidRPr="00DF1884">
              <w:t xml:space="preserve"> </w:t>
            </w:r>
          </w:p>
        </w:tc>
      </w:tr>
    </w:tbl>
    <w:p w14:paraId="19A3B908" w14:textId="05733592" w:rsidR="005B5649" w:rsidRPr="00DF1884" w:rsidRDefault="005B5649" w:rsidP="005B5649">
      <w:pPr>
        <w:pStyle w:val="StdHead"/>
      </w:pPr>
      <w:r w:rsidRPr="00DF1884">
        <w:t>Scientific</w:t>
      </w:r>
      <w:r w:rsidR="00DF1884" w:rsidRPr="00DF1884">
        <w:t xml:space="preserve"> </w:t>
      </w:r>
      <w:r w:rsidRPr="00DF1884">
        <w:t>Soundness</w:t>
      </w:r>
    </w:p>
    <w:tbl>
      <w:tblPr>
        <w:tblW w:w="0" w:type="auto"/>
        <w:tblInd w:w="-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1956"/>
        <w:gridCol w:w="7985"/>
      </w:tblGrid>
      <w:tr w:rsidR="005B5649" w:rsidRPr="00DF1884" w14:paraId="7BC79A01" w14:textId="77777777" w:rsidTr="005B5649">
        <w:tc>
          <w:tcPr>
            <w:tcW w:w="1956" w:type="dxa"/>
            <w:tcBorders>
              <w:top w:val="nil"/>
              <w:left w:val="nil"/>
              <w:bottom w:val="nil"/>
              <w:right w:val="nil"/>
            </w:tcBorders>
            <w:tcMar>
              <w:left w:w="115" w:type="dxa"/>
              <w:right w:w="115" w:type="dxa"/>
            </w:tcMar>
          </w:tcPr>
          <w:p w14:paraId="38FE1EAE" w14:textId="4662E523" w:rsidR="005B5649" w:rsidRPr="00DF1884" w:rsidRDefault="005B5649" w:rsidP="005B5649">
            <w:pPr>
              <w:pStyle w:val="MarginSubhead"/>
            </w:pPr>
            <w:r w:rsidRPr="00DF1884">
              <w:t>Clinical</w:t>
            </w:r>
            <w:r w:rsidR="00DF1884" w:rsidRPr="00DF1884">
              <w:t xml:space="preserve"> </w:t>
            </w:r>
            <w:r w:rsidRPr="00DF1884">
              <w:t>importance</w:t>
            </w:r>
            <w:r w:rsidR="00DF1884" w:rsidRPr="00DF1884">
              <w:t xml:space="preserve"> </w:t>
            </w:r>
            <w:r w:rsidRPr="00DF1884">
              <w:br/>
              <w:t>and</w:t>
            </w:r>
            <w:r w:rsidR="00DF1884" w:rsidRPr="00DF1884">
              <w:t xml:space="preserve"> </w:t>
            </w:r>
            <w:r w:rsidRPr="00DF1884">
              <w:t>evidence</w:t>
            </w:r>
          </w:p>
        </w:tc>
        <w:tc>
          <w:tcPr>
            <w:tcW w:w="7985" w:type="dxa"/>
            <w:tcBorders>
              <w:top w:val="nil"/>
              <w:left w:val="nil"/>
              <w:bottom w:val="nil"/>
              <w:right w:val="nil"/>
            </w:tcBorders>
            <w:tcMar>
              <w:left w:w="115" w:type="dxa"/>
              <w:right w:w="115" w:type="dxa"/>
            </w:tcMar>
          </w:tcPr>
          <w:p w14:paraId="07EBCA96" w14:textId="77777777" w:rsidR="005B5649" w:rsidRPr="00DF1884" w:rsidRDefault="005B5649" w:rsidP="005B5649">
            <w:pPr>
              <w:pStyle w:val="Body"/>
              <w:rPr>
                <w:b/>
                <w:bCs/>
                <w:i/>
              </w:rPr>
            </w:pPr>
          </w:p>
        </w:tc>
      </w:tr>
      <w:tr w:rsidR="005B5649" w:rsidRPr="00DF1884" w14:paraId="2CE6C69E" w14:textId="77777777" w:rsidTr="005B5649">
        <w:tc>
          <w:tcPr>
            <w:tcW w:w="1956" w:type="dxa"/>
            <w:tcBorders>
              <w:top w:val="nil"/>
              <w:left w:val="nil"/>
              <w:bottom w:val="nil"/>
              <w:right w:val="nil"/>
            </w:tcBorders>
            <w:tcMar>
              <w:left w:w="115" w:type="dxa"/>
              <w:right w:w="115" w:type="dxa"/>
            </w:tcMar>
          </w:tcPr>
          <w:p w14:paraId="336C1D70" w14:textId="40BC8C9D" w:rsidR="005B5649" w:rsidRPr="00DF1884" w:rsidRDefault="005B5649" w:rsidP="00F03166">
            <w:pPr>
              <w:pStyle w:val="MarginSubhead"/>
              <w:spacing w:before="120"/>
              <w:ind w:left="0"/>
              <w:jc w:val="right"/>
              <w:rPr>
                <w:i/>
                <w:highlight w:val="yellow"/>
              </w:rPr>
            </w:pPr>
            <w:r w:rsidRPr="00DF1884">
              <w:rPr>
                <w:i/>
              </w:rPr>
              <w:t>Guideline</w:t>
            </w:r>
            <w:r w:rsidR="00DF1884" w:rsidRPr="00DF1884">
              <w:rPr>
                <w:i/>
              </w:rPr>
              <w:t xml:space="preserve"> </w:t>
            </w:r>
            <w:r w:rsidRPr="00DF1884">
              <w:rPr>
                <w:i/>
              </w:rPr>
              <w:t>recommendations</w:t>
            </w:r>
          </w:p>
        </w:tc>
        <w:tc>
          <w:tcPr>
            <w:tcW w:w="7985" w:type="dxa"/>
            <w:tcBorders>
              <w:top w:val="nil"/>
              <w:left w:val="nil"/>
              <w:bottom w:val="nil"/>
              <w:right w:val="nil"/>
            </w:tcBorders>
            <w:tcMar>
              <w:left w:w="115" w:type="dxa"/>
              <w:right w:w="115" w:type="dxa"/>
            </w:tcMar>
          </w:tcPr>
          <w:p w14:paraId="55B21BF1" w14:textId="645CA258" w:rsidR="005B5649" w:rsidRPr="00DF1884" w:rsidRDefault="005B5649" w:rsidP="00567436">
            <w:pPr>
              <w:pStyle w:val="Body"/>
              <w:spacing w:before="120"/>
              <w:rPr>
                <w:i/>
              </w:rPr>
            </w:pPr>
            <w:r w:rsidRPr="00DF1884">
              <w:rPr>
                <w:b/>
              </w:rPr>
              <w:t>ACA/AHA.</w:t>
            </w:r>
            <w:r w:rsidR="00DF1884" w:rsidRPr="00DF1884">
              <w:t xml:space="preserve"> </w:t>
            </w:r>
            <w:r w:rsidRPr="00DF1884">
              <w:t>For</w:t>
            </w:r>
            <w:r w:rsidR="00DF1884" w:rsidRPr="00DF1884">
              <w:t xml:space="preserve"> </w:t>
            </w:r>
            <w:r w:rsidRPr="00DF1884">
              <w:t>men</w:t>
            </w:r>
            <w:r w:rsidR="00DF1884" w:rsidRPr="00DF1884">
              <w:t xml:space="preserve"> </w:t>
            </w:r>
            <w:r w:rsidRPr="00DF1884">
              <w:t>and</w:t>
            </w:r>
            <w:r w:rsidR="00DF1884" w:rsidRPr="00DF1884">
              <w:t xml:space="preserve"> </w:t>
            </w:r>
            <w:r w:rsidRPr="00DF1884">
              <w:t>women</w:t>
            </w:r>
            <w:r w:rsidR="00DF1884" w:rsidRPr="00DF1884">
              <w:t xml:space="preserve"> </w:t>
            </w:r>
            <w:r w:rsidRPr="00DF1884">
              <w:t>21</w:t>
            </w:r>
            <w:r w:rsidR="00F03166" w:rsidRPr="00DF1884">
              <w:t>–</w:t>
            </w:r>
            <w:r w:rsidRPr="00DF1884">
              <w:t>75</w:t>
            </w:r>
            <w:r w:rsidR="00DF1884" w:rsidRPr="00DF1884">
              <w:t xml:space="preserve"> </w:t>
            </w:r>
            <w:r w:rsidRPr="00DF1884">
              <w:t>years</w:t>
            </w:r>
            <w:r w:rsidR="00DF1884" w:rsidRPr="00DF1884">
              <w:t xml:space="preserve"> </w:t>
            </w:r>
            <w:r w:rsidRPr="00DF1884">
              <w:t>of</w:t>
            </w:r>
            <w:r w:rsidR="00DF1884" w:rsidRPr="00DF1884">
              <w:t xml:space="preserve"> </w:t>
            </w:r>
            <w:r w:rsidRPr="00DF1884">
              <w:t>age</w:t>
            </w:r>
            <w:r w:rsidR="00DF1884" w:rsidRPr="00DF1884">
              <w:t xml:space="preserve"> </w:t>
            </w:r>
            <w:r w:rsidRPr="00DF1884">
              <w:t>with</w:t>
            </w:r>
            <w:r w:rsidR="00DF1884" w:rsidRPr="00DF1884">
              <w:t xml:space="preserve"> </w:t>
            </w:r>
            <w:r w:rsidRPr="00DF1884">
              <w:t>a</w:t>
            </w:r>
            <w:r w:rsidR="00DF1884" w:rsidRPr="00DF1884">
              <w:t xml:space="preserve"> </w:t>
            </w:r>
            <w:r w:rsidRPr="00DF1884">
              <w:t>diagnosis</w:t>
            </w:r>
            <w:r w:rsidR="00DF1884" w:rsidRPr="00DF1884">
              <w:t xml:space="preserve"> </w:t>
            </w:r>
            <w:r w:rsidRPr="00DF1884">
              <w:t>of</w:t>
            </w:r>
            <w:r w:rsidR="00DF1884" w:rsidRPr="00DF1884">
              <w:t xml:space="preserve"> </w:t>
            </w:r>
            <w:r w:rsidRPr="00DF1884">
              <w:t>clinical</w:t>
            </w:r>
            <w:r w:rsidR="00DF1884" w:rsidRPr="00DF1884">
              <w:t xml:space="preserve"> </w:t>
            </w:r>
            <w:r w:rsidRPr="00DF1884">
              <w:t>ASCVD,</w:t>
            </w:r>
            <w:r w:rsidR="00DF1884" w:rsidRPr="00DF1884">
              <w:t xml:space="preserve"> </w:t>
            </w:r>
            <w:r w:rsidRPr="00DF1884">
              <w:t>high-intensity</w:t>
            </w:r>
            <w:r w:rsidR="00DF1884" w:rsidRPr="00DF1884">
              <w:t xml:space="preserve"> </w:t>
            </w:r>
            <w:r w:rsidRPr="00DF1884">
              <w:t>statin</w:t>
            </w:r>
            <w:r w:rsidR="00DF1884" w:rsidRPr="00DF1884">
              <w:t xml:space="preserve"> </w:t>
            </w:r>
            <w:r w:rsidRPr="00DF1884">
              <w:t>therapy</w:t>
            </w:r>
            <w:r w:rsidR="00DF1884" w:rsidRPr="00DF1884">
              <w:t xml:space="preserve"> </w:t>
            </w:r>
            <w:r w:rsidRPr="00DF1884">
              <w:t>is</w:t>
            </w:r>
            <w:r w:rsidR="00DF1884" w:rsidRPr="00DF1884">
              <w:t xml:space="preserve"> </w:t>
            </w:r>
            <w:r w:rsidRPr="00DF1884">
              <w:t>recommended.</w:t>
            </w:r>
            <w:r w:rsidR="00DF1884" w:rsidRPr="00DF1884">
              <w:t xml:space="preserve"> </w:t>
            </w:r>
            <w:r w:rsidRPr="00DF1884">
              <w:t>If</w:t>
            </w:r>
            <w:r w:rsidR="00DF1884" w:rsidRPr="00DF1884">
              <w:t xml:space="preserve"> </w:t>
            </w:r>
            <w:r w:rsidRPr="00DF1884">
              <w:t>high-intensity</w:t>
            </w:r>
            <w:r w:rsidR="00DF1884" w:rsidRPr="00DF1884">
              <w:t xml:space="preserve"> </w:t>
            </w:r>
            <w:r w:rsidRPr="00DF1884">
              <w:t>therapy</w:t>
            </w:r>
            <w:r w:rsidR="00DF1884" w:rsidRPr="00DF1884">
              <w:t xml:space="preserve"> </w:t>
            </w:r>
            <w:r w:rsidRPr="00DF1884">
              <w:t>is</w:t>
            </w:r>
            <w:r w:rsidR="00DF1884" w:rsidRPr="00DF1884">
              <w:t xml:space="preserve"> </w:t>
            </w:r>
            <w:r w:rsidRPr="00DF1884">
              <w:t>contraindicated,</w:t>
            </w:r>
            <w:r w:rsidR="00DF1884" w:rsidRPr="00DF1884">
              <w:t xml:space="preserve"> </w:t>
            </w:r>
            <w:r w:rsidRPr="00DF1884">
              <w:t>or</w:t>
            </w:r>
            <w:r w:rsidR="00DF1884" w:rsidRPr="00DF1884">
              <w:t xml:space="preserve"> </w:t>
            </w:r>
            <w:r w:rsidRPr="00DF1884">
              <w:t>when</w:t>
            </w:r>
            <w:r w:rsidR="00DF1884" w:rsidRPr="00DF1884">
              <w:t xml:space="preserve"> </w:t>
            </w:r>
            <w:r w:rsidRPr="00DF1884">
              <w:t>adverse</w:t>
            </w:r>
            <w:r w:rsidR="00DF1884" w:rsidRPr="00DF1884">
              <w:t xml:space="preserve"> </w:t>
            </w:r>
            <w:r w:rsidRPr="00DF1884">
              <w:t>effects</w:t>
            </w:r>
            <w:r w:rsidR="00DF1884" w:rsidRPr="00DF1884">
              <w:t xml:space="preserve"> </w:t>
            </w:r>
            <w:r w:rsidRPr="00DF1884">
              <w:t>are</w:t>
            </w:r>
            <w:r w:rsidR="00DF1884" w:rsidRPr="00DF1884">
              <w:t xml:space="preserve"> </w:t>
            </w:r>
            <w:r w:rsidRPr="00DF1884">
              <w:t>present,</w:t>
            </w:r>
            <w:r w:rsidR="00DF1884" w:rsidRPr="00DF1884">
              <w:t xml:space="preserve"> </w:t>
            </w:r>
            <w:r w:rsidRPr="00DF1884">
              <w:t>moderate-intensity</w:t>
            </w:r>
            <w:r w:rsidR="00DF1884" w:rsidRPr="00DF1884">
              <w:t xml:space="preserve"> </w:t>
            </w:r>
            <w:r w:rsidRPr="00DF1884">
              <w:t>statin</w:t>
            </w:r>
            <w:r w:rsidR="00DF1884" w:rsidRPr="00DF1884">
              <w:t xml:space="preserve"> </w:t>
            </w:r>
            <w:r w:rsidRPr="00DF1884">
              <w:t>therapy</w:t>
            </w:r>
            <w:r w:rsidR="00DF1884" w:rsidRPr="00DF1884">
              <w:t xml:space="preserve"> </w:t>
            </w:r>
            <w:r w:rsidRPr="00DF1884">
              <w:t>should</w:t>
            </w:r>
            <w:r w:rsidR="00DF1884" w:rsidRPr="00DF1884">
              <w:t xml:space="preserve"> </w:t>
            </w:r>
            <w:r w:rsidRPr="00DF1884">
              <w:t>be</w:t>
            </w:r>
            <w:r w:rsidR="00DF1884" w:rsidRPr="00DF1884">
              <w:t xml:space="preserve"> </w:t>
            </w:r>
            <w:r w:rsidRPr="00DF1884">
              <w:t>used.</w:t>
            </w:r>
            <w:r w:rsidR="00DF1884" w:rsidRPr="00DF1884">
              <w:t xml:space="preserve"> </w:t>
            </w:r>
          </w:p>
        </w:tc>
      </w:tr>
      <w:tr w:rsidR="005B5649" w:rsidRPr="00DF1884" w14:paraId="3FFE2C29" w14:textId="77777777" w:rsidTr="005B5649">
        <w:tc>
          <w:tcPr>
            <w:tcW w:w="1956" w:type="dxa"/>
            <w:tcBorders>
              <w:top w:val="nil"/>
              <w:left w:val="nil"/>
              <w:bottom w:val="nil"/>
              <w:right w:val="nil"/>
            </w:tcBorders>
            <w:tcMar>
              <w:left w:w="115" w:type="dxa"/>
              <w:right w:w="115" w:type="dxa"/>
            </w:tcMar>
          </w:tcPr>
          <w:p w14:paraId="2C5E5B9D" w14:textId="77777777" w:rsidR="005B5649" w:rsidRPr="00DF1884" w:rsidRDefault="005B5649" w:rsidP="005B5649">
            <w:pPr>
              <w:pStyle w:val="MarginSubhead"/>
            </w:pPr>
            <w:r w:rsidRPr="00DF1884">
              <w:t>Validity</w:t>
            </w:r>
          </w:p>
        </w:tc>
        <w:tc>
          <w:tcPr>
            <w:tcW w:w="7985" w:type="dxa"/>
            <w:tcBorders>
              <w:top w:val="nil"/>
              <w:left w:val="nil"/>
              <w:bottom w:val="nil"/>
              <w:right w:val="nil"/>
            </w:tcBorders>
            <w:tcMar>
              <w:left w:w="115" w:type="dxa"/>
              <w:right w:w="115" w:type="dxa"/>
            </w:tcMar>
          </w:tcPr>
          <w:p w14:paraId="3AED6310" w14:textId="0F26FCE0" w:rsidR="005B5649" w:rsidRPr="00DF1884" w:rsidRDefault="005B5649" w:rsidP="005B5649">
            <w:pPr>
              <w:pStyle w:val="Body"/>
            </w:pPr>
            <w:r w:rsidRPr="00DF1884">
              <w:t>This</w:t>
            </w:r>
            <w:r w:rsidR="00DF1884" w:rsidRPr="00DF1884">
              <w:t xml:space="preserve"> </w:t>
            </w:r>
            <w:r w:rsidRPr="00DF1884">
              <w:t>measure</w:t>
            </w:r>
            <w:r w:rsidR="00DF1884" w:rsidRPr="00DF1884">
              <w:t xml:space="preserve"> </w:t>
            </w:r>
            <w:r w:rsidRPr="00DF1884">
              <w:t>has</w:t>
            </w:r>
            <w:r w:rsidR="00DF1884" w:rsidRPr="00DF1884">
              <w:t xml:space="preserve"> </w:t>
            </w:r>
            <w:r w:rsidRPr="00DF1884">
              <w:t>detailed,</w:t>
            </w:r>
            <w:r w:rsidR="00DF1884" w:rsidRPr="00DF1884">
              <w:t xml:space="preserve"> </w:t>
            </w:r>
            <w:r w:rsidRPr="00DF1884">
              <w:t>precise</w:t>
            </w:r>
            <w:r w:rsidR="00DF1884" w:rsidRPr="00DF1884">
              <w:t xml:space="preserve"> </w:t>
            </w:r>
            <w:r w:rsidRPr="00DF1884">
              <w:t>specifications</w:t>
            </w:r>
            <w:r w:rsidR="00DF1884" w:rsidRPr="00DF1884">
              <w:t xml:space="preserve"> </w:t>
            </w:r>
            <w:r w:rsidRPr="00DF1884">
              <w:t>that</w:t>
            </w:r>
            <w:r w:rsidR="00DF1884" w:rsidRPr="00DF1884">
              <w:t xml:space="preserve"> </w:t>
            </w:r>
            <w:r w:rsidRPr="00DF1884">
              <w:t>clearly</w:t>
            </w:r>
            <w:r w:rsidR="00DF1884" w:rsidRPr="00DF1884">
              <w:t xml:space="preserve"> </w:t>
            </w:r>
            <w:r w:rsidRPr="00DF1884">
              <w:t>define</w:t>
            </w:r>
            <w:r w:rsidR="00DF1884" w:rsidRPr="00DF1884">
              <w:t xml:space="preserve"> </w:t>
            </w:r>
            <w:r w:rsidRPr="00DF1884">
              <w:t>the</w:t>
            </w:r>
            <w:r w:rsidR="00DF1884" w:rsidRPr="00DF1884">
              <w:t xml:space="preserve"> </w:t>
            </w:r>
            <w:r w:rsidRPr="00DF1884">
              <w:t>numerator,</w:t>
            </w:r>
            <w:r w:rsidR="00DF1884" w:rsidRPr="00DF1884">
              <w:t xml:space="preserve"> </w:t>
            </w:r>
            <w:r w:rsidRPr="00DF1884">
              <w:t>denominator,</w:t>
            </w:r>
            <w:r w:rsidR="00DF1884" w:rsidRPr="00DF1884">
              <w:t xml:space="preserve"> </w:t>
            </w:r>
            <w:r w:rsidRPr="00DF1884">
              <w:t>data</w:t>
            </w:r>
            <w:r w:rsidR="00DF1884" w:rsidRPr="00DF1884">
              <w:t xml:space="preserve"> </w:t>
            </w:r>
            <w:r w:rsidRPr="00DF1884">
              <w:t>sources,</w:t>
            </w:r>
            <w:r w:rsidR="00DF1884" w:rsidRPr="00DF1884">
              <w:t xml:space="preserve"> </w:t>
            </w:r>
            <w:r w:rsidRPr="00DF1884">
              <w:t>allowable</w:t>
            </w:r>
            <w:r w:rsidR="00DF1884" w:rsidRPr="00DF1884">
              <w:t xml:space="preserve"> </w:t>
            </w:r>
            <w:r w:rsidRPr="00DF1884">
              <w:t>values,</w:t>
            </w:r>
            <w:r w:rsidR="00DF1884" w:rsidRPr="00DF1884">
              <w:t xml:space="preserve"> </w:t>
            </w:r>
            <w:r w:rsidRPr="00DF1884">
              <w:t>methods</w:t>
            </w:r>
            <w:r w:rsidR="00DF1884" w:rsidRPr="00DF1884">
              <w:t xml:space="preserve"> </w:t>
            </w:r>
            <w:r w:rsidRPr="00DF1884">
              <w:t>of</w:t>
            </w:r>
            <w:r w:rsidR="00DF1884" w:rsidRPr="00DF1884">
              <w:t xml:space="preserve"> </w:t>
            </w:r>
            <w:r w:rsidRPr="00DF1884">
              <w:t>measurement</w:t>
            </w:r>
            <w:r w:rsidR="00DF1884" w:rsidRPr="00DF1884">
              <w:t xml:space="preserve"> </w:t>
            </w:r>
            <w:r w:rsidRPr="00DF1884">
              <w:t>and</w:t>
            </w:r>
            <w:r w:rsidR="00DF1884" w:rsidRPr="00DF1884">
              <w:t xml:space="preserve"> </w:t>
            </w:r>
            <w:r w:rsidRPr="00DF1884">
              <w:t>method</w:t>
            </w:r>
            <w:r w:rsidR="00DF1884" w:rsidRPr="00DF1884">
              <w:t xml:space="preserve"> </w:t>
            </w:r>
            <w:r w:rsidRPr="00DF1884">
              <w:t>of</w:t>
            </w:r>
            <w:r w:rsidR="00DF1884" w:rsidRPr="00DF1884">
              <w:t xml:space="preserve"> </w:t>
            </w:r>
            <w:r w:rsidRPr="00DF1884">
              <w:t>reporting.</w:t>
            </w:r>
          </w:p>
        </w:tc>
      </w:tr>
    </w:tbl>
    <w:p w14:paraId="14F10873" w14:textId="77777777" w:rsidR="005B5649" w:rsidRPr="00DF1884" w:rsidRDefault="005B5649" w:rsidP="005B5649">
      <w:pPr>
        <w:pStyle w:val="StdHead"/>
      </w:pPr>
      <w:r w:rsidRPr="00DF1884">
        <w:t>Feasibility</w:t>
      </w:r>
    </w:p>
    <w:tbl>
      <w:tblPr>
        <w:tblW w:w="0" w:type="auto"/>
        <w:tblInd w:w="-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1956"/>
        <w:gridCol w:w="7985"/>
      </w:tblGrid>
      <w:tr w:rsidR="005B5649" w:rsidRPr="00DF1884" w14:paraId="57465661" w14:textId="77777777" w:rsidTr="005B5649">
        <w:tc>
          <w:tcPr>
            <w:tcW w:w="1956" w:type="dxa"/>
            <w:tcBorders>
              <w:top w:val="nil"/>
              <w:left w:val="nil"/>
              <w:bottom w:val="nil"/>
              <w:right w:val="nil"/>
            </w:tcBorders>
            <w:tcMar>
              <w:left w:w="115" w:type="dxa"/>
              <w:right w:w="115" w:type="dxa"/>
            </w:tcMar>
          </w:tcPr>
          <w:p w14:paraId="7DDDD84C" w14:textId="0D7F2D0E" w:rsidR="005B5649" w:rsidRPr="00DF1884" w:rsidRDefault="005B5649" w:rsidP="005B5649">
            <w:pPr>
              <w:pStyle w:val="MarginSubhead"/>
            </w:pPr>
            <w:r w:rsidRPr="00DF1884">
              <w:t>Logistically</w:t>
            </w:r>
            <w:r w:rsidR="00DF1884" w:rsidRPr="00DF1884">
              <w:t xml:space="preserve"> </w:t>
            </w:r>
            <w:r w:rsidRPr="00DF1884">
              <w:t>feasible</w:t>
            </w:r>
          </w:p>
        </w:tc>
        <w:tc>
          <w:tcPr>
            <w:tcW w:w="7985" w:type="dxa"/>
            <w:tcBorders>
              <w:top w:val="nil"/>
              <w:left w:val="nil"/>
              <w:bottom w:val="nil"/>
              <w:right w:val="nil"/>
            </w:tcBorders>
            <w:tcMar>
              <w:left w:w="115" w:type="dxa"/>
              <w:right w:w="115" w:type="dxa"/>
            </w:tcMar>
          </w:tcPr>
          <w:p w14:paraId="42BFE87A" w14:textId="4F31F7BC" w:rsidR="005B5649" w:rsidRPr="00DF1884" w:rsidRDefault="005B5649" w:rsidP="005B5649">
            <w:pPr>
              <w:pStyle w:val="Body"/>
            </w:pPr>
            <w:r w:rsidRPr="00DF1884">
              <w:t>Feedback</w:t>
            </w:r>
            <w:r w:rsidR="00DF1884" w:rsidRPr="00DF1884">
              <w:t xml:space="preserve"> </w:t>
            </w:r>
            <w:r w:rsidRPr="00DF1884">
              <w:t>from</w:t>
            </w:r>
            <w:r w:rsidR="00DF1884" w:rsidRPr="00DF1884">
              <w:t xml:space="preserve"> </w:t>
            </w:r>
            <w:r w:rsidRPr="00DF1884">
              <w:t>plans</w:t>
            </w:r>
            <w:r w:rsidR="00DF1884" w:rsidRPr="00DF1884">
              <w:t xml:space="preserve"> </w:t>
            </w:r>
            <w:r w:rsidRPr="00DF1884">
              <w:t>and</w:t>
            </w:r>
            <w:r w:rsidR="00DF1884" w:rsidRPr="00DF1884">
              <w:t xml:space="preserve"> </w:t>
            </w:r>
            <w:r w:rsidRPr="00DF1884">
              <w:t>NCQA</w:t>
            </w:r>
            <w:r w:rsidR="00DF1884" w:rsidRPr="00DF1884">
              <w:t xml:space="preserve"> </w:t>
            </w:r>
            <w:r w:rsidRPr="00DF1884">
              <w:t>panels</w:t>
            </w:r>
            <w:r w:rsidR="00DF1884" w:rsidRPr="00DF1884">
              <w:t xml:space="preserve"> </w:t>
            </w:r>
            <w:r w:rsidRPr="00DF1884">
              <w:t>support</w:t>
            </w:r>
            <w:r w:rsidR="00DF1884" w:rsidRPr="00DF1884">
              <w:t xml:space="preserve"> </w:t>
            </w:r>
            <w:r w:rsidRPr="00DF1884">
              <w:t>the</w:t>
            </w:r>
            <w:r w:rsidR="00DF1884" w:rsidRPr="00DF1884">
              <w:t xml:space="preserve"> </w:t>
            </w:r>
            <w:r w:rsidRPr="00DF1884">
              <w:t>logistic</w:t>
            </w:r>
            <w:r w:rsidR="00DF1884" w:rsidRPr="00DF1884">
              <w:t xml:space="preserve"> </w:t>
            </w:r>
            <w:r w:rsidRPr="00DF1884">
              <w:t>feasibility</w:t>
            </w:r>
            <w:r w:rsidR="00DF1884" w:rsidRPr="00DF1884">
              <w:t xml:space="preserve"> </w:t>
            </w:r>
            <w:r w:rsidRPr="00DF1884">
              <w:t>of</w:t>
            </w:r>
            <w:r w:rsidR="00DF1884" w:rsidRPr="00DF1884">
              <w:t xml:space="preserve"> </w:t>
            </w:r>
            <w:r w:rsidRPr="00DF1884">
              <w:t>this</w:t>
            </w:r>
            <w:r w:rsidR="00DF1884" w:rsidRPr="00DF1884">
              <w:t xml:space="preserve"> </w:t>
            </w:r>
            <w:r w:rsidRPr="00DF1884">
              <w:t>measure.</w:t>
            </w:r>
            <w:r w:rsidR="00DF1884" w:rsidRPr="00DF1884">
              <w:t xml:space="preserve"> </w:t>
            </w:r>
            <w:r w:rsidRPr="00DF1884">
              <w:t>In</w:t>
            </w:r>
            <w:r w:rsidR="00DF1884" w:rsidRPr="00DF1884">
              <w:t xml:space="preserve"> </w:t>
            </w:r>
            <w:r w:rsidRPr="00DF1884">
              <w:t>general,</w:t>
            </w:r>
            <w:r w:rsidR="00DF1884" w:rsidRPr="00DF1884">
              <w:t xml:space="preserve"> </w:t>
            </w:r>
            <w:r w:rsidRPr="00DF1884">
              <w:t>claims</w:t>
            </w:r>
            <w:r w:rsidR="00DF1884" w:rsidRPr="00DF1884">
              <w:t xml:space="preserve"> </w:t>
            </w:r>
            <w:r w:rsidRPr="00DF1884">
              <w:t>and</w:t>
            </w:r>
            <w:r w:rsidR="00DF1884" w:rsidRPr="00DF1884">
              <w:t xml:space="preserve"> </w:t>
            </w:r>
            <w:r w:rsidRPr="00DF1884">
              <w:t>encounter</w:t>
            </w:r>
            <w:r w:rsidR="00DF1884" w:rsidRPr="00DF1884">
              <w:t xml:space="preserve"> </w:t>
            </w:r>
            <w:r w:rsidRPr="00DF1884">
              <w:t>data</w:t>
            </w:r>
            <w:r w:rsidR="00DF1884" w:rsidRPr="00DF1884">
              <w:t xml:space="preserve"> </w:t>
            </w:r>
            <w:r w:rsidRPr="00DF1884">
              <w:t>required</w:t>
            </w:r>
            <w:r w:rsidR="00DF1884" w:rsidRPr="00DF1884">
              <w:t xml:space="preserve"> </w:t>
            </w:r>
            <w:r w:rsidRPr="00DF1884">
              <w:t>for</w:t>
            </w:r>
            <w:r w:rsidR="00DF1884" w:rsidRPr="00DF1884">
              <w:t xml:space="preserve"> </w:t>
            </w:r>
            <w:r w:rsidRPr="00DF1884">
              <w:t>this</w:t>
            </w:r>
            <w:r w:rsidR="00DF1884" w:rsidRPr="00DF1884">
              <w:t xml:space="preserve"> </w:t>
            </w:r>
            <w:r w:rsidRPr="00DF1884">
              <w:t>measure</w:t>
            </w:r>
            <w:r w:rsidR="00DF1884" w:rsidRPr="00DF1884">
              <w:t xml:space="preserve"> </w:t>
            </w:r>
            <w:r w:rsidRPr="00DF1884">
              <w:t>should</w:t>
            </w:r>
            <w:r w:rsidR="00DF1884" w:rsidRPr="00DF1884">
              <w:t xml:space="preserve"> </w:t>
            </w:r>
            <w:r w:rsidRPr="00DF1884">
              <w:t>be</w:t>
            </w:r>
            <w:r w:rsidR="00DF1884" w:rsidRPr="00DF1884">
              <w:t xml:space="preserve"> </w:t>
            </w:r>
            <w:r w:rsidRPr="00DF1884">
              <w:t>available</w:t>
            </w:r>
            <w:r w:rsidR="00DF1884" w:rsidRPr="00DF1884">
              <w:t xml:space="preserve"> </w:t>
            </w:r>
            <w:r w:rsidRPr="00DF1884">
              <w:t>to</w:t>
            </w:r>
            <w:r w:rsidR="00DF1884" w:rsidRPr="00DF1884">
              <w:t xml:space="preserve"> </w:t>
            </w:r>
            <w:r w:rsidRPr="00DF1884">
              <w:t>health</w:t>
            </w:r>
            <w:r w:rsidR="00DF1884" w:rsidRPr="00DF1884">
              <w:t xml:space="preserve"> </w:t>
            </w:r>
            <w:r w:rsidRPr="00DF1884">
              <w:t>plans.</w:t>
            </w:r>
          </w:p>
        </w:tc>
      </w:tr>
      <w:tr w:rsidR="005B5649" w:rsidRPr="00DF1884" w14:paraId="1295A0E0" w14:textId="77777777" w:rsidTr="005B5649">
        <w:tc>
          <w:tcPr>
            <w:tcW w:w="1956" w:type="dxa"/>
            <w:tcBorders>
              <w:top w:val="nil"/>
              <w:left w:val="nil"/>
              <w:bottom w:val="nil"/>
              <w:right w:val="nil"/>
            </w:tcBorders>
            <w:tcMar>
              <w:left w:w="115" w:type="dxa"/>
              <w:right w:w="115" w:type="dxa"/>
            </w:tcMar>
          </w:tcPr>
          <w:p w14:paraId="406C9AB5" w14:textId="77777777" w:rsidR="005B5649" w:rsidRPr="00DF1884" w:rsidRDefault="005B5649" w:rsidP="005B5649">
            <w:pPr>
              <w:pStyle w:val="MarginSubhead"/>
            </w:pPr>
            <w:r w:rsidRPr="00DF1884">
              <w:t>Auditable</w:t>
            </w:r>
          </w:p>
        </w:tc>
        <w:tc>
          <w:tcPr>
            <w:tcW w:w="7985" w:type="dxa"/>
            <w:tcBorders>
              <w:top w:val="nil"/>
              <w:left w:val="nil"/>
              <w:bottom w:val="nil"/>
              <w:right w:val="nil"/>
            </w:tcBorders>
            <w:tcMar>
              <w:left w:w="115" w:type="dxa"/>
              <w:right w:w="115" w:type="dxa"/>
            </w:tcMar>
          </w:tcPr>
          <w:p w14:paraId="2177F8EF" w14:textId="41014A5D" w:rsidR="005B5649" w:rsidRPr="00DF1884" w:rsidRDefault="005B5649" w:rsidP="005B5649">
            <w:pPr>
              <w:pStyle w:val="Body"/>
            </w:pPr>
            <w:r w:rsidRPr="00DF1884">
              <w:t>This</w:t>
            </w:r>
            <w:r w:rsidR="00DF1884" w:rsidRPr="00DF1884">
              <w:t xml:space="preserve"> </w:t>
            </w:r>
            <w:r w:rsidRPr="00DF1884">
              <w:t>measure</w:t>
            </w:r>
            <w:r w:rsidR="00DF1884" w:rsidRPr="00DF1884">
              <w:t xml:space="preserve"> </w:t>
            </w:r>
            <w:r w:rsidRPr="00DF1884">
              <w:t>has</w:t>
            </w:r>
            <w:r w:rsidR="00DF1884" w:rsidRPr="00DF1884">
              <w:t xml:space="preserve"> </w:t>
            </w:r>
            <w:r w:rsidRPr="00DF1884">
              <w:t>been</w:t>
            </w:r>
            <w:r w:rsidR="00DF1884" w:rsidRPr="00DF1884">
              <w:t xml:space="preserve"> </w:t>
            </w:r>
            <w:r w:rsidRPr="00DF1884">
              <w:t>reviewed</w:t>
            </w:r>
            <w:r w:rsidR="00DF1884" w:rsidRPr="00DF1884">
              <w:t xml:space="preserve"> </w:t>
            </w:r>
            <w:r w:rsidRPr="00DF1884">
              <w:t>by</w:t>
            </w:r>
            <w:r w:rsidR="00DF1884" w:rsidRPr="00DF1884">
              <w:t xml:space="preserve"> </w:t>
            </w:r>
            <w:r w:rsidRPr="00DF1884">
              <w:t>NCQA’s</w:t>
            </w:r>
            <w:r w:rsidR="00DF1884" w:rsidRPr="00DF1884">
              <w:t xml:space="preserve"> </w:t>
            </w:r>
            <w:r w:rsidRPr="00DF1884">
              <w:t>internal</w:t>
            </w:r>
            <w:r w:rsidR="00DF1884" w:rsidRPr="00DF1884">
              <w:t xml:space="preserve"> </w:t>
            </w:r>
            <w:r w:rsidRPr="00DF1884">
              <w:t>HEDIS</w:t>
            </w:r>
            <w:r w:rsidR="00DF1884" w:rsidRPr="00DF1884">
              <w:t xml:space="preserve"> </w:t>
            </w:r>
            <w:r w:rsidRPr="00DF1884">
              <w:t>Audit</w:t>
            </w:r>
            <w:r w:rsidR="00DF1884" w:rsidRPr="00DF1884">
              <w:t xml:space="preserve"> </w:t>
            </w:r>
            <w:r w:rsidRPr="00DF1884">
              <w:t>and</w:t>
            </w:r>
            <w:r w:rsidR="00DF1884" w:rsidRPr="00DF1884">
              <w:t xml:space="preserve"> </w:t>
            </w:r>
            <w:r w:rsidRPr="00DF1884">
              <w:t>Measure</w:t>
            </w:r>
            <w:r w:rsidR="00DF1884" w:rsidRPr="00DF1884">
              <w:t xml:space="preserve"> </w:t>
            </w:r>
            <w:r w:rsidRPr="00DF1884">
              <w:t>certification</w:t>
            </w:r>
            <w:r w:rsidR="00DF1884" w:rsidRPr="00DF1884">
              <w:t xml:space="preserve"> </w:t>
            </w:r>
            <w:r w:rsidRPr="00DF1884">
              <w:t>staff</w:t>
            </w:r>
            <w:r w:rsidR="00DF1884" w:rsidRPr="00DF1884">
              <w:t xml:space="preserve"> </w:t>
            </w:r>
            <w:r w:rsidRPr="00DF1884">
              <w:t>and</w:t>
            </w:r>
            <w:r w:rsidR="00DF1884" w:rsidRPr="00DF1884">
              <w:t xml:space="preserve"> </w:t>
            </w:r>
            <w:r w:rsidRPr="00DF1884">
              <w:t>found</w:t>
            </w:r>
            <w:r w:rsidR="00DF1884" w:rsidRPr="00DF1884">
              <w:t xml:space="preserve"> </w:t>
            </w:r>
            <w:r w:rsidRPr="00DF1884">
              <w:t>to</w:t>
            </w:r>
            <w:r w:rsidR="00DF1884" w:rsidRPr="00DF1884">
              <w:t xml:space="preserve"> </w:t>
            </w:r>
            <w:r w:rsidRPr="00DF1884">
              <w:t>be</w:t>
            </w:r>
            <w:r w:rsidR="00DF1884" w:rsidRPr="00DF1884">
              <w:t xml:space="preserve"> </w:t>
            </w:r>
            <w:r w:rsidRPr="00DF1884">
              <w:t>auditable.</w:t>
            </w:r>
          </w:p>
        </w:tc>
      </w:tr>
    </w:tbl>
    <w:p w14:paraId="5A320825" w14:textId="77777777" w:rsidR="00F03166" w:rsidRPr="00DF1884" w:rsidRDefault="00F03166" w:rsidP="00F03166">
      <w:pPr>
        <w:sectPr w:rsidR="00F03166" w:rsidRPr="00DF1884" w:rsidSect="0039781B">
          <w:endnotePr>
            <w:numFmt w:val="decimal"/>
          </w:endnotePr>
          <w:pgSz w:w="12240" w:h="15840" w:code="1"/>
          <w:pgMar w:top="1080" w:right="1080" w:bottom="1080" w:left="1440" w:header="720" w:footer="720" w:gutter="0"/>
          <w:cols w:space="720"/>
          <w:docGrid w:linePitch="360"/>
        </w:sectPr>
      </w:pPr>
    </w:p>
    <w:p w14:paraId="11495FC2" w14:textId="7F96E091" w:rsidR="005B5649" w:rsidRPr="00DF1884" w:rsidRDefault="005B5649" w:rsidP="00F03166">
      <w:pPr>
        <w:pStyle w:val="StdHead"/>
        <w:spacing w:before="0"/>
      </w:pPr>
      <w:r w:rsidRPr="00DF1884">
        <w:lastRenderedPageBreak/>
        <w:t>References</w:t>
      </w:r>
    </w:p>
    <w:p w14:paraId="46EB59A9" w14:textId="7FC4A30A" w:rsidR="005B5649" w:rsidRPr="00DF1884" w:rsidRDefault="005B5649" w:rsidP="00F03166">
      <w:pPr>
        <w:pStyle w:val="Body"/>
        <w:ind w:left="216" w:hanging="216"/>
        <w:rPr>
          <w:szCs w:val="20"/>
        </w:rPr>
      </w:pPr>
      <w:r w:rsidRPr="00DF1884">
        <w:rPr>
          <w:szCs w:val="20"/>
        </w:rPr>
        <w:t>American</w:t>
      </w:r>
      <w:r w:rsidR="00DF1884" w:rsidRPr="00DF1884">
        <w:rPr>
          <w:szCs w:val="20"/>
        </w:rPr>
        <w:t xml:space="preserve"> </w:t>
      </w:r>
      <w:r w:rsidRPr="00DF1884">
        <w:rPr>
          <w:szCs w:val="20"/>
        </w:rPr>
        <w:t>Heart</w:t>
      </w:r>
      <w:r w:rsidR="00DF1884" w:rsidRPr="00DF1884">
        <w:rPr>
          <w:szCs w:val="20"/>
        </w:rPr>
        <w:t xml:space="preserve"> </w:t>
      </w:r>
      <w:r w:rsidRPr="00DF1884">
        <w:rPr>
          <w:szCs w:val="20"/>
        </w:rPr>
        <w:t>Association</w:t>
      </w:r>
      <w:r w:rsidR="00DF1884" w:rsidRPr="00DF1884">
        <w:rPr>
          <w:szCs w:val="20"/>
        </w:rPr>
        <w:t xml:space="preserve"> </w:t>
      </w:r>
      <w:r w:rsidRPr="00DF1884">
        <w:rPr>
          <w:szCs w:val="20"/>
        </w:rPr>
        <w:t>(AHA).</w:t>
      </w:r>
      <w:r w:rsidR="00DF1884" w:rsidRPr="00DF1884">
        <w:rPr>
          <w:szCs w:val="20"/>
        </w:rPr>
        <w:t xml:space="preserve"> </w:t>
      </w:r>
      <w:r w:rsidRPr="00DF1884">
        <w:rPr>
          <w:szCs w:val="20"/>
        </w:rPr>
        <w:t>2014.</w:t>
      </w:r>
      <w:r w:rsidR="00DF1884" w:rsidRPr="00DF1884">
        <w:rPr>
          <w:szCs w:val="20"/>
        </w:rPr>
        <w:t xml:space="preserve"> </w:t>
      </w:r>
      <w:r w:rsidRPr="00DF1884">
        <w:rPr>
          <w:szCs w:val="20"/>
        </w:rPr>
        <w:t>“Drug</w:t>
      </w:r>
      <w:r w:rsidR="00DF1884" w:rsidRPr="00DF1884">
        <w:rPr>
          <w:szCs w:val="20"/>
        </w:rPr>
        <w:t xml:space="preserve"> </w:t>
      </w:r>
      <w:r w:rsidRPr="00DF1884">
        <w:rPr>
          <w:szCs w:val="20"/>
        </w:rPr>
        <w:t>therapy</w:t>
      </w:r>
      <w:r w:rsidR="00DF1884" w:rsidRPr="00DF1884">
        <w:rPr>
          <w:szCs w:val="20"/>
        </w:rPr>
        <w:t xml:space="preserve"> </w:t>
      </w:r>
      <w:r w:rsidRPr="00DF1884">
        <w:rPr>
          <w:szCs w:val="20"/>
        </w:rPr>
        <w:t>for</w:t>
      </w:r>
      <w:r w:rsidR="00DF1884" w:rsidRPr="00DF1884">
        <w:rPr>
          <w:szCs w:val="20"/>
        </w:rPr>
        <w:t xml:space="preserve"> </w:t>
      </w:r>
      <w:r w:rsidRPr="00DF1884">
        <w:rPr>
          <w:szCs w:val="20"/>
        </w:rPr>
        <w:t>cholesterol.”</w:t>
      </w:r>
      <w:r w:rsidR="00DF1884" w:rsidRPr="00DF1884">
        <w:rPr>
          <w:szCs w:val="20"/>
        </w:rPr>
        <w:t xml:space="preserve"> </w:t>
      </w:r>
      <w:hyperlink r:id="rId61" w:history="1">
        <w:r w:rsidRPr="00DF1884">
          <w:rPr>
            <w:rStyle w:val="Hyperlink"/>
            <w:color w:val="auto"/>
            <w:szCs w:val="20"/>
          </w:rPr>
          <w:t>http://www.heart.org/HEARTORG/Conditions/Cholesterol/PreventionTreatmentofHighCholesterol/Drug-Therapy-for-Cholesterol_UCM_305632_Article.jsp</w:t>
        </w:r>
      </w:hyperlink>
      <w:r w:rsidRPr="00DF1884">
        <w:rPr>
          <w:szCs w:val="20"/>
        </w:rPr>
        <w:t>.</w:t>
      </w:r>
      <w:r w:rsidR="00DF1884" w:rsidRPr="00DF1884">
        <w:rPr>
          <w:szCs w:val="20"/>
        </w:rPr>
        <w:t xml:space="preserve"> </w:t>
      </w:r>
      <w:r w:rsidRPr="00DF1884">
        <w:rPr>
          <w:szCs w:val="20"/>
        </w:rPr>
        <w:t>Accessed</w:t>
      </w:r>
      <w:r w:rsidR="00DF1884" w:rsidRPr="00DF1884">
        <w:rPr>
          <w:szCs w:val="20"/>
        </w:rPr>
        <w:t xml:space="preserve"> </w:t>
      </w:r>
      <w:r w:rsidRPr="00DF1884">
        <w:rPr>
          <w:szCs w:val="20"/>
        </w:rPr>
        <w:t>January</w:t>
      </w:r>
      <w:r w:rsidR="00DF1884" w:rsidRPr="00DF1884">
        <w:rPr>
          <w:szCs w:val="20"/>
        </w:rPr>
        <w:t xml:space="preserve"> </w:t>
      </w:r>
      <w:r w:rsidRPr="00DF1884">
        <w:rPr>
          <w:szCs w:val="20"/>
        </w:rPr>
        <w:t>11,</w:t>
      </w:r>
      <w:r w:rsidR="00DF1884" w:rsidRPr="00DF1884">
        <w:rPr>
          <w:szCs w:val="20"/>
        </w:rPr>
        <w:t xml:space="preserve"> </w:t>
      </w:r>
      <w:r w:rsidRPr="00DF1884">
        <w:rPr>
          <w:szCs w:val="20"/>
        </w:rPr>
        <w:t>2015.</w:t>
      </w:r>
      <w:r w:rsidR="00DF1884" w:rsidRPr="00DF1884">
        <w:rPr>
          <w:szCs w:val="20"/>
        </w:rPr>
        <w:t xml:space="preserve"> </w:t>
      </w:r>
    </w:p>
    <w:p w14:paraId="4DDB8D79" w14:textId="13805294" w:rsidR="005B5649" w:rsidRPr="00DF1884" w:rsidRDefault="005B5649" w:rsidP="005B5649">
      <w:pPr>
        <w:pStyle w:val="Body"/>
        <w:spacing w:before="0"/>
        <w:ind w:left="216" w:hanging="216"/>
        <w:rPr>
          <w:szCs w:val="20"/>
        </w:rPr>
      </w:pPr>
      <w:r w:rsidRPr="00DF1884">
        <w:rPr>
          <w:szCs w:val="20"/>
        </w:rPr>
        <w:t>Centers</w:t>
      </w:r>
      <w:r w:rsidR="00DF1884" w:rsidRPr="00DF1884">
        <w:rPr>
          <w:szCs w:val="20"/>
        </w:rPr>
        <w:t xml:space="preserve"> </w:t>
      </w:r>
      <w:r w:rsidRPr="00DF1884">
        <w:rPr>
          <w:szCs w:val="20"/>
        </w:rPr>
        <w:t>for</w:t>
      </w:r>
      <w:r w:rsidR="00DF1884" w:rsidRPr="00DF1884">
        <w:rPr>
          <w:szCs w:val="20"/>
        </w:rPr>
        <w:t xml:space="preserve"> </w:t>
      </w:r>
      <w:r w:rsidRPr="00DF1884">
        <w:rPr>
          <w:szCs w:val="20"/>
        </w:rPr>
        <w:t>Disease</w:t>
      </w:r>
      <w:r w:rsidR="00DF1884" w:rsidRPr="00DF1884">
        <w:rPr>
          <w:szCs w:val="20"/>
        </w:rPr>
        <w:t xml:space="preserve"> </w:t>
      </w:r>
      <w:r w:rsidRPr="00DF1884">
        <w:rPr>
          <w:szCs w:val="20"/>
        </w:rPr>
        <w:t>Control</w:t>
      </w:r>
      <w:r w:rsidR="00DF1884" w:rsidRPr="00DF1884">
        <w:rPr>
          <w:szCs w:val="20"/>
        </w:rPr>
        <w:t xml:space="preserve"> </w:t>
      </w:r>
      <w:r w:rsidRPr="00DF1884">
        <w:rPr>
          <w:szCs w:val="20"/>
        </w:rPr>
        <w:t>and</w:t>
      </w:r>
      <w:r w:rsidR="00DF1884" w:rsidRPr="00DF1884">
        <w:rPr>
          <w:szCs w:val="20"/>
        </w:rPr>
        <w:t xml:space="preserve"> </w:t>
      </w:r>
      <w:r w:rsidRPr="00DF1884">
        <w:rPr>
          <w:szCs w:val="20"/>
        </w:rPr>
        <w:t>Prevention/National</w:t>
      </w:r>
      <w:r w:rsidR="00DF1884" w:rsidRPr="00DF1884">
        <w:rPr>
          <w:szCs w:val="20"/>
        </w:rPr>
        <w:t xml:space="preserve"> </w:t>
      </w:r>
      <w:r w:rsidRPr="00DF1884">
        <w:rPr>
          <w:szCs w:val="20"/>
        </w:rPr>
        <w:t>Center</w:t>
      </w:r>
      <w:r w:rsidR="00DF1884" w:rsidRPr="00DF1884">
        <w:rPr>
          <w:szCs w:val="20"/>
        </w:rPr>
        <w:t xml:space="preserve"> </w:t>
      </w:r>
      <w:r w:rsidRPr="00DF1884">
        <w:rPr>
          <w:szCs w:val="20"/>
        </w:rPr>
        <w:t>for</w:t>
      </w:r>
      <w:r w:rsidR="00DF1884" w:rsidRPr="00DF1884">
        <w:rPr>
          <w:szCs w:val="20"/>
        </w:rPr>
        <w:t xml:space="preserve"> </w:t>
      </w:r>
      <w:r w:rsidRPr="00DF1884">
        <w:rPr>
          <w:szCs w:val="20"/>
        </w:rPr>
        <w:t>Health</w:t>
      </w:r>
      <w:r w:rsidR="00DF1884" w:rsidRPr="00DF1884">
        <w:rPr>
          <w:szCs w:val="20"/>
        </w:rPr>
        <w:t xml:space="preserve"> </w:t>
      </w:r>
      <w:r w:rsidRPr="00DF1884">
        <w:rPr>
          <w:szCs w:val="20"/>
        </w:rPr>
        <w:t>Statistics</w:t>
      </w:r>
      <w:r w:rsidR="00DF1884" w:rsidRPr="00DF1884">
        <w:rPr>
          <w:szCs w:val="20"/>
        </w:rPr>
        <w:t xml:space="preserve"> </w:t>
      </w:r>
      <w:r w:rsidRPr="00DF1884">
        <w:rPr>
          <w:szCs w:val="20"/>
        </w:rPr>
        <w:t>(NCHS).</w:t>
      </w:r>
      <w:r w:rsidR="00DF1884" w:rsidRPr="00DF1884">
        <w:rPr>
          <w:szCs w:val="20"/>
        </w:rPr>
        <w:t xml:space="preserve"> </w:t>
      </w:r>
      <w:r w:rsidRPr="00DF1884">
        <w:rPr>
          <w:szCs w:val="20"/>
        </w:rPr>
        <w:t>2014.</w:t>
      </w:r>
      <w:r w:rsidR="00DF1884" w:rsidRPr="00DF1884">
        <w:rPr>
          <w:szCs w:val="20"/>
        </w:rPr>
        <w:t xml:space="preserve"> </w:t>
      </w:r>
      <w:r w:rsidRPr="00DF1884">
        <w:rPr>
          <w:szCs w:val="20"/>
        </w:rPr>
        <w:t>Mortality</w:t>
      </w:r>
      <w:r w:rsidR="00DF1884" w:rsidRPr="00DF1884">
        <w:rPr>
          <w:szCs w:val="20"/>
        </w:rPr>
        <w:t xml:space="preserve"> </w:t>
      </w:r>
      <w:r w:rsidRPr="00DF1884">
        <w:rPr>
          <w:szCs w:val="20"/>
        </w:rPr>
        <w:t>multiple</w:t>
      </w:r>
      <w:r w:rsidR="00DF1884" w:rsidRPr="00DF1884">
        <w:rPr>
          <w:szCs w:val="20"/>
        </w:rPr>
        <w:t xml:space="preserve"> </w:t>
      </w:r>
      <w:r w:rsidRPr="00DF1884">
        <w:rPr>
          <w:szCs w:val="20"/>
        </w:rPr>
        <w:t>cause</w:t>
      </w:r>
      <w:r w:rsidR="00DF1884" w:rsidRPr="00DF1884">
        <w:rPr>
          <w:szCs w:val="20"/>
        </w:rPr>
        <w:t xml:space="preserve"> </w:t>
      </w:r>
      <w:r w:rsidRPr="00DF1884">
        <w:rPr>
          <w:szCs w:val="20"/>
        </w:rPr>
        <w:t>micro-data</w:t>
      </w:r>
      <w:r w:rsidR="00DF1884" w:rsidRPr="00DF1884">
        <w:rPr>
          <w:szCs w:val="20"/>
        </w:rPr>
        <w:t xml:space="preserve"> </w:t>
      </w:r>
      <w:r w:rsidRPr="00DF1884">
        <w:rPr>
          <w:szCs w:val="20"/>
        </w:rPr>
        <w:t>files,</w:t>
      </w:r>
      <w:r w:rsidR="00DF1884" w:rsidRPr="00DF1884">
        <w:rPr>
          <w:szCs w:val="20"/>
        </w:rPr>
        <w:t xml:space="preserve"> </w:t>
      </w:r>
      <w:r w:rsidRPr="00DF1884">
        <w:rPr>
          <w:szCs w:val="20"/>
        </w:rPr>
        <w:t>2011.</w:t>
      </w:r>
      <w:r w:rsidR="00DF1884" w:rsidRPr="00DF1884">
        <w:rPr>
          <w:szCs w:val="20"/>
        </w:rPr>
        <w:t xml:space="preserve"> </w:t>
      </w:r>
      <w:r w:rsidRPr="00DF1884">
        <w:rPr>
          <w:szCs w:val="20"/>
        </w:rPr>
        <w:t>Public-use</w:t>
      </w:r>
      <w:r w:rsidR="00DF1884" w:rsidRPr="00DF1884">
        <w:rPr>
          <w:szCs w:val="20"/>
        </w:rPr>
        <w:t xml:space="preserve"> </w:t>
      </w:r>
      <w:r w:rsidRPr="00DF1884">
        <w:rPr>
          <w:szCs w:val="20"/>
        </w:rPr>
        <w:t>data</w:t>
      </w:r>
      <w:r w:rsidR="00DF1884" w:rsidRPr="00DF1884">
        <w:rPr>
          <w:szCs w:val="20"/>
        </w:rPr>
        <w:t xml:space="preserve"> </w:t>
      </w:r>
      <w:r w:rsidRPr="00DF1884">
        <w:rPr>
          <w:szCs w:val="20"/>
        </w:rPr>
        <w:t>file</w:t>
      </w:r>
      <w:r w:rsidR="00DF1884" w:rsidRPr="00DF1884">
        <w:rPr>
          <w:szCs w:val="20"/>
        </w:rPr>
        <w:t xml:space="preserve"> </w:t>
      </w:r>
      <w:r w:rsidRPr="00DF1884">
        <w:rPr>
          <w:szCs w:val="20"/>
        </w:rPr>
        <w:t>and</w:t>
      </w:r>
      <w:r w:rsidR="00DF1884" w:rsidRPr="00DF1884">
        <w:rPr>
          <w:szCs w:val="20"/>
        </w:rPr>
        <w:t xml:space="preserve"> </w:t>
      </w:r>
      <w:r w:rsidRPr="00DF1884">
        <w:rPr>
          <w:szCs w:val="20"/>
        </w:rPr>
        <w:t>documentation.</w:t>
      </w:r>
      <w:r w:rsidR="00DF1884" w:rsidRPr="00DF1884">
        <w:rPr>
          <w:szCs w:val="20"/>
        </w:rPr>
        <w:t xml:space="preserve"> </w:t>
      </w:r>
      <w:r w:rsidRPr="00DF1884">
        <w:rPr>
          <w:szCs w:val="20"/>
        </w:rPr>
        <w:t>NHLBI</w:t>
      </w:r>
      <w:r w:rsidR="00DF1884" w:rsidRPr="00DF1884">
        <w:rPr>
          <w:szCs w:val="20"/>
        </w:rPr>
        <w:t xml:space="preserve"> </w:t>
      </w:r>
      <w:r w:rsidRPr="00DF1884">
        <w:rPr>
          <w:szCs w:val="20"/>
        </w:rPr>
        <w:t>tabulations.</w:t>
      </w:r>
      <w:r w:rsidR="00DF1884" w:rsidRPr="00DF1884">
        <w:rPr>
          <w:szCs w:val="20"/>
        </w:rPr>
        <w:t xml:space="preserve"> </w:t>
      </w:r>
      <w:hyperlink r:id="rId62" w:history="1">
        <w:r w:rsidRPr="00DF1884">
          <w:rPr>
            <w:rStyle w:val="Hyperlink"/>
            <w:color w:val="auto"/>
            <w:szCs w:val="20"/>
          </w:rPr>
          <w:t>http://www.cdc.gov/nchs/data_access/Vitalstatsonline.htm#Mortality_Multiple</w:t>
        </w:r>
      </w:hyperlink>
      <w:r w:rsidRPr="00DF1884">
        <w:rPr>
          <w:szCs w:val="20"/>
        </w:rPr>
        <w:t>.</w:t>
      </w:r>
      <w:r w:rsidR="00DF1884" w:rsidRPr="00DF1884">
        <w:rPr>
          <w:szCs w:val="20"/>
        </w:rPr>
        <w:t xml:space="preserve"> </w:t>
      </w:r>
      <w:r w:rsidRPr="00DF1884">
        <w:rPr>
          <w:szCs w:val="20"/>
        </w:rPr>
        <w:t>Accessed</w:t>
      </w:r>
      <w:r w:rsidR="00DF1884" w:rsidRPr="00DF1884">
        <w:rPr>
          <w:szCs w:val="20"/>
        </w:rPr>
        <w:t xml:space="preserve"> </w:t>
      </w:r>
      <w:r w:rsidRPr="00DF1884">
        <w:rPr>
          <w:szCs w:val="20"/>
        </w:rPr>
        <w:t>July</w:t>
      </w:r>
      <w:r w:rsidR="00DF1884" w:rsidRPr="00DF1884">
        <w:rPr>
          <w:szCs w:val="20"/>
        </w:rPr>
        <w:t xml:space="preserve"> </w:t>
      </w:r>
      <w:r w:rsidRPr="00DF1884">
        <w:rPr>
          <w:szCs w:val="20"/>
        </w:rPr>
        <w:t>3,</w:t>
      </w:r>
      <w:r w:rsidR="00DF1884" w:rsidRPr="00DF1884">
        <w:rPr>
          <w:szCs w:val="20"/>
        </w:rPr>
        <w:t xml:space="preserve"> </w:t>
      </w:r>
      <w:r w:rsidRPr="00DF1884">
        <w:rPr>
          <w:szCs w:val="20"/>
        </w:rPr>
        <w:t>2014.</w:t>
      </w:r>
    </w:p>
    <w:p w14:paraId="7ACF3611" w14:textId="26F74BCA" w:rsidR="005B5649" w:rsidRPr="00DF1884" w:rsidRDefault="005B5649" w:rsidP="005B5649">
      <w:pPr>
        <w:pStyle w:val="Body"/>
        <w:spacing w:before="0"/>
        <w:ind w:left="216" w:hanging="216"/>
        <w:rPr>
          <w:b/>
          <w:szCs w:val="20"/>
        </w:rPr>
      </w:pPr>
      <w:r w:rsidRPr="00DF1884">
        <w:rPr>
          <w:szCs w:val="20"/>
        </w:rPr>
        <w:t>Cholesterol</w:t>
      </w:r>
      <w:r w:rsidR="00DF1884" w:rsidRPr="00DF1884">
        <w:rPr>
          <w:szCs w:val="20"/>
        </w:rPr>
        <w:t xml:space="preserve"> </w:t>
      </w:r>
      <w:r w:rsidRPr="00DF1884">
        <w:rPr>
          <w:szCs w:val="20"/>
        </w:rPr>
        <w:t>Treatment</w:t>
      </w:r>
      <w:r w:rsidR="00DF1884" w:rsidRPr="00DF1884">
        <w:rPr>
          <w:szCs w:val="20"/>
        </w:rPr>
        <w:t xml:space="preserve"> </w:t>
      </w:r>
      <w:r w:rsidRPr="00DF1884">
        <w:rPr>
          <w:szCs w:val="20"/>
        </w:rPr>
        <w:t>Trialists’</w:t>
      </w:r>
      <w:r w:rsidR="00DF1884" w:rsidRPr="00DF1884">
        <w:rPr>
          <w:szCs w:val="20"/>
        </w:rPr>
        <w:t xml:space="preserve"> </w:t>
      </w:r>
      <w:r w:rsidRPr="00DF1884">
        <w:rPr>
          <w:szCs w:val="20"/>
        </w:rPr>
        <w:t>(CTT)</w:t>
      </w:r>
      <w:r w:rsidR="00DF1884" w:rsidRPr="00DF1884">
        <w:rPr>
          <w:szCs w:val="20"/>
        </w:rPr>
        <w:t xml:space="preserve"> </w:t>
      </w:r>
      <w:r w:rsidRPr="00DF1884">
        <w:rPr>
          <w:szCs w:val="20"/>
        </w:rPr>
        <w:t>Collaboration.</w:t>
      </w:r>
      <w:r w:rsidR="00DF1884" w:rsidRPr="00DF1884">
        <w:rPr>
          <w:szCs w:val="20"/>
        </w:rPr>
        <w:t xml:space="preserve"> </w:t>
      </w:r>
      <w:r w:rsidRPr="00DF1884">
        <w:rPr>
          <w:szCs w:val="20"/>
        </w:rPr>
        <w:t>2010.</w:t>
      </w:r>
      <w:r w:rsidR="00DF1884" w:rsidRPr="00DF1884">
        <w:rPr>
          <w:szCs w:val="20"/>
        </w:rPr>
        <w:t xml:space="preserve"> </w:t>
      </w:r>
      <w:r w:rsidRPr="00DF1884">
        <w:rPr>
          <w:szCs w:val="20"/>
        </w:rPr>
        <w:t>“Efficacy</w:t>
      </w:r>
      <w:r w:rsidR="00DF1884" w:rsidRPr="00DF1884">
        <w:rPr>
          <w:szCs w:val="20"/>
        </w:rPr>
        <w:t xml:space="preserve"> </w:t>
      </w:r>
      <w:r w:rsidRPr="00DF1884">
        <w:rPr>
          <w:szCs w:val="20"/>
        </w:rPr>
        <w:t>and</w:t>
      </w:r>
      <w:r w:rsidR="00DF1884" w:rsidRPr="00DF1884">
        <w:rPr>
          <w:szCs w:val="20"/>
        </w:rPr>
        <w:t xml:space="preserve"> </w:t>
      </w:r>
      <w:r w:rsidRPr="00DF1884">
        <w:rPr>
          <w:szCs w:val="20"/>
        </w:rPr>
        <w:t>safety</w:t>
      </w:r>
      <w:r w:rsidR="00DF1884" w:rsidRPr="00DF1884">
        <w:rPr>
          <w:szCs w:val="20"/>
        </w:rPr>
        <w:t xml:space="preserve"> </w:t>
      </w:r>
      <w:r w:rsidRPr="00DF1884">
        <w:rPr>
          <w:szCs w:val="20"/>
        </w:rPr>
        <w:t>of</w:t>
      </w:r>
      <w:r w:rsidR="00DF1884" w:rsidRPr="00DF1884">
        <w:rPr>
          <w:szCs w:val="20"/>
        </w:rPr>
        <w:t xml:space="preserve"> </w:t>
      </w:r>
      <w:r w:rsidRPr="00DF1884">
        <w:rPr>
          <w:szCs w:val="20"/>
        </w:rPr>
        <w:t>more</w:t>
      </w:r>
      <w:r w:rsidR="00DF1884" w:rsidRPr="00DF1884">
        <w:rPr>
          <w:szCs w:val="20"/>
        </w:rPr>
        <w:t xml:space="preserve"> </w:t>
      </w:r>
      <w:r w:rsidRPr="00DF1884">
        <w:rPr>
          <w:szCs w:val="20"/>
        </w:rPr>
        <w:t>intensive</w:t>
      </w:r>
      <w:r w:rsidR="00DF1884" w:rsidRPr="00DF1884">
        <w:rPr>
          <w:szCs w:val="20"/>
        </w:rPr>
        <w:t xml:space="preserve"> </w:t>
      </w:r>
      <w:r w:rsidRPr="00DF1884">
        <w:rPr>
          <w:szCs w:val="20"/>
        </w:rPr>
        <w:t>lowering</w:t>
      </w:r>
      <w:r w:rsidR="00DF1884" w:rsidRPr="00DF1884">
        <w:rPr>
          <w:szCs w:val="20"/>
        </w:rPr>
        <w:t xml:space="preserve"> </w:t>
      </w:r>
      <w:r w:rsidRPr="00DF1884">
        <w:rPr>
          <w:szCs w:val="20"/>
        </w:rPr>
        <w:t>of</w:t>
      </w:r>
      <w:r w:rsidR="00DF1884" w:rsidRPr="00DF1884">
        <w:rPr>
          <w:szCs w:val="20"/>
        </w:rPr>
        <w:t xml:space="preserve"> </w:t>
      </w:r>
      <w:r w:rsidRPr="00DF1884">
        <w:rPr>
          <w:szCs w:val="20"/>
        </w:rPr>
        <w:t>LDL</w:t>
      </w:r>
      <w:r w:rsidR="00DF1884" w:rsidRPr="00DF1884">
        <w:rPr>
          <w:szCs w:val="20"/>
        </w:rPr>
        <w:t xml:space="preserve"> </w:t>
      </w:r>
      <w:r w:rsidRPr="00DF1884">
        <w:rPr>
          <w:szCs w:val="20"/>
        </w:rPr>
        <w:t>cholesterol:</w:t>
      </w:r>
      <w:r w:rsidR="00DF1884" w:rsidRPr="00DF1884">
        <w:rPr>
          <w:szCs w:val="20"/>
        </w:rPr>
        <w:t xml:space="preserve"> </w:t>
      </w:r>
      <w:r w:rsidRPr="00DF1884">
        <w:rPr>
          <w:szCs w:val="20"/>
        </w:rPr>
        <w:t>a</w:t>
      </w:r>
      <w:r w:rsidR="00DF1884" w:rsidRPr="00DF1884">
        <w:rPr>
          <w:szCs w:val="20"/>
        </w:rPr>
        <w:t xml:space="preserve"> </w:t>
      </w:r>
      <w:r w:rsidRPr="00DF1884">
        <w:rPr>
          <w:szCs w:val="20"/>
        </w:rPr>
        <w:t>meta-analysis</w:t>
      </w:r>
      <w:r w:rsidR="00DF1884" w:rsidRPr="00DF1884">
        <w:rPr>
          <w:szCs w:val="20"/>
        </w:rPr>
        <w:t xml:space="preserve"> </w:t>
      </w:r>
      <w:r w:rsidRPr="00DF1884">
        <w:rPr>
          <w:szCs w:val="20"/>
        </w:rPr>
        <w:t>of</w:t>
      </w:r>
      <w:r w:rsidR="00DF1884" w:rsidRPr="00DF1884">
        <w:rPr>
          <w:szCs w:val="20"/>
        </w:rPr>
        <w:t xml:space="preserve"> </w:t>
      </w:r>
      <w:r w:rsidRPr="00DF1884">
        <w:rPr>
          <w:szCs w:val="20"/>
        </w:rPr>
        <w:t>data</w:t>
      </w:r>
      <w:r w:rsidR="00DF1884" w:rsidRPr="00DF1884">
        <w:rPr>
          <w:szCs w:val="20"/>
        </w:rPr>
        <w:t xml:space="preserve"> </w:t>
      </w:r>
      <w:r w:rsidRPr="00DF1884">
        <w:rPr>
          <w:szCs w:val="20"/>
        </w:rPr>
        <w:t>from</w:t>
      </w:r>
      <w:r w:rsidR="00DF1884" w:rsidRPr="00DF1884">
        <w:rPr>
          <w:szCs w:val="20"/>
        </w:rPr>
        <w:t xml:space="preserve"> </w:t>
      </w:r>
      <w:r w:rsidRPr="00DF1884">
        <w:rPr>
          <w:szCs w:val="20"/>
        </w:rPr>
        <w:t>170,000</w:t>
      </w:r>
      <w:r w:rsidR="00DF1884" w:rsidRPr="00DF1884">
        <w:rPr>
          <w:szCs w:val="20"/>
        </w:rPr>
        <w:t xml:space="preserve"> </w:t>
      </w:r>
      <w:r w:rsidRPr="00DF1884">
        <w:rPr>
          <w:szCs w:val="20"/>
        </w:rPr>
        <w:t>participants</w:t>
      </w:r>
      <w:r w:rsidR="00DF1884" w:rsidRPr="00DF1884">
        <w:rPr>
          <w:szCs w:val="20"/>
        </w:rPr>
        <w:t xml:space="preserve"> </w:t>
      </w:r>
      <w:r w:rsidRPr="00DF1884">
        <w:rPr>
          <w:szCs w:val="20"/>
        </w:rPr>
        <w:t>in</w:t>
      </w:r>
      <w:r w:rsidR="00DF1884" w:rsidRPr="00DF1884">
        <w:rPr>
          <w:szCs w:val="20"/>
        </w:rPr>
        <w:t xml:space="preserve"> </w:t>
      </w:r>
      <w:r w:rsidRPr="00DF1884">
        <w:rPr>
          <w:szCs w:val="20"/>
        </w:rPr>
        <w:t>26</w:t>
      </w:r>
      <w:r w:rsidR="00DF1884" w:rsidRPr="00DF1884">
        <w:rPr>
          <w:szCs w:val="20"/>
        </w:rPr>
        <w:t xml:space="preserve"> </w:t>
      </w:r>
      <w:r w:rsidRPr="00DF1884">
        <w:rPr>
          <w:szCs w:val="20"/>
        </w:rPr>
        <w:t>randomised</w:t>
      </w:r>
      <w:r w:rsidR="00DF1884" w:rsidRPr="00DF1884">
        <w:rPr>
          <w:szCs w:val="20"/>
        </w:rPr>
        <w:t xml:space="preserve"> </w:t>
      </w:r>
      <w:r w:rsidRPr="00DF1884">
        <w:rPr>
          <w:szCs w:val="20"/>
        </w:rPr>
        <w:t>trials.”</w:t>
      </w:r>
      <w:r w:rsidR="00DF1884" w:rsidRPr="00DF1884">
        <w:rPr>
          <w:i/>
          <w:szCs w:val="20"/>
        </w:rPr>
        <w:t xml:space="preserve"> </w:t>
      </w:r>
      <w:r w:rsidRPr="00DF1884">
        <w:rPr>
          <w:i/>
          <w:szCs w:val="20"/>
        </w:rPr>
        <w:t>Lancet</w:t>
      </w:r>
      <w:r w:rsidR="00DF1884" w:rsidRPr="00DF1884">
        <w:rPr>
          <w:i/>
          <w:szCs w:val="20"/>
        </w:rPr>
        <w:t xml:space="preserve"> </w:t>
      </w:r>
      <w:r w:rsidRPr="00DF1884">
        <w:rPr>
          <w:szCs w:val="20"/>
        </w:rPr>
        <w:t>376(9753):1670-1681.</w:t>
      </w:r>
      <w:r w:rsidR="00DF1884" w:rsidRPr="00DF1884">
        <w:rPr>
          <w:szCs w:val="20"/>
        </w:rPr>
        <w:t xml:space="preserve"> </w:t>
      </w:r>
      <w:r w:rsidRPr="00DF1884">
        <w:rPr>
          <w:szCs w:val="20"/>
        </w:rPr>
        <w:t>doi:10.1016/S0140-6736(10)61350</w:t>
      </w:r>
      <w:r w:rsidR="00F03166" w:rsidRPr="00DF1884">
        <w:rPr>
          <w:szCs w:val="20"/>
        </w:rPr>
        <w:t>–</w:t>
      </w:r>
      <w:r w:rsidRPr="00DF1884">
        <w:rPr>
          <w:szCs w:val="20"/>
        </w:rPr>
        <w:t>5.</w:t>
      </w:r>
    </w:p>
    <w:p w14:paraId="7A5A2594" w14:textId="01092359" w:rsidR="005B5649" w:rsidRPr="00DF1884" w:rsidRDefault="005B5649" w:rsidP="005B5649">
      <w:pPr>
        <w:pStyle w:val="Body"/>
        <w:spacing w:before="0"/>
        <w:ind w:left="216" w:hanging="216"/>
        <w:rPr>
          <w:b/>
          <w:szCs w:val="20"/>
        </w:rPr>
      </w:pPr>
      <w:r w:rsidRPr="00DF1884">
        <w:rPr>
          <w:szCs w:val="20"/>
        </w:rPr>
        <w:t>Choudhry,</w:t>
      </w:r>
      <w:r w:rsidR="00DF1884" w:rsidRPr="00DF1884">
        <w:rPr>
          <w:szCs w:val="20"/>
        </w:rPr>
        <w:t xml:space="preserve"> </w:t>
      </w:r>
      <w:r w:rsidRPr="00DF1884">
        <w:rPr>
          <w:szCs w:val="20"/>
        </w:rPr>
        <w:t>N.K.,</w:t>
      </w:r>
      <w:r w:rsidR="00DF1884" w:rsidRPr="00DF1884">
        <w:rPr>
          <w:szCs w:val="20"/>
        </w:rPr>
        <w:t xml:space="preserve"> </w:t>
      </w:r>
      <w:r w:rsidRPr="00DF1884">
        <w:rPr>
          <w:szCs w:val="20"/>
        </w:rPr>
        <w:t>J.</w:t>
      </w:r>
      <w:r w:rsidR="00DF1884" w:rsidRPr="00DF1884">
        <w:rPr>
          <w:szCs w:val="20"/>
        </w:rPr>
        <w:t xml:space="preserve"> </w:t>
      </w:r>
      <w:r w:rsidRPr="00DF1884">
        <w:rPr>
          <w:szCs w:val="20"/>
        </w:rPr>
        <w:t>Avorn,</w:t>
      </w:r>
      <w:r w:rsidR="00DF1884" w:rsidRPr="00DF1884">
        <w:rPr>
          <w:szCs w:val="20"/>
        </w:rPr>
        <w:t xml:space="preserve"> </w:t>
      </w:r>
      <w:r w:rsidRPr="00DF1884">
        <w:rPr>
          <w:szCs w:val="20"/>
        </w:rPr>
        <w:t>R.J.</w:t>
      </w:r>
      <w:r w:rsidR="00DF1884" w:rsidRPr="00DF1884">
        <w:rPr>
          <w:szCs w:val="20"/>
        </w:rPr>
        <w:t xml:space="preserve"> </w:t>
      </w:r>
      <w:r w:rsidRPr="00DF1884">
        <w:rPr>
          <w:szCs w:val="20"/>
        </w:rPr>
        <w:t>Glynn,</w:t>
      </w:r>
      <w:r w:rsidR="00DF1884" w:rsidRPr="00DF1884">
        <w:rPr>
          <w:szCs w:val="20"/>
        </w:rPr>
        <w:t xml:space="preserve"> </w:t>
      </w:r>
      <w:r w:rsidRPr="00DF1884">
        <w:rPr>
          <w:szCs w:val="20"/>
        </w:rPr>
        <w:t>et</w:t>
      </w:r>
      <w:r w:rsidR="00DF1884" w:rsidRPr="00DF1884">
        <w:rPr>
          <w:szCs w:val="20"/>
        </w:rPr>
        <w:t xml:space="preserve"> </w:t>
      </w:r>
      <w:r w:rsidRPr="00DF1884">
        <w:rPr>
          <w:szCs w:val="20"/>
        </w:rPr>
        <w:t>al.</w:t>
      </w:r>
      <w:r w:rsidR="00DF1884" w:rsidRPr="00DF1884">
        <w:rPr>
          <w:szCs w:val="20"/>
        </w:rPr>
        <w:t xml:space="preserve"> </w:t>
      </w:r>
      <w:r w:rsidRPr="00DF1884">
        <w:rPr>
          <w:szCs w:val="20"/>
        </w:rPr>
        <w:t>2011.</w:t>
      </w:r>
      <w:r w:rsidR="00DF1884" w:rsidRPr="00DF1884">
        <w:rPr>
          <w:szCs w:val="20"/>
        </w:rPr>
        <w:t xml:space="preserve"> </w:t>
      </w:r>
      <w:r w:rsidRPr="00DF1884">
        <w:rPr>
          <w:szCs w:val="20"/>
        </w:rPr>
        <w:t>“Full</w:t>
      </w:r>
      <w:r w:rsidR="00DF1884" w:rsidRPr="00DF1884">
        <w:rPr>
          <w:szCs w:val="20"/>
        </w:rPr>
        <w:t xml:space="preserve"> </w:t>
      </w:r>
      <w:r w:rsidRPr="00DF1884">
        <w:rPr>
          <w:szCs w:val="20"/>
        </w:rPr>
        <w:t>coverage</w:t>
      </w:r>
      <w:r w:rsidR="00DF1884" w:rsidRPr="00DF1884">
        <w:rPr>
          <w:szCs w:val="20"/>
        </w:rPr>
        <w:t xml:space="preserve"> </w:t>
      </w:r>
      <w:r w:rsidRPr="00DF1884">
        <w:rPr>
          <w:szCs w:val="20"/>
        </w:rPr>
        <w:t>for</w:t>
      </w:r>
      <w:r w:rsidR="00DF1884" w:rsidRPr="00DF1884">
        <w:rPr>
          <w:szCs w:val="20"/>
        </w:rPr>
        <w:t xml:space="preserve"> </w:t>
      </w:r>
      <w:r w:rsidRPr="00DF1884">
        <w:rPr>
          <w:szCs w:val="20"/>
        </w:rPr>
        <w:t>preventive</w:t>
      </w:r>
      <w:r w:rsidR="00DF1884" w:rsidRPr="00DF1884">
        <w:rPr>
          <w:szCs w:val="20"/>
        </w:rPr>
        <w:t xml:space="preserve"> </w:t>
      </w:r>
      <w:r w:rsidRPr="00DF1884">
        <w:rPr>
          <w:szCs w:val="20"/>
        </w:rPr>
        <w:t>medications</w:t>
      </w:r>
      <w:r w:rsidR="00DF1884" w:rsidRPr="00DF1884">
        <w:rPr>
          <w:szCs w:val="20"/>
        </w:rPr>
        <w:t xml:space="preserve"> </w:t>
      </w:r>
      <w:r w:rsidRPr="00DF1884">
        <w:rPr>
          <w:szCs w:val="20"/>
        </w:rPr>
        <w:t>after</w:t>
      </w:r>
      <w:r w:rsidR="00DF1884" w:rsidRPr="00DF1884">
        <w:rPr>
          <w:szCs w:val="20"/>
        </w:rPr>
        <w:t xml:space="preserve"> </w:t>
      </w:r>
      <w:r w:rsidRPr="00DF1884">
        <w:rPr>
          <w:szCs w:val="20"/>
        </w:rPr>
        <w:t>myocardial</w:t>
      </w:r>
      <w:r w:rsidR="00DF1884" w:rsidRPr="00DF1884">
        <w:rPr>
          <w:szCs w:val="20"/>
        </w:rPr>
        <w:t xml:space="preserve"> </w:t>
      </w:r>
      <w:r w:rsidRPr="00DF1884">
        <w:rPr>
          <w:szCs w:val="20"/>
        </w:rPr>
        <w:t>infarction.</w:t>
      </w:r>
      <w:r w:rsidR="00F03166" w:rsidRPr="00DF1884">
        <w:rPr>
          <w:szCs w:val="20"/>
        </w:rPr>
        <w:t>”</w:t>
      </w:r>
      <w:r w:rsidR="00DF1884" w:rsidRPr="00DF1884">
        <w:rPr>
          <w:szCs w:val="20"/>
        </w:rPr>
        <w:t xml:space="preserve"> </w:t>
      </w:r>
      <w:r w:rsidRPr="00DF1884">
        <w:rPr>
          <w:i/>
          <w:szCs w:val="20"/>
        </w:rPr>
        <w:t>New</w:t>
      </w:r>
      <w:r w:rsidR="00DF1884" w:rsidRPr="00DF1884">
        <w:rPr>
          <w:i/>
          <w:szCs w:val="20"/>
        </w:rPr>
        <w:t xml:space="preserve"> </w:t>
      </w:r>
      <w:r w:rsidRPr="00DF1884">
        <w:rPr>
          <w:i/>
          <w:szCs w:val="20"/>
        </w:rPr>
        <w:t>England</w:t>
      </w:r>
      <w:r w:rsidR="00DF1884" w:rsidRPr="00DF1884">
        <w:rPr>
          <w:i/>
          <w:szCs w:val="20"/>
        </w:rPr>
        <w:t xml:space="preserve"> </w:t>
      </w:r>
      <w:r w:rsidRPr="00DF1884">
        <w:rPr>
          <w:i/>
          <w:szCs w:val="20"/>
        </w:rPr>
        <w:t>Journal</w:t>
      </w:r>
      <w:r w:rsidR="00DF1884" w:rsidRPr="00DF1884">
        <w:rPr>
          <w:i/>
          <w:szCs w:val="20"/>
        </w:rPr>
        <w:t xml:space="preserve"> </w:t>
      </w:r>
      <w:r w:rsidRPr="00DF1884">
        <w:rPr>
          <w:i/>
          <w:szCs w:val="20"/>
        </w:rPr>
        <w:t>of</w:t>
      </w:r>
      <w:r w:rsidR="00DF1884" w:rsidRPr="00DF1884">
        <w:rPr>
          <w:i/>
          <w:szCs w:val="20"/>
        </w:rPr>
        <w:t xml:space="preserve"> </w:t>
      </w:r>
      <w:r w:rsidRPr="00DF1884">
        <w:rPr>
          <w:i/>
          <w:szCs w:val="20"/>
        </w:rPr>
        <w:t>Medicine.</w:t>
      </w:r>
      <w:r w:rsidR="00DF1884" w:rsidRPr="00DF1884">
        <w:rPr>
          <w:szCs w:val="20"/>
        </w:rPr>
        <w:t xml:space="preserve"> </w:t>
      </w:r>
      <w:r w:rsidRPr="00DF1884">
        <w:rPr>
          <w:szCs w:val="20"/>
        </w:rPr>
        <w:t>365(22):2088</w:t>
      </w:r>
      <w:r w:rsidR="00F03166" w:rsidRPr="00DF1884">
        <w:rPr>
          <w:szCs w:val="20"/>
        </w:rPr>
        <w:t>–</w:t>
      </w:r>
      <w:r w:rsidRPr="00DF1884">
        <w:rPr>
          <w:szCs w:val="20"/>
        </w:rPr>
        <w:t>97.</w:t>
      </w:r>
    </w:p>
    <w:p w14:paraId="6F60A542" w14:textId="25DA6778" w:rsidR="005B5649" w:rsidRPr="00DF1884" w:rsidRDefault="005B5649" w:rsidP="005B5649">
      <w:pPr>
        <w:pStyle w:val="Body"/>
        <w:spacing w:before="0"/>
        <w:ind w:left="216" w:hanging="216"/>
        <w:rPr>
          <w:rStyle w:val="Hyperlink"/>
          <w:rFonts w:cs="Arial"/>
          <w:b/>
          <w:color w:val="auto"/>
          <w:szCs w:val="20"/>
        </w:rPr>
      </w:pPr>
      <w:r w:rsidRPr="00DF1884">
        <w:rPr>
          <w:szCs w:val="20"/>
        </w:rPr>
        <w:t>Consumer</w:t>
      </w:r>
      <w:r w:rsidR="00DF1884" w:rsidRPr="00DF1884">
        <w:rPr>
          <w:szCs w:val="20"/>
        </w:rPr>
        <w:t xml:space="preserve"> </w:t>
      </w:r>
      <w:r w:rsidRPr="00DF1884">
        <w:rPr>
          <w:szCs w:val="20"/>
        </w:rPr>
        <w:t>Reports.</w:t>
      </w:r>
      <w:r w:rsidR="00DF1884" w:rsidRPr="00DF1884">
        <w:rPr>
          <w:szCs w:val="20"/>
        </w:rPr>
        <w:t xml:space="preserve"> </w:t>
      </w:r>
      <w:r w:rsidRPr="00DF1884">
        <w:rPr>
          <w:szCs w:val="20"/>
        </w:rPr>
        <w:t>2014.</w:t>
      </w:r>
      <w:r w:rsidR="00DF1884" w:rsidRPr="00DF1884">
        <w:rPr>
          <w:szCs w:val="20"/>
        </w:rPr>
        <w:t xml:space="preserve"> </w:t>
      </w:r>
      <w:r w:rsidRPr="00DF1884">
        <w:rPr>
          <w:szCs w:val="20"/>
        </w:rPr>
        <w:t>“Are</w:t>
      </w:r>
      <w:r w:rsidR="00DF1884" w:rsidRPr="00DF1884">
        <w:rPr>
          <w:szCs w:val="20"/>
        </w:rPr>
        <w:t xml:space="preserve"> </w:t>
      </w:r>
      <w:r w:rsidRPr="00DF1884">
        <w:rPr>
          <w:szCs w:val="20"/>
        </w:rPr>
        <w:t>you</w:t>
      </w:r>
      <w:r w:rsidR="00DF1884" w:rsidRPr="00DF1884">
        <w:rPr>
          <w:szCs w:val="20"/>
        </w:rPr>
        <w:t xml:space="preserve"> </w:t>
      </w:r>
      <w:r w:rsidRPr="00DF1884">
        <w:rPr>
          <w:szCs w:val="20"/>
        </w:rPr>
        <w:t>taking</w:t>
      </w:r>
      <w:r w:rsidR="00DF1884" w:rsidRPr="00DF1884">
        <w:rPr>
          <w:szCs w:val="20"/>
        </w:rPr>
        <w:t xml:space="preserve"> </w:t>
      </w:r>
      <w:r w:rsidRPr="00DF1884">
        <w:rPr>
          <w:szCs w:val="20"/>
        </w:rPr>
        <w:t>the</w:t>
      </w:r>
      <w:r w:rsidR="00DF1884" w:rsidRPr="00DF1884">
        <w:rPr>
          <w:szCs w:val="20"/>
        </w:rPr>
        <w:t xml:space="preserve"> </w:t>
      </w:r>
      <w:r w:rsidRPr="00DF1884">
        <w:rPr>
          <w:szCs w:val="20"/>
        </w:rPr>
        <w:t>right</w:t>
      </w:r>
      <w:r w:rsidR="00DF1884" w:rsidRPr="00DF1884">
        <w:rPr>
          <w:szCs w:val="20"/>
        </w:rPr>
        <w:t xml:space="preserve"> </w:t>
      </w:r>
      <w:r w:rsidRPr="00DF1884">
        <w:rPr>
          <w:szCs w:val="20"/>
        </w:rPr>
        <w:t>treatment</w:t>
      </w:r>
      <w:r w:rsidR="00DF1884" w:rsidRPr="00DF1884">
        <w:rPr>
          <w:szCs w:val="20"/>
        </w:rPr>
        <w:t xml:space="preserve"> </w:t>
      </w:r>
      <w:r w:rsidRPr="00DF1884">
        <w:rPr>
          <w:szCs w:val="20"/>
        </w:rPr>
        <w:t>for</w:t>
      </w:r>
      <w:r w:rsidR="00DF1884" w:rsidRPr="00DF1884">
        <w:rPr>
          <w:szCs w:val="20"/>
        </w:rPr>
        <w:t xml:space="preserve"> </w:t>
      </w:r>
      <w:r w:rsidRPr="00DF1884">
        <w:rPr>
          <w:szCs w:val="20"/>
        </w:rPr>
        <w:t>your</w:t>
      </w:r>
      <w:r w:rsidR="00DF1884" w:rsidRPr="00DF1884">
        <w:rPr>
          <w:szCs w:val="20"/>
        </w:rPr>
        <w:t xml:space="preserve"> </w:t>
      </w:r>
      <w:r w:rsidRPr="00DF1884">
        <w:rPr>
          <w:szCs w:val="20"/>
        </w:rPr>
        <w:t>high</w:t>
      </w:r>
      <w:r w:rsidR="00DF1884" w:rsidRPr="00DF1884">
        <w:rPr>
          <w:szCs w:val="20"/>
        </w:rPr>
        <w:t xml:space="preserve"> </w:t>
      </w:r>
      <w:r w:rsidRPr="00DF1884">
        <w:rPr>
          <w:szCs w:val="20"/>
        </w:rPr>
        <w:t>cholesterol?”</w:t>
      </w:r>
      <w:r w:rsidR="00DF1884" w:rsidRPr="00DF1884">
        <w:rPr>
          <w:szCs w:val="20"/>
        </w:rPr>
        <w:t xml:space="preserve"> </w:t>
      </w:r>
      <w:r w:rsidRPr="00DF1884">
        <w:rPr>
          <w:szCs w:val="20"/>
        </w:rPr>
        <w:t>March.</w:t>
      </w:r>
      <w:r w:rsidR="00DF1884" w:rsidRPr="00DF1884">
        <w:rPr>
          <w:szCs w:val="20"/>
        </w:rPr>
        <w:t xml:space="preserve"> </w:t>
      </w:r>
      <w:hyperlink r:id="rId63" w:history="1">
        <w:r w:rsidRPr="00DF1884">
          <w:rPr>
            <w:rStyle w:val="Hyperlink"/>
            <w:rFonts w:cs="Arial"/>
            <w:color w:val="auto"/>
            <w:szCs w:val="20"/>
          </w:rPr>
          <w:t>http://www.consumerreports.org/cro/2014/03/treating-high-cholesterol-with-statins/index.htm</w:t>
        </w:r>
      </w:hyperlink>
    </w:p>
    <w:p w14:paraId="69B0D6FA" w14:textId="1D72A104" w:rsidR="005B5649" w:rsidRPr="00DF1884" w:rsidRDefault="005B5649" w:rsidP="005B5649">
      <w:pPr>
        <w:pStyle w:val="Body"/>
        <w:spacing w:before="0"/>
        <w:ind w:left="216" w:hanging="216"/>
        <w:rPr>
          <w:rFonts w:cs="Arial"/>
          <w:szCs w:val="20"/>
        </w:rPr>
      </w:pPr>
      <w:r w:rsidRPr="00DF1884">
        <w:rPr>
          <w:rFonts w:cs="Arial"/>
          <w:szCs w:val="20"/>
        </w:rPr>
        <w:t>Eraso,</w:t>
      </w:r>
      <w:r w:rsidR="00DF1884" w:rsidRPr="00DF1884">
        <w:rPr>
          <w:rFonts w:cs="Arial"/>
          <w:szCs w:val="20"/>
        </w:rPr>
        <w:t xml:space="preserve"> </w:t>
      </w:r>
      <w:r w:rsidRPr="00DF1884">
        <w:rPr>
          <w:rFonts w:cs="Arial"/>
          <w:szCs w:val="20"/>
        </w:rPr>
        <w:t>L.H.,</w:t>
      </w:r>
      <w:r w:rsidR="00DF1884" w:rsidRPr="00DF1884">
        <w:rPr>
          <w:rFonts w:cs="Arial"/>
          <w:szCs w:val="20"/>
        </w:rPr>
        <w:t xml:space="preserve"> </w:t>
      </w:r>
      <w:r w:rsidRPr="00DF1884">
        <w:rPr>
          <w:rFonts w:cs="Arial"/>
          <w:szCs w:val="20"/>
        </w:rPr>
        <w:t>E.</w:t>
      </w:r>
      <w:r w:rsidR="00DF1884" w:rsidRPr="00DF1884">
        <w:rPr>
          <w:rFonts w:cs="Arial"/>
          <w:szCs w:val="20"/>
        </w:rPr>
        <w:t xml:space="preserve"> </w:t>
      </w:r>
      <w:r w:rsidRPr="00DF1884">
        <w:rPr>
          <w:rFonts w:cs="Arial"/>
          <w:szCs w:val="20"/>
        </w:rPr>
        <w:t>Fukaya,</w:t>
      </w:r>
      <w:r w:rsidR="00DF1884" w:rsidRPr="00DF1884">
        <w:rPr>
          <w:rFonts w:cs="Arial"/>
          <w:szCs w:val="20"/>
        </w:rPr>
        <w:t xml:space="preserve"> </w:t>
      </w:r>
      <w:r w:rsidRPr="00DF1884">
        <w:rPr>
          <w:rFonts w:cs="Arial"/>
          <w:szCs w:val="20"/>
        </w:rPr>
        <w:t>E.R.</w:t>
      </w:r>
      <w:r w:rsidR="00DF1884" w:rsidRPr="00DF1884">
        <w:rPr>
          <w:rFonts w:cs="Arial"/>
          <w:szCs w:val="20"/>
        </w:rPr>
        <w:t xml:space="preserve"> </w:t>
      </w:r>
      <w:r w:rsidRPr="00DF1884">
        <w:rPr>
          <w:rFonts w:cs="Arial"/>
          <w:szCs w:val="20"/>
        </w:rPr>
        <w:t>Mohler</w:t>
      </w:r>
      <w:r w:rsidR="00DF1884" w:rsidRPr="00DF1884">
        <w:rPr>
          <w:rFonts w:cs="Arial"/>
          <w:szCs w:val="20"/>
        </w:rPr>
        <w:t xml:space="preserve"> </w:t>
      </w:r>
      <w:r w:rsidRPr="00DF1884">
        <w:rPr>
          <w:rFonts w:cs="Arial"/>
          <w:szCs w:val="20"/>
        </w:rPr>
        <w:t>3rd,</w:t>
      </w:r>
      <w:r w:rsidR="00DF1884" w:rsidRPr="00DF1884">
        <w:rPr>
          <w:rFonts w:cs="Arial"/>
          <w:szCs w:val="20"/>
        </w:rPr>
        <w:t xml:space="preserve"> </w:t>
      </w:r>
      <w:r w:rsidRPr="00DF1884">
        <w:rPr>
          <w:rFonts w:cs="Arial"/>
          <w:szCs w:val="20"/>
        </w:rPr>
        <w:t>et</w:t>
      </w:r>
      <w:r w:rsidR="00DF1884" w:rsidRPr="00DF1884">
        <w:rPr>
          <w:rFonts w:cs="Arial"/>
          <w:szCs w:val="20"/>
        </w:rPr>
        <w:t xml:space="preserve"> </w:t>
      </w:r>
      <w:r w:rsidRPr="00DF1884">
        <w:rPr>
          <w:rFonts w:cs="Arial"/>
          <w:szCs w:val="20"/>
        </w:rPr>
        <w:t>al.</w:t>
      </w:r>
      <w:r w:rsidR="00DF1884" w:rsidRPr="00DF1884">
        <w:rPr>
          <w:rFonts w:cs="Arial"/>
          <w:szCs w:val="20"/>
        </w:rPr>
        <w:t xml:space="preserve"> </w:t>
      </w:r>
      <w:r w:rsidRPr="00DF1884">
        <w:rPr>
          <w:rFonts w:cs="Arial"/>
          <w:szCs w:val="20"/>
        </w:rPr>
        <w:t>2012.</w:t>
      </w:r>
      <w:r w:rsidR="00DF1884" w:rsidRPr="00DF1884">
        <w:rPr>
          <w:rFonts w:cs="Arial"/>
          <w:szCs w:val="20"/>
        </w:rPr>
        <w:t xml:space="preserve"> </w:t>
      </w:r>
      <w:r w:rsidRPr="00DF1884">
        <w:rPr>
          <w:rFonts w:cs="Arial"/>
          <w:szCs w:val="20"/>
        </w:rPr>
        <w:t>“Peripheral</w:t>
      </w:r>
      <w:r w:rsidR="00DF1884" w:rsidRPr="00DF1884">
        <w:rPr>
          <w:rFonts w:cs="Arial"/>
          <w:szCs w:val="20"/>
        </w:rPr>
        <w:t xml:space="preserve"> </w:t>
      </w:r>
      <w:r w:rsidRPr="00DF1884">
        <w:rPr>
          <w:rFonts w:cs="Arial"/>
          <w:szCs w:val="20"/>
        </w:rPr>
        <w:t>arterial</w:t>
      </w:r>
      <w:r w:rsidR="00DF1884" w:rsidRPr="00DF1884">
        <w:rPr>
          <w:rFonts w:cs="Arial"/>
          <w:szCs w:val="20"/>
        </w:rPr>
        <w:t xml:space="preserve"> </w:t>
      </w:r>
      <w:r w:rsidRPr="00DF1884">
        <w:rPr>
          <w:rFonts w:cs="Arial"/>
          <w:szCs w:val="20"/>
        </w:rPr>
        <w:t>disease,</w:t>
      </w:r>
      <w:r w:rsidR="00DF1884" w:rsidRPr="00DF1884">
        <w:rPr>
          <w:rFonts w:cs="Arial"/>
          <w:szCs w:val="20"/>
        </w:rPr>
        <w:t xml:space="preserve"> </w:t>
      </w:r>
      <w:r w:rsidRPr="00DF1884">
        <w:rPr>
          <w:rFonts w:cs="Arial"/>
          <w:szCs w:val="20"/>
        </w:rPr>
        <w:t>prevalence</w:t>
      </w:r>
      <w:r w:rsidR="00DF1884" w:rsidRPr="00DF1884">
        <w:rPr>
          <w:rFonts w:cs="Arial"/>
          <w:szCs w:val="20"/>
        </w:rPr>
        <w:t xml:space="preserve"> </w:t>
      </w:r>
      <w:r w:rsidRPr="00DF1884">
        <w:rPr>
          <w:rFonts w:cs="Arial"/>
          <w:szCs w:val="20"/>
        </w:rPr>
        <w:t>and</w:t>
      </w:r>
      <w:r w:rsidR="00DF1884" w:rsidRPr="00DF1884">
        <w:rPr>
          <w:rFonts w:cs="Arial"/>
          <w:szCs w:val="20"/>
        </w:rPr>
        <w:t xml:space="preserve"> </w:t>
      </w:r>
      <w:r w:rsidRPr="00DF1884">
        <w:rPr>
          <w:rFonts w:cs="Arial"/>
          <w:szCs w:val="20"/>
        </w:rPr>
        <w:t>cumulative</w:t>
      </w:r>
      <w:r w:rsidR="00DF1884" w:rsidRPr="00DF1884">
        <w:rPr>
          <w:rFonts w:cs="Arial"/>
          <w:szCs w:val="20"/>
        </w:rPr>
        <w:t xml:space="preserve"> </w:t>
      </w:r>
      <w:r w:rsidRPr="00DF1884">
        <w:rPr>
          <w:rFonts w:cs="Arial"/>
          <w:szCs w:val="20"/>
        </w:rPr>
        <w:t>risk</w:t>
      </w:r>
      <w:r w:rsidR="00DF1884" w:rsidRPr="00DF1884">
        <w:rPr>
          <w:rFonts w:cs="Arial"/>
          <w:szCs w:val="20"/>
        </w:rPr>
        <w:t xml:space="preserve"> </w:t>
      </w:r>
      <w:r w:rsidRPr="00DF1884">
        <w:rPr>
          <w:rFonts w:cs="Arial"/>
          <w:szCs w:val="20"/>
        </w:rPr>
        <w:t>factor</w:t>
      </w:r>
      <w:r w:rsidR="00DF1884" w:rsidRPr="00DF1884">
        <w:rPr>
          <w:rFonts w:cs="Arial"/>
          <w:szCs w:val="20"/>
        </w:rPr>
        <w:t xml:space="preserve"> </w:t>
      </w:r>
      <w:r w:rsidRPr="00DF1884">
        <w:rPr>
          <w:rFonts w:cs="Arial"/>
          <w:szCs w:val="20"/>
        </w:rPr>
        <w:t>profile</w:t>
      </w:r>
      <w:r w:rsidR="00DF1884" w:rsidRPr="00DF1884">
        <w:rPr>
          <w:rFonts w:cs="Arial"/>
          <w:szCs w:val="20"/>
        </w:rPr>
        <w:t xml:space="preserve"> </w:t>
      </w:r>
      <w:r w:rsidRPr="00DF1884">
        <w:rPr>
          <w:rFonts w:cs="Arial"/>
          <w:szCs w:val="20"/>
        </w:rPr>
        <w:t>analysis.”</w:t>
      </w:r>
      <w:r w:rsidR="00DF1884" w:rsidRPr="00DF1884">
        <w:rPr>
          <w:rFonts w:cs="Arial"/>
          <w:szCs w:val="20"/>
        </w:rPr>
        <w:t xml:space="preserve"> </w:t>
      </w:r>
      <w:r w:rsidRPr="00DF1884">
        <w:rPr>
          <w:rFonts w:cs="Arial"/>
          <w:i/>
          <w:szCs w:val="20"/>
        </w:rPr>
        <w:t>Eur</w:t>
      </w:r>
      <w:r w:rsidR="00DF1884" w:rsidRPr="00DF1884">
        <w:rPr>
          <w:rFonts w:cs="Arial"/>
          <w:i/>
          <w:szCs w:val="20"/>
        </w:rPr>
        <w:t xml:space="preserve"> </w:t>
      </w:r>
      <w:r w:rsidRPr="00DF1884">
        <w:rPr>
          <w:rFonts w:cs="Arial"/>
          <w:i/>
          <w:szCs w:val="20"/>
        </w:rPr>
        <w:t>J</w:t>
      </w:r>
      <w:r w:rsidR="00DF1884" w:rsidRPr="00DF1884">
        <w:rPr>
          <w:rFonts w:cs="Arial"/>
          <w:i/>
          <w:szCs w:val="20"/>
        </w:rPr>
        <w:t xml:space="preserve"> </w:t>
      </w:r>
      <w:r w:rsidRPr="00DF1884">
        <w:rPr>
          <w:rFonts w:cs="Arial"/>
          <w:i/>
          <w:szCs w:val="20"/>
        </w:rPr>
        <w:t>Prev</w:t>
      </w:r>
      <w:r w:rsidR="00DF1884" w:rsidRPr="00DF1884">
        <w:rPr>
          <w:rFonts w:cs="Arial"/>
          <w:i/>
          <w:szCs w:val="20"/>
        </w:rPr>
        <w:t xml:space="preserve"> </w:t>
      </w:r>
      <w:r w:rsidRPr="00DF1884">
        <w:rPr>
          <w:rFonts w:cs="Arial"/>
          <w:i/>
          <w:szCs w:val="20"/>
        </w:rPr>
        <w:t>Cardiol.</w:t>
      </w:r>
      <w:r w:rsidR="00DF1884" w:rsidRPr="00DF1884">
        <w:rPr>
          <w:rFonts w:cs="Arial"/>
          <w:szCs w:val="20"/>
        </w:rPr>
        <w:t xml:space="preserve"> </w:t>
      </w:r>
      <w:r w:rsidRPr="00DF1884">
        <w:rPr>
          <w:rFonts w:cs="Arial"/>
          <w:szCs w:val="20"/>
        </w:rPr>
        <w:t>21:704</w:t>
      </w:r>
      <w:r w:rsidR="00F03166" w:rsidRPr="00DF1884">
        <w:rPr>
          <w:rFonts w:cs="Arial"/>
          <w:szCs w:val="20"/>
        </w:rPr>
        <w:t>–</w:t>
      </w:r>
      <w:r w:rsidRPr="00DF1884">
        <w:rPr>
          <w:rFonts w:cs="Arial"/>
          <w:szCs w:val="20"/>
        </w:rPr>
        <w:t>11.</w:t>
      </w:r>
    </w:p>
    <w:p w14:paraId="4034145B" w14:textId="5088C181" w:rsidR="005B5649" w:rsidRPr="00DF1884" w:rsidRDefault="005B5649" w:rsidP="005B5649">
      <w:pPr>
        <w:pStyle w:val="Body"/>
        <w:spacing w:before="0"/>
        <w:ind w:left="216" w:hanging="216"/>
        <w:rPr>
          <w:rFonts w:cs="Arial"/>
          <w:szCs w:val="20"/>
        </w:rPr>
      </w:pPr>
      <w:r w:rsidRPr="00DF1884">
        <w:rPr>
          <w:rFonts w:cs="Arial"/>
          <w:szCs w:val="20"/>
        </w:rPr>
        <w:t>Ford,</w:t>
      </w:r>
      <w:r w:rsidR="00DF1884" w:rsidRPr="00DF1884">
        <w:rPr>
          <w:rFonts w:cs="Arial"/>
          <w:szCs w:val="20"/>
        </w:rPr>
        <w:t xml:space="preserve"> </w:t>
      </w:r>
      <w:r w:rsidRPr="00DF1884">
        <w:rPr>
          <w:rFonts w:cs="Arial"/>
          <w:szCs w:val="20"/>
        </w:rPr>
        <w:t>E.S.,</w:t>
      </w:r>
      <w:r w:rsidR="00DF1884" w:rsidRPr="00DF1884">
        <w:rPr>
          <w:rFonts w:cs="Arial"/>
          <w:szCs w:val="20"/>
        </w:rPr>
        <w:t xml:space="preserve"> </w:t>
      </w:r>
      <w:r w:rsidRPr="00DF1884">
        <w:rPr>
          <w:rFonts w:cs="Arial"/>
          <w:szCs w:val="20"/>
        </w:rPr>
        <w:t>W.H.</w:t>
      </w:r>
      <w:r w:rsidR="00DF1884" w:rsidRPr="00DF1884">
        <w:rPr>
          <w:rFonts w:cs="Arial"/>
          <w:szCs w:val="20"/>
        </w:rPr>
        <w:t xml:space="preserve"> </w:t>
      </w:r>
      <w:r w:rsidRPr="00DF1884">
        <w:rPr>
          <w:rFonts w:cs="Arial"/>
          <w:szCs w:val="20"/>
        </w:rPr>
        <w:t>Giles.</w:t>
      </w:r>
      <w:r w:rsidR="00DF1884" w:rsidRPr="00DF1884">
        <w:rPr>
          <w:rFonts w:cs="Arial"/>
          <w:szCs w:val="20"/>
        </w:rPr>
        <w:t xml:space="preserve"> </w:t>
      </w:r>
      <w:r w:rsidRPr="00DF1884">
        <w:rPr>
          <w:rFonts w:cs="Arial"/>
          <w:szCs w:val="20"/>
        </w:rPr>
        <w:t>2003.</w:t>
      </w:r>
      <w:r w:rsidR="00DF1884" w:rsidRPr="00DF1884">
        <w:rPr>
          <w:rFonts w:cs="Arial"/>
          <w:szCs w:val="20"/>
        </w:rPr>
        <w:t xml:space="preserve"> </w:t>
      </w:r>
      <w:r w:rsidRPr="00DF1884">
        <w:rPr>
          <w:rFonts w:cs="Arial"/>
          <w:szCs w:val="20"/>
        </w:rPr>
        <w:t>“Changes</w:t>
      </w:r>
      <w:r w:rsidR="00DF1884" w:rsidRPr="00DF1884">
        <w:rPr>
          <w:rFonts w:cs="Arial"/>
          <w:szCs w:val="20"/>
        </w:rPr>
        <w:t xml:space="preserve"> </w:t>
      </w:r>
      <w:r w:rsidRPr="00DF1884">
        <w:rPr>
          <w:rFonts w:cs="Arial"/>
          <w:szCs w:val="20"/>
        </w:rPr>
        <w:t>in</w:t>
      </w:r>
      <w:r w:rsidR="00DF1884" w:rsidRPr="00DF1884">
        <w:rPr>
          <w:rFonts w:cs="Arial"/>
          <w:szCs w:val="20"/>
        </w:rPr>
        <w:t xml:space="preserve"> </w:t>
      </w:r>
      <w:r w:rsidRPr="00DF1884">
        <w:rPr>
          <w:rFonts w:cs="Arial"/>
          <w:szCs w:val="20"/>
        </w:rPr>
        <w:t>prevalence</w:t>
      </w:r>
      <w:r w:rsidR="00DF1884" w:rsidRPr="00DF1884">
        <w:rPr>
          <w:rFonts w:cs="Arial"/>
          <w:szCs w:val="20"/>
        </w:rPr>
        <w:t xml:space="preserve"> </w:t>
      </w:r>
      <w:r w:rsidRPr="00DF1884">
        <w:rPr>
          <w:rFonts w:cs="Arial"/>
          <w:szCs w:val="20"/>
        </w:rPr>
        <w:t>of</w:t>
      </w:r>
      <w:r w:rsidR="00DF1884" w:rsidRPr="00DF1884">
        <w:rPr>
          <w:rFonts w:cs="Arial"/>
          <w:szCs w:val="20"/>
        </w:rPr>
        <w:t xml:space="preserve"> </w:t>
      </w:r>
      <w:r w:rsidRPr="00DF1884">
        <w:rPr>
          <w:rFonts w:cs="Arial"/>
          <w:szCs w:val="20"/>
        </w:rPr>
        <w:t>nonfatal</w:t>
      </w:r>
      <w:r w:rsidR="00DF1884" w:rsidRPr="00DF1884">
        <w:rPr>
          <w:rFonts w:cs="Arial"/>
          <w:szCs w:val="20"/>
        </w:rPr>
        <w:t xml:space="preserve"> </w:t>
      </w:r>
      <w:r w:rsidRPr="00DF1884">
        <w:rPr>
          <w:rFonts w:cs="Arial"/>
          <w:szCs w:val="20"/>
        </w:rPr>
        <w:t>coronary</w:t>
      </w:r>
      <w:r w:rsidR="00DF1884" w:rsidRPr="00DF1884">
        <w:rPr>
          <w:rFonts w:cs="Arial"/>
          <w:szCs w:val="20"/>
        </w:rPr>
        <w:t xml:space="preserve"> </w:t>
      </w:r>
      <w:r w:rsidRPr="00DF1884">
        <w:rPr>
          <w:rFonts w:cs="Arial"/>
          <w:szCs w:val="20"/>
        </w:rPr>
        <w:t>heart</w:t>
      </w:r>
      <w:r w:rsidR="00DF1884" w:rsidRPr="00DF1884">
        <w:rPr>
          <w:rFonts w:cs="Arial"/>
          <w:szCs w:val="20"/>
        </w:rPr>
        <w:t xml:space="preserve"> </w:t>
      </w:r>
      <w:r w:rsidRPr="00DF1884">
        <w:rPr>
          <w:rFonts w:cs="Arial"/>
          <w:szCs w:val="20"/>
        </w:rPr>
        <w:t>disease</w:t>
      </w:r>
      <w:r w:rsidR="00DF1884" w:rsidRPr="00DF1884">
        <w:rPr>
          <w:rFonts w:cs="Arial"/>
          <w:szCs w:val="20"/>
        </w:rPr>
        <w:t xml:space="preserve"> </w:t>
      </w:r>
      <w:r w:rsidRPr="00DF1884">
        <w:rPr>
          <w:rFonts w:cs="Arial"/>
          <w:szCs w:val="20"/>
        </w:rPr>
        <w:t>in</w:t>
      </w:r>
      <w:r w:rsidR="00DF1884" w:rsidRPr="00DF1884">
        <w:rPr>
          <w:rFonts w:cs="Arial"/>
          <w:szCs w:val="20"/>
        </w:rPr>
        <w:t xml:space="preserve"> </w:t>
      </w:r>
      <w:r w:rsidRPr="00DF1884">
        <w:rPr>
          <w:rFonts w:cs="Arial"/>
          <w:szCs w:val="20"/>
        </w:rPr>
        <w:t>the</w:t>
      </w:r>
      <w:r w:rsidR="00DF1884" w:rsidRPr="00DF1884">
        <w:rPr>
          <w:rFonts w:cs="Arial"/>
          <w:szCs w:val="20"/>
        </w:rPr>
        <w:t xml:space="preserve"> </w:t>
      </w:r>
      <w:r w:rsidRPr="00DF1884">
        <w:rPr>
          <w:rFonts w:cs="Arial"/>
          <w:szCs w:val="20"/>
        </w:rPr>
        <w:t>United</w:t>
      </w:r>
      <w:r w:rsidR="00DF1884" w:rsidRPr="00DF1884">
        <w:rPr>
          <w:rFonts w:cs="Arial"/>
          <w:szCs w:val="20"/>
        </w:rPr>
        <w:t xml:space="preserve"> </w:t>
      </w:r>
      <w:r w:rsidRPr="00DF1884">
        <w:rPr>
          <w:rFonts w:cs="Arial"/>
          <w:szCs w:val="20"/>
        </w:rPr>
        <w:t>States</w:t>
      </w:r>
      <w:r w:rsidR="00DF1884" w:rsidRPr="00DF1884">
        <w:rPr>
          <w:rFonts w:cs="Arial"/>
          <w:szCs w:val="20"/>
        </w:rPr>
        <w:t xml:space="preserve"> </w:t>
      </w:r>
      <w:r w:rsidRPr="00DF1884">
        <w:rPr>
          <w:rFonts w:cs="Arial"/>
          <w:szCs w:val="20"/>
        </w:rPr>
        <w:t>from</w:t>
      </w:r>
      <w:r w:rsidR="00DF1884" w:rsidRPr="00DF1884">
        <w:rPr>
          <w:rFonts w:cs="Arial"/>
          <w:szCs w:val="20"/>
        </w:rPr>
        <w:t xml:space="preserve"> </w:t>
      </w:r>
      <w:r w:rsidRPr="00DF1884">
        <w:rPr>
          <w:rFonts w:cs="Arial"/>
          <w:szCs w:val="20"/>
        </w:rPr>
        <w:t>1971–1994.”</w:t>
      </w:r>
      <w:r w:rsidR="00DF1884" w:rsidRPr="00DF1884">
        <w:rPr>
          <w:rFonts w:cs="Arial"/>
          <w:szCs w:val="20"/>
        </w:rPr>
        <w:t xml:space="preserve"> </w:t>
      </w:r>
      <w:r w:rsidRPr="00DF1884">
        <w:rPr>
          <w:rFonts w:cs="Arial"/>
          <w:i/>
          <w:szCs w:val="20"/>
        </w:rPr>
        <w:t>Ethn</w:t>
      </w:r>
      <w:r w:rsidR="00DF1884" w:rsidRPr="00DF1884">
        <w:rPr>
          <w:rFonts w:cs="Arial"/>
          <w:i/>
          <w:szCs w:val="20"/>
        </w:rPr>
        <w:t xml:space="preserve"> </w:t>
      </w:r>
      <w:r w:rsidRPr="00DF1884">
        <w:rPr>
          <w:rFonts w:cs="Arial"/>
          <w:i/>
          <w:szCs w:val="20"/>
        </w:rPr>
        <w:t>Dis.</w:t>
      </w:r>
      <w:r w:rsidR="00DF1884" w:rsidRPr="00DF1884">
        <w:rPr>
          <w:rFonts w:cs="Arial"/>
          <w:szCs w:val="20"/>
        </w:rPr>
        <w:t xml:space="preserve"> </w:t>
      </w:r>
      <w:r w:rsidRPr="00DF1884">
        <w:rPr>
          <w:rFonts w:cs="Arial"/>
          <w:szCs w:val="20"/>
        </w:rPr>
        <w:t>13:85–93.</w:t>
      </w:r>
    </w:p>
    <w:p w14:paraId="28FDB13D" w14:textId="28CE1D07" w:rsidR="005B5649" w:rsidRPr="00DF1884" w:rsidRDefault="005B5649" w:rsidP="005B5649">
      <w:pPr>
        <w:pStyle w:val="Body"/>
        <w:spacing w:before="0"/>
        <w:ind w:left="216" w:hanging="216"/>
        <w:rPr>
          <w:b/>
          <w:szCs w:val="20"/>
        </w:rPr>
      </w:pPr>
      <w:r w:rsidRPr="00DF1884">
        <w:rPr>
          <w:szCs w:val="20"/>
        </w:rPr>
        <w:t>Heidenreich,</w:t>
      </w:r>
      <w:r w:rsidR="00DF1884" w:rsidRPr="00DF1884">
        <w:rPr>
          <w:szCs w:val="20"/>
        </w:rPr>
        <w:t xml:space="preserve"> </w:t>
      </w:r>
      <w:r w:rsidRPr="00DF1884">
        <w:rPr>
          <w:szCs w:val="20"/>
        </w:rPr>
        <w:t>P.A.,</w:t>
      </w:r>
      <w:r w:rsidR="00DF1884" w:rsidRPr="00DF1884">
        <w:rPr>
          <w:szCs w:val="20"/>
        </w:rPr>
        <w:t xml:space="preserve"> </w:t>
      </w:r>
      <w:r w:rsidRPr="00DF1884">
        <w:rPr>
          <w:szCs w:val="20"/>
        </w:rPr>
        <w:t>J.G.</w:t>
      </w:r>
      <w:r w:rsidR="00DF1884" w:rsidRPr="00DF1884">
        <w:rPr>
          <w:szCs w:val="20"/>
        </w:rPr>
        <w:t xml:space="preserve"> </w:t>
      </w:r>
      <w:r w:rsidRPr="00DF1884">
        <w:rPr>
          <w:szCs w:val="20"/>
        </w:rPr>
        <w:t>Trogdon,</w:t>
      </w:r>
      <w:r w:rsidR="00DF1884" w:rsidRPr="00DF1884">
        <w:rPr>
          <w:szCs w:val="20"/>
        </w:rPr>
        <w:t xml:space="preserve"> </w:t>
      </w:r>
      <w:r w:rsidRPr="00DF1884">
        <w:rPr>
          <w:szCs w:val="20"/>
        </w:rPr>
        <w:t>O.A.</w:t>
      </w:r>
      <w:r w:rsidR="00DF1884" w:rsidRPr="00DF1884">
        <w:rPr>
          <w:szCs w:val="20"/>
        </w:rPr>
        <w:t xml:space="preserve"> </w:t>
      </w:r>
      <w:r w:rsidRPr="00DF1884">
        <w:rPr>
          <w:szCs w:val="20"/>
        </w:rPr>
        <w:t>Khavjou,</w:t>
      </w:r>
      <w:r w:rsidR="00DF1884" w:rsidRPr="00DF1884">
        <w:rPr>
          <w:szCs w:val="20"/>
        </w:rPr>
        <w:t xml:space="preserve"> </w:t>
      </w:r>
      <w:r w:rsidRPr="00DF1884">
        <w:rPr>
          <w:szCs w:val="20"/>
        </w:rPr>
        <w:t>et</w:t>
      </w:r>
      <w:r w:rsidR="00DF1884" w:rsidRPr="00DF1884">
        <w:rPr>
          <w:szCs w:val="20"/>
        </w:rPr>
        <w:t xml:space="preserve"> </w:t>
      </w:r>
      <w:r w:rsidRPr="00DF1884">
        <w:rPr>
          <w:szCs w:val="20"/>
        </w:rPr>
        <w:t>al.</w:t>
      </w:r>
      <w:r w:rsidR="00DF1884" w:rsidRPr="00DF1884">
        <w:rPr>
          <w:szCs w:val="20"/>
        </w:rPr>
        <w:t xml:space="preserve"> </w:t>
      </w:r>
      <w:r w:rsidRPr="00DF1884">
        <w:rPr>
          <w:szCs w:val="20"/>
        </w:rPr>
        <w:t>2011.</w:t>
      </w:r>
      <w:r w:rsidR="00DF1884" w:rsidRPr="00DF1884">
        <w:rPr>
          <w:szCs w:val="20"/>
        </w:rPr>
        <w:t xml:space="preserve"> </w:t>
      </w:r>
      <w:r w:rsidRPr="00DF1884">
        <w:rPr>
          <w:szCs w:val="20"/>
        </w:rPr>
        <w:t>“Forecasting</w:t>
      </w:r>
      <w:r w:rsidR="00DF1884" w:rsidRPr="00DF1884">
        <w:rPr>
          <w:szCs w:val="20"/>
        </w:rPr>
        <w:t xml:space="preserve"> </w:t>
      </w:r>
      <w:r w:rsidRPr="00DF1884">
        <w:rPr>
          <w:szCs w:val="20"/>
        </w:rPr>
        <w:t>the</w:t>
      </w:r>
      <w:r w:rsidR="00DF1884" w:rsidRPr="00DF1884">
        <w:rPr>
          <w:szCs w:val="20"/>
        </w:rPr>
        <w:t xml:space="preserve"> </w:t>
      </w:r>
      <w:r w:rsidRPr="00DF1884">
        <w:rPr>
          <w:szCs w:val="20"/>
        </w:rPr>
        <w:t>future</w:t>
      </w:r>
      <w:r w:rsidR="00DF1884" w:rsidRPr="00DF1884">
        <w:rPr>
          <w:szCs w:val="20"/>
        </w:rPr>
        <w:t xml:space="preserve"> </w:t>
      </w:r>
      <w:r w:rsidRPr="00DF1884">
        <w:rPr>
          <w:szCs w:val="20"/>
        </w:rPr>
        <w:t>of</w:t>
      </w:r>
      <w:r w:rsidR="00DF1884" w:rsidRPr="00DF1884">
        <w:rPr>
          <w:szCs w:val="20"/>
        </w:rPr>
        <w:t xml:space="preserve"> </w:t>
      </w:r>
      <w:r w:rsidRPr="00DF1884">
        <w:rPr>
          <w:szCs w:val="20"/>
        </w:rPr>
        <w:t>cardiovascular</w:t>
      </w:r>
      <w:r w:rsidR="00DF1884" w:rsidRPr="00DF1884">
        <w:rPr>
          <w:szCs w:val="20"/>
        </w:rPr>
        <w:t xml:space="preserve"> </w:t>
      </w:r>
      <w:r w:rsidRPr="00DF1884">
        <w:rPr>
          <w:szCs w:val="20"/>
        </w:rPr>
        <w:t>disease</w:t>
      </w:r>
      <w:r w:rsidR="00DF1884" w:rsidRPr="00DF1884">
        <w:rPr>
          <w:szCs w:val="20"/>
        </w:rPr>
        <w:t xml:space="preserve"> </w:t>
      </w:r>
      <w:r w:rsidRPr="00DF1884">
        <w:rPr>
          <w:szCs w:val="20"/>
        </w:rPr>
        <w:t>in</w:t>
      </w:r>
      <w:r w:rsidR="00DF1884" w:rsidRPr="00DF1884">
        <w:rPr>
          <w:szCs w:val="20"/>
        </w:rPr>
        <w:t xml:space="preserve"> </w:t>
      </w:r>
      <w:r w:rsidRPr="00DF1884">
        <w:rPr>
          <w:szCs w:val="20"/>
        </w:rPr>
        <w:t>the</w:t>
      </w:r>
      <w:r w:rsidR="00DF1884" w:rsidRPr="00DF1884">
        <w:rPr>
          <w:szCs w:val="20"/>
        </w:rPr>
        <w:t xml:space="preserve"> </w:t>
      </w:r>
      <w:r w:rsidRPr="00DF1884">
        <w:rPr>
          <w:szCs w:val="20"/>
        </w:rPr>
        <w:t>United</w:t>
      </w:r>
      <w:r w:rsidR="00DF1884" w:rsidRPr="00DF1884">
        <w:rPr>
          <w:szCs w:val="20"/>
        </w:rPr>
        <w:t xml:space="preserve"> </w:t>
      </w:r>
      <w:r w:rsidRPr="00DF1884">
        <w:rPr>
          <w:szCs w:val="20"/>
        </w:rPr>
        <w:t>States:</w:t>
      </w:r>
      <w:r w:rsidR="00DF1884" w:rsidRPr="00DF1884">
        <w:rPr>
          <w:szCs w:val="20"/>
        </w:rPr>
        <w:t xml:space="preserve"> </w:t>
      </w:r>
      <w:r w:rsidRPr="00DF1884">
        <w:rPr>
          <w:szCs w:val="20"/>
        </w:rPr>
        <w:t>a</w:t>
      </w:r>
      <w:r w:rsidR="00DF1884" w:rsidRPr="00DF1884">
        <w:rPr>
          <w:szCs w:val="20"/>
        </w:rPr>
        <w:t xml:space="preserve"> </w:t>
      </w:r>
      <w:r w:rsidRPr="00DF1884">
        <w:rPr>
          <w:szCs w:val="20"/>
        </w:rPr>
        <w:t>policy</w:t>
      </w:r>
      <w:r w:rsidR="00DF1884" w:rsidRPr="00DF1884">
        <w:rPr>
          <w:szCs w:val="20"/>
        </w:rPr>
        <w:t xml:space="preserve"> </w:t>
      </w:r>
      <w:r w:rsidRPr="00DF1884">
        <w:rPr>
          <w:szCs w:val="20"/>
        </w:rPr>
        <w:t>statement</w:t>
      </w:r>
      <w:r w:rsidR="00DF1884" w:rsidRPr="00DF1884">
        <w:rPr>
          <w:szCs w:val="20"/>
        </w:rPr>
        <w:t xml:space="preserve"> </w:t>
      </w:r>
      <w:r w:rsidRPr="00DF1884">
        <w:rPr>
          <w:szCs w:val="20"/>
        </w:rPr>
        <w:t>from</w:t>
      </w:r>
      <w:r w:rsidR="00DF1884" w:rsidRPr="00DF1884">
        <w:rPr>
          <w:szCs w:val="20"/>
        </w:rPr>
        <w:t xml:space="preserve"> </w:t>
      </w:r>
      <w:r w:rsidRPr="00DF1884">
        <w:rPr>
          <w:szCs w:val="20"/>
        </w:rPr>
        <w:t>the</w:t>
      </w:r>
      <w:r w:rsidR="00DF1884" w:rsidRPr="00DF1884">
        <w:rPr>
          <w:szCs w:val="20"/>
        </w:rPr>
        <w:t xml:space="preserve"> </w:t>
      </w:r>
      <w:r w:rsidRPr="00DF1884">
        <w:rPr>
          <w:szCs w:val="20"/>
        </w:rPr>
        <w:t>American</w:t>
      </w:r>
      <w:r w:rsidR="00DF1884" w:rsidRPr="00DF1884">
        <w:rPr>
          <w:szCs w:val="20"/>
        </w:rPr>
        <w:t xml:space="preserve"> </w:t>
      </w:r>
      <w:r w:rsidRPr="00DF1884">
        <w:rPr>
          <w:szCs w:val="20"/>
        </w:rPr>
        <w:t>Heart</w:t>
      </w:r>
      <w:r w:rsidR="00DF1884" w:rsidRPr="00DF1884">
        <w:rPr>
          <w:szCs w:val="20"/>
        </w:rPr>
        <w:t xml:space="preserve"> </w:t>
      </w:r>
      <w:r w:rsidRPr="00DF1884">
        <w:rPr>
          <w:szCs w:val="20"/>
        </w:rPr>
        <w:t>Association.”</w:t>
      </w:r>
      <w:r w:rsidR="00DF1884" w:rsidRPr="00DF1884">
        <w:rPr>
          <w:szCs w:val="20"/>
        </w:rPr>
        <w:t xml:space="preserve"> </w:t>
      </w:r>
      <w:r w:rsidR="002E4322" w:rsidRPr="00DF1884">
        <w:rPr>
          <w:i/>
          <w:szCs w:val="20"/>
        </w:rPr>
        <w:t>Circulation.</w:t>
      </w:r>
      <w:r w:rsidRPr="00DF1884">
        <w:rPr>
          <w:szCs w:val="20"/>
        </w:rPr>
        <w:t>123:933</w:t>
      </w:r>
      <w:r w:rsidR="00F03166" w:rsidRPr="00DF1884">
        <w:rPr>
          <w:szCs w:val="20"/>
        </w:rPr>
        <w:t>–</w:t>
      </w:r>
      <w:r w:rsidRPr="00DF1884">
        <w:rPr>
          <w:szCs w:val="20"/>
        </w:rPr>
        <w:t>44.</w:t>
      </w:r>
      <w:r w:rsidR="00DF1884" w:rsidRPr="00DF1884">
        <w:rPr>
          <w:szCs w:val="20"/>
        </w:rPr>
        <w:t xml:space="preserve"> </w:t>
      </w:r>
    </w:p>
    <w:p w14:paraId="27854442" w14:textId="547AB63C" w:rsidR="005B5649" w:rsidRPr="00DF1884" w:rsidRDefault="005B5649" w:rsidP="005B5649">
      <w:pPr>
        <w:pStyle w:val="Body"/>
        <w:spacing w:before="0"/>
        <w:ind w:left="216" w:hanging="216"/>
        <w:rPr>
          <w:b/>
          <w:szCs w:val="20"/>
        </w:rPr>
      </w:pPr>
      <w:r w:rsidRPr="00DF1884">
        <w:rPr>
          <w:szCs w:val="20"/>
        </w:rPr>
        <w:t>Ho,</w:t>
      </w:r>
      <w:r w:rsidR="00DF1884" w:rsidRPr="00DF1884">
        <w:rPr>
          <w:szCs w:val="20"/>
        </w:rPr>
        <w:t xml:space="preserve"> </w:t>
      </w:r>
      <w:r w:rsidRPr="00DF1884">
        <w:rPr>
          <w:szCs w:val="20"/>
        </w:rPr>
        <w:t>P.M.,</w:t>
      </w:r>
      <w:r w:rsidR="00DF1884" w:rsidRPr="00DF1884">
        <w:rPr>
          <w:szCs w:val="20"/>
        </w:rPr>
        <w:t xml:space="preserve"> </w:t>
      </w:r>
      <w:r w:rsidRPr="00DF1884">
        <w:rPr>
          <w:szCs w:val="20"/>
        </w:rPr>
        <w:t>C.L.</w:t>
      </w:r>
      <w:r w:rsidR="00DF1884" w:rsidRPr="00DF1884">
        <w:rPr>
          <w:szCs w:val="20"/>
        </w:rPr>
        <w:t xml:space="preserve"> </w:t>
      </w:r>
      <w:r w:rsidRPr="00DF1884">
        <w:rPr>
          <w:szCs w:val="20"/>
        </w:rPr>
        <w:t>Bryson,</w:t>
      </w:r>
      <w:r w:rsidR="00DF1884" w:rsidRPr="00DF1884">
        <w:rPr>
          <w:szCs w:val="20"/>
        </w:rPr>
        <w:t xml:space="preserve"> </w:t>
      </w:r>
      <w:r w:rsidRPr="00DF1884">
        <w:rPr>
          <w:szCs w:val="20"/>
        </w:rPr>
        <w:t>J.S.</w:t>
      </w:r>
      <w:r w:rsidR="00DF1884" w:rsidRPr="00DF1884">
        <w:rPr>
          <w:szCs w:val="20"/>
        </w:rPr>
        <w:t xml:space="preserve"> </w:t>
      </w:r>
      <w:r w:rsidRPr="00DF1884">
        <w:rPr>
          <w:szCs w:val="20"/>
        </w:rPr>
        <w:t>Rumsfeld.</w:t>
      </w:r>
      <w:r w:rsidR="00DF1884" w:rsidRPr="00DF1884">
        <w:rPr>
          <w:szCs w:val="20"/>
        </w:rPr>
        <w:t xml:space="preserve"> </w:t>
      </w:r>
      <w:r w:rsidRPr="00DF1884">
        <w:rPr>
          <w:szCs w:val="20"/>
        </w:rPr>
        <w:t>2009.</w:t>
      </w:r>
      <w:r w:rsidR="00DF1884" w:rsidRPr="00DF1884">
        <w:rPr>
          <w:szCs w:val="20"/>
        </w:rPr>
        <w:t xml:space="preserve"> </w:t>
      </w:r>
      <w:r w:rsidRPr="00DF1884">
        <w:rPr>
          <w:szCs w:val="20"/>
        </w:rPr>
        <w:t>“Medication</w:t>
      </w:r>
      <w:r w:rsidR="00DF1884" w:rsidRPr="00DF1884">
        <w:rPr>
          <w:szCs w:val="20"/>
        </w:rPr>
        <w:t xml:space="preserve"> </w:t>
      </w:r>
      <w:r w:rsidRPr="00DF1884">
        <w:rPr>
          <w:szCs w:val="20"/>
        </w:rPr>
        <w:t>adherence:</w:t>
      </w:r>
      <w:r w:rsidR="00DF1884" w:rsidRPr="00DF1884">
        <w:rPr>
          <w:szCs w:val="20"/>
        </w:rPr>
        <w:t xml:space="preserve"> </w:t>
      </w:r>
      <w:r w:rsidRPr="00DF1884">
        <w:rPr>
          <w:szCs w:val="20"/>
        </w:rPr>
        <w:t>its</w:t>
      </w:r>
      <w:r w:rsidR="00DF1884" w:rsidRPr="00DF1884">
        <w:rPr>
          <w:szCs w:val="20"/>
        </w:rPr>
        <w:t xml:space="preserve"> </w:t>
      </w:r>
      <w:r w:rsidRPr="00DF1884">
        <w:rPr>
          <w:szCs w:val="20"/>
        </w:rPr>
        <w:t>importance</w:t>
      </w:r>
      <w:r w:rsidR="00DF1884" w:rsidRPr="00DF1884">
        <w:rPr>
          <w:szCs w:val="20"/>
        </w:rPr>
        <w:t xml:space="preserve"> </w:t>
      </w:r>
      <w:r w:rsidRPr="00DF1884">
        <w:rPr>
          <w:szCs w:val="20"/>
        </w:rPr>
        <w:t>in</w:t>
      </w:r>
      <w:r w:rsidR="00DF1884" w:rsidRPr="00DF1884">
        <w:rPr>
          <w:szCs w:val="20"/>
        </w:rPr>
        <w:t xml:space="preserve"> </w:t>
      </w:r>
      <w:r w:rsidRPr="00DF1884">
        <w:rPr>
          <w:szCs w:val="20"/>
        </w:rPr>
        <w:t>cardiovascular</w:t>
      </w:r>
      <w:r w:rsidR="00DF1884" w:rsidRPr="00DF1884">
        <w:rPr>
          <w:szCs w:val="20"/>
        </w:rPr>
        <w:t xml:space="preserve"> </w:t>
      </w:r>
      <w:r w:rsidRPr="00DF1884">
        <w:rPr>
          <w:szCs w:val="20"/>
        </w:rPr>
        <w:t>outcomes.”</w:t>
      </w:r>
      <w:r w:rsidR="00DF1884" w:rsidRPr="00DF1884">
        <w:rPr>
          <w:szCs w:val="20"/>
        </w:rPr>
        <w:t xml:space="preserve"> </w:t>
      </w:r>
      <w:r w:rsidRPr="00DF1884">
        <w:rPr>
          <w:i/>
          <w:szCs w:val="20"/>
        </w:rPr>
        <w:t>Circulation</w:t>
      </w:r>
      <w:r w:rsidR="00DF1884" w:rsidRPr="00DF1884">
        <w:rPr>
          <w:szCs w:val="20"/>
        </w:rPr>
        <w:t xml:space="preserve"> </w:t>
      </w:r>
      <w:r w:rsidRPr="00DF1884">
        <w:rPr>
          <w:szCs w:val="20"/>
        </w:rPr>
        <w:t>119(23):3028</w:t>
      </w:r>
      <w:r w:rsidR="00F03166" w:rsidRPr="00DF1884">
        <w:rPr>
          <w:szCs w:val="20"/>
        </w:rPr>
        <w:t>–</w:t>
      </w:r>
      <w:r w:rsidRPr="00DF1884">
        <w:rPr>
          <w:szCs w:val="20"/>
        </w:rPr>
        <w:t>35.</w:t>
      </w:r>
    </w:p>
    <w:p w14:paraId="3E985C50" w14:textId="74F7612F" w:rsidR="005B5649" w:rsidRPr="00DF1884" w:rsidRDefault="005B5649" w:rsidP="005B5649">
      <w:pPr>
        <w:pStyle w:val="Body"/>
        <w:spacing w:before="0"/>
        <w:ind w:left="216" w:hanging="216"/>
        <w:rPr>
          <w:b/>
          <w:szCs w:val="20"/>
        </w:rPr>
      </w:pPr>
      <w:r w:rsidRPr="00DF1884">
        <w:rPr>
          <w:szCs w:val="20"/>
        </w:rPr>
        <w:t>Law,</w:t>
      </w:r>
      <w:r w:rsidR="00DF1884" w:rsidRPr="00DF1884">
        <w:rPr>
          <w:szCs w:val="20"/>
        </w:rPr>
        <w:t xml:space="preserve"> </w:t>
      </w:r>
      <w:r w:rsidRPr="00DF1884">
        <w:rPr>
          <w:szCs w:val="20"/>
        </w:rPr>
        <w:t>M.R.,</w:t>
      </w:r>
      <w:r w:rsidR="00DF1884" w:rsidRPr="00DF1884">
        <w:rPr>
          <w:szCs w:val="20"/>
        </w:rPr>
        <w:t xml:space="preserve"> </w:t>
      </w:r>
      <w:r w:rsidRPr="00DF1884">
        <w:rPr>
          <w:szCs w:val="20"/>
        </w:rPr>
        <w:t>N.J.</w:t>
      </w:r>
      <w:r w:rsidR="00DF1884" w:rsidRPr="00DF1884">
        <w:rPr>
          <w:szCs w:val="20"/>
        </w:rPr>
        <w:t xml:space="preserve"> </w:t>
      </w:r>
      <w:r w:rsidRPr="00DF1884">
        <w:rPr>
          <w:szCs w:val="20"/>
        </w:rPr>
        <w:t>Wald,</w:t>
      </w:r>
      <w:r w:rsidR="00DF1884" w:rsidRPr="00DF1884">
        <w:rPr>
          <w:szCs w:val="20"/>
        </w:rPr>
        <w:t xml:space="preserve"> </w:t>
      </w:r>
      <w:r w:rsidRPr="00DF1884">
        <w:rPr>
          <w:szCs w:val="20"/>
        </w:rPr>
        <w:t>A.R.</w:t>
      </w:r>
      <w:r w:rsidR="00DF1884" w:rsidRPr="00DF1884">
        <w:rPr>
          <w:szCs w:val="20"/>
        </w:rPr>
        <w:t xml:space="preserve"> </w:t>
      </w:r>
      <w:r w:rsidRPr="00DF1884">
        <w:rPr>
          <w:szCs w:val="20"/>
        </w:rPr>
        <w:t>Rudnicka.</w:t>
      </w:r>
      <w:r w:rsidR="00DF1884" w:rsidRPr="00DF1884">
        <w:rPr>
          <w:szCs w:val="20"/>
        </w:rPr>
        <w:t xml:space="preserve"> </w:t>
      </w:r>
      <w:r w:rsidRPr="00DF1884">
        <w:rPr>
          <w:szCs w:val="20"/>
        </w:rPr>
        <w:t>2003.</w:t>
      </w:r>
      <w:r w:rsidR="00DF1884" w:rsidRPr="00DF1884">
        <w:rPr>
          <w:szCs w:val="20"/>
        </w:rPr>
        <w:t xml:space="preserve"> </w:t>
      </w:r>
      <w:r w:rsidRPr="00DF1884">
        <w:rPr>
          <w:szCs w:val="20"/>
        </w:rPr>
        <w:t>“Quantifying</w:t>
      </w:r>
      <w:r w:rsidR="00DF1884" w:rsidRPr="00DF1884">
        <w:rPr>
          <w:szCs w:val="20"/>
        </w:rPr>
        <w:t xml:space="preserve"> </w:t>
      </w:r>
      <w:r w:rsidRPr="00DF1884">
        <w:rPr>
          <w:szCs w:val="20"/>
        </w:rPr>
        <w:t>effects</w:t>
      </w:r>
      <w:r w:rsidR="00DF1884" w:rsidRPr="00DF1884">
        <w:rPr>
          <w:szCs w:val="20"/>
        </w:rPr>
        <w:t xml:space="preserve"> </w:t>
      </w:r>
      <w:r w:rsidRPr="00DF1884">
        <w:rPr>
          <w:szCs w:val="20"/>
        </w:rPr>
        <w:t>of</w:t>
      </w:r>
      <w:r w:rsidR="00DF1884" w:rsidRPr="00DF1884">
        <w:rPr>
          <w:szCs w:val="20"/>
        </w:rPr>
        <w:t xml:space="preserve"> </w:t>
      </w:r>
      <w:r w:rsidRPr="00DF1884">
        <w:rPr>
          <w:szCs w:val="20"/>
        </w:rPr>
        <w:t>statins</w:t>
      </w:r>
      <w:r w:rsidR="00DF1884" w:rsidRPr="00DF1884">
        <w:rPr>
          <w:szCs w:val="20"/>
        </w:rPr>
        <w:t xml:space="preserve"> </w:t>
      </w:r>
      <w:r w:rsidRPr="00DF1884">
        <w:rPr>
          <w:szCs w:val="20"/>
        </w:rPr>
        <w:t>on</w:t>
      </w:r>
      <w:r w:rsidR="00DF1884" w:rsidRPr="00DF1884">
        <w:rPr>
          <w:szCs w:val="20"/>
        </w:rPr>
        <w:t xml:space="preserve"> </w:t>
      </w:r>
      <w:r w:rsidRPr="00DF1884">
        <w:rPr>
          <w:szCs w:val="20"/>
        </w:rPr>
        <w:t>low</w:t>
      </w:r>
      <w:r w:rsidR="00DF1884" w:rsidRPr="00DF1884">
        <w:rPr>
          <w:szCs w:val="20"/>
        </w:rPr>
        <w:t xml:space="preserve"> </w:t>
      </w:r>
      <w:r w:rsidRPr="00DF1884">
        <w:rPr>
          <w:szCs w:val="20"/>
        </w:rPr>
        <w:t>density</w:t>
      </w:r>
      <w:r w:rsidR="00DF1884" w:rsidRPr="00DF1884">
        <w:rPr>
          <w:szCs w:val="20"/>
        </w:rPr>
        <w:t xml:space="preserve"> </w:t>
      </w:r>
      <w:r w:rsidRPr="00DF1884">
        <w:rPr>
          <w:szCs w:val="20"/>
        </w:rPr>
        <w:t>lipoprotein</w:t>
      </w:r>
      <w:r w:rsidR="00DF1884" w:rsidRPr="00DF1884">
        <w:rPr>
          <w:szCs w:val="20"/>
        </w:rPr>
        <w:t xml:space="preserve"> </w:t>
      </w:r>
      <w:r w:rsidRPr="00DF1884">
        <w:rPr>
          <w:szCs w:val="20"/>
        </w:rPr>
        <w:t>cholesterol,</w:t>
      </w:r>
      <w:r w:rsidR="00DF1884" w:rsidRPr="00DF1884">
        <w:rPr>
          <w:szCs w:val="20"/>
        </w:rPr>
        <w:t xml:space="preserve"> </w:t>
      </w:r>
      <w:r w:rsidRPr="00DF1884">
        <w:rPr>
          <w:szCs w:val="20"/>
        </w:rPr>
        <w:t>ischaemic</w:t>
      </w:r>
      <w:r w:rsidR="00DF1884" w:rsidRPr="00DF1884">
        <w:rPr>
          <w:szCs w:val="20"/>
        </w:rPr>
        <w:t xml:space="preserve"> </w:t>
      </w:r>
      <w:r w:rsidRPr="00DF1884">
        <w:rPr>
          <w:szCs w:val="20"/>
        </w:rPr>
        <w:t>heart</w:t>
      </w:r>
      <w:r w:rsidR="00DF1884" w:rsidRPr="00DF1884">
        <w:rPr>
          <w:szCs w:val="20"/>
        </w:rPr>
        <w:t xml:space="preserve"> </w:t>
      </w:r>
      <w:r w:rsidRPr="00DF1884">
        <w:rPr>
          <w:szCs w:val="20"/>
        </w:rPr>
        <w:t>disease,</w:t>
      </w:r>
      <w:r w:rsidR="00DF1884" w:rsidRPr="00DF1884">
        <w:rPr>
          <w:szCs w:val="20"/>
        </w:rPr>
        <w:t xml:space="preserve"> </w:t>
      </w:r>
      <w:r w:rsidRPr="00DF1884">
        <w:rPr>
          <w:szCs w:val="20"/>
        </w:rPr>
        <w:t>and</w:t>
      </w:r>
      <w:r w:rsidR="00DF1884" w:rsidRPr="00DF1884">
        <w:rPr>
          <w:szCs w:val="20"/>
        </w:rPr>
        <w:t xml:space="preserve"> </w:t>
      </w:r>
      <w:r w:rsidRPr="00DF1884">
        <w:rPr>
          <w:szCs w:val="20"/>
        </w:rPr>
        <w:t>stroke:</w:t>
      </w:r>
      <w:r w:rsidR="00DF1884" w:rsidRPr="00DF1884">
        <w:rPr>
          <w:szCs w:val="20"/>
        </w:rPr>
        <w:t xml:space="preserve"> </w:t>
      </w:r>
      <w:r w:rsidRPr="00DF1884">
        <w:rPr>
          <w:szCs w:val="20"/>
        </w:rPr>
        <w:t>systematic</w:t>
      </w:r>
      <w:r w:rsidR="00DF1884" w:rsidRPr="00DF1884">
        <w:rPr>
          <w:szCs w:val="20"/>
        </w:rPr>
        <w:t xml:space="preserve"> </w:t>
      </w:r>
      <w:r w:rsidRPr="00DF1884">
        <w:rPr>
          <w:szCs w:val="20"/>
        </w:rPr>
        <w:t>review</w:t>
      </w:r>
      <w:r w:rsidR="00DF1884" w:rsidRPr="00DF1884">
        <w:rPr>
          <w:szCs w:val="20"/>
        </w:rPr>
        <w:t xml:space="preserve"> </w:t>
      </w:r>
      <w:r w:rsidRPr="00DF1884">
        <w:rPr>
          <w:szCs w:val="20"/>
        </w:rPr>
        <w:t>and</w:t>
      </w:r>
      <w:r w:rsidR="00DF1884" w:rsidRPr="00DF1884">
        <w:rPr>
          <w:szCs w:val="20"/>
        </w:rPr>
        <w:t xml:space="preserve"> </w:t>
      </w:r>
      <w:r w:rsidRPr="00DF1884">
        <w:rPr>
          <w:szCs w:val="20"/>
        </w:rPr>
        <w:t>meta-analysis.”</w:t>
      </w:r>
      <w:r w:rsidR="00DF1884" w:rsidRPr="00DF1884">
        <w:rPr>
          <w:szCs w:val="20"/>
        </w:rPr>
        <w:t xml:space="preserve"> </w:t>
      </w:r>
      <w:r w:rsidRPr="00DF1884">
        <w:rPr>
          <w:i/>
          <w:szCs w:val="20"/>
        </w:rPr>
        <w:t>BMJ.</w:t>
      </w:r>
      <w:r w:rsidR="00DF1884" w:rsidRPr="00DF1884">
        <w:rPr>
          <w:i/>
          <w:szCs w:val="20"/>
        </w:rPr>
        <w:t xml:space="preserve"> </w:t>
      </w:r>
      <w:r w:rsidRPr="00DF1884">
        <w:rPr>
          <w:szCs w:val="20"/>
        </w:rPr>
        <w:t>326(7404):1423.</w:t>
      </w:r>
    </w:p>
    <w:p w14:paraId="761A35B6" w14:textId="0FF6E137" w:rsidR="005B5649" w:rsidRPr="00DF1884" w:rsidRDefault="005B5649" w:rsidP="005B5649">
      <w:pPr>
        <w:pStyle w:val="Body"/>
        <w:spacing w:before="0"/>
        <w:ind w:left="216" w:hanging="216"/>
        <w:rPr>
          <w:b/>
          <w:szCs w:val="20"/>
        </w:rPr>
      </w:pPr>
      <w:r w:rsidRPr="00DF1884">
        <w:rPr>
          <w:szCs w:val="20"/>
        </w:rPr>
        <w:t>Lewey,</w:t>
      </w:r>
      <w:r w:rsidR="00DF1884" w:rsidRPr="00DF1884">
        <w:rPr>
          <w:szCs w:val="20"/>
        </w:rPr>
        <w:t xml:space="preserve"> </w:t>
      </w:r>
      <w:r w:rsidRPr="00DF1884">
        <w:rPr>
          <w:szCs w:val="20"/>
        </w:rPr>
        <w:t>J.,</w:t>
      </w:r>
      <w:r w:rsidR="00DF1884" w:rsidRPr="00DF1884">
        <w:rPr>
          <w:szCs w:val="20"/>
        </w:rPr>
        <w:t xml:space="preserve"> </w:t>
      </w:r>
      <w:r w:rsidRPr="00DF1884">
        <w:rPr>
          <w:szCs w:val="20"/>
        </w:rPr>
        <w:t>W.H.</w:t>
      </w:r>
      <w:r w:rsidR="00DF1884" w:rsidRPr="00DF1884">
        <w:rPr>
          <w:szCs w:val="20"/>
        </w:rPr>
        <w:t xml:space="preserve"> </w:t>
      </w:r>
      <w:r w:rsidRPr="00DF1884">
        <w:rPr>
          <w:szCs w:val="20"/>
        </w:rPr>
        <w:t>Shrank,</w:t>
      </w:r>
      <w:r w:rsidR="00DF1884" w:rsidRPr="00DF1884">
        <w:rPr>
          <w:szCs w:val="20"/>
        </w:rPr>
        <w:t xml:space="preserve"> </w:t>
      </w:r>
      <w:r w:rsidRPr="00DF1884">
        <w:rPr>
          <w:szCs w:val="20"/>
        </w:rPr>
        <w:t>A.D.</w:t>
      </w:r>
      <w:r w:rsidR="00DF1884" w:rsidRPr="00DF1884">
        <w:rPr>
          <w:szCs w:val="20"/>
        </w:rPr>
        <w:t xml:space="preserve"> </w:t>
      </w:r>
      <w:r w:rsidRPr="00DF1884">
        <w:rPr>
          <w:szCs w:val="20"/>
        </w:rPr>
        <w:t>Bowry,</w:t>
      </w:r>
      <w:r w:rsidR="00DF1884" w:rsidRPr="00DF1884">
        <w:rPr>
          <w:szCs w:val="20"/>
        </w:rPr>
        <w:t xml:space="preserve"> </w:t>
      </w:r>
      <w:r w:rsidRPr="00DF1884">
        <w:rPr>
          <w:szCs w:val="20"/>
        </w:rPr>
        <w:t>et</w:t>
      </w:r>
      <w:r w:rsidR="00DF1884" w:rsidRPr="00DF1884">
        <w:rPr>
          <w:szCs w:val="20"/>
        </w:rPr>
        <w:t xml:space="preserve"> </w:t>
      </w:r>
      <w:r w:rsidRPr="00DF1884">
        <w:rPr>
          <w:szCs w:val="20"/>
        </w:rPr>
        <w:t>al.</w:t>
      </w:r>
      <w:r w:rsidR="00DF1884" w:rsidRPr="00DF1884">
        <w:rPr>
          <w:szCs w:val="20"/>
        </w:rPr>
        <w:t xml:space="preserve"> </w:t>
      </w:r>
      <w:r w:rsidRPr="00DF1884">
        <w:rPr>
          <w:szCs w:val="20"/>
        </w:rPr>
        <w:t>2013.</w:t>
      </w:r>
      <w:r w:rsidR="00DF1884" w:rsidRPr="00DF1884">
        <w:rPr>
          <w:szCs w:val="20"/>
        </w:rPr>
        <w:t xml:space="preserve"> </w:t>
      </w:r>
      <w:r w:rsidRPr="00DF1884">
        <w:rPr>
          <w:szCs w:val="20"/>
        </w:rPr>
        <w:t>“Gender</w:t>
      </w:r>
      <w:r w:rsidR="00DF1884" w:rsidRPr="00DF1884">
        <w:rPr>
          <w:szCs w:val="20"/>
        </w:rPr>
        <w:t xml:space="preserve"> </w:t>
      </w:r>
      <w:r w:rsidRPr="00DF1884">
        <w:rPr>
          <w:szCs w:val="20"/>
        </w:rPr>
        <w:t>and</w:t>
      </w:r>
      <w:r w:rsidR="00DF1884" w:rsidRPr="00DF1884">
        <w:rPr>
          <w:szCs w:val="20"/>
        </w:rPr>
        <w:t xml:space="preserve"> </w:t>
      </w:r>
      <w:r w:rsidRPr="00DF1884">
        <w:rPr>
          <w:szCs w:val="20"/>
        </w:rPr>
        <w:t>racial</w:t>
      </w:r>
      <w:r w:rsidR="00DF1884" w:rsidRPr="00DF1884">
        <w:rPr>
          <w:szCs w:val="20"/>
        </w:rPr>
        <w:t xml:space="preserve"> </w:t>
      </w:r>
      <w:r w:rsidRPr="00DF1884">
        <w:rPr>
          <w:szCs w:val="20"/>
        </w:rPr>
        <w:t>disparities</w:t>
      </w:r>
      <w:r w:rsidR="00DF1884" w:rsidRPr="00DF1884">
        <w:rPr>
          <w:szCs w:val="20"/>
        </w:rPr>
        <w:t xml:space="preserve"> </w:t>
      </w:r>
      <w:r w:rsidRPr="00DF1884">
        <w:rPr>
          <w:szCs w:val="20"/>
        </w:rPr>
        <w:t>in</w:t>
      </w:r>
      <w:r w:rsidR="00DF1884" w:rsidRPr="00DF1884">
        <w:rPr>
          <w:szCs w:val="20"/>
        </w:rPr>
        <w:t xml:space="preserve"> </w:t>
      </w:r>
      <w:r w:rsidRPr="00DF1884">
        <w:rPr>
          <w:szCs w:val="20"/>
        </w:rPr>
        <w:t>adherence</w:t>
      </w:r>
      <w:r w:rsidR="00DF1884" w:rsidRPr="00DF1884">
        <w:rPr>
          <w:szCs w:val="20"/>
        </w:rPr>
        <w:t xml:space="preserve"> </w:t>
      </w:r>
      <w:r w:rsidRPr="00DF1884">
        <w:rPr>
          <w:szCs w:val="20"/>
        </w:rPr>
        <w:t>to</w:t>
      </w:r>
      <w:r w:rsidR="00DF1884" w:rsidRPr="00DF1884">
        <w:rPr>
          <w:szCs w:val="20"/>
        </w:rPr>
        <w:t xml:space="preserve"> </w:t>
      </w:r>
      <w:r w:rsidRPr="00DF1884">
        <w:rPr>
          <w:szCs w:val="20"/>
        </w:rPr>
        <w:t>statin</w:t>
      </w:r>
      <w:r w:rsidR="00DF1884" w:rsidRPr="00DF1884">
        <w:rPr>
          <w:szCs w:val="20"/>
        </w:rPr>
        <w:t xml:space="preserve"> </w:t>
      </w:r>
      <w:r w:rsidRPr="00DF1884">
        <w:rPr>
          <w:szCs w:val="20"/>
        </w:rPr>
        <w:t>therapy:</w:t>
      </w:r>
      <w:r w:rsidR="00DF1884" w:rsidRPr="00DF1884">
        <w:rPr>
          <w:szCs w:val="20"/>
        </w:rPr>
        <w:t xml:space="preserve"> </w:t>
      </w:r>
      <w:r w:rsidRPr="00DF1884">
        <w:rPr>
          <w:szCs w:val="20"/>
        </w:rPr>
        <w:t>a</w:t>
      </w:r>
      <w:r w:rsidR="00DF1884" w:rsidRPr="00DF1884">
        <w:rPr>
          <w:szCs w:val="20"/>
        </w:rPr>
        <w:t xml:space="preserve"> </w:t>
      </w:r>
      <w:r w:rsidRPr="00DF1884">
        <w:rPr>
          <w:szCs w:val="20"/>
        </w:rPr>
        <w:t>meta-analysis.”</w:t>
      </w:r>
      <w:r w:rsidR="00DF1884" w:rsidRPr="00DF1884">
        <w:rPr>
          <w:szCs w:val="20"/>
        </w:rPr>
        <w:t xml:space="preserve"> </w:t>
      </w:r>
      <w:r w:rsidRPr="00DF1884">
        <w:rPr>
          <w:i/>
          <w:szCs w:val="20"/>
        </w:rPr>
        <w:t>American</w:t>
      </w:r>
      <w:r w:rsidR="00DF1884" w:rsidRPr="00DF1884">
        <w:rPr>
          <w:i/>
          <w:szCs w:val="20"/>
        </w:rPr>
        <w:t xml:space="preserve"> </w:t>
      </w:r>
      <w:r w:rsidRPr="00DF1884">
        <w:rPr>
          <w:i/>
          <w:szCs w:val="20"/>
        </w:rPr>
        <w:t>Heart</w:t>
      </w:r>
      <w:r w:rsidR="00DF1884" w:rsidRPr="00DF1884">
        <w:rPr>
          <w:i/>
          <w:szCs w:val="20"/>
        </w:rPr>
        <w:t xml:space="preserve"> </w:t>
      </w:r>
      <w:r w:rsidRPr="00DF1884">
        <w:rPr>
          <w:i/>
          <w:szCs w:val="20"/>
        </w:rPr>
        <w:t>Journal.</w:t>
      </w:r>
      <w:r w:rsidR="00DF1884" w:rsidRPr="00DF1884">
        <w:rPr>
          <w:i/>
          <w:szCs w:val="20"/>
        </w:rPr>
        <w:t xml:space="preserve"> </w:t>
      </w:r>
      <w:r w:rsidRPr="00DF1884">
        <w:rPr>
          <w:szCs w:val="20"/>
        </w:rPr>
        <w:t>165(5):665</w:t>
      </w:r>
      <w:r w:rsidR="00B13789" w:rsidRPr="00DF1884">
        <w:rPr>
          <w:szCs w:val="20"/>
        </w:rPr>
        <w:t>–</w:t>
      </w:r>
      <w:r w:rsidRPr="00DF1884">
        <w:rPr>
          <w:szCs w:val="20"/>
        </w:rPr>
        <w:t>78.</w:t>
      </w:r>
      <w:r w:rsidR="00DF1884" w:rsidRPr="00DF1884">
        <w:rPr>
          <w:szCs w:val="20"/>
        </w:rPr>
        <w:t xml:space="preserve"> </w:t>
      </w:r>
      <w:r w:rsidRPr="00DF1884">
        <w:rPr>
          <w:szCs w:val="20"/>
        </w:rPr>
        <w:t>doi:</w:t>
      </w:r>
      <w:r w:rsidR="00DF1884" w:rsidRPr="00DF1884">
        <w:rPr>
          <w:szCs w:val="20"/>
        </w:rPr>
        <w:t xml:space="preserve"> </w:t>
      </w:r>
      <w:r w:rsidRPr="00DF1884">
        <w:rPr>
          <w:szCs w:val="20"/>
        </w:rPr>
        <w:t>10.1016/j.ahj.2013.02.011.</w:t>
      </w:r>
    </w:p>
    <w:p w14:paraId="668B8059" w14:textId="6A80C3A6" w:rsidR="005B5649" w:rsidRPr="00DF1884" w:rsidRDefault="005B5649" w:rsidP="005B5649">
      <w:pPr>
        <w:pStyle w:val="Body"/>
        <w:spacing w:before="0"/>
        <w:ind w:left="216" w:hanging="216"/>
        <w:rPr>
          <w:b/>
          <w:szCs w:val="20"/>
        </w:rPr>
      </w:pPr>
      <w:r w:rsidRPr="00DF1884">
        <w:rPr>
          <w:szCs w:val="20"/>
        </w:rPr>
        <w:t>Maddox,</w:t>
      </w:r>
      <w:r w:rsidR="00DF1884" w:rsidRPr="00DF1884">
        <w:rPr>
          <w:szCs w:val="20"/>
        </w:rPr>
        <w:t xml:space="preserve"> </w:t>
      </w:r>
      <w:r w:rsidRPr="00DF1884">
        <w:rPr>
          <w:szCs w:val="20"/>
        </w:rPr>
        <w:t>T.M.,</w:t>
      </w:r>
      <w:r w:rsidR="00DF1884" w:rsidRPr="00DF1884">
        <w:rPr>
          <w:szCs w:val="20"/>
        </w:rPr>
        <w:t xml:space="preserve"> </w:t>
      </w:r>
      <w:r w:rsidRPr="00DF1884">
        <w:rPr>
          <w:szCs w:val="20"/>
        </w:rPr>
        <w:t>W.B.</w:t>
      </w:r>
      <w:r w:rsidR="00DF1884" w:rsidRPr="00DF1884">
        <w:rPr>
          <w:szCs w:val="20"/>
        </w:rPr>
        <w:t xml:space="preserve"> </w:t>
      </w:r>
      <w:r w:rsidRPr="00DF1884">
        <w:rPr>
          <w:szCs w:val="20"/>
        </w:rPr>
        <w:t>Borden,</w:t>
      </w:r>
      <w:r w:rsidR="00DF1884" w:rsidRPr="00DF1884">
        <w:rPr>
          <w:szCs w:val="20"/>
        </w:rPr>
        <w:t xml:space="preserve"> </w:t>
      </w:r>
      <w:r w:rsidRPr="00DF1884">
        <w:rPr>
          <w:szCs w:val="20"/>
        </w:rPr>
        <w:t>F.</w:t>
      </w:r>
      <w:r w:rsidR="00DF1884" w:rsidRPr="00DF1884">
        <w:rPr>
          <w:szCs w:val="20"/>
        </w:rPr>
        <w:t xml:space="preserve"> </w:t>
      </w:r>
      <w:r w:rsidRPr="00DF1884">
        <w:rPr>
          <w:szCs w:val="20"/>
        </w:rPr>
        <w:t>Tang,</w:t>
      </w:r>
      <w:r w:rsidR="00DF1884" w:rsidRPr="00DF1884">
        <w:rPr>
          <w:szCs w:val="20"/>
        </w:rPr>
        <w:t xml:space="preserve"> </w:t>
      </w:r>
      <w:r w:rsidRPr="00DF1884">
        <w:rPr>
          <w:szCs w:val="20"/>
        </w:rPr>
        <w:t>et</w:t>
      </w:r>
      <w:r w:rsidR="00DF1884" w:rsidRPr="00DF1884">
        <w:rPr>
          <w:szCs w:val="20"/>
        </w:rPr>
        <w:t xml:space="preserve"> </w:t>
      </w:r>
      <w:r w:rsidRPr="00DF1884">
        <w:rPr>
          <w:szCs w:val="20"/>
        </w:rPr>
        <w:t>al.</w:t>
      </w:r>
      <w:r w:rsidR="00DF1884" w:rsidRPr="00DF1884">
        <w:rPr>
          <w:szCs w:val="20"/>
        </w:rPr>
        <w:t xml:space="preserve"> </w:t>
      </w:r>
      <w:r w:rsidRPr="00DF1884">
        <w:rPr>
          <w:szCs w:val="20"/>
        </w:rPr>
        <w:t>2014.</w:t>
      </w:r>
      <w:r w:rsidR="00DF1884" w:rsidRPr="00DF1884">
        <w:rPr>
          <w:szCs w:val="20"/>
        </w:rPr>
        <w:t xml:space="preserve"> </w:t>
      </w:r>
      <w:r w:rsidRPr="00DF1884">
        <w:rPr>
          <w:szCs w:val="20"/>
        </w:rPr>
        <w:t>“Implications</w:t>
      </w:r>
      <w:r w:rsidR="00DF1884" w:rsidRPr="00DF1884">
        <w:rPr>
          <w:szCs w:val="20"/>
        </w:rPr>
        <w:t xml:space="preserve"> </w:t>
      </w:r>
      <w:r w:rsidRPr="00DF1884">
        <w:rPr>
          <w:szCs w:val="20"/>
        </w:rPr>
        <w:t>of</w:t>
      </w:r>
      <w:r w:rsidR="00DF1884" w:rsidRPr="00DF1884">
        <w:rPr>
          <w:szCs w:val="20"/>
        </w:rPr>
        <w:t xml:space="preserve"> </w:t>
      </w:r>
      <w:r w:rsidRPr="00DF1884">
        <w:rPr>
          <w:szCs w:val="20"/>
        </w:rPr>
        <w:t>the</w:t>
      </w:r>
      <w:r w:rsidR="00DF1884" w:rsidRPr="00DF1884">
        <w:rPr>
          <w:szCs w:val="20"/>
        </w:rPr>
        <w:t xml:space="preserve"> </w:t>
      </w:r>
      <w:r w:rsidRPr="00DF1884">
        <w:rPr>
          <w:szCs w:val="20"/>
        </w:rPr>
        <w:t>2013</w:t>
      </w:r>
      <w:r w:rsidR="00DF1884" w:rsidRPr="00DF1884">
        <w:rPr>
          <w:szCs w:val="20"/>
        </w:rPr>
        <w:t xml:space="preserve"> </w:t>
      </w:r>
      <w:r w:rsidRPr="00DF1884">
        <w:rPr>
          <w:szCs w:val="20"/>
        </w:rPr>
        <w:t>ACC/AHA</w:t>
      </w:r>
      <w:r w:rsidR="00DF1884" w:rsidRPr="00DF1884">
        <w:rPr>
          <w:szCs w:val="20"/>
        </w:rPr>
        <w:t xml:space="preserve"> </w:t>
      </w:r>
      <w:r w:rsidRPr="00DF1884">
        <w:rPr>
          <w:szCs w:val="20"/>
        </w:rPr>
        <w:t>cholesterol</w:t>
      </w:r>
      <w:r w:rsidR="00DF1884" w:rsidRPr="00DF1884">
        <w:rPr>
          <w:szCs w:val="20"/>
        </w:rPr>
        <w:t xml:space="preserve"> </w:t>
      </w:r>
      <w:r w:rsidRPr="00DF1884">
        <w:rPr>
          <w:szCs w:val="20"/>
        </w:rPr>
        <w:t>guidelines</w:t>
      </w:r>
      <w:r w:rsidR="00DF1884" w:rsidRPr="00DF1884">
        <w:rPr>
          <w:szCs w:val="20"/>
        </w:rPr>
        <w:t xml:space="preserve"> </w:t>
      </w:r>
      <w:r w:rsidRPr="00DF1884">
        <w:rPr>
          <w:szCs w:val="20"/>
        </w:rPr>
        <w:t>for</w:t>
      </w:r>
      <w:r w:rsidR="00DF1884" w:rsidRPr="00DF1884">
        <w:rPr>
          <w:szCs w:val="20"/>
        </w:rPr>
        <w:t xml:space="preserve"> </w:t>
      </w:r>
      <w:r w:rsidRPr="00DF1884">
        <w:rPr>
          <w:szCs w:val="20"/>
        </w:rPr>
        <w:t>adults</w:t>
      </w:r>
      <w:r w:rsidR="00DF1884" w:rsidRPr="00DF1884">
        <w:rPr>
          <w:szCs w:val="20"/>
        </w:rPr>
        <w:t xml:space="preserve"> </w:t>
      </w:r>
      <w:r w:rsidRPr="00DF1884">
        <w:rPr>
          <w:szCs w:val="20"/>
        </w:rPr>
        <w:t>in</w:t>
      </w:r>
      <w:r w:rsidR="00DF1884" w:rsidRPr="00DF1884">
        <w:rPr>
          <w:szCs w:val="20"/>
        </w:rPr>
        <w:t xml:space="preserve"> </w:t>
      </w:r>
      <w:r w:rsidRPr="00DF1884">
        <w:rPr>
          <w:szCs w:val="20"/>
        </w:rPr>
        <w:t>contemporary</w:t>
      </w:r>
      <w:r w:rsidR="00DF1884" w:rsidRPr="00DF1884">
        <w:rPr>
          <w:szCs w:val="20"/>
        </w:rPr>
        <w:t xml:space="preserve"> </w:t>
      </w:r>
      <w:r w:rsidRPr="00DF1884">
        <w:rPr>
          <w:szCs w:val="20"/>
        </w:rPr>
        <w:t>cardiovascular</w:t>
      </w:r>
      <w:r w:rsidR="00DF1884" w:rsidRPr="00DF1884">
        <w:rPr>
          <w:szCs w:val="20"/>
        </w:rPr>
        <w:t xml:space="preserve"> </w:t>
      </w:r>
      <w:r w:rsidRPr="00DF1884">
        <w:rPr>
          <w:szCs w:val="20"/>
        </w:rPr>
        <w:t>practice:</w:t>
      </w:r>
      <w:r w:rsidR="00DF1884" w:rsidRPr="00DF1884">
        <w:rPr>
          <w:szCs w:val="20"/>
        </w:rPr>
        <w:t xml:space="preserve"> </w:t>
      </w:r>
      <w:r w:rsidRPr="00DF1884">
        <w:rPr>
          <w:szCs w:val="20"/>
        </w:rPr>
        <w:t>insights</w:t>
      </w:r>
      <w:r w:rsidR="00DF1884" w:rsidRPr="00DF1884">
        <w:rPr>
          <w:szCs w:val="20"/>
        </w:rPr>
        <w:t xml:space="preserve"> </w:t>
      </w:r>
      <w:r w:rsidRPr="00DF1884">
        <w:rPr>
          <w:szCs w:val="20"/>
        </w:rPr>
        <w:t>from</w:t>
      </w:r>
      <w:r w:rsidR="00DF1884" w:rsidRPr="00DF1884">
        <w:rPr>
          <w:szCs w:val="20"/>
        </w:rPr>
        <w:t xml:space="preserve"> </w:t>
      </w:r>
      <w:r w:rsidRPr="00DF1884">
        <w:rPr>
          <w:szCs w:val="20"/>
        </w:rPr>
        <w:t>the</w:t>
      </w:r>
      <w:r w:rsidR="00DF1884" w:rsidRPr="00DF1884">
        <w:rPr>
          <w:szCs w:val="20"/>
        </w:rPr>
        <w:t xml:space="preserve"> </w:t>
      </w:r>
      <w:r w:rsidRPr="00DF1884">
        <w:rPr>
          <w:szCs w:val="20"/>
        </w:rPr>
        <w:t>NCDR</w:t>
      </w:r>
      <w:r w:rsidR="00DF1884" w:rsidRPr="00DF1884">
        <w:rPr>
          <w:szCs w:val="20"/>
        </w:rPr>
        <w:t xml:space="preserve"> </w:t>
      </w:r>
      <w:r w:rsidRPr="00DF1884">
        <w:rPr>
          <w:szCs w:val="20"/>
        </w:rPr>
        <w:t>Pinnacle</w:t>
      </w:r>
      <w:r w:rsidR="00DF1884" w:rsidRPr="00DF1884">
        <w:rPr>
          <w:szCs w:val="20"/>
        </w:rPr>
        <w:t xml:space="preserve"> </w:t>
      </w:r>
      <w:r w:rsidRPr="00DF1884">
        <w:rPr>
          <w:szCs w:val="20"/>
        </w:rPr>
        <w:t>registry.”</w:t>
      </w:r>
      <w:r w:rsidR="00DF1884" w:rsidRPr="00DF1884">
        <w:rPr>
          <w:szCs w:val="20"/>
        </w:rPr>
        <w:t xml:space="preserve"> </w:t>
      </w:r>
      <w:r w:rsidRPr="00DF1884">
        <w:rPr>
          <w:i/>
          <w:szCs w:val="20"/>
        </w:rPr>
        <w:t>Journal</w:t>
      </w:r>
      <w:r w:rsidR="00DF1884" w:rsidRPr="00DF1884">
        <w:rPr>
          <w:i/>
          <w:szCs w:val="20"/>
        </w:rPr>
        <w:t xml:space="preserve"> </w:t>
      </w:r>
      <w:r w:rsidRPr="00DF1884">
        <w:rPr>
          <w:i/>
          <w:szCs w:val="20"/>
        </w:rPr>
        <w:t>of</w:t>
      </w:r>
      <w:r w:rsidR="00DF1884" w:rsidRPr="00DF1884">
        <w:rPr>
          <w:i/>
          <w:szCs w:val="20"/>
        </w:rPr>
        <w:t xml:space="preserve"> </w:t>
      </w:r>
      <w:r w:rsidRPr="00DF1884">
        <w:rPr>
          <w:i/>
          <w:szCs w:val="20"/>
        </w:rPr>
        <w:t>American</w:t>
      </w:r>
      <w:r w:rsidR="00DF1884" w:rsidRPr="00DF1884">
        <w:rPr>
          <w:i/>
          <w:szCs w:val="20"/>
        </w:rPr>
        <w:t xml:space="preserve"> </w:t>
      </w:r>
      <w:r w:rsidRPr="00DF1884">
        <w:rPr>
          <w:i/>
          <w:szCs w:val="20"/>
        </w:rPr>
        <w:t>College</w:t>
      </w:r>
      <w:r w:rsidR="00DF1884" w:rsidRPr="00DF1884">
        <w:rPr>
          <w:i/>
          <w:szCs w:val="20"/>
        </w:rPr>
        <w:t xml:space="preserve"> </w:t>
      </w:r>
      <w:r w:rsidRPr="00DF1884">
        <w:rPr>
          <w:i/>
          <w:szCs w:val="20"/>
        </w:rPr>
        <w:t>of</w:t>
      </w:r>
      <w:r w:rsidR="00DF1884" w:rsidRPr="00DF1884">
        <w:rPr>
          <w:i/>
          <w:szCs w:val="20"/>
        </w:rPr>
        <w:t xml:space="preserve"> </w:t>
      </w:r>
      <w:r w:rsidRPr="00DF1884">
        <w:rPr>
          <w:i/>
          <w:szCs w:val="20"/>
        </w:rPr>
        <w:t>Cardiology.</w:t>
      </w:r>
      <w:r w:rsidR="00DF1884" w:rsidRPr="00DF1884">
        <w:rPr>
          <w:i/>
          <w:szCs w:val="20"/>
        </w:rPr>
        <w:t xml:space="preserve"> </w:t>
      </w:r>
      <w:r w:rsidRPr="00DF1884">
        <w:rPr>
          <w:szCs w:val="20"/>
        </w:rPr>
        <w:t>64(21):2183</w:t>
      </w:r>
      <w:r w:rsidR="00B13789" w:rsidRPr="00DF1884">
        <w:rPr>
          <w:szCs w:val="20"/>
        </w:rPr>
        <w:t>–</w:t>
      </w:r>
      <w:r w:rsidRPr="00DF1884">
        <w:rPr>
          <w:szCs w:val="20"/>
        </w:rPr>
        <w:t>92.</w:t>
      </w:r>
      <w:r w:rsidR="00DF1884" w:rsidRPr="00DF1884">
        <w:rPr>
          <w:szCs w:val="20"/>
        </w:rPr>
        <w:t xml:space="preserve"> </w:t>
      </w:r>
      <w:r w:rsidRPr="00DF1884">
        <w:rPr>
          <w:szCs w:val="20"/>
        </w:rPr>
        <w:t>doi:10.1016/j.acc.2014.08.041.</w:t>
      </w:r>
    </w:p>
    <w:p w14:paraId="10C7D2A4" w14:textId="686A1D34" w:rsidR="005B5649" w:rsidRPr="00DF1884" w:rsidRDefault="005B5649" w:rsidP="005B5649">
      <w:pPr>
        <w:pStyle w:val="Body"/>
        <w:spacing w:before="0"/>
        <w:ind w:left="216" w:hanging="216"/>
        <w:rPr>
          <w:b/>
          <w:szCs w:val="20"/>
        </w:rPr>
      </w:pPr>
      <w:r w:rsidRPr="00DF1884">
        <w:rPr>
          <w:szCs w:val="20"/>
        </w:rPr>
        <w:t>Million</w:t>
      </w:r>
      <w:r w:rsidR="00DF1884" w:rsidRPr="00DF1884">
        <w:rPr>
          <w:szCs w:val="20"/>
        </w:rPr>
        <w:t xml:space="preserve"> </w:t>
      </w:r>
      <w:r w:rsidRPr="00DF1884">
        <w:rPr>
          <w:szCs w:val="20"/>
        </w:rPr>
        <w:t>Hearts.</w:t>
      </w:r>
      <w:r w:rsidR="00DF1884" w:rsidRPr="00DF1884">
        <w:rPr>
          <w:szCs w:val="20"/>
        </w:rPr>
        <w:t xml:space="preserve"> </w:t>
      </w:r>
      <w:r w:rsidRPr="00DF1884">
        <w:rPr>
          <w:szCs w:val="20"/>
        </w:rPr>
        <w:t>2011.</w:t>
      </w:r>
      <w:r w:rsidR="00DF1884" w:rsidRPr="00DF1884">
        <w:rPr>
          <w:szCs w:val="20"/>
        </w:rPr>
        <w:t xml:space="preserve"> </w:t>
      </w:r>
      <w:r w:rsidRPr="00DF1884">
        <w:rPr>
          <w:szCs w:val="20"/>
        </w:rPr>
        <w:t>The</w:t>
      </w:r>
      <w:r w:rsidR="00DF1884" w:rsidRPr="00DF1884">
        <w:rPr>
          <w:szCs w:val="20"/>
        </w:rPr>
        <w:t xml:space="preserve"> </w:t>
      </w:r>
      <w:r w:rsidRPr="00DF1884">
        <w:rPr>
          <w:szCs w:val="20"/>
        </w:rPr>
        <w:t>initiative.</w:t>
      </w:r>
      <w:r w:rsidR="00DF1884" w:rsidRPr="00DF1884">
        <w:rPr>
          <w:szCs w:val="20"/>
        </w:rPr>
        <w:t xml:space="preserve"> </w:t>
      </w:r>
      <w:hyperlink r:id="rId64" w:history="1">
        <w:r w:rsidRPr="00DF1884">
          <w:rPr>
            <w:rStyle w:val="Hyperlink"/>
            <w:color w:val="auto"/>
            <w:szCs w:val="20"/>
          </w:rPr>
          <w:t>http://millionhearts.hhs.gov/aboutmh/overview.html</w:t>
        </w:r>
      </w:hyperlink>
      <w:r w:rsidRPr="00DF1884">
        <w:rPr>
          <w:szCs w:val="20"/>
        </w:rPr>
        <w:t>.</w:t>
      </w:r>
      <w:r w:rsidR="00DF1884" w:rsidRPr="00DF1884">
        <w:rPr>
          <w:szCs w:val="20"/>
        </w:rPr>
        <w:t xml:space="preserve"> </w:t>
      </w:r>
      <w:r w:rsidRPr="00DF1884">
        <w:rPr>
          <w:szCs w:val="20"/>
        </w:rPr>
        <w:t>Accessed</w:t>
      </w:r>
      <w:r w:rsidR="00DF1884" w:rsidRPr="00DF1884">
        <w:rPr>
          <w:szCs w:val="20"/>
        </w:rPr>
        <w:t xml:space="preserve"> </w:t>
      </w:r>
      <w:r w:rsidRPr="00DF1884">
        <w:rPr>
          <w:szCs w:val="20"/>
        </w:rPr>
        <w:t>January</w:t>
      </w:r>
      <w:r w:rsidR="00DF1884" w:rsidRPr="00DF1884">
        <w:rPr>
          <w:szCs w:val="20"/>
        </w:rPr>
        <w:t xml:space="preserve"> </w:t>
      </w:r>
      <w:r w:rsidRPr="00DF1884">
        <w:rPr>
          <w:szCs w:val="20"/>
        </w:rPr>
        <w:t>2015.</w:t>
      </w:r>
      <w:r w:rsidR="00DF1884" w:rsidRPr="00DF1884">
        <w:rPr>
          <w:i/>
          <w:szCs w:val="20"/>
        </w:rPr>
        <w:t xml:space="preserve"> </w:t>
      </w:r>
    </w:p>
    <w:p w14:paraId="5CE89E2A" w14:textId="4768C11B" w:rsidR="005B5649" w:rsidRPr="00DF1884" w:rsidRDefault="005B5649" w:rsidP="005B5649">
      <w:pPr>
        <w:pStyle w:val="Body"/>
        <w:spacing w:before="0"/>
        <w:ind w:left="216" w:hanging="216"/>
        <w:rPr>
          <w:b/>
          <w:szCs w:val="20"/>
        </w:rPr>
      </w:pPr>
      <w:r w:rsidRPr="00DF1884">
        <w:rPr>
          <w:szCs w:val="20"/>
        </w:rPr>
        <w:t>Mozaffarian,</w:t>
      </w:r>
      <w:r w:rsidR="00DF1884" w:rsidRPr="00DF1884">
        <w:rPr>
          <w:szCs w:val="20"/>
        </w:rPr>
        <w:t xml:space="preserve"> </w:t>
      </w:r>
      <w:r w:rsidRPr="00DF1884">
        <w:rPr>
          <w:szCs w:val="20"/>
        </w:rPr>
        <w:t>D.,</w:t>
      </w:r>
      <w:r w:rsidR="00DF1884" w:rsidRPr="00DF1884">
        <w:rPr>
          <w:szCs w:val="20"/>
        </w:rPr>
        <w:t xml:space="preserve"> </w:t>
      </w:r>
      <w:r w:rsidRPr="00DF1884">
        <w:rPr>
          <w:szCs w:val="20"/>
        </w:rPr>
        <w:t>E.J.</w:t>
      </w:r>
      <w:r w:rsidR="00DF1884" w:rsidRPr="00DF1884">
        <w:rPr>
          <w:szCs w:val="20"/>
        </w:rPr>
        <w:t xml:space="preserve"> </w:t>
      </w:r>
      <w:r w:rsidRPr="00DF1884">
        <w:rPr>
          <w:szCs w:val="20"/>
        </w:rPr>
        <w:t>Benjamin,</w:t>
      </w:r>
      <w:r w:rsidR="00DF1884" w:rsidRPr="00DF1884">
        <w:rPr>
          <w:szCs w:val="20"/>
        </w:rPr>
        <w:t xml:space="preserve"> </w:t>
      </w:r>
      <w:r w:rsidRPr="00DF1884">
        <w:rPr>
          <w:szCs w:val="20"/>
        </w:rPr>
        <w:t>A.S.</w:t>
      </w:r>
      <w:r w:rsidR="00DF1884" w:rsidRPr="00DF1884">
        <w:rPr>
          <w:szCs w:val="20"/>
        </w:rPr>
        <w:t xml:space="preserve"> </w:t>
      </w:r>
      <w:r w:rsidRPr="00DF1884">
        <w:rPr>
          <w:szCs w:val="20"/>
        </w:rPr>
        <w:t>Go,</w:t>
      </w:r>
      <w:r w:rsidR="00DF1884" w:rsidRPr="00DF1884">
        <w:rPr>
          <w:szCs w:val="20"/>
        </w:rPr>
        <w:t xml:space="preserve"> </w:t>
      </w:r>
      <w:r w:rsidRPr="00DF1884">
        <w:rPr>
          <w:szCs w:val="20"/>
        </w:rPr>
        <w:t>et</w:t>
      </w:r>
      <w:r w:rsidR="00DF1884" w:rsidRPr="00DF1884">
        <w:rPr>
          <w:szCs w:val="20"/>
        </w:rPr>
        <w:t xml:space="preserve"> </w:t>
      </w:r>
      <w:r w:rsidRPr="00DF1884">
        <w:rPr>
          <w:szCs w:val="20"/>
        </w:rPr>
        <w:t>al.</w:t>
      </w:r>
      <w:r w:rsidR="00DF1884" w:rsidRPr="00DF1884">
        <w:rPr>
          <w:szCs w:val="20"/>
        </w:rPr>
        <w:t xml:space="preserve"> </w:t>
      </w:r>
      <w:r w:rsidRPr="00DF1884">
        <w:rPr>
          <w:szCs w:val="20"/>
        </w:rPr>
        <w:t>2015.</w:t>
      </w:r>
      <w:r w:rsidR="00DF1884" w:rsidRPr="00DF1884">
        <w:rPr>
          <w:szCs w:val="20"/>
        </w:rPr>
        <w:t xml:space="preserve"> </w:t>
      </w:r>
      <w:r w:rsidRPr="00DF1884">
        <w:rPr>
          <w:szCs w:val="20"/>
        </w:rPr>
        <w:t>“Heart</w:t>
      </w:r>
      <w:r w:rsidR="00DF1884" w:rsidRPr="00DF1884">
        <w:rPr>
          <w:szCs w:val="20"/>
        </w:rPr>
        <w:t xml:space="preserve"> </w:t>
      </w:r>
      <w:r w:rsidRPr="00DF1884">
        <w:rPr>
          <w:szCs w:val="20"/>
        </w:rPr>
        <w:t>disease</w:t>
      </w:r>
      <w:r w:rsidR="00DF1884" w:rsidRPr="00DF1884">
        <w:rPr>
          <w:szCs w:val="20"/>
        </w:rPr>
        <w:t xml:space="preserve"> </w:t>
      </w:r>
      <w:r w:rsidRPr="00DF1884">
        <w:rPr>
          <w:szCs w:val="20"/>
        </w:rPr>
        <w:t>and</w:t>
      </w:r>
      <w:r w:rsidR="00DF1884" w:rsidRPr="00DF1884">
        <w:rPr>
          <w:szCs w:val="20"/>
        </w:rPr>
        <w:t xml:space="preserve"> </w:t>
      </w:r>
      <w:r w:rsidRPr="00DF1884">
        <w:rPr>
          <w:szCs w:val="20"/>
        </w:rPr>
        <w:t>stroke</w:t>
      </w:r>
      <w:r w:rsidR="00DF1884" w:rsidRPr="00DF1884">
        <w:rPr>
          <w:szCs w:val="20"/>
        </w:rPr>
        <w:t xml:space="preserve"> </w:t>
      </w:r>
      <w:r w:rsidRPr="00DF1884">
        <w:rPr>
          <w:szCs w:val="20"/>
        </w:rPr>
        <w:t>statistics—2015</w:t>
      </w:r>
      <w:r w:rsidR="00DF1884" w:rsidRPr="00DF1884">
        <w:rPr>
          <w:szCs w:val="20"/>
        </w:rPr>
        <w:t xml:space="preserve"> </w:t>
      </w:r>
      <w:r w:rsidRPr="00DF1884">
        <w:rPr>
          <w:szCs w:val="20"/>
        </w:rPr>
        <w:t>update:</w:t>
      </w:r>
      <w:r w:rsidR="00DF1884" w:rsidRPr="00DF1884">
        <w:rPr>
          <w:szCs w:val="20"/>
        </w:rPr>
        <w:t xml:space="preserve"> </w:t>
      </w:r>
      <w:r w:rsidRPr="00DF1884">
        <w:rPr>
          <w:szCs w:val="20"/>
        </w:rPr>
        <w:t>a</w:t>
      </w:r>
      <w:r w:rsidR="00DF1884" w:rsidRPr="00DF1884">
        <w:rPr>
          <w:szCs w:val="20"/>
        </w:rPr>
        <w:t xml:space="preserve"> </w:t>
      </w:r>
      <w:r w:rsidRPr="00DF1884">
        <w:rPr>
          <w:szCs w:val="20"/>
        </w:rPr>
        <w:t>report</w:t>
      </w:r>
      <w:r w:rsidR="00DF1884" w:rsidRPr="00DF1884">
        <w:rPr>
          <w:szCs w:val="20"/>
        </w:rPr>
        <w:t xml:space="preserve"> </w:t>
      </w:r>
      <w:r w:rsidRPr="00DF1884">
        <w:rPr>
          <w:szCs w:val="20"/>
        </w:rPr>
        <w:t>from</w:t>
      </w:r>
      <w:r w:rsidR="00DF1884" w:rsidRPr="00DF1884">
        <w:rPr>
          <w:szCs w:val="20"/>
        </w:rPr>
        <w:t xml:space="preserve"> </w:t>
      </w:r>
      <w:r w:rsidRPr="00DF1884">
        <w:rPr>
          <w:szCs w:val="20"/>
        </w:rPr>
        <w:t>the</w:t>
      </w:r>
      <w:r w:rsidR="00DF1884" w:rsidRPr="00DF1884">
        <w:rPr>
          <w:szCs w:val="20"/>
        </w:rPr>
        <w:t xml:space="preserve"> </w:t>
      </w:r>
      <w:r w:rsidRPr="00DF1884">
        <w:rPr>
          <w:szCs w:val="20"/>
        </w:rPr>
        <w:t>American</w:t>
      </w:r>
      <w:r w:rsidR="00DF1884" w:rsidRPr="00DF1884">
        <w:rPr>
          <w:szCs w:val="20"/>
        </w:rPr>
        <w:t xml:space="preserve"> </w:t>
      </w:r>
      <w:r w:rsidRPr="00DF1884">
        <w:rPr>
          <w:szCs w:val="20"/>
        </w:rPr>
        <w:t>Heart</w:t>
      </w:r>
      <w:r w:rsidR="00DF1884" w:rsidRPr="00DF1884">
        <w:rPr>
          <w:szCs w:val="20"/>
        </w:rPr>
        <w:t xml:space="preserve"> </w:t>
      </w:r>
      <w:r w:rsidRPr="00DF1884">
        <w:rPr>
          <w:szCs w:val="20"/>
        </w:rPr>
        <w:t>Association.”</w:t>
      </w:r>
      <w:r w:rsidR="00DF1884" w:rsidRPr="00DF1884">
        <w:rPr>
          <w:i/>
          <w:szCs w:val="20"/>
        </w:rPr>
        <w:t xml:space="preserve"> </w:t>
      </w:r>
      <w:r w:rsidR="002E4322" w:rsidRPr="00DF1884">
        <w:rPr>
          <w:i/>
          <w:szCs w:val="20"/>
        </w:rPr>
        <w:t>Circulation.</w:t>
      </w:r>
      <w:r w:rsidR="00DF1884" w:rsidRPr="00DF1884">
        <w:rPr>
          <w:szCs w:val="20"/>
        </w:rPr>
        <w:t xml:space="preserve"> </w:t>
      </w:r>
      <w:r w:rsidRPr="00DF1884">
        <w:rPr>
          <w:szCs w:val="20"/>
        </w:rPr>
        <w:t>131:e29-e322.</w:t>
      </w:r>
      <w:r w:rsidR="00DF1884" w:rsidRPr="00DF1884">
        <w:rPr>
          <w:szCs w:val="20"/>
        </w:rPr>
        <w:t xml:space="preserve"> </w:t>
      </w:r>
      <w:r w:rsidRPr="00DF1884">
        <w:rPr>
          <w:szCs w:val="20"/>
        </w:rPr>
        <w:t>doi:</w:t>
      </w:r>
      <w:r w:rsidR="00DF1884" w:rsidRPr="00DF1884">
        <w:rPr>
          <w:szCs w:val="20"/>
        </w:rPr>
        <w:t xml:space="preserve"> </w:t>
      </w:r>
      <w:r w:rsidRPr="00DF1884">
        <w:rPr>
          <w:szCs w:val="20"/>
        </w:rPr>
        <w:t>10.1161/CIR.0000000000000152</w:t>
      </w:r>
    </w:p>
    <w:p w14:paraId="6308A120" w14:textId="1493E2E3" w:rsidR="005B5649" w:rsidRPr="00DF1884" w:rsidRDefault="005B5649" w:rsidP="005B5649">
      <w:pPr>
        <w:pStyle w:val="Body"/>
        <w:spacing w:before="0"/>
        <w:ind w:left="216" w:hanging="216"/>
        <w:rPr>
          <w:b/>
          <w:szCs w:val="20"/>
        </w:rPr>
      </w:pPr>
      <w:r w:rsidRPr="00DF1884">
        <w:rPr>
          <w:szCs w:val="20"/>
        </w:rPr>
        <w:t>National</w:t>
      </w:r>
      <w:r w:rsidR="00DF1884" w:rsidRPr="00DF1884">
        <w:rPr>
          <w:szCs w:val="20"/>
        </w:rPr>
        <w:t xml:space="preserve"> </w:t>
      </w:r>
      <w:r w:rsidRPr="00DF1884">
        <w:rPr>
          <w:szCs w:val="20"/>
        </w:rPr>
        <w:t>Heart,</w:t>
      </w:r>
      <w:r w:rsidR="00DF1884" w:rsidRPr="00DF1884">
        <w:rPr>
          <w:szCs w:val="20"/>
        </w:rPr>
        <w:t xml:space="preserve"> </w:t>
      </w:r>
      <w:r w:rsidRPr="00DF1884">
        <w:rPr>
          <w:szCs w:val="20"/>
        </w:rPr>
        <w:t>Lung,</w:t>
      </w:r>
      <w:r w:rsidR="00DF1884" w:rsidRPr="00DF1884">
        <w:rPr>
          <w:szCs w:val="20"/>
        </w:rPr>
        <w:t xml:space="preserve"> </w:t>
      </w:r>
      <w:r w:rsidRPr="00DF1884">
        <w:rPr>
          <w:szCs w:val="20"/>
        </w:rPr>
        <w:t>and</w:t>
      </w:r>
      <w:r w:rsidR="00DF1884" w:rsidRPr="00DF1884">
        <w:rPr>
          <w:szCs w:val="20"/>
        </w:rPr>
        <w:t xml:space="preserve"> </w:t>
      </w:r>
      <w:r w:rsidRPr="00DF1884">
        <w:rPr>
          <w:szCs w:val="20"/>
        </w:rPr>
        <w:t>Blood</w:t>
      </w:r>
      <w:r w:rsidR="00DF1884" w:rsidRPr="00DF1884">
        <w:rPr>
          <w:szCs w:val="20"/>
        </w:rPr>
        <w:t xml:space="preserve"> </w:t>
      </w:r>
      <w:r w:rsidRPr="00DF1884">
        <w:rPr>
          <w:szCs w:val="20"/>
        </w:rPr>
        <w:t>Institute</w:t>
      </w:r>
      <w:r w:rsidR="00DF1884" w:rsidRPr="00DF1884">
        <w:rPr>
          <w:szCs w:val="20"/>
        </w:rPr>
        <w:t xml:space="preserve"> </w:t>
      </w:r>
      <w:r w:rsidRPr="00DF1884">
        <w:rPr>
          <w:szCs w:val="20"/>
        </w:rPr>
        <w:t>(NHLBI).</w:t>
      </w:r>
      <w:r w:rsidR="00DF1884" w:rsidRPr="00DF1884">
        <w:rPr>
          <w:szCs w:val="20"/>
        </w:rPr>
        <w:t xml:space="preserve"> </w:t>
      </w:r>
      <w:r w:rsidRPr="00DF1884">
        <w:rPr>
          <w:szCs w:val="20"/>
        </w:rPr>
        <w:t>2014.</w:t>
      </w:r>
      <w:r w:rsidR="00DF1884" w:rsidRPr="00DF1884">
        <w:rPr>
          <w:szCs w:val="20"/>
        </w:rPr>
        <w:t xml:space="preserve"> </w:t>
      </w:r>
      <w:r w:rsidRPr="00DF1884">
        <w:rPr>
          <w:szCs w:val="20"/>
        </w:rPr>
        <w:t>“What</w:t>
      </w:r>
      <w:r w:rsidR="00DF1884" w:rsidRPr="00DF1884">
        <w:rPr>
          <w:szCs w:val="20"/>
        </w:rPr>
        <w:t xml:space="preserve"> </w:t>
      </w:r>
      <w:r w:rsidRPr="00DF1884">
        <w:rPr>
          <w:szCs w:val="20"/>
        </w:rPr>
        <w:t>is</w:t>
      </w:r>
      <w:r w:rsidR="00DF1884" w:rsidRPr="00DF1884">
        <w:rPr>
          <w:szCs w:val="20"/>
        </w:rPr>
        <w:t xml:space="preserve"> </w:t>
      </w:r>
      <w:r w:rsidRPr="00DF1884">
        <w:rPr>
          <w:szCs w:val="20"/>
        </w:rPr>
        <w:t>Atherosclerosis?”</w:t>
      </w:r>
      <w:r w:rsidR="00DF1884" w:rsidRPr="00DF1884">
        <w:rPr>
          <w:szCs w:val="20"/>
        </w:rPr>
        <w:t xml:space="preserve"> </w:t>
      </w:r>
      <w:hyperlink r:id="rId65" w:history="1">
        <w:r w:rsidRPr="00DF1884">
          <w:rPr>
            <w:rStyle w:val="Hyperlink"/>
            <w:color w:val="auto"/>
            <w:szCs w:val="20"/>
          </w:rPr>
          <w:t>http://www.nhlbi.nih.gov/health/health-topics/topics/atherosclerosis</w:t>
        </w:r>
      </w:hyperlink>
      <w:r w:rsidR="00B13789" w:rsidRPr="00DF1884">
        <w:rPr>
          <w:szCs w:val="20"/>
        </w:rPr>
        <w:t>.</w:t>
      </w:r>
      <w:r w:rsidR="00DF1884" w:rsidRPr="00DF1884">
        <w:rPr>
          <w:szCs w:val="20"/>
        </w:rPr>
        <w:t xml:space="preserve"> </w:t>
      </w:r>
      <w:r w:rsidRPr="00DF1884">
        <w:rPr>
          <w:szCs w:val="20"/>
        </w:rPr>
        <w:t>Accessed</w:t>
      </w:r>
      <w:r w:rsidR="00DF1884" w:rsidRPr="00DF1884">
        <w:rPr>
          <w:szCs w:val="20"/>
        </w:rPr>
        <w:t xml:space="preserve"> </w:t>
      </w:r>
      <w:r w:rsidRPr="00DF1884">
        <w:rPr>
          <w:szCs w:val="20"/>
        </w:rPr>
        <w:t>January</w:t>
      </w:r>
      <w:r w:rsidR="00DF1884" w:rsidRPr="00DF1884">
        <w:rPr>
          <w:szCs w:val="20"/>
        </w:rPr>
        <w:t xml:space="preserve"> </w:t>
      </w:r>
      <w:r w:rsidRPr="00DF1884">
        <w:rPr>
          <w:szCs w:val="20"/>
        </w:rPr>
        <w:t>2015.</w:t>
      </w:r>
      <w:r w:rsidR="00DF1884" w:rsidRPr="00DF1884">
        <w:rPr>
          <w:szCs w:val="20"/>
        </w:rPr>
        <w:t xml:space="preserve"> </w:t>
      </w:r>
    </w:p>
    <w:p w14:paraId="5D1A29BB" w14:textId="14226B91" w:rsidR="005B5649" w:rsidRPr="00DF1884" w:rsidRDefault="005B5649" w:rsidP="005B5649">
      <w:pPr>
        <w:pStyle w:val="Body"/>
        <w:spacing w:before="0"/>
        <w:ind w:left="216" w:hanging="216"/>
        <w:rPr>
          <w:b/>
          <w:szCs w:val="20"/>
        </w:rPr>
      </w:pPr>
      <w:r w:rsidRPr="00DF1884">
        <w:rPr>
          <w:szCs w:val="20"/>
        </w:rPr>
        <w:t>Nau,</w:t>
      </w:r>
      <w:r w:rsidR="00DF1884" w:rsidRPr="00DF1884">
        <w:rPr>
          <w:szCs w:val="20"/>
        </w:rPr>
        <w:t xml:space="preserve"> </w:t>
      </w:r>
      <w:r w:rsidRPr="00DF1884">
        <w:rPr>
          <w:szCs w:val="20"/>
        </w:rPr>
        <w:t>D.P.</w:t>
      </w:r>
      <w:r w:rsidR="00DF1884" w:rsidRPr="00DF1884">
        <w:rPr>
          <w:szCs w:val="20"/>
        </w:rPr>
        <w:t xml:space="preserve"> </w:t>
      </w:r>
      <w:r w:rsidRPr="00DF1884">
        <w:rPr>
          <w:szCs w:val="20"/>
        </w:rPr>
        <w:t>2012.</w:t>
      </w:r>
      <w:r w:rsidR="00DF1884" w:rsidRPr="00DF1884">
        <w:rPr>
          <w:szCs w:val="20"/>
        </w:rPr>
        <w:t xml:space="preserve"> </w:t>
      </w:r>
      <w:r w:rsidRPr="00DF1884">
        <w:rPr>
          <w:szCs w:val="20"/>
        </w:rPr>
        <w:t>“Proportion</w:t>
      </w:r>
      <w:r w:rsidR="00DF1884" w:rsidRPr="00DF1884">
        <w:rPr>
          <w:szCs w:val="20"/>
        </w:rPr>
        <w:t xml:space="preserve"> </w:t>
      </w:r>
      <w:r w:rsidRPr="00DF1884">
        <w:rPr>
          <w:szCs w:val="20"/>
        </w:rPr>
        <w:t>of</w:t>
      </w:r>
      <w:r w:rsidR="00DF1884" w:rsidRPr="00DF1884">
        <w:rPr>
          <w:szCs w:val="20"/>
        </w:rPr>
        <w:t xml:space="preserve"> </w:t>
      </w:r>
      <w:r w:rsidRPr="00DF1884">
        <w:rPr>
          <w:szCs w:val="20"/>
        </w:rPr>
        <w:t>Days</w:t>
      </w:r>
      <w:r w:rsidR="00DF1884" w:rsidRPr="00DF1884">
        <w:rPr>
          <w:szCs w:val="20"/>
        </w:rPr>
        <w:t xml:space="preserve"> </w:t>
      </w:r>
      <w:r w:rsidRPr="00DF1884">
        <w:rPr>
          <w:szCs w:val="20"/>
        </w:rPr>
        <w:t>Covered</w:t>
      </w:r>
      <w:r w:rsidR="00DF1884" w:rsidRPr="00DF1884">
        <w:rPr>
          <w:szCs w:val="20"/>
        </w:rPr>
        <w:t xml:space="preserve"> </w:t>
      </w:r>
      <w:r w:rsidRPr="00DF1884">
        <w:rPr>
          <w:szCs w:val="20"/>
        </w:rPr>
        <w:t>(PDC)</w:t>
      </w:r>
      <w:r w:rsidR="00DF1884" w:rsidRPr="00DF1884">
        <w:rPr>
          <w:szCs w:val="20"/>
        </w:rPr>
        <w:t xml:space="preserve"> </w:t>
      </w:r>
      <w:r w:rsidRPr="00DF1884">
        <w:rPr>
          <w:szCs w:val="20"/>
        </w:rPr>
        <w:t>as</w:t>
      </w:r>
      <w:r w:rsidR="00DF1884" w:rsidRPr="00DF1884">
        <w:rPr>
          <w:szCs w:val="20"/>
        </w:rPr>
        <w:t xml:space="preserve"> </w:t>
      </w:r>
      <w:r w:rsidRPr="00DF1884">
        <w:rPr>
          <w:szCs w:val="20"/>
        </w:rPr>
        <w:t>a</w:t>
      </w:r>
      <w:r w:rsidR="00DF1884" w:rsidRPr="00DF1884">
        <w:rPr>
          <w:szCs w:val="20"/>
        </w:rPr>
        <w:t xml:space="preserve"> </w:t>
      </w:r>
      <w:r w:rsidRPr="00DF1884">
        <w:rPr>
          <w:szCs w:val="20"/>
        </w:rPr>
        <w:t>Preferred</w:t>
      </w:r>
      <w:r w:rsidR="00DF1884" w:rsidRPr="00DF1884">
        <w:rPr>
          <w:szCs w:val="20"/>
        </w:rPr>
        <w:t xml:space="preserve"> </w:t>
      </w:r>
      <w:r w:rsidRPr="00DF1884">
        <w:rPr>
          <w:szCs w:val="20"/>
        </w:rPr>
        <w:t>Method</w:t>
      </w:r>
      <w:r w:rsidR="00DF1884" w:rsidRPr="00DF1884">
        <w:rPr>
          <w:szCs w:val="20"/>
        </w:rPr>
        <w:t xml:space="preserve"> </w:t>
      </w:r>
      <w:r w:rsidRPr="00DF1884">
        <w:rPr>
          <w:szCs w:val="20"/>
        </w:rPr>
        <w:t>of</w:t>
      </w:r>
      <w:r w:rsidR="00DF1884" w:rsidRPr="00DF1884">
        <w:rPr>
          <w:szCs w:val="20"/>
        </w:rPr>
        <w:t xml:space="preserve"> </w:t>
      </w:r>
      <w:r w:rsidRPr="00DF1884">
        <w:rPr>
          <w:szCs w:val="20"/>
        </w:rPr>
        <w:t>Measuring</w:t>
      </w:r>
      <w:r w:rsidR="00DF1884" w:rsidRPr="00DF1884">
        <w:rPr>
          <w:szCs w:val="20"/>
        </w:rPr>
        <w:t xml:space="preserve"> </w:t>
      </w:r>
      <w:r w:rsidRPr="00DF1884">
        <w:rPr>
          <w:szCs w:val="20"/>
        </w:rPr>
        <w:t>Medication</w:t>
      </w:r>
      <w:r w:rsidR="00DF1884" w:rsidRPr="00DF1884">
        <w:rPr>
          <w:szCs w:val="20"/>
        </w:rPr>
        <w:t xml:space="preserve"> </w:t>
      </w:r>
      <w:r w:rsidRPr="00DF1884">
        <w:rPr>
          <w:szCs w:val="20"/>
        </w:rPr>
        <w:t>Adherence.”</w:t>
      </w:r>
      <w:r w:rsidR="00DF1884" w:rsidRPr="00DF1884">
        <w:rPr>
          <w:szCs w:val="20"/>
        </w:rPr>
        <w:t xml:space="preserve"> </w:t>
      </w:r>
      <w:r w:rsidRPr="00DF1884">
        <w:rPr>
          <w:i/>
          <w:szCs w:val="20"/>
        </w:rPr>
        <w:t>Pharmacy</w:t>
      </w:r>
      <w:r w:rsidR="00DF1884" w:rsidRPr="00DF1884">
        <w:rPr>
          <w:i/>
          <w:szCs w:val="20"/>
        </w:rPr>
        <w:t xml:space="preserve"> </w:t>
      </w:r>
      <w:r w:rsidRPr="00DF1884">
        <w:rPr>
          <w:i/>
          <w:szCs w:val="20"/>
        </w:rPr>
        <w:t>Quality</w:t>
      </w:r>
      <w:r w:rsidR="00DF1884" w:rsidRPr="00DF1884">
        <w:rPr>
          <w:i/>
          <w:szCs w:val="20"/>
        </w:rPr>
        <w:t xml:space="preserve"> </w:t>
      </w:r>
      <w:r w:rsidRPr="00DF1884">
        <w:rPr>
          <w:i/>
          <w:szCs w:val="20"/>
        </w:rPr>
        <w:t>Alliance</w:t>
      </w:r>
      <w:r w:rsidR="00DF1884" w:rsidRPr="00DF1884">
        <w:rPr>
          <w:i/>
          <w:szCs w:val="20"/>
        </w:rPr>
        <w:t xml:space="preserve"> </w:t>
      </w:r>
      <w:r w:rsidRPr="00DF1884">
        <w:rPr>
          <w:i/>
          <w:szCs w:val="20"/>
        </w:rPr>
        <w:t>(PQA).</w:t>
      </w:r>
      <w:r w:rsidR="00DF1884" w:rsidRPr="00DF1884">
        <w:rPr>
          <w:szCs w:val="20"/>
        </w:rPr>
        <w:t xml:space="preserve"> </w:t>
      </w:r>
      <w:hyperlink r:id="rId66" w:history="1">
        <w:r w:rsidRPr="00DF1884">
          <w:rPr>
            <w:rStyle w:val="Hyperlink"/>
            <w:color w:val="auto"/>
            <w:szCs w:val="20"/>
          </w:rPr>
          <w:t>http://ep.yimg.com/ty/cdn/epill/pdcmpr.pdf</w:t>
        </w:r>
      </w:hyperlink>
      <w:r w:rsidRPr="00DF1884">
        <w:rPr>
          <w:szCs w:val="20"/>
        </w:rPr>
        <w:t>.</w:t>
      </w:r>
      <w:r w:rsidR="00DF1884" w:rsidRPr="00DF1884">
        <w:rPr>
          <w:szCs w:val="20"/>
        </w:rPr>
        <w:t xml:space="preserve"> </w:t>
      </w:r>
      <w:r w:rsidRPr="00DF1884">
        <w:rPr>
          <w:szCs w:val="20"/>
        </w:rPr>
        <w:t>Accessed</w:t>
      </w:r>
      <w:r w:rsidR="00DF1884" w:rsidRPr="00DF1884">
        <w:rPr>
          <w:szCs w:val="20"/>
        </w:rPr>
        <w:t xml:space="preserve"> </w:t>
      </w:r>
      <w:r w:rsidRPr="00DF1884">
        <w:rPr>
          <w:szCs w:val="20"/>
        </w:rPr>
        <w:t>November</w:t>
      </w:r>
      <w:r w:rsidR="00DF1884" w:rsidRPr="00DF1884">
        <w:rPr>
          <w:szCs w:val="20"/>
        </w:rPr>
        <w:t xml:space="preserve"> </w:t>
      </w:r>
      <w:r w:rsidRPr="00DF1884">
        <w:rPr>
          <w:szCs w:val="20"/>
        </w:rPr>
        <w:t>2014.</w:t>
      </w:r>
    </w:p>
    <w:p w14:paraId="4FBFD45B" w14:textId="3B3408EB" w:rsidR="005B5649" w:rsidRPr="00DF1884" w:rsidRDefault="005B5649" w:rsidP="005B5649">
      <w:pPr>
        <w:pStyle w:val="Body"/>
        <w:spacing w:before="0"/>
        <w:ind w:left="216" w:hanging="216"/>
        <w:rPr>
          <w:rFonts w:cs="Arial"/>
          <w:b/>
          <w:szCs w:val="20"/>
        </w:rPr>
      </w:pPr>
      <w:r w:rsidRPr="00DF1884">
        <w:rPr>
          <w:rFonts w:cs="Arial"/>
          <w:szCs w:val="20"/>
        </w:rPr>
        <w:t>Nemerovski,</w:t>
      </w:r>
      <w:r w:rsidR="00DF1884" w:rsidRPr="00DF1884">
        <w:rPr>
          <w:rFonts w:cs="Arial"/>
          <w:szCs w:val="20"/>
        </w:rPr>
        <w:t xml:space="preserve"> </w:t>
      </w:r>
      <w:r w:rsidRPr="00DF1884">
        <w:rPr>
          <w:rFonts w:cs="Arial"/>
          <w:szCs w:val="20"/>
        </w:rPr>
        <w:t>C.W.,</w:t>
      </w:r>
      <w:r w:rsidR="00DF1884" w:rsidRPr="00DF1884">
        <w:rPr>
          <w:rFonts w:cs="Arial"/>
          <w:szCs w:val="20"/>
        </w:rPr>
        <w:t xml:space="preserve"> </w:t>
      </w:r>
      <w:r w:rsidRPr="00DF1884">
        <w:rPr>
          <w:rFonts w:cs="Arial"/>
          <w:szCs w:val="20"/>
        </w:rPr>
        <w:t>J.</w:t>
      </w:r>
      <w:r w:rsidR="00DF1884" w:rsidRPr="00DF1884">
        <w:rPr>
          <w:rFonts w:cs="Arial"/>
          <w:szCs w:val="20"/>
        </w:rPr>
        <w:t xml:space="preserve"> </w:t>
      </w:r>
      <w:r w:rsidRPr="00DF1884">
        <w:rPr>
          <w:rFonts w:cs="Arial"/>
          <w:szCs w:val="20"/>
        </w:rPr>
        <w:t>Lekura,</w:t>
      </w:r>
      <w:r w:rsidR="00DF1884" w:rsidRPr="00DF1884">
        <w:rPr>
          <w:rFonts w:cs="Arial"/>
          <w:szCs w:val="20"/>
        </w:rPr>
        <w:t xml:space="preserve"> </w:t>
      </w:r>
      <w:r w:rsidRPr="00DF1884">
        <w:rPr>
          <w:rFonts w:cs="Arial"/>
          <w:szCs w:val="20"/>
        </w:rPr>
        <w:t>P.T.</w:t>
      </w:r>
      <w:r w:rsidR="00DF1884" w:rsidRPr="00DF1884">
        <w:rPr>
          <w:rFonts w:cs="Arial"/>
          <w:szCs w:val="20"/>
        </w:rPr>
        <w:t xml:space="preserve"> </w:t>
      </w:r>
      <w:r w:rsidRPr="00DF1884">
        <w:rPr>
          <w:rFonts w:cs="Arial"/>
          <w:szCs w:val="20"/>
        </w:rPr>
        <w:t>Mehta,</w:t>
      </w:r>
      <w:r w:rsidR="00DF1884" w:rsidRPr="00DF1884">
        <w:rPr>
          <w:rFonts w:cs="Arial"/>
          <w:szCs w:val="20"/>
        </w:rPr>
        <w:t xml:space="preserve"> </w:t>
      </w:r>
      <w:r w:rsidRPr="00DF1884">
        <w:rPr>
          <w:rFonts w:cs="Arial"/>
          <w:szCs w:val="20"/>
        </w:rPr>
        <w:t>C.L.</w:t>
      </w:r>
      <w:r w:rsidR="00DF1884" w:rsidRPr="00DF1884">
        <w:rPr>
          <w:rFonts w:cs="Arial"/>
          <w:szCs w:val="20"/>
        </w:rPr>
        <w:t xml:space="preserve"> </w:t>
      </w:r>
      <w:r w:rsidRPr="00DF1884">
        <w:rPr>
          <w:rFonts w:cs="Arial"/>
          <w:szCs w:val="20"/>
        </w:rPr>
        <w:t>Moore.</w:t>
      </w:r>
      <w:r w:rsidR="00DF1884" w:rsidRPr="00DF1884">
        <w:rPr>
          <w:rFonts w:cs="Arial"/>
          <w:szCs w:val="20"/>
        </w:rPr>
        <w:t xml:space="preserve"> </w:t>
      </w:r>
      <w:r w:rsidRPr="00DF1884">
        <w:rPr>
          <w:rFonts w:cs="Arial"/>
          <w:szCs w:val="20"/>
        </w:rPr>
        <w:t>2013.</w:t>
      </w:r>
      <w:r w:rsidR="00DF1884" w:rsidRPr="00DF1884">
        <w:rPr>
          <w:rFonts w:cs="Arial"/>
          <w:szCs w:val="20"/>
        </w:rPr>
        <w:t xml:space="preserve"> </w:t>
      </w:r>
      <w:r w:rsidRPr="00DF1884">
        <w:rPr>
          <w:rFonts w:cs="Arial"/>
          <w:szCs w:val="20"/>
        </w:rPr>
        <w:t>“Safety</w:t>
      </w:r>
      <w:r w:rsidR="00DF1884" w:rsidRPr="00DF1884">
        <w:rPr>
          <w:rFonts w:cs="Arial"/>
          <w:szCs w:val="20"/>
        </w:rPr>
        <w:t xml:space="preserve"> </w:t>
      </w:r>
      <w:r w:rsidRPr="00DF1884">
        <w:rPr>
          <w:rFonts w:cs="Arial"/>
          <w:szCs w:val="20"/>
        </w:rPr>
        <w:t>and</w:t>
      </w:r>
      <w:r w:rsidR="00DF1884" w:rsidRPr="00DF1884">
        <w:rPr>
          <w:rFonts w:cs="Arial"/>
          <w:szCs w:val="20"/>
        </w:rPr>
        <w:t xml:space="preserve"> </w:t>
      </w:r>
      <w:r w:rsidRPr="00DF1884">
        <w:rPr>
          <w:rFonts w:cs="Arial"/>
          <w:szCs w:val="20"/>
        </w:rPr>
        <w:t>efficacy</w:t>
      </w:r>
      <w:r w:rsidR="00DF1884" w:rsidRPr="00DF1884">
        <w:rPr>
          <w:rFonts w:cs="Arial"/>
          <w:szCs w:val="20"/>
        </w:rPr>
        <w:t xml:space="preserve"> </w:t>
      </w:r>
      <w:r w:rsidRPr="00DF1884">
        <w:rPr>
          <w:rFonts w:cs="Arial"/>
          <w:szCs w:val="20"/>
        </w:rPr>
        <w:t>of</w:t>
      </w:r>
      <w:r w:rsidR="00DF1884" w:rsidRPr="00DF1884">
        <w:rPr>
          <w:rFonts w:cs="Arial"/>
          <w:szCs w:val="20"/>
        </w:rPr>
        <w:t xml:space="preserve"> </w:t>
      </w:r>
      <w:r w:rsidRPr="00DF1884">
        <w:rPr>
          <w:rFonts w:cs="Arial"/>
          <w:szCs w:val="20"/>
        </w:rPr>
        <w:t>statins</w:t>
      </w:r>
      <w:r w:rsidR="00DF1884" w:rsidRPr="00DF1884">
        <w:rPr>
          <w:rFonts w:cs="Arial"/>
          <w:szCs w:val="20"/>
        </w:rPr>
        <w:t xml:space="preserve"> </w:t>
      </w:r>
      <w:r w:rsidRPr="00DF1884">
        <w:rPr>
          <w:rFonts w:cs="Arial"/>
          <w:szCs w:val="20"/>
        </w:rPr>
        <w:t>in</w:t>
      </w:r>
      <w:r w:rsidR="00DF1884" w:rsidRPr="00DF1884">
        <w:rPr>
          <w:rFonts w:cs="Arial"/>
          <w:szCs w:val="20"/>
        </w:rPr>
        <w:t xml:space="preserve"> </w:t>
      </w:r>
      <w:r w:rsidRPr="00DF1884">
        <w:rPr>
          <w:rFonts w:cs="Arial"/>
          <w:szCs w:val="20"/>
        </w:rPr>
        <w:t>patients</w:t>
      </w:r>
      <w:r w:rsidR="00DF1884" w:rsidRPr="00DF1884">
        <w:rPr>
          <w:rFonts w:cs="Arial"/>
          <w:szCs w:val="20"/>
        </w:rPr>
        <w:t xml:space="preserve"> </w:t>
      </w:r>
      <w:r w:rsidRPr="00DF1884">
        <w:rPr>
          <w:rFonts w:cs="Arial"/>
          <w:szCs w:val="20"/>
        </w:rPr>
        <w:t>with</w:t>
      </w:r>
      <w:r w:rsidR="00DF1884" w:rsidRPr="00DF1884">
        <w:rPr>
          <w:rFonts w:cs="Arial"/>
          <w:szCs w:val="20"/>
        </w:rPr>
        <w:t xml:space="preserve"> </w:t>
      </w:r>
      <w:r w:rsidRPr="00DF1884">
        <w:rPr>
          <w:rFonts w:cs="Arial"/>
          <w:szCs w:val="20"/>
        </w:rPr>
        <w:t>end-stage</w:t>
      </w:r>
      <w:r w:rsidR="00DF1884" w:rsidRPr="00DF1884">
        <w:rPr>
          <w:rFonts w:cs="Arial"/>
          <w:szCs w:val="20"/>
        </w:rPr>
        <w:t xml:space="preserve"> </w:t>
      </w:r>
      <w:r w:rsidRPr="00DF1884">
        <w:rPr>
          <w:rFonts w:cs="Arial"/>
          <w:szCs w:val="20"/>
        </w:rPr>
        <w:t>renal</w:t>
      </w:r>
      <w:r w:rsidR="00DF1884" w:rsidRPr="00DF1884">
        <w:rPr>
          <w:rFonts w:cs="Arial"/>
          <w:szCs w:val="20"/>
        </w:rPr>
        <w:t xml:space="preserve"> </w:t>
      </w:r>
      <w:r w:rsidRPr="00DF1884">
        <w:rPr>
          <w:rFonts w:cs="Arial"/>
          <w:szCs w:val="20"/>
        </w:rPr>
        <w:t>disease.”</w:t>
      </w:r>
      <w:r w:rsidR="00DF1884" w:rsidRPr="00DF1884">
        <w:rPr>
          <w:rFonts w:cs="Arial"/>
          <w:szCs w:val="20"/>
        </w:rPr>
        <w:t xml:space="preserve"> </w:t>
      </w:r>
      <w:r w:rsidRPr="00DF1884">
        <w:rPr>
          <w:rFonts w:cs="Arial"/>
          <w:i/>
          <w:szCs w:val="20"/>
        </w:rPr>
        <w:t>The</w:t>
      </w:r>
      <w:r w:rsidR="00DF1884" w:rsidRPr="00DF1884">
        <w:rPr>
          <w:rFonts w:cs="Arial"/>
          <w:i/>
          <w:szCs w:val="20"/>
        </w:rPr>
        <w:t xml:space="preserve"> </w:t>
      </w:r>
      <w:r w:rsidRPr="00DF1884">
        <w:rPr>
          <w:rFonts w:cs="Arial"/>
          <w:i/>
          <w:szCs w:val="20"/>
        </w:rPr>
        <w:t>Annals</w:t>
      </w:r>
      <w:r w:rsidR="00DF1884" w:rsidRPr="00DF1884">
        <w:rPr>
          <w:rFonts w:cs="Arial"/>
          <w:i/>
          <w:szCs w:val="20"/>
        </w:rPr>
        <w:t xml:space="preserve"> </w:t>
      </w:r>
      <w:r w:rsidRPr="00DF1884">
        <w:rPr>
          <w:rFonts w:cs="Arial"/>
          <w:i/>
          <w:szCs w:val="20"/>
        </w:rPr>
        <w:t>of</w:t>
      </w:r>
      <w:r w:rsidR="00DF1884" w:rsidRPr="00DF1884">
        <w:rPr>
          <w:rFonts w:cs="Arial"/>
          <w:i/>
          <w:szCs w:val="20"/>
        </w:rPr>
        <w:t xml:space="preserve"> </w:t>
      </w:r>
      <w:r w:rsidRPr="00DF1884">
        <w:rPr>
          <w:rFonts w:cs="Arial"/>
          <w:i/>
          <w:szCs w:val="20"/>
        </w:rPr>
        <w:t>Pharmacotherapy.</w:t>
      </w:r>
      <w:r w:rsidR="00DF1884" w:rsidRPr="00DF1884">
        <w:rPr>
          <w:rFonts w:cs="Arial"/>
          <w:i/>
          <w:szCs w:val="20"/>
        </w:rPr>
        <w:t xml:space="preserve"> </w:t>
      </w:r>
      <w:r w:rsidRPr="00DF1884">
        <w:rPr>
          <w:rFonts w:cs="Arial"/>
          <w:szCs w:val="20"/>
        </w:rPr>
        <w:t>47(10):1321-1329.</w:t>
      </w:r>
      <w:r w:rsidR="00DF1884" w:rsidRPr="00DF1884">
        <w:rPr>
          <w:rFonts w:cs="Arial"/>
          <w:szCs w:val="20"/>
        </w:rPr>
        <w:t xml:space="preserve"> </w:t>
      </w:r>
      <w:r w:rsidRPr="00DF1884">
        <w:rPr>
          <w:rFonts w:cs="Arial"/>
          <w:szCs w:val="20"/>
        </w:rPr>
        <w:t>doi:</w:t>
      </w:r>
      <w:r w:rsidR="00DF1884" w:rsidRPr="00DF1884">
        <w:rPr>
          <w:rFonts w:cs="Arial"/>
          <w:szCs w:val="20"/>
        </w:rPr>
        <w:t xml:space="preserve"> </w:t>
      </w:r>
      <w:r w:rsidRPr="00DF1884">
        <w:rPr>
          <w:rFonts w:cs="Arial"/>
          <w:szCs w:val="20"/>
        </w:rPr>
        <w:t>10.1177/1060028013501997.</w:t>
      </w:r>
    </w:p>
    <w:p w14:paraId="0D4296B5" w14:textId="0AE0CC7D" w:rsidR="005B5649" w:rsidRPr="00DF1884" w:rsidRDefault="005B5649" w:rsidP="005B5649">
      <w:pPr>
        <w:pStyle w:val="Body"/>
        <w:spacing w:before="0"/>
        <w:ind w:left="216" w:hanging="216"/>
        <w:rPr>
          <w:rFonts w:cs="Arial"/>
          <w:szCs w:val="20"/>
        </w:rPr>
      </w:pPr>
      <w:r w:rsidRPr="00DF1884">
        <w:rPr>
          <w:rFonts w:cs="Arial"/>
          <w:szCs w:val="20"/>
        </w:rPr>
        <w:t>Ostchega,</w:t>
      </w:r>
      <w:r w:rsidR="00DF1884" w:rsidRPr="00DF1884">
        <w:rPr>
          <w:rFonts w:cs="Arial"/>
          <w:szCs w:val="20"/>
        </w:rPr>
        <w:t xml:space="preserve"> </w:t>
      </w:r>
      <w:r w:rsidRPr="00DF1884">
        <w:rPr>
          <w:rFonts w:cs="Arial"/>
          <w:szCs w:val="20"/>
        </w:rPr>
        <w:t>Y.,</w:t>
      </w:r>
      <w:r w:rsidR="00DF1884" w:rsidRPr="00DF1884">
        <w:rPr>
          <w:rFonts w:cs="Arial"/>
          <w:szCs w:val="20"/>
        </w:rPr>
        <w:t xml:space="preserve"> </w:t>
      </w:r>
      <w:r w:rsidRPr="00DF1884">
        <w:rPr>
          <w:rFonts w:cs="Arial"/>
          <w:szCs w:val="20"/>
        </w:rPr>
        <w:t>R.</w:t>
      </w:r>
      <w:r w:rsidR="00DF1884" w:rsidRPr="00DF1884">
        <w:rPr>
          <w:rFonts w:cs="Arial"/>
          <w:szCs w:val="20"/>
        </w:rPr>
        <w:t xml:space="preserve"> </w:t>
      </w:r>
      <w:r w:rsidRPr="00DF1884">
        <w:rPr>
          <w:rFonts w:cs="Arial"/>
          <w:szCs w:val="20"/>
        </w:rPr>
        <w:t>Paulose-Ram,</w:t>
      </w:r>
      <w:r w:rsidR="00DF1884" w:rsidRPr="00DF1884">
        <w:rPr>
          <w:rFonts w:cs="Arial"/>
          <w:szCs w:val="20"/>
        </w:rPr>
        <w:t xml:space="preserve"> </w:t>
      </w:r>
      <w:r w:rsidRPr="00DF1884">
        <w:rPr>
          <w:rFonts w:cs="Arial"/>
          <w:szCs w:val="20"/>
        </w:rPr>
        <w:t>C.F.</w:t>
      </w:r>
      <w:r w:rsidR="00DF1884" w:rsidRPr="00DF1884">
        <w:rPr>
          <w:rFonts w:cs="Arial"/>
          <w:szCs w:val="20"/>
        </w:rPr>
        <w:t xml:space="preserve"> </w:t>
      </w:r>
      <w:r w:rsidRPr="00DF1884">
        <w:rPr>
          <w:rFonts w:cs="Arial"/>
          <w:szCs w:val="20"/>
        </w:rPr>
        <w:t>Dillon,</w:t>
      </w:r>
      <w:r w:rsidR="00DF1884" w:rsidRPr="00DF1884">
        <w:rPr>
          <w:rFonts w:cs="Arial"/>
          <w:szCs w:val="20"/>
        </w:rPr>
        <w:t xml:space="preserve"> </w:t>
      </w:r>
      <w:r w:rsidRPr="00DF1884">
        <w:rPr>
          <w:rFonts w:cs="Arial"/>
          <w:szCs w:val="20"/>
        </w:rPr>
        <w:t>Q.</w:t>
      </w:r>
      <w:r w:rsidR="00DF1884" w:rsidRPr="00DF1884">
        <w:rPr>
          <w:rFonts w:cs="Arial"/>
          <w:szCs w:val="20"/>
        </w:rPr>
        <w:t xml:space="preserve"> </w:t>
      </w:r>
      <w:r w:rsidRPr="00DF1884">
        <w:rPr>
          <w:rFonts w:cs="Arial"/>
          <w:szCs w:val="20"/>
        </w:rPr>
        <w:t>Gu,</w:t>
      </w:r>
      <w:r w:rsidR="00DF1884" w:rsidRPr="00DF1884">
        <w:rPr>
          <w:rFonts w:cs="Arial"/>
          <w:szCs w:val="20"/>
        </w:rPr>
        <w:t xml:space="preserve"> </w:t>
      </w:r>
      <w:r w:rsidRPr="00DF1884">
        <w:rPr>
          <w:rFonts w:cs="Arial"/>
          <w:szCs w:val="20"/>
        </w:rPr>
        <w:t>J.P.</w:t>
      </w:r>
      <w:r w:rsidR="00DF1884" w:rsidRPr="00DF1884">
        <w:rPr>
          <w:rFonts w:cs="Arial"/>
          <w:szCs w:val="20"/>
        </w:rPr>
        <w:t xml:space="preserve"> </w:t>
      </w:r>
      <w:r w:rsidRPr="00DF1884">
        <w:rPr>
          <w:rFonts w:cs="Arial"/>
          <w:szCs w:val="20"/>
        </w:rPr>
        <w:t>Hughes.</w:t>
      </w:r>
      <w:r w:rsidR="00DF1884" w:rsidRPr="00DF1884">
        <w:rPr>
          <w:rFonts w:cs="Arial"/>
          <w:szCs w:val="20"/>
        </w:rPr>
        <w:t xml:space="preserve"> </w:t>
      </w:r>
      <w:r w:rsidRPr="00DF1884">
        <w:rPr>
          <w:rFonts w:cs="Arial"/>
          <w:szCs w:val="20"/>
        </w:rPr>
        <w:t>2007.</w:t>
      </w:r>
      <w:r w:rsidR="00DF1884" w:rsidRPr="00DF1884">
        <w:rPr>
          <w:rFonts w:cs="Arial"/>
          <w:szCs w:val="20"/>
        </w:rPr>
        <w:t xml:space="preserve"> </w:t>
      </w:r>
      <w:r w:rsidRPr="00DF1884">
        <w:rPr>
          <w:rFonts w:cs="Arial"/>
          <w:szCs w:val="20"/>
        </w:rPr>
        <w:t>“Prevalence</w:t>
      </w:r>
      <w:r w:rsidR="00DF1884" w:rsidRPr="00DF1884">
        <w:rPr>
          <w:rFonts w:cs="Arial"/>
          <w:szCs w:val="20"/>
        </w:rPr>
        <w:t xml:space="preserve"> </w:t>
      </w:r>
      <w:r w:rsidRPr="00DF1884">
        <w:rPr>
          <w:rFonts w:cs="Arial"/>
          <w:szCs w:val="20"/>
        </w:rPr>
        <w:t>of</w:t>
      </w:r>
      <w:r w:rsidR="00DF1884" w:rsidRPr="00DF1884">
        <w:rPr>
          <w:rFonts w:cs="Arial"/>
          <w:szCs w:val="20"/>
        </w:rPr>
        <w:t xml:space="preserve"> </w:t>
      </w:r>
      <w:r w:rsidRPr="00DF1884">
        <w:rPr>
          <w:rFonts w:cs="Arial"/>
          <w:szCs w:val="20"/>
        </w:rPr>
        <w:t>peripheral</w:t>
      </w:r>
      <w:r w:rsidR="00DF1884" w:rsidRPr="00DF1884">
        <w:rPr>
          <w:rFonts w:cs="Arial"/>
          <w:szCs w:val="20"/>
        </w:rPr>
        <w:t xml:space="preserve"> </w:t>
      </w:r>
      <w:r w:rsidRPr="00DF1884">
        <w:rPr>
          <w:rFonts w:cs="Arial"/>
          <w:szCs w:val="20"/>
        </w:rPr>
        <w:t>arterial</w:t>
      </w:r>
      <w:r w:rsidR="00DF1884" w:rsidRPr="00DF1884">
        <w:rPr>
          <w:rFonts w:cs="Arial"/>
          <w:szCs w:val="20"/>
        </w:rPr>
        <w:t xml:space="preserve"> </w:t>
      </w:r>
      <w:r w:rsidRPr="00DF1884">
        <w:rPr>
          <w:rFonts w:cs="Arial"/>
          <w:szCs w:val="20"/>
        </w:rPr>
        <w:t>disease</w:t>
      </w:r>
      <w:r w:rsidR="00DF1884" w:rsidRPr="00DF1884">
        <w:rPr>
          <w:rFonts w:cs="Arial"/>
          <w:szCs w:val="20"/>
        </w:rPr>
        <w:t xml:space="preserve"> </w:t>
      </w:r>
      <w:r w:rsidRPr="00DF1884">
        <w:rPr>
          <w:rFonts w:cs="Arial"/>
          <w:szCs w:val="20"/>
        </w:rPr>
        <w:t>and</w:t>
      </w:r>
      <w:r w:rsidR="00DF1884" w:rsidRPr="00DF1884">
        <w:rPr>
          <w:rFonts w:cs="Arial"/>
          <w:szCs w:val="20"/>
        </w:rPr>
        <w:t xml:space="preserve"> </w:t>
      </w:r>
      <w:r w:rsidRPr="00DF1884">
        <w:rPr>
          <w:rFonts w:cs="Arial"/>
          <w:szCs w:val="20"/>
        </w:rPr>
        <w:t>risk</w:t>
      </w:r>
      <w:r w:rsidR="00DF1884" w:rsidRPr="00DF1884">
        <w:rPr>
          <w:rFonts w:cs="Arial"/>
          <w:szCs w:val="20"/>
        </w:rPr>
        <w:t xml:space="preserve"> </w:t>
      </w:r>
      <w:r w:rsidRPr="00DF1884">
        <w:rPr>
          <w:rFonts w:cs="Arial"/>
          <w:szCs w:val="20"/>
        </w:rPr>
        <w:t>factors</w:t>
      </w:r>
      <w:r w:rsidR="00DF1884" w:rsidRPr="00DF1884">
        <w:rPr>
          <w:rFonts w:cs="Arial"/>
          <w:szCs w:val="20"/>
        </w:rPr>
        <w:t xml:space="preserve"> </w:t>
      </w:r>
      <w:r w:rsidRPr="00DF1884">
        <w:rPr>
          <w:rFonts w:cs="Arial"/>
          <w:szCs w:val="20"/>
        </w:rPr>
        <w:t>in</w:t>
      </w:r>
      <w:r w:rsidR="00DF1884" w:rsidRPr="00DF1884">
        <w:rPr>
          <w:rFonts w:cs="Arial"/>
          <w:szCs w:val="20"/>
        </w:rPr>
        <w:t xml:space="preserve"> </w:t>
      </w:r>
      <w:r w:rsidRPr="00DF1884">
        <w:rPr>
          <w:rFonts w:cs="Arial"/>
          <w:szCs w:val="20"/>
        </w:rPr>
        <w:t>persons</w:t>
      </w:r>
      <w:r w:rsidR="00DF1884" w:rsidRPr="00DF1884">
        <w:rPr>
          <w:rFonts w:cs="Arial"/>
          <w:szCs w:val="20"/>
        </w:rPr>
        <w:t xml:space="preserve"> </w:t>
      </w:r>
      <w:r w:rsidRPr="00DF1884">
        <w:rPr>
          <w:rFonts w:cs="Arial"/>
          <w:szCs w:val="20"/>
        </w:rPr>
        <w:t>aged</w:t>
      </w:r>
      <w:r w:rsidR="00DF1884" w:rsidRPr="00DF1884">
        <w:rPr>
          <w:rFonts w:cs="Arial"/>
          <w:szCs w:val="20"/>
        </w:rPr>
        <w:t xml:space="preserve"> </w:t>
      </w:r>
      <w:r w:rsidRPr="00DF1884">
        <w:rPr>
          <w:rFonts w:cs="Arial"/>
          <w:szCs w:val="20"/>
        </w:rPr>
        <w:t>60</w:t>
      </w:r>
      <w:r w:rsidR="00DF1884" w:rsidRPr="00DF1884">
        <w:rPr>
          <w:rFonts w:cs="Arial"/>
          <w:szCs w:val="20"/>
        </w:rPr>
        <w:t xml:space="preserve"> </w:t>
      </w:r>
      <w:r w:rsidRPr="00DF1884">
        <w:rPr>
          <w:rFonts w:cs="Arial"/>
          <w:szCs w:val="20"/>
        </w:rPr>
        <w:t>and</w:t>
      </w:r>
      <w:r w:rsidR="00DF1884" w:rsidRPr="00DF1884">
        <w:rPr>
          <w:rFonts w:cs="Arial"/>
          <w:szCs w:val="20"/>
        </w:rPr>
        <w:t xml:space="preserve"> </w:t>
      </w:r>
      <w:r w:rsidRPr="00DF1884">
        <w:rPr>
          <w:rFonts w:cs="Arial"/>
          <w:szCs w:val="20"/>
        </w:rPr>
        <w:t>older:</w:t>
      </w:r>
      <w:r w:rsidR="00DF1884" w:rsidRPr="00DF1884">
        <w:rPr>
          <w:rFonts w:cs="Arial"/>
          <w:szCs w:val="20"/>
        </w:rPr>
        <w:t xml:space="preserve"> </w:t>
      </w:r>
      <w:r w:rsidRPr="00DF1884">
        <w:rPr>
          <w:rFonts w:cs="Arial"/>
          <w:szCs w:val="20"/>
        </w:rPr>
        <w:t>data</w:t>
      </w:r>
      <w:r w:rsidR="00DF1884" w:rsidRPr="00DF1884">
        <w:rPr>
          <w:rFonts w:cs="Arial"/>
          <w:szCs w:val="20"/>
        </w:rPr>
        <w:t xml:space="preserve"> </w:t>
      </w:r>
      <w:r w:rsidRPr="00DF1884">
        <w:rPr>
          <w:rFonts w:cs="Arial"/>
          <w:szCs w:val="20"/>
        </w:rPr>
        <w:t>from</w:t>
      </w:r>
      <w:r w:rsidR="00DF1884" w:rsidRPr="00DF1884">
        <w:rPr>
          <w:rFonts w:cs="Arial"/>
          <w:szCs w:val="20"/>
        </w:rPr>
        <w:t xml:space="preserve"> </w:t>
      </w:r>
      <w:r w:rsidRPr="00DF1884">
        <w:rPr>
          <w:rFonts w:cs="Arial"/>
          <w:szCs w:val="20"/>
        </w:rPr>
        <w:t>the</w:t>
      </w:r>
      <w:r w:rsidR="00DF1884" w:rsidRPr="00DF1884">
        <w:rPr>
          <w:rFonts w:cs="Arial"/>
          <w:szCs w:val="20"/>
        </w:rPr>
        <w:t xml:space="preserve"> </w:t>
      </w:r>
      <w:r w:rsidRPr="00DF1884">
        <w:rPr>
          <w:rFonts w:cs="Arial"/>
          <w:szCs w:val="20"/>
        </w:rPr>
        <w:t>National</w:t>
      </w:r>
      <w:r w:rsidR="00DF1884" w:rsidRPr="00DF1884">
        <w:rPr>
          <w:rFonts w:cs="Arial"/>
          <w:szCs w:val="20"/>
        </w:rPr>
        <w:t xml:space="preserve"> </w:t>
      </w:r>
      <w:r w:rsidRPr="00DF1884">
        <w:rPr>
          <w:rFonts w:cs="Arial"/>
          <w:szCs w:val="20"/>
        </w:rPr>
        <w:t>Health</w:t>
      </w:r>
      <w:r w:rsidR="00DF1884" w:rsidRPr="00DF1884">
        <w:rPr>
          <w:rFonts w:cs="Arial"/>
          <w:szCs w:val="20"/>
        </w:rPr>
        <w:t xml:space="preserve"> </w:t>
      </w:r>
      <w:r w:rsidRPr="00DF1884">
        <w:rPr>
          <w:rFonts w:cs="Arial"/>
          <w:szCs w:val="20"/>
        </w:rPr>
        <w:t>and</w:t>
      </w:r>
      <w:r w:rsidR="00DF1884" w:rsidRPr="00DF1884">
        <w:rPr>
          <w:rFonts w:cs="Arial"/>
          <w:szCs w:val="20"/>
        </w:rPr>
        <w:t xml:space="preserve"> </w:t>
      </w:r>
      <w:r w:rsidRPr="00DF1884">
        <w:rPr>
          <w:rFonts w:cs="Arial"/>
          <w:szCs w:val="20"/>
        </w:rPr>
        <w:t>Nutrition</w:t>
      </w:r>
      <w:r w:rsidR="00DF1884" w:rsidRPr="00DF1884">
        <w:rPr>
          <w:rFonts w:cs="Arial"/>
          <w:szCs w:val="20"/>
        </w:rPr>
        <w:t xml:space="preserve"> </w:t>
      </w:r>
      <w:r w:rsidRPr="00DF1884">
        <w:rPr>
          <w:rFonts w:cs="Arial"/>
          <w:szCs w:val="20"/>
        </w:rPr>
        <w:t>Examination</w:t>
      </w:r>
      <w:r w:rsidR="00DF1884" w:rsidRPr="00DF1884">
        <w:rPr>
          <w:rFonts w:cs="Arial"/>
          <w:szCs w:val="20"/>
        </w:rPr>
        <w:t xml:space="preserve"> </w:t>
      </w:r>
      <w:r w:rsidRPr="00DF1884">
        <w:rPr>
          <w:rFonts w:cs="Arial"/>
          <w:szCs w:val="20"/>
        </w:rPr>
        <w:t>Survey</w:t>
      </w:r>
      <w:r w:rsidR="00DF1884" w:rsidRPr="00DF1884">
        <w:rPr>
          <w:rFonts w:cs="Arial"/>
          <w:szCs w:val="20"/>
        </w:rPr>
        <w:t xml:space="preserve"> </w:t>
      </w:r>
      <w:r w:rsidRPr="00DF1884">
        <w:rPr>
          <w:rFonts w:cs="Arial"/>
          <w:szCs w:val="20"/>
        </w:rPr>
        <w:t>1999–2004.”</w:t>
      </w:r>
      <w:r w:rsidR="00DF1884" w:rsidRPr="00DF1884">
        <w:rPr>
          <w:rFonts w:cs="Arial"/>
          <w:szCs w:val="20"/>
        </w:rPr>
        <w:t xml:space="preserve"> </w:t>
      </w:r>
      <w:r w:rsidRPr="00DF1884">
        <w:rPr>
          <w:rFonts w:cs="Arial"/>
          <w:i/>
          <w:szCs w:val="20"/>
        </w:rPr>
        <w:t>J</w:t>
      </w:r>
      <w:r w:rsidR="00DF1884" w:rsidRPr="00DF1884">
        <w:rPr>
          <w:rFonts w:cs="Arial"/>
          <w:i/>
          <w:szCs w:val="20"/>
        </w:rPr>
        <w:t xml:space="preserve"> </w:t>
      </w:r>
      <w:r w:rsidRPr="00DF1884">
        <w:rPr>
          <w:rFonts w:cs="Arial"/>
          <w:i/>
          <w:szCs w:val="20"/>
        </w:rPr>
        <w:t>Am</w:t>
      </w:r>
      <w:r w:rsidR="00DF1884" w:rsidRPr="00DF1884">
        <w:rPr>
          <w:rFonts w:cs="Arial"/>
          <w:i/>
          <w:szCs w:val="20"/>
        </w:rPr>
        <w:t xml:space="preserve"> </w:t>
      </w:r>
      <w:r w:rsidRPr="00DF1884">
        <w:rPr>
          <w:rFonts w:cs="Arial"/>
          <w:i/>
          <w:szCs w:val="20"/>
        </w:rPr>
        <w:t>Geriatr</w:t>
      </w:r>
      <w:r w:rsidR="00DF1884" w:rsidRPr="00DF1884">
        <w:rPr>
          <w:rFonts w:cs="Arial"/>
          <w:i/>
          <w:szCs w:val="20"/>
        </w:rPr>
        <w:t xml:space="preserve"> </w:t>
      </w:r>
      <w:r w:rsidRPr="00DF1884">
        <w:rPr>
          <w:rFonts w:cs="Arial"/>
          <w:i/>
          <w:szCs w:val="20"/>
        </w:rPr>
        <w:t>Soc.</w:t>
      </w:r>
      <w:r w:rsidR="00DF1884" w:rsidRPr="00DF1884">
        <w:rPr>
          <w:rFonts w:cs="Arial"/>
          <w:szCs w:val="20"/>
        </w:rPr>
        <w:t xml:space="preserve"> </w:t>
      </w:r>
      <w:r w:rsidRPr="00DF1884">
        <w:rPr>
          <w:rFonts w:cs="Arial"/>
          <w:szCs w:val="20"/>
        </w:rPr>
        <w:t>55:583–89.</w:t>
      </w:r>
    </w:p>
    <w:p w14:paraId="4E9C4398" w14:textId="05B8A19C" w:rsidR="005B5649" w:rsidRPr="00DF1884" w:rsidRDefault="005B5649" w:rsidP="005B5649">
      <w:pPr>
        <w:pStyle w:val="Body"/>
        <w:spacing w:before="0"/>
        <w:ind w:left="216" w:hanging="216"/>
        <w:rPr>
          <w:b/>
          <w:szCs w:val="20"/>
        </w:rPr>
      </w:pPr>
      <w:r w:rsidRPr="00DF1884">
        <w:rPr>
          <w:szCs w:val="20"/>
        </w:rPr>
        <w:t>Parker,</w:t>
      </w:r>
      <w:r w:rsidR="00DF1884" w:rsidRPr="00DF1884">
        <w:rPr>
          <w:szCs w:val="20"/>
        </w:rPr>
        <w:t xml:space="preserve"> </w:t>
      </w:r>
      <w:r w:rsidRPr="00DF1884">
        <w:rPr>
          <w:szCs w:val="20"/>
        </w:rPr>
        <w:t>B.A.,</w:t>
      </w:r>
      <w:r w:rsidR="00DF1884" w:rsidRPr="00DF1884">
        <w:rPr>
          <w:szCs w:val="20"/>
        </w:rPr>
        <w:t xml:space="preserve"> </w:t>
      </w:r>
      <w:r w:rsidRPr="00DF1884">
        <w:rPr>
          <w:szCs w:val="20"/>
        </w:rPr>
        <w:t>J.A.</w:t>
      </w:r>
      <w:r w:rsidR="00DF1884" w:rsidRPr="00DF1884">
        <w:rPr>
          <w:szCs w:val="20"/>
        </w:rPr>
        <w:t xml:space="preserve"> </w:t>
      </w:r>
      <w:r w:rsidRPr="00DF1884">
        <w:rPr>
          <w:szCs w:val="20"/>
        </w:rPr>
        <w:t>Capizzi,</w:t>
      </w:r>
      <w:r w:rsidR="00DF1884" w:rsidRPr="00DF1884">
        <w:rPr>
          <w:szCs w:val="20"/>
        </w:rPr>
        <w:t xml:space="preserve"> </w:t>
      </w:r>
      <w:r w:rsidRPr="00DF1884">
        <w:rPr>
          <w:szCs w:val="20"/>
        </w:rPr>
        <w:t>A.S.</w:t>
      </w:r>
      <w:r w:rsidR="00DF1884" w:rsidRPr="00DF1884">
        <w:rPr>
          <w:szCs w:val="20"/>
        </w:rPr>
        <w:t xml:space="preserve"> </w:t>
      </w:r>
      <w:r w:rsidRPr="00DF1884">
        <w:rPr>
          <w:szCs w:val="20"/>
        </w:rPr>
        <w:t>Grimaldi,</w:t>
      </w:r>
      <w:r w:rsidR="00DF1884" w:rsidRPr="00DF1884">
        <w:rPr>
          <w:szCs w:val="20"/>
        </w:rPr>
        <w:t xml:space="preserve"> </w:t>
      </w:r>
      <w:r w:rsidRPr="00DF1884">
        <w:rPr>
          <w:szCs w:val="20"/>
        </w:rPr>
        <w:t>et</w:t>
      </w:r>
      <w:r w:rsidR="00DF1884" w:rsidRPr="00DF1884">
        <w:rPr>
          <w:szCs w:val="20"/>
        </w:rPr>
        <w:t xml:space="preserve"> </w:t>
      </w:r>
      <w:r w:rsidRPr="00DF1884">
        <w:rPr>
          <w:szCs w:val="20"/>
        </w:rPr>
        <w:t>al.</w:t>
      </w:r>
      <w:r w:rsidR="00DF1884" w:rsidRPr="00DF1884">
        <w:rPr>
          <w:szCs w:val="20"/>
        </w:rPr>
        <w:t xml:space="preserve"> </w:t>
      </w:r>
      <w:r w:rsidRPr="00DF1884">
        <w:rPr>
          <w:szCs w:val="20"/>
        </w:rPr>
        <w:t>2013.</w:t>
      </w:r>
      <w:r w:rsidR="00DF1884" w:rsidRPr="00DF1884">
        <w:rPr>
          <w:szCs w:val="20"/>
        </w:rPr>
        <w:t xml:space="preserve"> </w:t>
      </w:r>
      <w:r w:rsidRPr="00DF1884">
        <w:rPr>
          <w:szCs w:val="20"/>
        </w:rPr>
        <w:t>“Effect</w:t>
      </w:r>
      <w:r w:rsidR="00DF1884" w:rsidRPr="00DF1884">
        <w:rPr>
          <w:szCs w:val="20"/>
        </w:rPr>
        <w:t xml:space="preserve"> </w:t>
      </w:r>
      <w:r w:rsidRPr="00DF1884">
        <w:rPr>
          <w:szCs w:val="20"/>
        </w:rPr>
        <w:t>of</w:t>
      </w:r>
      <w:r w:rsidR="00DF1884" w:rsidRPr="00DF1884">
        <w:rPr>
          <w:szCs w:val="20"/>
        </w:rPr>
        <w:t xml:space="preserve"> </w:t>
      </w:r>
      <w:r w:rsidRPr="00DF1884">
        <w:rPr>
          <w:szCs w:val="20"/>
        </w:rPr>
        <w:t>statins</w:t>
      </w:r>
      <w:r w:rsidR="00DF1884" w:rsidRPr="00DF1884">
        <w:rPr>
          <w:szCs w:val="20"/>
        </w:rPr>
        <w:t xml:space="preserve"> </w:t>
      </w:r>
      <w:r w:rsidRPr="00DF1884">
        <w:rPr>
          <w:szCs w:val="20"/>
        </w:rPr>
        <w:t>on</w:t>
      </w:r>
      <w:r w:rsidR="00DF1884" w:rsidRPr="00DF1884">
        <w:rPr>
          <w:szCs w:val="20"/>
        </w:rPr>
        <w:t xml:space="preserve"> </w:t>
      </w:r>
      <w:r w:rsidRPr="00DF1884">
        <w:rPr>
          <w:szCs w:val="20"/>
        </w:rPr>
        <w:t>skeletal</w:t>
      </w:r>
      <w:r w:rsidR="00DF1884" w:rsidRPr="00DF1884">
        <w:rPr>
          <w:szCs w:val="20"/>
        </w:rPr>
        <w:t xml:space="preserve"> </w:t>
      </w:r>
      <w:r w:rsidRPr="00DF1884">
        <w:rPr>
          <w:szCs w:val="20"/>
        </w:rPr>
        <w:t>muscle</w:t>
      </w:r>
      <w:r w:rsidR="00DF1884" w:rsidRPr="00DF1884">
        <w:rPr>
          <w:szCs w:val="20"/>
        </w:rPr>
        <w:t xml:space="preserve"> </w:t>
      </w:r>
      <w:r w:rsidRPr="00DF1884">
        <w:rPr>
          <w:szCs w:val="20"/>
        </w:rPr>
        <w:t>function.”</w:t>
      </w:r>
      <w:r w:rsidR="00DF1884" w:rsidRPr="00DF1884">
        <w:rPr>
          <w:szCs w:val="20"/>
        </w:rPr>
        <w:t xml:space="preserve"> </w:t>
      </w:r>
      <w:r w:rsidR="002E4322" w:rsidRPr="00DF1884">
        <w:rPr>
          <w:i/>
          <w:szCs w:val="20"/>
        </w:rPr>
        <w:t>Circulation.</w:t>
      </w:r>
      <w:r w:rsidR="00DF1884" w:rsidRPr="00DF1884">
        <w:rPr>
          <w:szCs w:val="20"/>
        </w:rPr>
        <w:t xml:space="preserve"> </w:t>
      </w:r>
      <w:r w:rsidRPr="00DF1884">
        <w:rPr>
          <w:szCs w:val="20"/>
        </w:rPr>
        <w:t>127(1):96-103.</w:t>
      </w:r>
      <w:r w:rsidR="00DF1884" w:rsidRPr="00DF1884">
        <w:rPr>
          <w:szCs w:val="20"/>
        </w:rPr>
        <w:t xml:space="preserve"> </w:t>
      </w:r>
      <w:r w:rsidRPr="00DF1884">
        <w:rPr>
          <w:szCs w:val="20"/>
        </w:rPr>
        <w:t>doi.</w:t>
      </w:r>
      <w:r w:rsidR="00DF1884" w:rsidRPr="00DF1884">
        <w:rPr>
          <w:szCs w:val="20"/>
        </w:rPr>
        <w:t xml:space="preserve"> </w:t>
      </w:r>
      <w:r w:rsidRPr="00DF1884">
        <w:rPr>
          <w:szCs w:val="20"/>
        </w:rPr>
        <w:t>10.1161/CIRCULATIONAHA.112.136101.</w:t>
      </w:r>
    </w:p>
    <w:p w14:paraId="5BD9EDA4" w14:textId="7D3A9644" w:rsidR="005B5649" w:rsidRPr="00DF1884" w:rsidRDefault="005B5649" w:rsidP="005B5649">
      <w:pPr>
        <w:pStyle w:val="Body"/>
        <w:spacing w:before="0"/>
        <w:ind w:left="216" w:hanging="216"/>
        <w:rPr>
          <w:b/>
          <w:szCs w:val="20"/>
        </w:rPr>
      </w:pPr>
      <w:r w:rsidRPr="00DF1884">
        <w:rPr>
          <w:szCs w:val="20"/>
        </w:rPr>
        <w:t>Rasmussen,</w:t>
      </w:r>
      <w:r w:rsidR="00DF1884" w:rsidRPr="00DF1884">
        <w:rPr>
          <w:szCs w:val="20"/>
        </w:rPr>
        <w:t xml:space="preserve"> </w:t>
      </w:r>
      <w:r w:rsidRPr="00DF1884">
        <w:rPr>
          <w:szCs w:val="20"/>
        </w:rPr>
        <w:t>J.N.,</w:t>
      </w:r>
      <w:r w:rsidR="00DF1884" w:rsidRPr="00DF1884">
        <w:rPr>
          <w:szCs w:val="20"/>
        </w:rPr>
        <w:t xml:space="preserve"> </w:t>
      </w:r>
      <w:r w:rsidRPr="00DF1884">
        <w:rPr>
          <w:szCs w:val="20"/>
        </w:rPr>
        <w:t>A.</w:t>
      </w:r>
      <w:r w:rsidR="00DF1884" w:rsidRPr="00DF1884">
        <w:rPr>
          <w:szCs w:val="20"/>
        </w:rPr>
        <w:t xml:space="preserve"> </w:t>
      </w:r>
      <w:r w:rsidRPr="00DF1884">
        <w:rPr>
          <w:szCs w:val="20"/>
        </w:rPr>
        <w:t>Chong,</w:t>
      </w:r>
      <w:r w:rsidR="00DF1884" w:rsidRPr="00DF1884">
        <w:rPr>
          <w:szCs w:val="20"/>
        </w:rPr>
        <w:t xml:space="preserve"> </w:t>
      </w:r>
      <w:r w:rsidRPr="00DF1884">
        <w:rPr>
          <w:szCs w:val="20"/>
        </w:rPr>
        <w:t>D.A.</w:t>
      </w:r>
      <w:r w:rsidR="00DF1884" w:rsidRPr="00DF1884">
        <w:rPr>
          <w:szCs w:val="20"/>
        </w:rPr>
        <w:t xml:space="preserve"> </w:t>
      </w:r>
      <w:r w:rsidRPr="00DF1884">
        <w:rPr>
          <w:szCs w:val="20"/>
        </w:rPr>
        <w:t>Alter.</w:t>
      </w:r>
      <w:r w:rsidR="00DF1884" w:rsidRPr="00DF1884">
        <w:rPr>
          <w:szCs w:val="20"/>
        </w:rPr>
        <w:t xml:space="preserve"> </w:t>
      </w:r>
      <w:r w:rsidRPr="00DF1884">
        <w:rPr>
          <w:szCs w:val="20"/>
        </w:rPr>
        <w:t>2007.</w:t>
      </w:r>
      <w:r w:rsidR="00DF1884" w:rsidRPr="00DF1884">
        <w:rPr>
          <w:szCs w:val="20"/>
        </w:rPr>
        <w:t xml:space="preserve"> </w:t>
      </w:r>
      <w:r w:rsidRPr="00DF1884">
        <w:rPr>
          <w:szCs w:val="20"/>
        </w:rPr>
        <w:t>“Relationship</w:t>
      </w:r>
      <w:r w:rsidR="00DF1884" w:rsidRPr="00DF1884">
        <w:rPr>
          <w:szCs w:val="20"/>
        </w:rPr>
        <w:t xml:space="preserve"> </w:t>
      </w:r>
      <w:r w:rsidRPr="00DF1884">
        <w:rPr>
          <w:szCs w:val="20"/>
        </w:rPr>
        <w:t>between</w:t>
      </w:r>
      <w:r w:rsidR="00DF1884" w:rsidRPr="00DF1884">
        <w:rPr>
          <w:szCs w:val="20"/>
        </w:rPr>
        <w:t xml:space="preserve"> </w:t>
      </w:r>
      <w:r w:rsidRPr="00DF1884">
        <w:rPr>
          <w:szCs w:val="20"/>
        </w:rPr>
        <w:t>adherence</w:t>
      </w:r>
      <w:r w:rsidR="00DF1884" w:rsidRPr="00DF1884">
        <w:rPr>
          <w:szCs w:val="20"/>
        </w:rPr>
        <w:t xml:space="preserve"> </w:t>
      </w:r>
      <w:r w:rsidRPr="00DF1884">
        <w:rPr>
          <w:szCs w:val="20"/>
        </w:rPr>
        <w:t>to</w:t>
      </w:r>
      <w:r w:rsidR="00DF1884" w:rsidRPr="00DF1884">
        <w:rPr>
          <w:szCs w:val="20"/>
        </w:rPr>
        <w:t xml:space="preserve"> </w:t>
      </w:r>
      <w:r w:rsidRPr="00DF1884">
        <w:rPr>
          <w:szCs w:val="20"/>
        </w:rPr>
        <w:t>evidence-based</w:t>
      </w:r>
      <w:r w:rsidR="00DF1884" w:rsidRPr="00DF1884">
        <w:rPr>
          <w:szCs w:val="20"/>
        </w:rPr>
        <w:t xml:space="preserve"> </w:t>
      </w:r>
      <w:r w:rsidRPr="00DF1884">
        <w:rPr>
          <w:szCs w:val="20"/>
        </w:rPr>
        <w:t>pharmacotherapy</w:t>
      </w:r>
      <w:r w:rsidR="00DF1884" w:rsidRPr="00DF1884">
        <w:rPr>
          <w:szCs w:val="20"/>
        </w:rPr>
        <w:t xml:space="preserve"> </w:t>
      </w:r>
      <w:r w:rsidRPr="00DF1884">
        <w:rPr>
          <w:szCs w:val="20"/>
        </w:rPr>
        <w:t>and</w:t>
      </w:r>
      <w:r w:rsidR="00DF1884" w:rsidRPr="00DF1884">
        <w:rPr>
          <w:szCs w:val="20"/>
        </w:rPr>
        <w:t xml:space="preserve"> </w:t>
      </w:r>
      <w:r w:rsidRPr="00DF1884">
        <w:rPr>
          <w:szCs w:val="20"/>
        </w:rPr>
        <w:t>long-term</w:t>
      </w:r>
      <w:r w:rsidR="00DF1884" w:rsidRPr="00DF1884">
        <w:rPr>
          <w:szCs w:val="20"/>
        </w:rPr>
        <w:t xml:space="preserve"> </w:t>
      </w:r>
      <w:r w:rsidRPr="00DF1884">
        <w:rPr>
          <w:szCs w:val="20"/>
        </w:rPr>
        <w:t>mortality</w:t>
      </w:r>
      <w:r w:rsidR="00DF1884" w:rsidRPr="00DF1884">
        <w:rPr>
          <w:szCs w:val="20"/>
        </w:rPr>
        <w:t xml:space="preserve"> </w:t>
      </w:r>
      <w:r w:rsidRPr="00DF1884">
        <w:rPr>
          <w:szCs w:val="20"/>
        </w:rPr>
        <w:t>after</w:t>
      </w:r>
      <w:r w:rsidR="00DF1884" w:rsidRPr="00DF1884">
        <w:rPr>
          <w:szCs w:val="20"/>
        </w:rPr>
        <w:t xml:space="preserve"> </w:t>
      </w:r>
      <w:r w:rsidRPr="00DF1884">
        <w:rPr>
          <w:szCs w:val="20"/>
        </w:rPr>
        <w:t>acute</w:t>
      </w:r>
      <w:r w:rsidR="00DF1884" w:rsidRPr="00DF1884">
        <w:rPr>
          <w:szCs w:val="20"/>
        </w:rPr>
        <w:t xml:space="preserve"> </w:t>
      </w:r>
      <w:r w:rsidRPr="00DF1884">
        <w:rPr>
          <w:szCs w:val="20"/>
        </w:rPr>
        <w:t>myocardial</w:t>
      </w:r>
      <w:r w:rsidR="00DF1884" w:rsidRPr="00DF1884">
        <w:rPr>
          <w:szCs w:val="20"/>
        </w:rPr>
        <w:t xml:space="preserve"> </w:t>
      </w:r>
      <w:r w:rsidRPr="00DF1884">
        <w:rPr>
          <w:szCs w:val="20"/>
        </w:rPr>
        <w:t>infarction.”</w:t>
      </w:r>
      <w:r w:rsidR="00DF1884" w:rsidRPr="00DF1884">
        <w:rPr>
          <w:szCs w:val="20"/>
        </w:rPr>
        <w:t xml:space="preserve"> </w:t>
      </w:r>
      <w:r w:rsidR="00B13789" w:rsidRPr="00DF1884">
        <w:rPr>
          <w:i/>
          <w:szCs w:val="20"/>
        </w:rPr>
        <w:t>JAMA</w:t>
      </w:r>
      <w:r w:rsidRPr="00DF1884">
        <w:rPr>
          <w:i/>
          <w:szCs w:val="20"/>
        </w:rPr>
        <w:t>.</w:t>
      </w:r>
      <w:r w:rsidR="00DF1884" w:rsidRPr="00DF1884">
        <w:rPr>
          <w:szCs w:val="20"/>
        </w:rPr>
        <w:t xml:space="preserve"> </w:t>
      </w:r>
      <w:r w:rsidRPr="00DF1884">
        <w:rPr>
          <w:szCs w:val="20"/>
        </w:rPr>
        <w:t>297(2):177</w:t>
      </w:r>
      <w:r w:rsidR="00B13789" w:rsidRPr="00DF1884">
        <w:rPr>
          <w:szCs w:val="20"/>
        </w:rPr>
        <w:t>–</w:t>
      </w:r>
      <w:r w:rsidRPr="00DF1884">
        <w:rPr>
          <w:szCs w:val="20"/>
        </w:rPr>
        <w:t>86.</w:t>
      </w:r>
    </w:p>
    <w:p w14:paraId="527E9B19" w14:textId="3C26ACBD" w:rsidR="005B5649" w:rsidRPr="00DF1884" w:rsidRDefault="005B5649" w:rsidP="005B5649">
      <w:pPr>
        <w:pStyle w:val="Body"/>
        <w:spacing w:before="0"/>
        <w:ind w:left="216" w:hanging="216"/>
        <w:rPr>
          <w:b/>
          <w:szCs w:val="20"/>
        </w:rPr>
      </w:pPr>
      <w:r w:rsidRPr="00DF1884">
        <w:rPr>
          <w:szCs w:val="20"/>
        </w:rPr>
        <w:t>Stone,</w:t>
      </w:r>
      <w:r w:rsidR="00DF1884" w:rsidRPr="00DF1884">
        <w:rPr>
          <w:szCs w:val="20"/>
        </w:rPr>
        <w:t xml:space="preserve"> </w:t>
      </w:r>
      <w:r w:rsidRPr="00DF1884">
        <w:rPr>
          <w:szCs w:val="20"/>
        </w:rPr>
        <w:t>N.J.,</w:t>
      </w:r>
      <w:r w:rsidR="00DF1884" w:rsidRPr="00DF1884">
        <w:rPr>
          <w:szCs w:val="20"/>
        </w:rPr>
        <w:t xml:space="preserve"> </w:t>
      </w:r>
      <w:r w:rsidRPr="00DF1884">
        <w:rPr>
          <w:szCs w:val="20"/>
        </w:rPr>
        <w:t>J.</w:t>
      </w:r>
      <w:r w:rsidR="00DF1884" w:rsidRPr="00DF1884">
        <w:rPr>
          <w:szCs w:val="20"/>
        </w:rPr>
        <w:t xml:space="preserve"> </w:t>
      </w:r>
      <w:r w:rsidRPr="00DF1884">
        <w:rPr>
          <w:szCs w:val="20"/>
        </w:rPr>
        <w:t>Robinson,</w:t>
      </w:r>
      <w:r w:rsidR="00DF1884" w:rsidRPr="00DF1884">
        <w:rPr>
          <w:szCs w:val="20"/>
        </w:rPr>
        <w:t xml:space="preserve"> </w:t>
      </w:r>
      <w:r w:rsidRPr="00DF1884">
        <w:rPr>
          <w:szCs w:val="20"/>
        </w:rPr>
        <w:t>A.H.</w:t>
      </w:r>
      <w:r w:rsidR="00DF1884" w:rsidRPr="00DF1884">
        <w:rPr>
          <w:szCs w:val="20"/>
        </w:rPr>
        <w:t xml:space="preserve"> </w:t>
      </w:r>
      <w:r w:rsidRPr="00DF1884">
        <w:rPr>
          <w:szCs w:val="20"/>
        </w:rPr>
        <w:t>Lichtenstein,</w:t>
      </w:r>
      <w:r w:rsidR="00DF1884" w:rsidRPr="00DF1884">
        <w:rPr>
          <w:szCs w:val="20"/>
        </w:rPr>
        <w:t xml:space="preserve"> </w:t>
      </w:r>
      <w:r w:rsidRPr="00DF1884">
        <w:rPr>
          <w:szCs w:val="20"/>
        </w:rPr>
        <w:t>et</w:t>
      </w:r>
      <w:r w:rsidR="00DF1884" w:rsidRPr="00DF1884">
        <w:rPr>
          <w:szCs w:val="20"/>
        </w:rPr>
        <w:t xml:space="preserve"> </w:t>
      </w:r>
      <w:r w:rsidRPr="00DF1884">
        <w:rPr>
          <w:szCs w:val="20"/>
        </w:rPr>
        <w:t>al.</w:t>
      </w:r>
      <w:r w:rsidR="00DF1884" w:rsidRPr="00DF1884">
        <w:rPr>
          <w:szCs w:val="20"/>
        </w:rPr>
        <w:t xml:space="preserve"> </w:t>
      </w:r>
      <w:r w:rsidRPr="00DF1884">
        <w:rPr>
          <w:szCs w:val="20"/>
        </w:rPr>
        <w:t>2013.</w:t>
      </w:r>
      <w:r w:rsidR="00DF1884" w:rsidRPr="00DF1884">
        <w:rPr>
          <w:szCs w:val="20"/>
        </w:rPr>
        <w:t xml:space="preserve"> </w:t>
      </w:r>
      <w:r w:rsidRPr="00DF1884">
        <w:rPr>
          <w:szCs w:val="20"/>
        </w:rPr>
        <w:t>“2013</w:t>
      </w:r>
      <w:r w:rsidR="00DF1884" w:rsidRPr="00DF1884">
        <w:rPr>
          <w:szCs w:val="20"/>
        </w:rPr>
        <w:t xml:space="preserve"> </w:t>
      </w:r>
      <w:r w:rsidRPr="00DF1884">
        <w:rPr>
          <w:szCs w:val="20"/>
        </w:rPr>
        <w:t>ACC/AHA</w:t>
      </w:r>
      <w:r w:rsidR="00DF1884" w:rsidRPr="00DF1884">
        <w:rPr>
          <w:szCs w:val="20"/>
        </w:rPr>
        <w:t xml:space="preserve"> </w:t>
      </w:r>
      <w:r w:rsidRPr="00DF1884">
        <w:rPr>
          <w:szCs w:val="20"/>
        </w:rPr>
        <w:t>Guideline</w:t>
      </w:r>
      <w:r w:rsidR="00DF1884" w:rsidRPr="00DF1884">
        <w:rPr>
          <w:szCs w:val="20"/>
        </w:rPr>
        <w:t xml:space="preserve"> </w:t>
      </w:r>
      <w:r w:rsidRPr="00DF1884">
        <w:rPr>
          <w:szCs w:val="20"/>
        </w:rPr>
        <w:t>on</w:t>
      </w:r>
      <w:r w:rsidR="00DF1884" w:rsidRPr="00DF1884">
        <w:rPr>
          <w:szCs w:val="20"/>
        </w:rPr>
        <w:t xml:space="preserve"> </w:t>
      </w:r>
      <w:r w:rsidRPr="00DF1884">
        <w:rPr>
          <w:szCs w:val="20"/>
        </w:rPr>
        <w:t>the</w:t>
      </w:r>
      <w:r w:rsidR="00DF1884" w:rsidRPr="00DF1884">
        <w:rPr>
          <w:szCs w:val="20"/>
        </w:rPr>
        <w:t xml:space="preserve"> </w:t>
      </w:r>
      <w:r w:rsidRPr="00DF1884">
        <w:rPr>
          <w:szCs w:val="20"/>
        </w:rPr>
        <w:t>Treatment</w:t>
      </w:r>
      <w:r w:rsidR="00DF1884" w:rsidRPr="00DF1884">
        <w:rPr>
          <w:szCs w:val="20"/>
        </w:rPr>
        <w:t xml:space="preserve"> </w:t>
      </w:r>
      <w:r w:rsidRPr="00DF1884">
        <w:rPr>
          <w:szCs w:val="20"/>
        </w:rPr>
        <w:t>of</w:t>
      </w:r>
      <w:r w:rsidR="00DF1884" w:rsidRPr="00DF1884">
        <w:rPr>
          <w:szCs w:val="20"/>
        </w:rPr>
        <w:t xml:space="preserve"> </w:t>
      </w:r>
      <w:r w:rsidRPr="00DF1884">
        <w:rPr>
          <w:szCs w:val="20"/>
        </w:rPr>
        <w:t>Blood</w:t>
      </w:r>
      <w:r w:rsidR="00DF1884" w:rsidRPr="00DF1884">
        <w:rPr>
          <w:szCs w:val="20"/>
        </w:rPr>
        <w:t xml:space="preserve"> </w:t>
      </w:r>
      <w:r w:rsidRPr="00DF1884">
        <w:rPr>
          <w:szCs w:val="20"/>
        </w:rPr>
        <w:t>Cholesterol</w:t>
      </w:r>
      <w:r w:rsidR="00DF1884" w:rsidRPr="00DF1884">
        <w:rPr>
          <w:szCs w:val="20"/>
        </w:rPr>
        <w:t xml:space="preserve"> </w:t>
      </w:r>
      <w:r w:rsidRPr="00DF1884">
        <w:rPr>
          <w:szCs w:val="20"/>
        </w:rPr>
        <w:t>to</w:t>
      </w:r>
      <w:r w:rsidR="00DF1884" w:rsidRPr="00DF1884">
        <w:rPr>
          <w:szCs w:val="20"/>
        </w:rPr>
        <w:t xml:space="preserve"> </w:t>
      </w:r>
      <w:r w:rsidRPr="00DF1884">
        <w:rPr>
          <w:szCs w:val="20"/>
        </w:rPr>
        <w:t>Reduce</w:t>
      </w:r>
      <w:r w:rsidR="00DF1884" w:rsidRPr="00DF1884">
        <w:rPr>
          <w:szCs w:val="20"/>
        </w:rPr>
        <w:t xml:space="preserve"> </w:t>
      </w:r>
      <w:r w:rsidRPr="00DF1884">
        <w:rPr>
          <w:szCs w:val="20"/>
        </w:rPr>
        <w:t>Atherosclerotic</w:t>
      </w:r>
      <w:r w:rsidR="00DF1884" w:rsidRPr="00DF1884">
        <w:rPr>
          <w:szCs w:val="20"/>
        </w:rPr>
        <w:t xml:space="preserve"> </w:t>
      </w:r>
      <w:r w:rsidRPr="00DF1884">
        <w:rPr>
          <w:szCs w:val="20"/>
        </w:rPr>
        <w:t>Cardiovascular</w:t>
      </w:r>
      <w:r w:rsidR="00DF1884" w:rsidRPr="00DF1884">
        <w:rPr>
          <w:szCs w:val="20"/>
        </w:rPr>
        <w:t xml:space="preserve"> </w:t>
      </w:r>
      <w:r w:rsidRPr="00DF1884">
        <w:rPr>
          <w:szCs w:val="20"/>
        </w:rPr>
        <w:t>Risk</w:t>
      </w:r>
      <w:r w:rsidR="00DF1884" w:rsidRPr="00DF1884">
        <w:rPr>
          <w:szCs w:val="20"/>
        </w:rPr>
        <w:t xml:space="preserve"> </w:t>
      </w:r>
      <w:r w:rsidRPr="00DF1884">
        <w:rPr>
          <w:szCs w:val="20"/>
        </w:rPr>
        <w:t>in</w:t>
      </w:r>
      <w:r w:rsidR="00DF1884" w:rsidRPr="00DF1884">
        <w:rPr>
          <w:szCs w:val="20"/>
        </w:rPr>
        <w:t xml:space="preserve"> </w:t>
      </w:r>
      <w:r w:rsidRPr="00DF1884">
        <w:rPr>
          <w:szCs w:val="20"/>
        </w:rPr>
        <w:t>Adults.”</w:t>
      </w:r>
      <w:r w:rsidR="00DF1884" w:rsidRPr="00DF1884">
        <w:rPr>
          <w:szCs w:val="20"/>
        </w:rPr>
        <w:t xml:space="preserve"> </w:t>
      </w:r>
      <w:r w:rsidRPr="00DF1884">
        <w:rPr>
          <w:i/>
          <w:szCs w:val="20"/>
        </w:rPr>
        <w:t>J</w:t>
      </w:r>
      <w:r w:rsidR="00DF1884" w:rsidRPr="00DF1884">
        <w:rPr>
          <w:i/>
          <w:szCs w:val="20"/>
        </w:rPr>
        <w:t xml:space="preserve"> </w:t>
      </w:r>
      <w:r w:rsidRPr="00DF1884">
        <w:rPr>
          <w:i/>
          <w:szCs w:val="20"/>
        </w:rPr>
        <w:t>Am</w:t>
      </w:r>
      <w:r w:rsidR="00DF1884" w:rsidRPr="00DF1884">
        <w:rPr>
          <w:i/>
          <w:szCs w:val="20"/>
        </w:rPr>
        <w:t xml:space="preserve"> </w:t>
      </w:r>
      <w:r w:rsidRPr="00DF1884">
        <w:rPr>
          <w:i/>
          <w:szCs w:val="20"/>
        </w:rPr>
        <w:t>Coll</w:t>
      </w:r>
      <w:r w:rsidR="00DF1884" w:rsidRPr="00DF1884">
        <w:rPr>
          <w:i/>
          <w:szCs w:val="20"/>
        </w:rPr>
        <w:t xml:space="preserve"> </w:t>
      </w:r>
      <w:r w:rsidRPr="00DF1884">
        <w:rPr>
          <w:i/>
          <w:szCs w:val="20"/>
        </w:rPr>
        <w:t>Cardiol.</w:t>
      </w:r>
      <w:r w:rsidR="00DF1884" w:rsidRPr="00DF1884">
        <w:rPr>
          <w:szCs w:val="20"/>
        </w:rPr>
        <w:t xml:space="preserve"> </w:t>
      </w:r>
      <w:r w:rsidRPr="00DF1884">
        <w:rPr>
          <w:szCs w:val="20"/>
        </w:rPr>
        <w:t>63(25</w:t>
      </w:r>
      <w:r w:rsidR="00DF1884" w:rsidRPr="00DF1884">
        <w:rPr>
          <w:szCs w:val="20"/>
        </w:rPr>
        <w:t xml:space="preserve"> </w:t>
      </w:r>
      <w:r w:rsidRPr="00DF1884">
        <w:rPr>
          <w:szCs w:val="20"/>
        </w:rPr>
        <w:t>Pt</w:t>
      </w:r>
      <w:r w:rsidR="00DF1884" w:rsidRPr="00DF1884">
        <w:rPr>
          <w:szCs w:val="20"/>
        </w:rPr>
        <w:t xml:space="preserve"> </w:t>
      </w:r>
      <w:r w:rsidRPr="00DF1884">
        <w:rPr>
          <w:szCs w:val="20"/>
        </w:rPr>
        <w:t>B):2889-934.</w:t>
      </w:r>
      <w:r w:rsidR="00DF1884" w:rsidRPr="00DF1884">
        <w:rPr>
          <w:szCs w:val="20"/>
        </w:rPr>
        <w:t xml:space="preserve"> </w:t>
      </w:r>
      <w:r w:rsidRPr="00DF1884">
        <w:rPr>
          <w:szCs w:val="20"/>
        </w:rPr>
        <w:t>doi:</w:t>
      </w:r>
      <w:r w:rsidR="00DF1884" w:rsidRPr="00DF1884">
        <w:rPr>
          <w:szCs w:val="20"/>
        </w:rPr>
        <w:t xml:space="preserve"> </w:t>
      </w:r>
      <w:r w:rsidRPr="00DF1884">
        <w:rPr>
          <w:szCs w:val="20"/>
        </w:rPr>
        <w:t>10.1016/j.jacc.2013.11.002.</w:t>
      </w:r>
      <w:r w:rsidR="00DF1884" w:rsidRPr="00DF1884">
        <w:rPr>
          <w:szCs w:val="20"/>
        </w:rPr>
        <w:t xml:space="preserve"> </w:t>
      </w:r>
      <w:r w:rsidRPr="00DF1884">
        <w:rPr>
          <w:szCs w:val="20"/>
        </w:rPr>
        <w:t>Epub</w:t>
      </w:r>
      <w:r w:rsidR="00DF1884" w:rsidRPr="00DF1884">
        <w:rPr>
          <w:szCs w:val="20"/>
        </w:rPr>
        <w:t xml:space="preserve"> </w:t>
      </w:r>
      <w:r w:rsidRPr="00DF1884">
        <w:rPr>
          <w:szCs w:val="20"/>
        </w:rPr>
        <w:t>2013</w:t>
      </w:r>
      <w:r w:rsidR="00DF1884" w:rsidRPr="00DF1884">
        <w:rPr>
          <w:szCs w:val="20"/>
        </w:rPr>
        <w:t xml:space="preserve"> </w:t>
      </w:r>
      <w:r w:rsidRPr="00DF1884">
        <w:rPr>
          <w:szCs w:val="20"/>
        </w:rPr>
        <w:t>Nov</w:t>
      </w:r>
      <w:r w:rsidR="00DF1884" w:rsidRPr="00DF1884">
        <w:rPr>
          <w:szCs w:val="20"/>
        </w:rPr>
        <w:t xml:space="preserve"> </w:t>
      </w:r>
      <w:r w:rsidRPr="00DF1884">
        <w:rPr>
          <w:szCs w:val="20"/>
        </w:rPr>
        <w:t>12.</w:t>
      </w:r>
    </w:p>
    <w:p w14:paraId="5E10E4D9" w14:textId="429525CC" w:rsidR="005B5649" w:rsidRPr="00DF1884" w:rsidRDefault="005B5649" w:rsidP="005B5649">
      <w:pPr>
        <w:pStyle w:val="Body"/>
        <w:spacing w:before="0"/>
        <w:ind w:left="216" w:hanging="216"/>
        <w:rPr>
          <w:b/>
          <w:szCs w:val="20"/>
        </w:rPr>
      </w:pPr>
      <w:r w:rsidRPr="00DF1884">
        <w:rPr>
          <w:szCs w:val="20"/>
        </w:rPr>
        <w:t>Tandra,</w:t>
      </w:r>
      <w:r w:rsidR="00DF1884" w:rsidRPr="00DF1884">
        <w:rPr>
          <w:szCs w:val="20"/>
        </w:rPr>
        <w:t xml:space="preserve"> </w:t>
      </w:r>
      <w:r w:rsidRPr="00DF1884">
        <w:rPr>
          <w:szCs w:val="20"/>
        </w:rPr>
        <w:t>S.</w:t>
      </w:r>
      <w:r w:rsidR="00DF1884" w:rsidRPr="00DF1884">
        <w:rPr>
          <w:szCs w:val="20"/>
        </w:rPr>
        <w:t xml:space="preserve"> </w:t>
      </w:r>
      <w:r w:rsidRPr="00DF1884">
        <w:rPr>
          <w:szCs w:val="20"/>
        </w:rPr>
        <w:t>and</w:t>
      </w:r>
      <w:r w:rsidR="00DF1884" w:rsidRPr="00DF1884">
        <w:rPr>
          <w:szCs w:val="20"/>
        </w:rPr>
        <w:t xml:space="preserve"> </w:t>
      </w:r>
      <w:r w:rsidRPr="00DF1884">
        <w:rPr>
          <w:szCs w:val="20"/>
        </w:rPr>
        <w:t>R.</w:t>
      </w:r>
      <w:r w:rsidR="00DF1884" w:rsidRPr="00DF1884">
        <w:rPr>
          <w:szCs w:val="20"/>
        </w:rPr>
        <w:t xml:space="preserve"> </w:t>
      </w:r>
      <w:r w:rsidRPr="00DF1884">
        <w:rPr>
          <w:szCs w:val="20"/>
        </w:rPr>
        <w:t>Vuppalanchi.</w:t>
      </w:r>
      <w:r w:rsidR="00DF1884" w:rsidRPr="00DF1884">
        <w:rPr>
          <w:szCs w:val="20"/>
        </w:rPr>
        <w:t xml:space="preserve"> </w:t>
      </w:r>
      <w:r w:rsidRPr="00DF1884">
        <w:rPr>
          <w:szCs w:val="20"/>
        </w:rPr>
        <w:t>2009.</w:t>
      </w:r>
      <w:r w:rsidR="00DF1884" w:rsidRPr="00DF1884">
        <w:rPr>
          <w:szCs w:val="20"/>
        </w:rPr>
        <w:t xml:space="preserve"> </w:t>
      </w:r>
      <w:r w:rsidRPr="00DF1884">
        <w:rPr>
          <w:szCs w:val="20"/>
        </w:rPr>
        <w:t>“Use</w:t>
      </w:r>
      <w:r w:rsidR="00DF1884" w:rsidRPr="00DF1884">
        <w:rPr>
          <w:szCs w:val="20"/>
        </w:rPr>
        <w:t xml:space="preserve"> </w:t>
      </w:r>
      <w:r w:rsidRPr="00DF1884">
        <w:rPr>
          <w:szCs w:val="20"/>
        </w:rPr>
        <w:t>of</w:t>
      </w:r>
      <w:r w:rsidR="00DF1884" w:rsidRPr="00DF1884">
        <w:rPr>
          <w:szCs w:val="20"/>
        </w:rPr>
        <w:t xml:space="preserve"> </w:t>
      </w:r>
      <w:r w:rsidRPr="00DF1884">
        <w:rPr>
          <w:szCs w:val="20"/>
        </w:rPr>
        <w:t>statins</w:t>
      </w:r>
      <w:r w:rsidR="00DF1884" w:rsidRPr="00DF1884">
        <w:rPr>
          <w:szCs w:val="20"/>
        </w:rPr>
        <w:t xml:space="preserve"> </w:t>
      </w:r>
      <w:r w:rsidRPr="00DF1884">
        <w:rPr>
          <w:szCs w:val="20"/>
        </w:rPr>
        <w:t>in</w:t>
      </w:r>
      <w:r w:rsidR="00DF1884" w:rsidRPr="00DF1884">
        <w:rPr>
          <w:szCs w:val="20"/>
        </w:rPr>
        <w:t xml:space="preserve"> </w:t>
      </w:r>
      <w:r w:rsidRPr="00DF1884">
        <w:rPr>
          <w:szCs w:val="20"/>
        </w:rPr>
        <w:t>patients</w:t>
      </w:r>
      <w:r w:rsidR="00DF1884" w:rsidRPr="00DF1884">
        <w:rPr>
          <w:szCs w:val="20"/>
        </w:rPr>
        <w:t xml:space="preserve"> </w:t>
      </w:r>
      <w:r w:rsidRPr="00DF1884">
        <w:rPr>
          <w:szCs w:val="20"/>
        </w:rPr>
        <w:t>with</w:t>
      </w:r>
      <w:r w:rsidR="00DF1884" w:rsidRPr="00DF1884">
        <w:rPr>
          <w:szCs w:val="20"/>
        </w:rPr>
        <w:t xml:space="preserve"> </w:t>
      </w:r>
      <w:r w:rsidRPr="00DF1884">
        <w:rPr>
          <w:szCs w:val="20"/>
        </w:rPr>
        <w:t>liver</w:t>
      </w:r>
      <w:r w:rsidR="00DF1884" w:rsidRPr="00DF1884">
        <w:rPr>
          <w:szCs w:val="20"/>
        </w:rPr>
        <w:t xml:space="preserve"> </w:t>
      </w:r>
      <w:r w:rsidRPr="00DF1884">
        <w:rPr>
          <w:szCs w:val="20"/>
        </w:rPr>
        <w:t>disease.</w:t>
      </w:r>
      <w:r w:rsidR="00DF1884" w:rsidRPr="00DF1884">
        <w:rPr>
          <w:szCs w:val="20"/>
        </w:rPr>
        <w:t xml:space="preserve"> </w:t>
      </w:r>
      <w:r w:rsidRPr="00DF1884">
        <w:rPr>
          <w:szCs w:val="20"/>
        </w:rPr>
        <w:t>Current</w:t>
      </w:r>
      <w:r w:rsidR="00DF1884" w:rsidRPr="00DF1884">
        <w:rPr>
          <w:szCs w:val="20"/>
        </w:rPr>
        <w:t xml:space="preserve"> </w:t>
      </w:r>
      <w:r w:rsidRPr="00DF1884">
        <w:rPr>
          <w:szCs w:val="20"/>
        </w:rPr>
        <w:t>Treatment</w:t>
      </w:r>
      <w:r w:rsidR="00DF1884" w:rsidRPr="00DF1884">
        <w:rPr>
          <w:szCs w:val="20"/>
        </w:rPr>
        <w:t xml:space="preserve"> </w:t>
      </w:r>
      <w:r w:rsidRPr="00DF1884">
        <w:rPr>
          <w:szCs w:val="20"/>
        </w:rPr>
        <w:t>Options</w:t>
      </w:r>
      <w:r w:rsidR="00DF1884" w:rsidRPr="00DF1884">
        <w:rPr>
          <w:szCs w:val="20"/>
        </w:rPr>
        <w:t xml:space="preserve"> </w:t>
      </w:r>
      <w:r w:rsidRPr="00DF1884">
        <w:rPr>
          <w:szCs w:val="20"/>
        </w:rPr>
        <w:t>in</w:t>
      </w:r>
      <w:r w:rsidR="00DF1884" w:rsidRPr="00DF1884">
        <w:rPr>
          <w:szCs w:val="20"/>
        </w:rPr>
        <w:t xml:space="preserve"> </w:t>
      </w:r>
      <w:r w:rsidRPr="00DF1884">
        <w:rPr>
          <w:szCs w:val="20"/>
        </w:rPr>
        <w:t>Cardiovascular</w:t>
      </w:r>
      <w:r w:rsidR="00DF1884" w:rsidRPr="00DF1884">
        <w:rPr>
          <w:szCs w:val="20"/>
        </w:rPr>
        <w:t xml:space="preserve"> </w:t>
      </w:r>
      <w:r w:rsidRPr="00DF1884">
        <w:rPr>
          <w:szCs w:val="20"/>
        </w:rPr>
        <w:t>Medicine.”</w:t>
      </w:r>
      <w:r w:rsidR="00DF1884" w:rsidRPr="00DF1884">
        <w:rPr>
          <w:szCs w:val="20"/>
        </w:rPr>
        <w:t xml:space="preserve"> </w:t>
      </w:r>
      <w:r w:rsidRPr="00DF1884">
        <w:rPr>
          <w:szCs w:val="20"/>
        </w:rPr>
        <w:t>11(4):272</w:t>
      </w:r>
      <w:r w:rsidR="00B13789" w:rsidRPr="00DF1884">
        <w:rPr>
          <w:szCs w:val="20"/>
        </w:rPr>
        <w:t>–</w:t>
      </w:r>
      <w:r w:rsidRPr="00DF1884">
        <w:rPr>
          <w:szCs w:val="20"/>
        </w:rPr>
        <w:t>8.</w:t>
      </w:r>
    </w:p>
    <w:p w14:paraId="49283FB5" w14:textId="37BE7A00" w:rsidR="005B5649" w:rsidRPr="00DF1884" w:rsidRDefault="005B5649" w:rsidP="005B5649">
      <w:pPr>
        <w:pStyle w:val="Body"/>
        <w:spacing w:before="0"/>
        <w:ind w:left="216" w:hanging="216"/>
        <w:rPr>
          <w:b/>
          <w:szCs w:val="20"/>
        </w:rPr>
      </w:pPr>
      <w:r w:rsidRPr="00DF1884">
        <w:rPr>
          <w:szCs w:val="20"/>
        </w:rPr>
        <w:lastRenderedPageBreak/>
        <w:t>Thom,</w:t>
      </w:r>
      <w:r w:rsidR="00DF1884" w:rsidRPr="00DF1884">
        <w:rPr>
          <w:szCs w:val="20"/>
        </w:rPr>
        <w:t xml:space="preserve"> </w:t>
      </w:r>
      <w:r w:rsidRPr="00DF1884">
        <w:rPr>
          <w:szCs w:val="20"/>
        </w:rPr>
        <w:t>T.J.,</w:t>
      </w:r>
      <w:r w:rsidR="00DF1884" w:rsidRPr="00DF1884">
        <w:rPr>
          <w:szCs w:val="20"/>
        </w:rPr>
        <w:t xml:space="preserve"> </w:t>
      </w:r>
      <w:r w:rsidRPr="00DF1884">
        <w:rPr>
          <w:szCs w:val="20"/>
        </w:rPr>
        <w:t>W.B.</w:t>
      </w:r>
      <w:r w:rsidR="00DF1884" w:rsidRPr="00DF1884">
        <w:rPr>
          <w:szCs w:val="20"/>
        </w:rPr>
        <w:t xml:space="preserve"> </w:t>
      </w:r>
      <w:r w:rsidRPr="00DF1884">
        <w:rPr>
          <w:szCs w:val="20"/>
        </w:rPr>
        <w:t>Kannel,</w:t>
      </w:r>
      <w:r w:rsidR="00DF1884" w:rsidRPr="00DF1884">
        <w:rPr>
          <w:szCs w:val="20"/>
        </w:rPr>
        <w:t xml:space="preserve"> </w:t>
      </w:r>
      <w:r w:rsidRPr="00DF1884">
        <w:rPr>
          <w:szCs w:val="20"/>
        </w:rPr>
        <w:t>H.</w:t>
      </w:r>
      <w:r w:rsidR="00DF1884" w:rsidRPr="00DF1884">
        <w:rPr>
          <w:szCs w:val="20"/>
        </w:rPr>
        <w:t xml:space="preserve"> </w:t>
      </w:r>
      <w:r w:rsidRPr="00DF1884">
        <w:rPr>
          <w:szCs w:val="20"/>
        </w:rPr>
        <w:t>Silbershatz,</w:t>
      </w:r>
      <w:r w:rsidR="00DF1884" w:rsidRPr="00DF1884">
        <w:rPr>
          <w:szCs w:val="20"/>
        </w:rPr>
        <w:t xml:space="preserve"> </w:t>
      </w:r>
      <w:r w:rsidRPr="00DF1884">
        <w:rPr>
          <w:szCs w:val="20"/>
        </w:rPr>
        <w:t>R.B.</w:t>
      </w:r>
      <w:r w:rsidR="00DF1884" w:rsidRPr="00DF1884">
        <w:rPr>
          <w:szCs w:val="20"/>
        </w:rPr>
        <w:t xml:space="preserve"> </w:t>
      </w:r>
      <w:r w:rsidRPr="00DF1884">
        <w:rPr>
          <w:szCs w:val="20"/>
        </w:rPr>
        <w:t>D’Agostino</w:t>
      </w:r>
      <w:r w:rsidR="00DF1884" w:rsidRPr="00DF1884">
        <w:rPr>
          <w:szCs w:val="20"/>
        </w:rPr>
        <w:t xml:space="preserve"> </w:t>
      </w:r>
      <w:r w:rsidRPr="00DF1884">
        <w:rPr>
          <w:szCs w:val="20"/>
        </w:rPr>
        <w:t>Sr.</w:t>
      </w:r>
      <w:r w:rsidR="00DF1884" w:rsidRPr="00DF1884">
        <w:rPr>
          <w:szCs w:val="20"/>
        </w:rPr>
        <w:t xml:space="preserve"> </w:t>
      </w:r>
      <w:r w:rsidRPr="00DF1884">
        <w:rPr>
          <w:szCs w:val="20"/>
        </w:rPr>
        <w:t>2001.</w:t>
      </w:r>
      <w:r w:rsidR="00DF1884" w:rsidRPr="00DF1884">
        <w:rPr>
          <w:szCs w:val="20"/>
        </w:rPr>
        <w:t xml:space="preserve"> </w:t>
      </w:r>
      <w:r w:rsidRPr="00DF1884">
        <w:rPr>
          <w:szCs w:val="20"/>
        </w:rPr>
        <w:t>“Cardiovascular</w:t>
      </w:r>
      <w:r w:rsidR="00DF1884" w:rsidRPr="00DF1884">
        <w:rPr>
          <w:szCs w:val="20"/>
        </w:rPr>
        <w:t xml:space="preserve"> </w:t>
      </w:r>
      <w:r w:rsidRPr="00DF1884">
        <w:rPr>
          <w:szCs w:val="20"/>
        </w:rPr>
        <w:t>disease</w:t>
      </w:r>
      <w:r w:rsidR="00DF1884" w:rsidRPr="00DF1884">
        <w:rPr>
          <w:szCs w:val="20"/>
        </w:rPr>
        <w:t xml:space="preserve"> </w:t>
      </w:r>
      <w:r w:rsidRPr="00DF1884">
        <w:rPr>
          <w:szCs w:val="20"/>
        </w:rPr>
        <w:t>in</w:t>
      </w:r>
      <w:r w:rsidR="00DF1884" w:rsidRPr="00DF1884">
        <w:rPr>
          <w:szCs w:val="20"/>
        </w:rPr>
        <w:t xml:space="preserve"> </w:t>
      </w:r>
      <w:r w:rsidRPr="00DF1884">
        <w:rPr>
          <w:szCs w:val="20"/>
        </w:rPr>
        <w:t>the</w:t>
      </w:r>
      <w:r w:rsidR="00DF1884" w:rsidRPr="00DF1884">
        <w:rPr>
          <w:szCs w:val="20"/>
        </w:rPr>
        <w:t xml:space="preserve"> </w:t>
      </w:r>
      <w:r w:rsidRPr="00DF1884">
        <w:rPr>
          <w:szCs w:val="20"/>
        </w:rPr>
        <w:t>United</w:t>
      </w:r>
      <w:r w:rsidR="00DF1884" w:rsidRPr="00DF1884">
        <w:rPr>
          <w:szCs w:val="20"/>
        </w:rPr>
        <w:t xml:space="preserve"> </w:t>
      </w:r>
      <w:r w:rsidRPr="00DF1884">
        <w:rPr>
          <w:szCs w:val="20"/>
        </w:rPr>
        <w:t>States</w:t>
      </w:r>
      <w:r w:rsidR="00DF1884" w:rsidRPr="00DF1884">
        <w:rPr>
          <w:szCs w:val="20"/>
        </w:rPr>
        <w:t xml:space="preserve"> </w:t>
      </w:r>
      <w:r w:rsidRPr="00DF1884">
        <w:rPr>
          <w:szCs w:val="20"/>
        </w:rPr>
        <w:t>and</w:t>
      </w:r>
      <w:r w:rsidR="00DF1884" w:rsidRPr="00DF1884">
        <w:rPr>
          <w:szCs w:val="20"/>
        </w:rPr>
        <w:t xml:space="preserve"> </w:t>
      </w:r>
      <w:r w:rsidRPr="00DF1884">
        <w:rPr>
          <w:szCs w:val="20"/>
        </w:rPr>
        <w:t>prevention</w:t>
      </w:r>
      <w:r w:rsidR="00DF1884" w:rsidRPr="00DF1884">
        <w:rPr>
          <w:szCs w:val="20"/>
        </w:rPr>
        <w:t xml:space="preserve"> </w:t>
      </w:r>
      <w:r w:rsidRPr="00DF1884">
        <w:rPr>
          <w:szCs w:val="20"/>
        </w:rPr>
        <w:t>approaches.”</w:t>
      </w:r>
      <w:r w:rsidR="00DF1884" w:rsidRPr="00DF1884">
        <w:rPr>
          <w:szCs w:val="20"/>
        </w:rPr>
        <w:t xml:space="preserve"> </w:t>
      </w:r>
      <w:r w:rsidRPr="00DF1884">
        <w:rPr>
          <w:szCs w:val="20"/>
        </w:rPr>
        <w:t>In</w:t>
      </w:r>
      <w:r w:rsidR="00DF1884" w:rsidRPr="00DF1884">
        <w:rPr>
          <w:szCs w:val="20"/>
        </w:rPr>
        <w:t xml:space="preserve"> </w:t>
      </w:r>
      <w:r w:rsidRPr="00DF1884">
        <w:rPr>
          <w:szCs w:val="20"/>
        </w:rPr>
        <w:t>Hurst’s</w:t>
      </w:r>
      <w:r w:rsidR="00DF1884" w:rsidRPr="00DF1884">
        <w:rPr>
          <w:szCs w:val="20"/>
        </w:rPr>
        <w:t xml:space="preserve"> </w:t>
      </w:r>
      <w:r w:rsidR="00B13789" w:rsidRPr="00DF1884">
        <w:rPr>
          <w:szCs w:val="20"/>
        </w:rPr>
        <w:t>“T</w:t>
      </w:r>
      <w:r w:rsidRPr="00DF1884">
        <w:rPr>
          <w:szCs w:val="20"/>
        </w:rPr>
        <w:t>he</w:t>
      </w:r>
      <w:r w:rsidR="00DF1884" w:rsidRPr="00DF1884">
        <w:rPr>
          <w:szCs w:val="20"/>
        </w:rPr>
        <w:t xml:space="preserve"> </w:t>
      </w:r>
      <w:r w:rsidRPr="00DF1884">
        <w:rPr>
          <w:szCs w:val="20"/>
        </w:rPr>
        <w:t>Heart,</w:t>
      </w:r>
      <w:r w:rsidR="00B13789" w:rsidRPr="00DF1884">
        <w:rPr>
          <w:szCs w:val="20"/>
        </w:rPr>
        <w:t>”</w:t>
      </w:r>
      <w:r w:rsidR="00DF1884" w:rsidRPr="00DF1884">
        <w:rPr>
          <w:szCs w:val="20"/>
        </w:rPr>
        <w:t xml:space="preserve"> </w:t>
      </w:r>
      <w:r w:rsidRPr="00DF1884">
        <w:rPr>
          <w:szCs w:val="20"/>
        </w:rPr>
        <w:t>edited</w:t>
      </w:r>
      <w:r w:rsidR="00DF1884" w:rsidRPr="00DF1884">
        <w:rPr>
          <w:szCs w:val="20"/>
        </w:rPr>
        <w:t xml:space="preserve"> </w:t>
      </w:r>
      <w:r w:rsidRPr="00DF1884">
        <w:rPr>
          <w:szCs w:val="20"/>
        </w:rPr>
        <w:t>by</w:t>
      </w:r>
      <w:r w:rsidR="00DF1884" w:rsidRPr="00DF1884">
        <w:rPr>
          <w:szCs w:val="20"/>
        </w:rPr>
        <w:t xml:space="preserve"> </w:t>
      </w:r>
      <w:r w:rsidRPr="00DF1884">
        <w:rPr>
          <w:szCs w:val="20"/>
        </w:rPr>
        <w:t>V.</w:t>
      </w:r>
      <w:r w:rsidR="00DF1884" w:rsidRPr="00DF1884">
        <w:rPr>
          <w:szCs w:val="20"/>
        </w:rPr>
        <w:t xml:space="preserve"> </w:t>
      </w:r>
      <w:r w:rsidRPr="00DF1884">
        <w:rPr>
          <w:szCs w:val="20"/>
        </w:rPr>
        <w:t>Fuster,</w:t>
      </w:r>
      <w:r w:rsidR="00DF1884" w:rsidRPr="00DF1884">
        <w:rPr>
          <w:szCs w:val="20"/>
        </w:rPr>
        <w:t xml:space="preserve"> </w:t>
      </w:r>
      <w:r w:rsidRPr="00DF1884">
        <w:rPr>
          <w:szCs w:val="20"/>
        </w:rPr>
        <w:t>R.W.</w:t>
      </w:r>
      <w:r w:rsidR="00DF1884" w:rsidRPr="00DF1884">
        <w:rPr>
          <w:szCs w:val="20"/>
        </w:rPr>
        <w:t xml:space="preserve"> </w:t>
      </w:r>
      <w:r w:rsidRPr="00DF1884">
        <w:rPr>
          <w:szCs w:val="20"/>
        </w:rPr>
        <w:t>Alexander,</w:t>
      </w:r>
      <w:r w:rsidR="00DF1884" w:rsidRPr="00DF1884">
        <w:rPr>
          <w:szCs w:val="20"/>
        </w:rPr>
        <w:t xml:space="preserve"> </w:t>
      </w:r>
      <w:r w:rsidRPr="00DF1884">
        <w:rPr>
          <w:szCs w:val="20"/>
        </w:rPr>
        <w:t>R.A.</w:t>
      </w:r>
      <w:r w:rsidR="00DF1884" w:rsidRPr="00DF1884">
        <w:rPr>
          <w:szCs w:val="20"/>
        </w:rPr>
        <w:t xml:space="preserve"> </w:t>
      </w:r>
      <w:r w:rsidRPr="00DF1884">
        <w:rPr>
          <w:szCs w:val="20"/>
        </w:rPr>
        <w:t>O’Rourke,</w:t>
      </w:r>
      <w:r w:rsidR="00DF1884" w:rsidRPr="00DF1884">
        <w:rPr>
          <w:szCs w:val="20"/>
        </w:rPr>
        <w:t xml:space="preserve"> </w:t>
      </w:r>
      <w:r w:rsidRPr="00DF1884">
        <w:rPr>
          <w:szCs w:val="20"/>
        </w:rPr>
        <w:t>R.</w:t>
      </w:r>
      <w:r w:rsidR="00DF1884" w:rsidRPr="00DF1884">
        <w:rPr>
          <w:szCs w:val="20"/>
        </w:rPr>
        <w:t xml:space="preserve"> </w:t>
      </w:r>
      <w:r w:rsidRPr="00DF1884">
        <w:rPr>
          <w:szCs w:val="20"/>
        </w:rPr>
        <w:t>Roberts,</w:t>
      </w:r>
      <w:r w:rsidR="00DF1884" w:rsidRPr="00DF1884">
        <w:rPr>
          <w:szCs w:val="20"/>
        </w:rPr>
        <w:t xml:space="preserve"> </w:t>
      </w:r>
      <w:r w:rsidRPr="00DF1884">
        <w:rPr>
          <w:szCs w:val="20"/>
        </w:rPr>
        <w:t>S.B.</w:t>
      </w:r>
      <w:r w:rsidR="00DF1884" w:rsidRPr="00DF1884">
        <w:rPr>
          <w:szCs w:val="20"/>
        </w:rPr>
        <w:t xml:space="preserve"> </w:t>
      </w:r>
      <w:r w:rsidRPr="00DF1884">
        <w:rPr>
          <w:szCs w:val="20"/>
        </w:rPr>
        <w:t>King</w:t>
      </w:r>
      <w:r w:rsidR="00DF1884" w:rsidRPr="00DF1884">
        <w:rPr>
          <w:szCs w:val="20"/>
        </w:rPr>
        <w:t xml:space="preserve"> </w:t>
      </w:r>
      <w:r w:rsidRPr="00DF1884">
        <w:rPr>
          <w:szCs w:val="20"/>
        </w:rPr>
        <w:t>3rd,</w:t>
      </w:r>
      <w:r w:rsidR="00DF1884" w:rsidRPr="00DF1884">
        <w:rPr>
          <w:szCs w:val="20"/>
        </w:rPr>
        <w:t xml:space="preserve"> </w:t>
      </w:r>
      <w:r w:rsidRPr="00DF1884">
        <w:rPr>
          <w:szCs w:val="20"/>
        </w:rPr>
        <w:t>H.J.J.</w:t>
      </w:r>
      <w:r w:rsidR="00DF1884" w:rsidRPr="00DF1884">
        <w:rPr>
          <w:szCs w:val="20"/>
        </w:rPr>
        <w:t xml:space="preserve"> </w:t>
      </w:r>
      <w:r w:rsidRPr="00DF1884">
        <w:rPr>
          <w:szCs w:val="20"/>
        </w:rPr>
        <w:t>Wellens,</w:t>
      </w:r>
      <w:r w:rsidR="00DF1884" w:rsidRPr="00DF1884">
        <w:rPr>
          <w:szCs w:val="20"/>
        </w:rPr>
        <w:t xml:space="preserve"> </w:t>
      </w:r>
      <w:r w:rsidRPr="00DF1884">
        <w:rPr>
          <w:szCs w:val="20"/>
        </w:rPr>
        <w:t>3-7.</w:t>
      </w:r>
      <w:r w:rsidR="00DF1884" w:rsidRPr="00DF1884">
        <w:rPr>
          <w:szCs w:val="20"/>
        </w:rPr>
        <w:t xml:space="preserve"> </w:t>
      </w:r>
      <w:r w:rsidRPr="00DF1884">
        <w:rPr>
          <w:szCs w:val="20"/>
        </w:rPr>
        <w:t>10th</w:t>
      </w:r>
      <w:r w:rsidR="00DF1884" w:rsidRPr="00DF1884">
        <w:rPr>
          <w:szCs w:val="20"/>
        </w:rPr>
        <w:t xml:space="preserve"> </w:t>
      </w:r>
      <w:r w:rsidRPr="00DF1884">
        <w:rPr>
          <w:szCs w:val="20"/>
        </w:rPr>
        <w:t>ed.</w:t>
      </w:r>
      <w:r w:rsidR="00DF1884" w:rsidRPr="00DF1884">
        <w:rPr>
          <w:szCs w:val="20"/>
        </w:rPr>
        <w:t xml:space="preserve"> </w:t>
      </w:r>
      <w:r w:rsidRPr="00DF1884">
        <w:rPr>
          <w:szCs w:val="20"/>
        </w:rPr>
        <w:t>New</w:t>
      </w:r>
      <w:r w:rsidR="00DF1884" w:rsidRPr="00DF1884">
        <w:rPr>
          <w:szCs w:val="20"/>
        </w:rPr>
        <w:t xml:space="preserve"> </w:t>
      </w:r>
      <w:r w:rsidRPr="00DF1884">
        <w:rPr>
          <w:szCs w:val="20"/>
        </w:rPr>
        <w:t>York,</w:t>
      </w:r>
      <w:r w:rsidR="00DF1884" w:rsidRPr="00DF1884">
        <w:rPr>
          <w:szCs w:val="20"/>
        </w:rPr>
        <w:t xml:space="preserve"> </w:t>
      </w:r>
      <w:r w:rsidRPr="00DF1884">
        <w:rPr>
          <w:szCs w:val="20"/>
        </w:rPr>
        <w:t>NY:</w:t>
      </w:r>
      <w:r w:rsidR="00DF1884" w:rsidRPr="00DF1884">
        <w:rPr>
          <w:szCs w:val="20"/>
        </w:rPr>
        <w:t xml:space="preserve"> </w:t>
      </w:r>
      <w:r w:rsidRPr="00DF1884">
        <w:rPr>
          <w:szCs w:val="20"/>
        </w:rPr>
        <w:t>McGraw-Hill.</w:t>
      </w:r>
      <w:r w:rsidR="00DF1884" w:rsidRPr="00DF1884">
        <w:rPr>
          <w:szCs w:val="20"/>
        </w:rPr>
        <w:t xml:space="preserve"> </w:t>
      </w:r>
    </w:p>
    <w:p w14:paraId="2820EBA8" w14:textId="0155C147" w:rsidR="005B5649" w:rsidRPr="00DF1884" w:rsidRDefault="005B5649" w:rsidP="005B5649">
      <w:pPr>
        <w:pStyle w:val="Body"/>
        <w:spacing w:before="0"/>
        <w:ind w:left="216" w:hanging="216"/>
        <w:rPr>
          <w:b/>
          <w:szCs w:val="20"/>
        </w:rPr>
      </w:pPr>
      <w:r w:rsidRPr="00DF1884">
        <w:rPr>
          <w:szCs w:val="20"/>
        </w:rPr>
        <w:t>Thompson,</w:t>
      </w:r>
      <w:r w:rsidR="00DF1884" w:rsidRPr="00DF1884">
        <w:rPr>
          <w:szCs w:val="20"/>
        </w:rPr>
        <w:t xml:space="preserve"> </w:t>
      </w:r>
      <w:r w:rsidRPr="00DF1884">
        <w:rPr>
          <w:szCs w:val="20"/>
        </w:rPr>
        <w:t>P.D.,</w:t>
      </w:r>
      <w:r w:rsidR="00DF1884" w:rsidRPr="00DF1884">
        <w:rPr>
          <w:szCs w:val="20"/>
        </w:rPr>
        <w:t xml:space="preserve"> </w:t>
      </w:r>
      <w:r w:rsidRPr="00DF1884">
        <w:rPr>
          <w:szCs w:val="20"/>
        </w:rPr>
        <w:t>P.</w:t>
      </w:r>
      <w:r w:rsidR="00DF1884" w:rsidRPr="00DF1884">
        <w:rPr>
          <w:szCs w:val="20"/>
        </w:rPr>
        <w:t xml:space="preserve"> </w:t>
      </w:r>
      <w:r w:rsidRPr="00DF1884">
        <w:rPr>
          <w:szCs w:val="20"/>
        </w:rPr>
        <w:t>Clarkson,</w:t>
      </w:r>
      <w:r w:rsidR="00DF1884" w:rsidRPr="00DF1884">
        <w:rPr>
          <w:szCs w:val="20"/>
        </w:rPr>
        <w:t xml:space="preserve"> </w:t>
      </w:r>
      <w:r w:rsidRPr="00DF1884">
        <w:rPr>
          <w:szCs w:val="20"/>
        </w:rPr>
        <w:t>R.H.</w:t>
      </w:r>
      <w:r w:rsidR="00DF1884" w:rsidRPr="00DF1884">
        <w:rPr>
          <w:szCs w:val="20"/>
        </w:rPr>
        <w:t xml:space="preserve"> </w:t>
      </w:r>
      <w:r w:rsidRPr="00DF1884">
        <w:rPr>
          <w:szCs w:val="20"/>
        </w:rPr>
        <w:t>Karas.</w:t>
      </w:r>
      <w:r w:rsidR="00DF1884" w:rsidRPr="00DF1884">
        <w:rPr>
          <w:szCs w:val="20"/>
        </w:rPr>
        <w:t xml:space="preserve"> </w:t>
      </w:r>
      <w:r w:rsidRPr="00DF1884">
        <w:rPr>
          <w:szCs w:val="20"/>
        </w:rPr>
        <w:t>2003.</w:t>
      </w:r>
      <w:r w:rsidR="00DF1884" w:rsidRPr="00DF1884">
        <w:rPr>
          <w:szCs w:val="20"/>
        </w:rPr>
        <w:t xml:space="preserve"> </w:t>
      </w:r>
      <w:r w:rsidRPr="00DF1884">
        <w:rPr>
          <w:szCs w:val="20"/>
        </w:rPr>
        <w:t>“Statin-associated</w:t>
      </w:r>
      <w:r w:rsidR="00DF1884" w:rsidRPr="00DF1884">
        <w:rPr>
          <w:szCs w:val="20"/>
        </w:rPr>
        <w:t xml:space="preserve"> </w:t>
      </w:r>
      <w:r w:rsidRPr="00DF1884">
        <w:rPr>
          <w:szCs w:val="20"/>
        </w:rPr>
        <w:t>myopathy.”</w:t>
      </w:r>
      <w:r w:rsidR="00DF1884" w:rsidRPr="00DF1884">
        <w:rPr>
          <w:szCs w:val="20"/>
        </w:rPr>
        <w:t xml:space="preserve"> </w:t>
      </w:r>
      <w:r w:rsidR="00B13789" w:rsidRPr="00DF1884">
        <w:rPr>
          <w:i/>
          <w:szCs w:val="20"/>
        </w:rPr>
        <w:t>JAMA.</w:t>
      </w:r>
      <w:r w:rsidR="00DF1884" w:rsidRPr="00DF1884">
        <w:rPr>
          <w:szCs w:val="20"/>
        </w:rPr>
        <w:t xml:space="preserve"> </w:t>
      </w:r>
      <w:r w:rsidRPr="00DF1884">
        <w:rPr>
          <w:szCs w:val="20"/>
        </w:rPr>
        <w:t>289(13):1681</w:t>
      </w:r>
      <w:r w:rsidR="00B13789" w:rsidRPr="00DF1884">
        <w:rPr>
          <w:szCs w:val="20"/>
        </w:rPr>
        <w:t>–</w:t>
      </w:r>
      <w:r w:rsidRPr="00DF1884">
        <w:rPr>
          <w:szCs w:val="20"/>
        </w:rPr>
        <w:t>90.</w:t>
      </w:r>
      <w:r w:rsidR="00DF1884" w:rsidRPr="00DF1884">
        <w:rPr>
          <w:szCs w:val="20"/>
        </w:rPr>
        <w:t xml:space="preserve"> </w:t>
      </w:r>
    </w:p>
    <w:p w14:paraId="11FD4AE6" w14:textId="302ED84D" w:rsidR="005B5649" w:rsidRPr="00DF1884" w:rsidRDefault="005B5649" w:rsidP="005B5649">
      <w:pPr>
        <w:pStyle w:val="Body"/>
        <w:spacing w:before="0"/>
        <w:ind w:left="216" w:hanging="216"/>
        <w:rPr>
          <w:b/>
          <w:szCs w:val="20"/>
        </w:rPr>
      </w:pPr>
      <w:r w:rsidRPr="00DF1884">
        <w:rPr>
          <w:szCs w:val="20"/>
        </w:rPr>
        <w:t>Virani,</w:t>
      </w:r>
      <w:r w:rsidR="00DF1884" w:rsidRPr="00DF1884">
        <w:rPr>
          <w:szCs w:val="20"/>
        </w:rPr>
        <w:t xml:space="preserve"> </w:t>
      </w:r>
      <w:r w:rsidRPr="00DF1884">
        <w:rPr>
          <w:szCs w:val="20"/>
        </w:rPr>
        <w:t>S.S.,</w:t>
      </w:r>
      <w:r w:rsidR="00DF1884" w:rsidRPr="00DF1884">
        <w:rPr>
          <w:szCs w:val="20"/>
        </w:rPr>
        <w:t xml:space="preserve"> </w:t>
      </w:r>
      <w:r w:rsidRPr="00DF1884">
        <w:rPr>
          <w:szCs w:val="20"/>
        </w:rPr>
        <w:t>L.D.</w:t>
      </w:r>
      <w:r w:rsidR="00DF1884" w:rsidRPr="00DF1884">
        <w:rPr>
          <w:szCs w:val="20"/>
        </w:rPr>
        <w:t xml:space="preserve"> </w:t>
      </w:r>
      <w:r w:rsidRPr="00DF1884">
        <w:rPr>
          <w:szCs w:val="20"/>
        </w:rPr>
        <w:t>Woodard,</w:t>
      </w:r>
      <w:r w:rsidR="00DF1884" w:rsidRPr="00DF1884">
        <w:rPr>
          <w:szCs w:val="20"/>
        </w:rPr>
        <w:t xml:space="preserve"> </w:t>
      </w:r>
      <w:r w:rsidRPr="00DF1884">
        <w:rPr>
          <w:szCs w:val="20"/>
        </w:rPr>
        <w:t>D.J.</w:t>
      </w:r>
      <w:r w:rsidR="00DF1884" w:rsidRPr="00DF1884">
        <w:rPr>
          <w:szCs w:val="20"/>
        </w:rPr>
        <w:t xml:space="preserve"> </w:t>
      </w:r>
      <w:r w:rsidRPr="00DF1884">
        <w:rPr>
          <w:szCs w:val="20"/>
        </w:rPr>
        <w:t>Ramsey,</w:t>
      </w:r>
      <w:r w:rsidR="00DF1884" w:rsidRPr="00DF1884">
        <w:rPr>
          <w:szCs w:val="20"/>
        </w:rPr>
        <w:t xml:space="preserve"> </w:t>
      </w:r>
      <w:r w:rsidRPr="00DF1884">
        <w:rPr>
          <w:szCs w:val="20"/>
        </w:rPr>
        <w:t>et</w:t>
      </w:r>
      <w:r w:rsidR="00DF1884" w:rsidRPr="00DF1884">
        <w:rPr>
          <w:szCs w:val="20"/>
        </w:rPr>
        <w:t xml:space="preserve"> </w:t>
      </w:r>
      <w:r w:rsidRPr="00DF1884">
        <w:rPr>
          <w:szCs w:val="20"/>
        </w:rPr>
        <w:t>al.</w:t>
      </w:r>
      <w:r w:rsidR="00DF1884" w:rsidRPr="00DF1884">
        <w:rPr>
          <w:szCs w:val="20"/>
        </w:rPr>
        <w:t xml:space="preserve"> </w:t>
      </w:r>
      <w:r w:rsidRPr="00DF1884">
        <w:rPr>
          <w:szCs w:val="20"/>
        </w:rPr>
        <w:t>2015.</w:t>
      </w:r>
      <w:r w:rsidR="00DF1884" w:rsidRPr="00DF1884">
        <w:rPr>
          <w:szCs w:val="20"/>
        </w:rPr>
        <w:t xml:space="preserve"> </w:t>
      </w:r>
      <w:r w:rsidRPr="00DF1884">
        <w:rPr>
          <w:szCs w:val="20"/>
        </w:rPr>
        <w:t>“Gender</w:t>
      </w:r>
      <w:r w:rsidR="00DF1884" w:rsidRPr="00DF1884">
        <w:rPr>
          <w:szCs w:val="20"/>
        </w:rPr>
        <w:t xml:space="preserve"> </w:t>
      </w:r>
      <w:r w:rsidRPr="00DF1884">
        <w:rPr>
          <w:szCs w:val="20"/>
        </w:rPr>
        <w:t>disparities</w:t>
      </w:r>
      <w:r w:rsidR="00DF1884" w:rsidRPr="00DF1884">
        <w:rPr>
          <w:szCs w:val="20"/>
        </w:rPr>
        <w:t xml:space="preserve"> </w:t>
      </w:r>
      <w:r w:rsidRPr="00DF1884">
        <w:rPr>
          <w:szCs w:val="20"/>
        </w:rPr>
        <w:t>in</w:t>
      </w:r>
      <w:r w:rsidR="00DF1884" w:rsidRPr="00DF1884">
        <w:rPr>
          <w:szCs w:val="20"/>
        </w:rPr>
        <w:t xml:space="preserve"> </w:t>
      </w:r>
      <w:r w:rsidRPr="00DF1884">
        <w:rPr>
          <w:szCs w:val="20"/>
        </w:rPr>
        <w:t>evidence-based</w:t>
      </w:r>
      <w:r w:rsidR="00DF1884" w:rsidRPr="00DF1884">
        <w:rPr>
          <w:szCs w:val="20"/>
        </w:rPr>
        <w:t xml:space="preserve"> </w:t>
      </w:r>
      <w:r w:rsidRPr="00DF1884">
        <w:rPr>
          <w:szCs w:val="20"/>
        </w:rPr>
        <w:t>statin</w:t>
      </w:r>
      <w:r w:rsidR="00DF1884" w:rsidRPr="00DF1884">
        <w:rPr>
          <w:szCs w:val="20"/>
        </w:rPr>
        <w:t xml:space="preserve"> </w:t>
      </w:r>
      <w:r w:rsidRPr="00DF1884">
        <w:rPr>
          <w:szCs w:val="20"/>
        </w:rPr>
        <w:t>therapy</w:t>
      </w:r>
      <w:r w:rsidR="00DF1884" w:rsidRPr="00DF1884">
        <w:rPr>
          <w:szCs w:val="20"/>
        </w:rPr>
        <w:t xml:space="preserve"> </w:t>
      </w:r>
      <w:r w:rsidRPr="00DF1884">
        <w:rPr>
          <w:szCs w:val="20"/>
        </w:rPr>
        <w:t>in</w:t>
      </w:r>
      <w:r w:rsidR="00DF1884" w:rsidRPr="00DF1884">
        <w:rPr>
          <w:szCs w:val="20"/>
        </w:rPr>
        <w:t xml:space="preserve"> </w:t>
      </w:r>
      <w:r w:rsidRPr="00DF1884">
        <w:rPr>
          <w:szCs w:val="20"/>
        </w:rPr>
        <w:t>patients</w:t>
      </w:r>
      <w:r w:rsidR="00DF1884" w:rsidRPr="00DF1884">
        <w:rPr>
          <w:szCs w:val="20"/>
        </w:rPr>
        <w:t xml:space="preserve"> </w:t>
      </w:r>
      <w:r w:rsidRPr="00DF1884">
        <w:rPr>
          <w:szCs w:val="20"/>
        </w:rPr>
        <w:t>with</w:t>
      </w:r>
      <w:r w:rsidR="00DF1884" w:rsidRPr="00DF1884">
        <w:rPr>
          <w:szCs w:val="20"/>
        </w:rPr>
        <w:t xml:space="preserve"> </w:t>
      </w:r>
      <w:r w:rsidRPr="00DF1884">
        <w:rPr>
          <w:szCs w:val="20"/>
        </w:rPr>
        <w:t>cardiovascular</w:t>
      </w:r>
      <w:r w:rsidR="00DF1884" w:rsidRPr="00DF1884">
        <w:rPr>
          <w:szCs w:val="20"/>
        </w:rPr>
        <w:t xml:space="preserve"> </w:t>
      </w:r>
      <w:r w:rsidRPr="00DF1884">
        <w:rPr>
          <w:szCs w:val="20"/>
        </w:rPr>
        <w:t>disease.”</w:t>
      </w:r>
      <w:r w:rsidR="00DF1884" w:rsidRPr="00DF1884">
        <w:rPr>
          <w:szCs w:val="20"/>
        </w:rPr>
        <w:t xml:space="preserve"> </w:t>
      </w:r>
      <w:r w:rsidRPr="00DF1884">
        <w:rPr>
          <w:i/>
          <w:szCs w:val="20"/>
        </w:rPr>
        <w:t>American</w:t>
      </w:r>
      <w:r w:rsidR="00DF1884" w:rsidRPr="00DF1884">
        <w:rPr>
          <w:i/>
          <w:szCs w:val="20"/>
        </w:rPr>
        <w:t xml:space="preserve"> </w:t>
      </w:r>
      <w:r w:rsidRPr="00DF1884">
        <w:rPr>
          <w:i/>
          <w:szCs w:val="20"/>
        </w:rPr>
        <w:t>Journal</w:t>
      </w:r>
      <w:r w:rsidR="00DF1884" w:rsidRPr="00DF1884">
        <w:rPr>
          <w:i/>
          <w:szCs w:val="20"/>
        </w:rPr>
        <w:t xml:space="preserve"> </w:t>
      </w:r>
      <w:r w:rsidRPr="00DF1884">
        <w:rPr>
          <w:i/>
          <w:szCs w:val="20"/>
        </w:rPr>
        <w:t>of</w:t>
      </w:r>
      <w:r w:rsidR="00DF1884" w:rsidRPr="00DF1884">
        <w:rPr>
          <w:i/>
          <w:szCs w:val="20"/>
        </w:rPr>
        <w:t xml:space="preserve"> </w:t>
      </w:r>
      <w:r w:rsidRPr="00DF1884">
        <w:rPr>
          <w:i/>
          <w:szCs w:val="20"/>
        </w:rPr>
        <w:t>Cardiology.</w:t>
      </w:r>
      <w:r w:rsidR="00DF1884" w:rsidRPr="00DF1884">
        <w:rPr>
          <w:i/>
          <w:szCs w:val="20"/>
        </w:rPr>
        <w:t xml:space="preserve"> </w:t>
      </w:r>
      <w:r w:rsidRPr="00DF1884">
        <w:rPr>
          <w:szCs w:val="20"/>
        </w:rPr>
        <w:t>115(1):21</w:t>
      </w:r>
      <w:r w:rsidR="00B13789" w:rsidRPr="00DF1884">
        <w:rPr>
          <w:szCs w:val="20"/>
        </w:rPr>
        <w:t>–</w:t>
      </w:r>
      <w:r w:rsidRPr="00DF1884">
        <w:rPr>
          <w:szCs w:val="20"/>
        </w:rPr>
        <w:t>6.</w:t>
      </w:r>
      <w:r w:rsidR="00DF1884" w:rsidRPr="00DF1884">
        <w:rPr>
          <w:szCs w:val="20"/>
        </w:rPr>
        <w:t xml:space="preserve"> </w:t>
      </w:r>
      <w:r w:rsidRPr="00DF1884">
        <w:rPr>
          <w:szCs w:val="20"/>
        </w:rPr>
        <w:t>doi:10.1016/j.amjcard.2014.09.041.</w:t>
      </w:r>
    </w:p>
    <w:p w14:paraId="3D2F1C3E" w14:textId="77777777" w:rsidR="005B5649" w:rsidRPr="00DF1884" w:rsidRDefault="005B5649" w:rsidP="005B5649">
      <w:pPr>
        <w:pStyle w:val="StdHead"/>
        <w:pBdr>
          <w:top w:val="none" w:sz="0" w:space="0" w:color="auto"/>
          <w:left w:val="none" w:sz="0" w:space="0" w:color="auto"/>
          <w:bottom w:val="none" w:sz="0" w:space="0" w:color="auto"/>
          <w:right w:val="none" w:sz="0" w:space="0" w:color="auto"/>
        </w:pBdr>
        <w:shd w:val="clear" w:color="auto" w:fill="auto"/>
        <w:spacing w:before="0"/>
        <w:rPr>
          <w:rFonts w:cs="Arial"/>
          <w:sz w:val="18"/>
          <w:szCs w:val="18"/>
        </w:rPr>
        <w:sectPr w:rsidR="005B5649" w:rsidRPr="00DF1884" w:rsidSect="0039781B">
          <w:endnotePr>
            <w:numFmt w:val="decimal"/>
          </w:endnotePr>
          <w:pgSz w:w="12240" w:h="15840" w:code="1"/>
          <w:pgMar w:top="1080" w:right="1080" w:bottom="1080" w:left="1440" w:header="720" w:footer="720" w:gutter="0"/>
          <w:cols w:space="720"/>
          <w:docGrid w:linePitch="360"/>
        </w:sectPr>
      </w:pPr>
    </w:p>
    <w:p w14:paraId="535B4353" w14:textId="0C6EC903" w:rsidR="005B5649" w:rsidRPr="00DF1884" w:rsidRDefault="005B5649" w:rsidP="005B5649">
      <w:pPr>
        <w:keepNext/>
        <w:spacing w:after="60"/>
        <w:jc w:val="center"/>
        <w:outlineLvl w:val="0"/>
        <w:rPr>
          <w:rFonts w:cs="Arial"/>
          <w:b/>
          <w:i/>
          <w:sz w:val="28"/>
          <w:szCs w:val="28"/>
        </w:rPr>
      </w:pPr>
      <w:r w:rsidRPr="00DF1884">
        <w:rPr>
          <w:rFonts w:cs="Arial"/>
          <w:b/>
          <w:i/>
          <w:sz w:val="28"/>
          <w:szCs w:val="28"/>
        </w:rPr>
        <w:lastRenderedPageBreak/>
        <w:t>Statin</w:t>
      </w:r>
      <w:r w:rsidR="00DF1884" w:rsidRPr="00DF1884">
        <w:rPr>
          <w:rFonts w:cs="Arial"/>
          <w:b/>
          <w:i/>
          <w:sz w:val="28"/>
          <w:szCs w:val="28"/>
        </w:rPr>
        <w:t xml:space="preserve"> </w:t>
      </w:r>
      <w:r w:rsidRPr="00DF1884">
        <w:rPr>
          <w:rFonts w:cs="Arial"/>
          <w:b/>
          <w:i/>
          <w:sz w:val="28"/>
          <w:szCs w:val="28"/>
        </w:rPr>
        <w:t>Therapy</w:t>
      </w:r>
      <w:r w:rsidR="00DF1884" w:rsidRPr="00DF1884">
        <w:rPr>
          <w:rFonts w:cs="Arial"/>
          <w:b/>
          <w:i/>
          <w:sz w:val="28"/>
          <w:szCs w:val="28"/>
        </w:rPr>
        <w:t xml:space="preserve"> </w:t>
      </w:r>
      <w:r w:rsidRPr="00DF1884">
        <w:rPr>
          <w:rFonts w:cs="Arial"/>
          <w:b/>
          <w:i/>
          <w:sz w:val="28"/>
          <w:szCs w:val="28"/>
        </w:rPr>
        <w:t>for</w:t>
      </w:r>
      <w:r w:rsidR="00DF1884" w:rsidRPr="00DF1884">
        <w:rPr>
          <w:rFonts w:cs="Arial"/>
          <w:b/>
          <w:i/>
          <w:sz w:val="28"/>
          <w:szCs w:val="28"/>
        </w:rPr>
        <w:t xml:space="preserve"> </w:t>
      </w:r>
      <w:r w:rsidRPr="00DF1884">
        <w:rPr>
          <w:rFonts w:cs="Arial"/>
          <w:b/>
          <w:i/>
          <w:sz w:val="28"/>
          <w:szCs w:val="28"/>
        </w:rPr>
        <w:t>Patients</w:t>
      </w:r>
      <w:r w:rsidR="00DF1884" w:rsidRPr="00DF1884">
        <w:rPr>
          <w:rFonts w:cs="Arial"/>
          <w:b/>
          <w:i/>
          <w:sz w:val="28"/>
          <w:szCs w:val="28"/>
        </w:rPr>
        <w:t xml:space="preserve"> </w:t>
      </w:r>
      <w:r w:rsidRPr="00DF1884">
        <w:rPr>
          <w:rFonts w:cs="Arial"/>
          <w:b/>
          <w:i/>
          <w:sz w:val="28"/>
          <w:szCs w:val="28"/>
        </w:rPr>
        <w:t>With</w:t>
      </w:r>
      <w:r w:rsidR="00DF1884" w:rsidRPr="00DF1884">
        <w:rPr>
          <w:rFonts w:cs="Arial"/>
          <w:b/>
          <w:i/>
          <w:sz w:val="28"/>
          <w:szCs w:val="28"/>
        </w:rPr>
        <w:t xml:space="preserve"> </w:t>
      </w:r>
      <w:r w:rsidRPr="00DF1884">
        <w:rPr>
          <w:rFonts w:cs="Arial"/>
          <w:b/>
          <w:i/>
          <w:sz w:val="28"/>
          <w:szCs w:val="28"/>
        </w:rPr>
        <w:t>Diabetes</w:t>
      </w:r>
      <w:r w:rsidR="00DF1884" w:rsidRPr="00DF1884">
        <w:rPr>
          <w:rFonts w:cs="Arial"/>
          <w:b/>
          <w:i/>
          <w:sz w:val="28"/>
          <w:szCs w:val="28"/>
        </w:rPr>
        <w:t xml:space="preserve"> </w:t>
      </w:r>
      <w:r w:rsidRPr="00DF1884">
        <w:rPr>
          <w:rFonts w:cs="Arial"/>
          <w:b/>
          <w:i/>
          <w:sz w:val="28"/>
          <w:szCs w:val="28"/>
        </w:rPr>
        <w:t>(SPD)</w:t>
      </w:r>
    </w:p>
    <w:p w14:paraId="056255EC" w14:textId="1164442B" w:rsidR="005B5649" w:rsidRPr="00DF1884" w:rsidRDefault="005B5649" w:rsidP="002E4322">
      <w:pPr>
        <w:pStyle w:val="StdHead"/>
      </w:pPr>
      <w:r w:rsidRPr="00DF1884">
        <w:t>Description</w:t>
      </w:r>
    </w:p>
    <w:p w14:paraId="225BDBC3" w14:textId="77777777" w:rsidR="002155C3" w:rsidRDefault="002155C3" w:rsidP="002155C3">
      <w:pPr>
        <w:pStyle w:val="Body"/>
        <w:rPr>
          <w:rFonts w:eastAsiaTheme="minorHAnsi" w:cs="Arial"/>
          <w:szCs w:val="20"/>
        </w:rPr>
      </w:pPr>
      <w:r>
        <w:t>The percentage of members 40–75 years of age during the measurement year with diabetes who do not have clinical atherosclerotic cardiovascular disease (ASCVD) who met the following criteria</w:t>
      </w:r>
      <w:r w:rsidRPr="006160C4">
        <w:rPr>
          <w:szCs w:val="20"/>
        </w:rPr>
        <w:t xml:space="preserve">. </w:t>
      </w:r>
      <w:r w:rsidRPr="006160C4">
        <w:rPr>
          <w:rFonts w:eastAsiaTheme="minorHAnsi" w:cs="Arial"/>
          <w:szCs w:val="20"/>
        </w:rPr>
        <w:t>Two rates are reported:</w:t>
      </w:r>
    </w:p>
    <w:p w14:paraId="390A97B7" w14:textId="77777777" w:rsidR="002155C3" w:rsidRDefault="002155C3" w:rsidP="002155C3">
      <w:pPr>
        <w:pStyle w:val="Body"/>
        <w:numPr>
          <w:ilvl w:val="0"/>
          <w:numId w:val="35"/>
        </w:numPr>
        <w:spacing w:before="120"/>
        <w:rPr>
          <w:szCs w:val="20"/>
        </w:rPr>
      </w:pPr>
      <w:r>
        <w:rPr>
          <w:i/>
          <w:szCs w:val="20"/>
        </w:rPr>
        <w:t xml:space="preserve">Received Statin Therapy. </w:t>
      </w:r>
      <w:r>
        <w:rPr>
          <w:szCs w:val="20"/>
        </w:rPr>
        <w:t>Members who were dispensed at least one statin medication of any intensity during the measurement year.</w:t>
      </w:r>
    </w:p>
    <w:p w14:paraId="1BC2FC75" w14:textId="13E5DDEE" w:rsidR="002155C3" w:rsidRPr="002155C3" w:rsidRDefault="002155C3" w:rsidP="002E4322">
      <w:pPr>
        <w:pStyle w:val="Body"/>
        <w:numPr>
          <w:ilvl w:val="0"/>
          <w:numId w:val="35"/>
        </w:numPr>
        <w:spacing w:before="120"/>
        <w:ind w:left="648" w:hanging="288"/>
        <w:rPr>
          <w:szCs w:val="20"/>
        </w:rPr>
      </w:pPr>
      <w:r>
        <w:rPr>
          <w:i/>
          <w:szCs w:val="20"/>
        </w:rPr>
        <w:t>Statin</w:t>
      </w:r>
      <w:r w:rsidRPr="00913363">
        <w:rPr>
          <w:i/>
          <w:szCs w:val="20"/>
        </w:rPr>
        <w:t xml:space="preserve"> </w:t>
      </w:r>
      <w:r>
        <w:rPr>
          <w:i/>
          <w:szCs w:val="20"/>
        </w:rPr>
        <w:t>Adherence</w:t>
      </w:r>
      <w:r w:rsidRPr="00913363">
        <w:rPr>
          <w:i/>
          <w:szCs w:val="20"/>
        </w:rPr>
        <w:t xml:space="preserve"> 80</w:t>
      </w:r>
      <w:r>
        <w:rPr>
          <w:i/>
          <w:szCs w:val="20"/>
        </w:rPr>
        <w:t>%</w:t>
      </w:r>
      <w:r w:rsidRPr="00913363">
        <w:rPr>
          <w:i/>
          <w:szCs w:val="20"/>
        </w:rPr>
        <w:t>.</w:t>
      </w:r>
      <w:r>
        <w:rPr>
          <w:szCs w:val="20"/>
        </w:rPr>
        <w:t xml:space="preserve"> Members who remained on </w:t>
      </w:r>
      <w:r w:rsidRPr="006160C4">
        <w:rPr>
          <w:szCs w:val="20"/>
        </w:rPr>
        <w:t>a statin</w:t>
      </w:r>
      <w:r>
        <w:rPr>
          <w:szCs w:val="20"/>
        </w:rPr>
        <w:t xml:space="preserve"> medication</w:t>
      </w:r>
      <w:r w:rsidRPr="006160C4">
        <w:rPr>
          <w:szCs w:val="20"/>
        </w:rPr>
        <w:t xml:space="preserve"> of </w:t>
      </w:r>
      <w:r>
        <w:rPr>
          <w:szCs w:val="20"/>
        </w:rPr>
        <w:t>any</w:t>
      </w:r>
      <w:r w:rsidRPr="006160C4">
        <w:rPr>
          <w:szCs w:val="20"/>
        </w:rPr>
        <w:t xml:space="preserve"> intensity </w:t>
      </w:r>
      <w:r>
        <w:rPr>
          <w:szCs w:val="20"/>
        </w:rPr>
        <w:t>for at least 80% of the treatment period</w:t>
      </w:r>
      <w:r w:rsidRPr="006160C4">
        <w:rPr>
          <w:szCs w:val="20"/>
        </w:rPr>
        <w:t>.</w:t>
      </w:r>
    </w:p>
    <w:p w14:paraId="388C26A8" w14:textId="77777777" w:rsidR="005B5649" w:rsidRPr="00DF1884" w:rsidRDefault="005B5649" w:rsidP="005B5649">
      <w:pPr>
        <w:pStyle w:val="StdHead"/>
      </w:pPr>
      <w:r w:rsidRPr="00DF1884">
        <w:t>Background</w:t>
      </w:r>
      <w:r w:rsidRPr="00DF1884">
        <w:tab/>
      </w:r>
    </w:p>
    <w:p w14:paraId="73B3C6C8" w14:textId="6FC9C00C" w:rsidR="005B5649" w:rsidRPr="00DF1884" w:rsidRDefault="005B5649" w:rsidP="005B5649">
      <w:pPr>
        <w:pStyle w:val="Body"/>
      </w:pPr>
      <w:r w:rsidRPr="00DF1884">
        <w:t>Diabetes</w:t>
      </w:r>
      <w:r w:rsidR="00DF1884" w:rsidRPr="00DF1884">
        <w:t xml:space="preserve"> </w:t>
      </w:r>
      <w:r w:rsidRPr="00DF1884">
        <w:t>is</w:t>
      </w:r>
      <w:r w:rsidR="00DF1884" w:rsidRPr="00DF1884">
        <w:t xml:space="preserve"> </w:t>
      </w:r>
      <w:r w:rsidRPr="00DF1884">
        <w:t>a</w:t>
      </w:r>
      <w:r w:rsidR="00DF1884" w:rsidRPr="00DF1884">
        <w:t xml:space="preserve"> </w:t>
      </w:r>
      <w:r w:rsidRPr="00DF1884">
        <w:t>complex</w:t>
      </w:r>
      <w:r w:rsidR="00DF1884" w:rsidRPr="00DF1884">
        <w:t xml:space="preserve"> </w:t>
      </w:r>
      <w:r w:rsidRPr="00DF1884">
        <w:t>group</w:t>
      </w:r>
      <w:r w:rsidR="00DF1884" w:rsidRPr="00DF1884">
        <w:t xml:space="preserve"> </w:t>
      </w:r>
      <w:r w:rsidRPr="00DF1884">
        <w:t>of</w:t>
      </w:r>
      <w:r w:rsidR="00DF1884" w:rsidRPr="00DF1884">
        <w:t xml:space="preserve"> </w:t>
      </w:r>
      <w:r w:rsidRPr="00DF1884">
        <w:t>diseases</w:t>
      </w:r>
      <w:r w:rsidR="00DF1884" w:rsidRPr="00DF1884">
        <w:t xml:space="preserve"> </w:t>
      </w:r>
      <w:r w:rsidRPr="00DF1884">
        <w:t>marked</w:t>
      </w:r>
      <w:r w:rsidR="00DF1884" w:rsidRPr="00DF1884">
        <w:t xml:space="preserve"> </w:t>
      </w:r>
      <w:r w:rsidRPr="00DF1884">
        <w:t>by</w:t>
      </w:r>
      <w:r w:rsidR="00DF1884" w:rsidRPr="00DF1884">
        <w:t xml:space="preserve"> </w:t>
      </w:r>
      <w:r w:rsidRPr="00DF1884">
        <w:t>high</w:t>
      </w:r>
      <w:r w:rsidR="00DF1884" w:rsidRPr="00DF1884">
        <w:t xml:space="preserve"> </w:t>
      </w:r>
      <w:r w:rsidRPr="00DF1884">
        <w:t>blood</w:t>
      </w:r>
      <w:r w:rsidR="00DF1884" w:rsidRPr="00DF1884">
        <w:t xml:space="preserve"> </w:t>
      </w:r>
      <w:r w:rsidRPr="00DF1884">
        <w:t>sugar</w:t>
      </w:r>
      <w:r w:rsidR="00DF1884" w:rsidRPr="00DF1884">
        <w:t xml:space="preserve"> </w:t>
      </w:r>
      <w:r w:rsidRPr="00DF1884">
        <w:t>due</w:t>
      </w:r>
      <w:r w:rsidR="00DF1884" w:rsidRPr="00DF1884">
        <w:t xml:space="preserve"> </w:t>
      </w:r>
      <w:r w:rsidRPr="00DF1884">
        <w:t>to</w:t>
      </w:r>
      <w:r w:rsidR="00DF1884" w:rsidRPr="00DF1884">
        <w:t xml:space="preserve"> </w:t>
      </w:r>
      <w:r w:rsidRPr="00DF1884">
        <w:t>the</w:t>
      </w:r>
      <w:r w:rsidR="00DF1884" w:rsidRPr="00DF1884">
        <w:t xml:space="preserve"> </w:t>
      </w:r>
      <w:r w:rsidRPr="00DF1884">
        <w:t>body’s</w:t>
      </w:r>
      <w:r w:rsidR="00DF1884" w:rsidRPr="00DF1884">
        <w:t xml:space="preserve"> </w:t>
      </w:r>
      <w:r w:rsidRPr="00DF1884">
        <w:t>inability</w:t>
      </w:r>
      <w:r w:rsidR="00DF1884" w:rsidRPr="00DF1884">
        <w:t xml:space="preserve"> </w:t>
      </w:r>
      <w:r w:rsidRPr="00DF1884">
        <w:t>to</w:t>
      </w:r>
      <w:r w:rsidR="00DF1884" w:rsidRPr="00DF1884">
        <w:t xml:space="preserve"> </w:t>
      </w:r>
      <w:r w:rsidRPr="00DF1884">
        <w:t>make</w:t>
      </w:r>
      <w:r w:rsidR="00DF1884" w:rsidRPr="00DF1884">
        <w:t xml:space="preserve"> </w:t>
      </w:r>
      <w:r w:rsidRPr="00DF1884">
        <w:t>or</w:t>
      </w:r>
      <w:r w:rsidR="00DF1884" w:rsidRPr="00DF1884">
        <w:t xml:space="preserve"> </w:t>
      </w:r>
      <w:r w:rsidRPr="00DF1884">
        <w:t>use</w:t>
      </w:r>
      <w:r w:rsidR="00DF1884" w:rsidRPr="00DF1884">
        <w:t xml:space="preserve"> </w:t>
      </w:r>
      <w:r w:rsidRPr="00DF1884">
        <w:t>insulin.</w:t>
      </w:r>
      <w:r w:rsidR="00DF1884" w:rsidRPr="00DF1884">
        <w:t xml:space="preserve"> </w:t>
      </w:r>
      <w:r w:rsidRPr="00DF1884">
        <w:t>Diabetes</w:t>
      </w:r>
      <w:r w:rsidR="00DF1884" w:rsidRPr="00DF1884">
        <w:t xml:space="preserve"> </w:t>
      </w:r>
      <w:r w:rsidRPr="00DF1884">
        <w:t>can</w:t>
      </w:r>
      <w:r w:rsidR="00DF1884" w:rsidRPr="00DF1884">
        <w:t xml:space="preserve"> </w:t>
      </w:r>
      <w:r w:rsidRPr="00DF1884">
        <w:t>lead</w:t>
      </w:r>
      <w:r w:rsidR="00DF1884" w:rsidRPr="00DF1884">
        <w:t xml:space="preserve"> </w:t>
      </w:r>
      <w:r w:rsidRPr="00DF1884">
        <w:t>to</w:t>
      </w:r>
      <w:r w:rsidR="00DF1884" w:rsidRPr="00DF1884">
        <w:t xml:space="preserve"> </w:t>
      </w:r>
      <w:r w:rsidRPr="00DF1884">
        <w:t>serious</w:t>
      </w:r>
      <w:r w:rsidR="00DF1884" w:rsidRPr="00DF1884">
        <w:t xml:space="preserve"> </w:t>
      </w:r>
      <w:r w:rsidRPr="00DF1884">
        <w:t>complications</w:t>
      </w:r>
      <w:r w:rsidR="00DF1884" w:rsidRPr="00DF1884">
        <w:t xml:space="preserve"> </w:t>
      </w:r>
      <w:r w:rsidRPr="00DF1884">
        <w:t>(CDC,</w:t>
      </w:r>
      <w:r w:rsidR="00DF1884" w:rsidRPr="00DF1884">
        <w:t xml:space="preserve"> </w:t>
      </w:r>
      <w:r w:rsidRPr="00DF1884">
        <w:t>2014).</w:t>
      </w:r>
      <w:r w:rsidR="00DF1884" w:rsidRPr="00DF1884">
        <w:t xml:space="preserve"> </w:t>
      </w:r>
      <w:r w:rsidRPr="00DF1884">
        <w:t>Twenty</w:t>
      </w:r>
      <w:r w:rsidR="00DF1884" w:rsidRPr="00DF1884">
        <w:t xml:space="preserve"> </w:t>
      </w:r>
      <w:r w:rsidRPr="00DF1884">
        <w:t>nine</w:t>
      </w:r>
      <w:r w:rsidR="00DF1884" w:rsidRPr="00DF1884">
        <w:t xml:space="preserve"> </w:t>
      </w:r>
      <w:r w:rsidRPr="00DF1884">
        <w:t>million</w:t>
      </w:r>
      <w:r w:rsidR="00DF1884" w:rsidRPr="00DF1884">
        <w:t xml:space="preserve"> </w:t>
      </w:r>
      <w:r w:rsidRPr="00DF1884">
        <w:t>(9.3</w:t>
      </w:r>
      <w:r w:rsidR="00DF1884" w:rsidRPr="00DF1884">
        <w:t xml:space="preserve"> </w:t>
      </w:r>
      <w:r w:rsidRPr="00DF1884">
        <w:t>percent)</w:t>
      </w:r>
      <w:r w:rsidR="00DF1884" w:rsidRPr="00DF1884">
        <w:t xml:space="preserve"> </w:t>
      </w:r>
      <w:r w:rsidRPr="00DF1884">
        <w:t>of</w:t>
      </w:r>
      <w:r w:rsidR="00DF1884" w:rsidRPr="00DF1884">
        <w:t xml:space="preserve"> </w:t>
      </w:r>
      <w:r w:rsidRPr="00DF1884">
        <w:t>Americans</w:t>
      </w:r>
      <w:r w:rsidR="00DF1884" w:rsidRPr="00DF1884">
        <w:t xml:space="preserve"> </w:t>
      </w:r>
      <w:r w:rsidRPr="00DF1884">
        <w:t>had</w:t>
      </w:r>
      <w:r w:rsidR="00DF1884" w:rsidRPr="00DF1884">
        <w:t xml:space="preserve"> </w:t>
      </w:r>
      <w:r w:rsidRPr="00DF1884">
        <w:t>diabetes</w:t>
      </w:r>
      <w:r w:rsidR="00DF1884" w:rsidRPr="00DF1884">
        <w:t xml:space="preserve"> </w:t>
      </w:r>
      <w:r w:rsidRPr="00DF1884">
        <w:t>in</w:t>
      </w:r>
      <w:r w:rsidR="00DF1884" w:rsidRPr="00DF1884">
        <w:t xml:space="preserve"> </w:t>
      </w:r>
      <w:r w:rsidRPr="00DF1884">
        <w:t>2012</w:t>
      </w:r>
      <w:r w:rsidR="00DF1884" w:rsidRPr="00DF1884">
        <w:t xml:space="preserve"> </w:t>
      </w:r>
      <w:r w:rsidRPr="00DF1884">
        <w:t>and</w:t>
      </w:r>
      <w:r w:rsidR="00DF1884" w:rsidRPr="00DF1884">
        <w:t xml:space="preserve"> </w:t>
      </w:r>
      <w:r w:rsidRPr="00DF1884">
        <w:t>1.7</w:t>
      </w:r>
      <w:r w:rsidR="00DF1884" w:rsidRPr="00DF1884">
        <w:t xml:space="preserve"> </w:t>
      </w:r>
      <w:r w:rsidRPr="00DF1884">
        <w:t>million</w:t>
      </w:r>
      <w:r w:rsidR="00DF1884" w:rsidRPr="00DF1884">
        <w:t xml:space="preserve"> </w:t>
      </w:r>
      <w:r w:rsidRPr="00DF1884">
        <w:t>adults</w:t>
      </w:r>
      <w:r w:rsidR="00DF1884" w:rsidRPr="00DF1884">
        <w:t xml:space="preserve"> </w:t>
      </w:r>
      <w:r w:rsidRPr="00DF1884">
        <w:t>were</w:t>
      </w:r>
      <w:r w:rsidR="00DF1884" w:rsidRPr="00DF1884">
        <w:t xml:space="preserve"> </w:t>
      </w:r>
      <w:r w:rsidRPr="00DF1884">
        <w:t>newly</w:t>
      </w:r>
      <w:r w:rsidR="00DF1884" w:rsidRPr="00DF1884">
        <w:t xml:space="preserve"> </w:t>
      </w:r>
      <w:r w:rsidRPr="00DF1884">
        <w:t>diagnosed</w:t>
      </w:r>
      <w:r w:rsidR="00DF1884" w:rsidRPr="00DF1884">
        <w:t xml:space="preserve"> </w:t>
      </w:r>
      <w:r w:rsidRPr="00DF1884">
        <w:t>with</w:t>
      </w:r>
      <w:r w:rsidR="00DF1884" w:rsidRPr="00DF1884">
        <w:t xml:space="preserve"> </w:t>
      </w:r>
      <w:r w:rsidRPr="00DF1884">
        <w:t>diabetes</w:t>
      </w:r>
      <w:r w:rsidR="00DF1884" w:rsidRPr="00DF1884">
        <w:t xml:space="preserve"> </w:t>
      </w:r>
      <w:r w:rsidRPr="00DF1884">
        <w:t>(ADA,</w:t>
      </w:r>
      <w:r w:rsidR="00DF1884" w:rsidRPr="00DF1884">
        <w:t xml:space="preserve"> </w:t>
      </w:r>
      <w:r w:rsidRPr="00DF1884">
        <w:t>2014).</w:t>
      </w:r>
      <w:r w:rsidR="00DF1884" w:rsidRPr="00DF1884">
        <w:t xml:space="preserve"> </w:t>
      </w:r>
      <w:r w:rsidRPr="00DF1884">
        <w:t>Patients</w:t>
      </w:r>
      <w:r w:rsidR="00DF1884" w:rsidRPr="00DF1884">
        <w:t xml:space="preserve"> </w:t>
      </w:r>
      <w:r w:rsidRPr="00DF1884">
        <w:t>with</w:t>
      </w:r>
      <w:r w:rsidR="00DF1884" w:rsidRPr="00DF1884">
        <w:t xml:space="preserve"> </w:t>
      </w:r>
      <w:r w:rsidRPr="00DF1884">
        <w:t>diabetes</w:t>
      </w:r>
      <w:r w:rsidR="00DF1884" w:rsidRPr="00DF1884">
        <w:t xml:space="preserve"> </w:t>
      </w:r>
      <w:r w:rsidRPr="00DF1884">
        <w:t>have</w:t>
      </w:r>
      <w:r w:rsidR="00DF1884" w:rsidRPr="00DF1884">
        <w:t xml:space="preserve"> </w:t>
      </w:r>
      <w:r w:rsidRPr="00DF1884">
        <w:t>elevated</w:t>
      </w:r>
      <w:r w:rsidR="00DF1884" w:rsidRPr="00DF1884">
        <w:t xml:space="preserve"> </w:t>
      </w:r>
      <w:r w:rsidRPr="00DF1884">
        <w:t>cardiovascular</w:t>
      </w:r>
      <w:r w:rsidR="00DF1884" w:rsidRPr="00DF1884">
        <w:t xml:space="preserve"> </w:t>
      </w:r>
      <w:r w:rsidRPr="00DF1884">
        <w:t>risk,</w:t>
      </w:r>
      <w:r w:rsidR="00DF1884" w:rsidRPr="00DF1884">
        <w:t xml:space="preserve"> </w:t>
      </w:r>
      <w:r w:rsidRPr="00DF1884">
        <w:t>thought</w:t>
      </w:r>
      <w:r w:rsidR="00DF1884" w:rsidRPr="00DF1884">
        <w:t xml:space="preserve"> </w:t>
      </w:r>
      <w:r w:rsidRPr="00DF1884">
        <w:t>to</w:t>
      </w:r>
      <w:r w:rsidR="00DF1884" w:rsidRPr="00DF1884">
        <w:t xml:space="preserve"> </w:t>
      </w:r>
      <w:r w:rsidRPr="00DF1884">
        <w:t>be</w:t>
      </w:r>
      <w:r w:rsidR="00DF1884" w:rsidRPr="00DF1884">
        <w:t xml:space="preserve"> </w:t>
      </w:r>
      <w:r w:rsidRPr="00DF1884">
        <w:t>due</w:t>
      </w:r>
      <w:r w:rsidR="00DF1884" w:rsidRPr="00DF1884">
        <w:t xml:space="preserve"> </w:t>
      </w:r>
      <w:r w:rsidRPr="00DF1884">
        <w:t>in</w:t>
      </w:r>
      <w:r w:rsidR="00DF1884" w:rsidRPr="00DF1884">
        <w:t xml:space="preserve"> </w:t>
      </w:r>
      <w:r w:rsidRPr="00DF1884">
        <w:t>part</w:t>
      </w:r>
      <w:r w:rsidR="00DF1884" w:rsidRPr="00DF1884">
        <w:t xml:space="preserve"> </w:t>
      </w:r>
      <w:r w:rsidRPr="00DF1884">
        <w:t>to</w:t>
      </w:r>
      <w:r w:rsidR="00DF1884" w:rsidRPr="00DF1884">
        <w:t xml:space="preserve"> </w:t>
      </w:r>
      <w:r w:rsidRPr="00DF1884">
        <w:t>elevations</w:t>
      </w:r>
      <w:r w:rsidR="00DF1884" w:rsidRPr="00DF1884">
        <w:t xml:space="preserve"> </w:t>
      </w:r>
      <w:r w:rsidRPr="00DF1884">
        <w:t>in</w:t>
      </w:r>
      <w:r w:rsidR="00DF1884" w:rsidRPr="00DF1884">
        <w:t xml:space="preserve"> </w:t>
      </w:r>
      <w:r w:rsidRPr="00DF1884">
        <w:t>unhealthy</w:t>
      </w:r>
      <w:r w:rsidR="00DF1884" w:rsidRPr="00DF1884">
        <w:t xml:space="preserve"> </w:t>
      </w:r>
      <w:r w:rsidRPr="00DF1884">
        <w:t>cholesterol</w:t>
      </w:r>
      <w:r w:rsidR="00DF1884" w:rsidRPr="00DF1884">
        <w:t xml:space="preserve"> </w:t>
      </w:r>
      <w:r w:rsidRPr="00DF1884">
        <w:t>levels.</w:t>
      </w:r>
      <w:r w:rsidR="00DF1884" w:rsidRPr="00DF1884">
        <w:t xml:space="preserve"> </w:t>
      </w:r>
      <w:r w:rsidRPr="00DF1884">
        <w:t>Having</w:t>
      </w:r>
      <w:r w:rsidR="00DF1884" w:rsidRPr="00DF1884">
        <w:t xml:space="preserve"> </w:t>
      </w:r>
      <w:r w:rsidRPr="00DF1884">
        <w:t>unhealthy</w:t>
      </w:r>
      <w:r w:rsidR="00DF1884" w:rsidRPr="00DF1884">
        <w:t xml:space="preserve"> </w:t>
      </w:r>
      <w:r w:rsidRPr="00DF1884">
        <w:t>cholesterol</w:t>
      </w:r>
      <w:r w:rsidR="00DF1884" w:rsidRPr="00DF1884">
        <w:t xml:space="preserve"> </w:t>
      </w:r>
      <w:r w:rsidRPr="00DF1884">
        <w:t>levels</w:t>
      </w:r>
      <w:r w:rsidR="00DF1884" w:rsidRPr="00DF1884">
        <w:t xml:space="preserve"> </w:t>
      </w:r>
      <w:r w:rsidRPr="00DF1884">
        <w:t>places</w:t>
      </w:r>
      <w:r w:rsidR="00DF1884" w:rsidRPr="00DF1884">
        <w:t xml:space="preserve"> </w:t>
      </w:r>
      <w:r w:rsidRPr="00DF1884">
        <w:t>patients</w:t>
      </w:r>
      <w:r w:rsidR="00DF1884" w:rsidRPr="00DF1884">
        <w:t xml:space="preserve"> </w:t>
      </w:r>
      <w:r w:rsidRPr="00DF1884">
        <w:t>at</w:t>
      </w:r>
      <w:r w:rsidR="00DF1884" w:rsidRPr="00DF1884">
        <w:t xml:space="preserve"> </w:t>
      </w:r>
      <w:r w:rsidRPr="00DF1884">
        <w:t>a</w:t>
      </w:r>
      <w:r w:rsidR="00DF1884" w:rsidRPr="00DF1884">
        <w:t xml:space="preserve"> </w:t>
      </w:r>
      <w:r w:rsidRPr="00DF1884">
        <w:t>significant</w:t>
      </w:r>
      <w:r w:rsidR="00DF1884" w:rsidRPr="00DF1884">
        <w:t xml:space="preserve"> </w:t>
      </w:r>
      <w:r w:rsidRPr="00DF1884">
        <w:t>risk</w:t>
      </w:r>
      <w:r w:rsidR="00DF1884" w:rsidRPr="00DF1884">
        <w:t xml:space="preserve"> </w:t>
      </w:r>
      <w:r w:rsidRPr="00DF1884">
        <w:t>for</w:t>
      </w:r>
      <w:r w:rsidR="00DF1884" w:rsidRPr="00DF1884">
        <w:t xml:space="preserve"> </w:t>
      </w:r>
      <w:r w:rsidRPr="00DF1884">
        <w:t>developing</w:t>
      </w:r>
      <w:r w:rsidR="00DF1884" w:rsidRPr="00DF1884">
        <w:t xml:space="preserve"> </w:t>
      </w:r>
      <w:r w:rsidRPr="00DF1884">
        <w:t>atherosclerotic</w:t>
      </w:r>
      <w:r w:rsidR="00DF1884" w:rsidRPr="00DF1884">
        <w:t xml:space="preserve"> </w:t>
      </w:r>
      <w:r w:rsidRPr="00DF1884">
        <w:t>cardiovascular</w:t>
      </w:r>
      <w:r w:rsidR="00DF1884" w:rsidRPr="00DF1884">
        <w:t xml:space="preserve"> </w:t>
      </w:r>
      <w:r w:rsidRPr="00DF1884">
        <w:t>disease</w:t>
      </w:r>
      <w:r w:rsidR="00DF1884" w:rsidRPr="00DF1884">
        <w:t xml:space="preserve"> </w:t>
      </w:r>
      <w:r w:rsidRPr="00DF1884">
        <w:t>(ASCVD)</w:t>
      </w:r>
      <w:r w:rsidR="00DF1884" w:rsidRPr="00DF1884">
        <w:t xml:space="preserve"> </w:t>
      </w:r>
      <w:r w:rsidRPr="00DF1884">
        <w:t>(ADA,</w:t>
      </w:r>
      <w:r w:rsidR="00DF1884" w:rsidRPr="00DF1884">
        <w:t xml:space="preserve"> </w:t>
      </w:r>
      <w:r w:rsidRPr="00DF1884">
        <w:t>2015).</w:t>
      </w:r>
      <w:r w:rsidR="00DF1884" w:rsidRPr="00DF1884">
        <w:t xml:space="preserve"> </w:t>
      </w:r>
    </w:p>
    <w:p w14:paraId="52DDD8FF" w14:textId="5D696BF5" w:rsidR="005B5649" w:rsidRPr="00DF1884" w:rsidRDefault="005B5649" w:rsidP="005B5649">
      <w:pPr>
        <w:pStyle w:val="Body"/>
      </w:pPr>
      <w:r w:rsidRPr="00DF1884">
        <w:t>Primary</w:t>
      </w:r>
      <w:r w:rsidR="00DF1884" w:rsidRPr="00DF1884">
        <w:t xml:space="preserve"> </w:t>
      </w:r>
      <w:r w:rsidRPr="00DF1884">
        <w:t>prevention</w:t>
      </w:r>
      <w:r w:rsidR="00DF1884" w:rsidRPr="00DF1884">
        <w:t xml:space="preserve"> </w:t>
      </w:r>
      <w:r w:rsidRPr="00DF1884">
        <w:t>for</w:t>
      </w:r>
      <w:r w:rsidR="00DF1884" w:rsidRPr="00DF1884">
        <w:t xml:space="preserve"> </w:t>
      </w:r>
      <w:r w:rsidRPr="00DF1884">
        <w:t>cardiovascular</w:t>
      </w:r>
      <w:r w:rsidR="00DF1884" w:rsidRPr="00DF1884">
        <w:t xml:space="preserve"> </w:t>
      </w:r>
      <w:r w:rsidRPr="00DF1884">
        <w:t>disease</w:t>
      </w:r>
      <w:r w:rsidR="00DF1884" w:rsidRPr="00DF1884">
        <w:t xml:space="preserve"> </w:t>
      </w:r>
      <w:r w:rsidRPr="00DF1884">
        <w:t>is</w:t>
      </w:r>
      <w:r w:rsidR="00DF1884" w:rsidRPr="00DF1884">
        <w:t xml:space="preserve"> </w:t>
      </w:r>
      <w:r w:rsidRPr="00DF1884">
        <w:t>an</w:t>
      </w:r>
      <w:r w:rsidR="00DF1884" w:rsidRPr="00DF1884">
        <w:t xml:space="preserve"> </w:t>
      </w:r>
      <w:r w:rsidRPr="00DF1884">
        <w:t>important</w:t>
      </w:r>
      <w:r w:rsidR="00DF1884" w:rsidRPr="00DF1884">
        <w:t xml:space="preserve"> </w:t>
      </w:r>
      <w:r w:rsidRPr="00DF1884">
        <w:t>aspect</w:t>
      </w:r>
      <w:r w:rsidR="00DF1884" w:rsidRPr="00DF1884">
        <w:t xml:space="preserve"> </w:t>
      </w:r>
      <w:r w:rsidRPr="00DF1884">
        <w:t>of</w:t>
      </w:r>
      <w:r w:rsidR="00DF1884" w:rsidRPr="00DF1884">
        <w:t xml:space="preserve"> </w:t>
      </w:r>
      <w:r w:rsidRPr="00DF1884">
        <w:t>diabetes</w:t>
      </w:r>
      <w:r w:rsidR="00DF1884" w:rsidRPr="00DF1884">
        <w:t xml:space="preserve"> </w:t>
      </w:r>
      <w:r w:rsidRPr="00DF1884">
        <w:t>management.</w:t>
      </w:r>
      <w:r w:rsidR="00DF1884" w:rsidRPr="00DF1884">
        <w:t xml:space="preserve"> </w:t>
      </w:r>
      <w:r w:rsidRPr="00DF1884">
        <w:t>The</w:t>
      </w:r>
      <w:r w:rsidR="00DF1884" w:rsidRPr="00DF1884">
        <w:t xml:space="preserve"> </w:t>
      </w:r>
      <w:r w:rsidRPr="00DF1884">
        <w:t>risk</w:t>
      </w:r>
      <w:r w:rsidR="00DF1884" w:rsidRPr="00DF1884">
        <w:t xml:space="preserve"> </w:t>
      </w:r>
      <w:r w:rsidRPr="00DF1884">
        <w:t>of</w:t>
      </w:r>
      <w:r w:rsidR="00DF1884" w:rsidRPr="00DF1884">
        <w:t xml:space="preserve"> </w:t>
      </w:r>
      <w:r w:rsidRPr="00DF1884">
        <w:t>an</w:t>
      </w:r>
      <w:r w:rsidR="00DF1884" w:rsidRPr="00DF1884">
        <w:t xml:space="preserve"> </w:t>
      </w:r>
      <w:r w:rsidRPr="00DF1884">
        <w:t>adult</w:t>
      </w:r>
      <w:r w:rsidR="00DF1884" w:rsidRPr="00DF1884">
        <w:t xml:space="preserve"> </w:t>
      </w:r>
      <w:r w:rsidRPr="00DF1884">
        <w:t>with</w:t>
      </w:r>
      <w:r w:rsidR="00DF1884" w:rsidRPr="00DF1884">
        <w:t xml:space="preserve"> </w:t>
      </w:r>
      <w:r w:rsidRPr="00DF1884">
        <w:t>diabetes</w:t>
      </w:r>
      <w:r w:rsidR="00DF1884" w:rsidRPr="00DF1884">
        <w:t xml:space="preserve"> </w:t>
      </w:r>
      <w:r w:rsidRPr="00DF1884">
        <w:t>developing</w:t>
      </w:r>
      <w:r w:rsidR="00DF1884" w:rsidRPr="00DF1884">
        <w:t xml:space="preserve"> </w:t>
      </w:r>
      <w:r w:rsidRPr="00DF1884">
        <w:t>cardiovascular</w:t>
      </w:r>
      <w:r w:rsidR="00DF1884" w:rsidRPr="00DF1884">
        <w:t xml:space="preserve"> </w:t>
      </w:r>
      <w:r w:rsidRPr="00DF1884">
        <w:t>disease</w:t>
      </w:r>
      <w:r w:rsidR="00DF1884" w:rsidRPr="00DF1884">
        <w:t xml:space="preserve"> </w:t>
      </w:r>
      <w:r w:rsidRPr="00DF1884">
        <w:t>is</w:t>
      </w:r>
      <w:r w:rsidR="00DF1884" w:rsidRPr="00DF1884">
        <w:t xml:space="preserve"> </w:t>
      </w:r>
      <w:r w:rsidRPr="00DF1884">
        <w:t>two</w:t>
      </w:r>
      <w:r w:rsidR="00DF1884" w:rsidRPr="00DF1884">
        <w:t xml:space="preserve"> </w:t>
      </w:r>
      <w:r w:rsidRPr="00DF1884">
        <w:t>to</w:t>
      </w:r>
      <w:r w:rsidR="00DF1884" w:rsidRPr="00DF1884">
        <w:t xml:space="preserve"> </w:t>
      </w:r>
      <w:r w:rsidRPr="00DF1884">
        <w:t>four</w:t>
      </w:r>
      <w:r w:rsidR="00DF1884" w:rsidRPr="00DF1884">
        <w:t xml:space="preserve"> </w:t>
      </w:r>
      <w:r w:rsidRPr="00DF1884">
        <w:t>times</w:t>
      </w:r>
      <w:r w:rsidR="00DF1884" w:rsidRPr="00DF1884">
        <w:t xml:space="preserve"> </w:t>
      </w:r>
      <w:r w:rsidRPr="00DF1884">
        <w:t>higher</w:t>
      </w:r>
      <w:r w:rsidR="00DF1884" w:rsidRPr="00DF1884">
        <w:t xml:space="preserve"> </w:t>
      </w:r>
      <w:r w:rsidRPr="00DF1884">
        <w:t>than</w:t>
      </w:r>
      <w:r w:rsidR="00DF1884" w:rsidRPr="00DF1884">
        <w:t xml:space="preserve"> </w:t>
      </w:r>
      <w:r w:rsidRPr="00DF1884">
        <w:t>that</w:t>
      </w:r>
      <w:r w:rsidR="00DF1884" w:rsidRPr="00DF1884">
        <w:t xml:space="preserve"> </w:t>
      </w:r>
      <w:r w:rsidRPr="00DF1884">
        <w:t>of</w:t>
      </w:r>
      <w:r w:rsidR="00DF1884" w:rsidRPr="00DF1884">
        <w:t xml:space="preserve"> </w:t>
      </w:r>
      <w:r w:rsidRPr="00DF1884">
        <w:t>an</w:t>
      </w:r>
      <w:r w:rsidR="00DF1884" w:rsidRPr="00DF1884">
        <w:t xml:space="preserve"> </w:t>
      </w:r>
      <w:r w:rsidRPr="00DF1884">
        <w:t>adult</w:t>
      </w:r>
      <w:r w:rsidR="00DF1884" w:rsidRPr="00DF1884">
        <w:t xml:space="preserve"> </w:t>
      </w:r>
      <w:r w:rsidRPr="00DF1884">
        <w:t>without</w:t>
      </w:r>
      <w:r w:rsidR="00DF1884" w:rsidRPr="00DF1884">
        <w:t xml:space="preserve"> </w:t>
      </w:r>
      <w:r w:rsidRPr="00DF1884">
        <w:t>diabetes</w:t>
      </w:r>
      <w:r w:rsidR="00DF1884" w:rsidRPr="00DF1884">
        <w:t xml:space="preserve"> </w:t>
      </w:r>
      <w:r w:rsidRPr="00DF1884">
        <w:t>(AHA,</w:t>
      </w:r>
      <w:r w:rsidR="00DF1884" w:rsidRPr="00DF1884">
        <w:t xml:space="preserve"> </w:t>
      </w:r>
      <w:r w:rsidRPr="00DF1884">
        <w:t>2012).</w:t>
      </w:r>
      <w:r w:rsidR="00DF1884" w:rsidRPr="00DF1884">
        <w:t xml:space="preserve"> </w:t>
      </w:r>
      <w:r w:rsidRPr="00DF1884">
        <w:t>In</w:t>
      </w:r>
      <w:r w:rsidR="00DF1884" w:rsidRPr="00DF1884">
        <w:t xml:space="preserve"> </w:t>
      </w:r>
      <w:r w:rsidRPr="00DF1884">
        <w:t>addition</w:t>
      </w:r>
      <w:r w:rsidR="00DF1884" w:rsidRPr="00DF1884">
        <w:t xml:space="preserve"> </w:t>
      </w:r>
      <w:r w:rsidRPr="00DF1884">
        <w:t>to</w:t>
      </w:r>
      <w:r w:rsidR="00DF1884" w:rsidRPr="00DF1884">
        <w:t xml:space="preserve"> </w:t>
      </w:r>
      <w:r w:rsidRPr="00DF1884">
        <w:t>being</w:t>
      </w:r>
      <w:r w:rsidR="00DF1884" w:rsidRPr="00DF1884">
        <w:t xml:space="preserve"> </w:t>
      </w:r>
      <w:r w:rsidRPr="00DF1884">
        <w:t>at</w:t>
      </w:r>
      <w:r w:rsidR="00DF1884" w:rsidRPr="00DF1884">
        <w:t xml:space="preserve"> </w:t>
      </w:r>
      <w:r w:rsidRPr="00DF1884">
        <w:t>a</w:t>
      </w:r>
      <w:r w:rsidR="00DF1884" w:rsidRPr="00DF1884">
        <w:t xml:space="preserve"> </w:t>
      </w:r>
      <w:r w:rsidRPr="00DF1884">
        <w:t>higher</w:t>
      </w:r>
      <w:r w:rsidR="00DF1884" w:rsidRPr="00DF1884">
        <w:t xml:space="preserve"> </w:t>
      </w:r>
      <w:r w:rsidRPr="00DF1884">
        <w:t>risk</w:t>
      </w:r>
      <w:r w:rsidR="00DF1884" w:rsidRPr="00DF1884">
        <w:t xml:space="preserve"> </w:t>
      </w:r>
      <w:r w:rsidRPr="00DF1884">
        <w:t>for</w:t>
      </w:r>
      <w:r w:rsidR="00DF1884" w:rsidRPr="00DF1884">
        <w:t xml:space="preserve"> </w:t>
      </w:r>
      <w:r w:rsidRPr="00DF1884">
        <w:t>developing</w:t>
      </w:r>
      <w:r w:rsidR="00DF1884" w:rsidRPr="00DF1884">
        <w:t xml:space="preserve"> </w:t>
      </w:r>
      <w:r w:rsidRPr="00DF1884">
        <w:t>cardiovascular</w:t>
      </w:r>
      <w:r w:rsidR="00DF1884" w:rsidRPr="00DF1884">
        <w:t xml:space="preserve"> </w:t>
      </w:r>
      <w:r w:rsidRPr="00DF1884">
        <w:t>disease,</w:t>
      </w:r>
      <w:r w:rsidR="00DF1884" w:rsidRPr="00DF1884">
        <w:t xml:space="preserve"> </w:t>
      </w:r>
      <w:r w:rsidRPr="00DF1884">
        <w:t>patients</w:t>
      </w:r>
      <w:r w:rsidR="00DF1884" w:rsidRPr="00DF1884">
        <w:t xml:space="preserve"> </w:t>
      </w:r>
      <w:r w:rsidRPr="00DF1884">
        <w:t>with</w:t>
      </w:r>
      <w:r w:rsidR="00DF1884" w:rsidRPr="00DF1884">
        <w:t xml:space="preserve"> </w:t>
      </w:r>
      <w:r w:rsidRPr="00DF1884">
        <w:t>diabetes</w:t>
      </w:r>
      <w:r w:rsidR="00DF1884" w:rsidRPr="00DF1884">
        <w:t xml:space="preserve"> </w:t>
      </w:r>
      <w:r w:rsidRPr="00DF1884">
        <w:t>tend</w:t>
      </w:r>
      <w:r w:rsidR="00DF1884" w:rsidRPr="00DF1884">
        <w:t xml:space="preserve"> </w:t>
      </w:r>
      <w:r w:rsidRPr="00DF1884">
        <w:t>to</w:t>
      </w:r>
      <w:r w:rsidR="00DF1884" w:rsidRPr="00DF1884">
        <w:t xml:space="preserve"> </w:t>
      </w:r>
      <w:r w:rsidRPr="00DF1884">
        <w:t>have</w:t>
      </w:r>
      <w:r w:rsidR="00DF1884" w:rsidRPr="00DF1884">
        <w:t xml:space="preserve"> </w:t>
      </w:r>
      <w:r w:rsidRPr="00DF1884">
        <w:t>worse</w:t>
      </w:r>
      <w:r w:rsidR="00DF1884" w:rsidRPr="00DF1884">
        <w:t xml:space="preserve"> </w:t>
      </w:r>
      <w:r w:rsidRPr="00DF1884">
        <w:t>survival</w:t>
      </w:r>
      <w:r w:rsidR="00DF1884" w:rsidRPr="00DF1884">
        <w:t xml:space="preserve"> </w:t>
      </w:r>
      <w:r w:rsidRPr="00DF1884">
        <w:t>after</w:t>
      </w:r>
      <w:r w:rsidR="00DF1884" w:rsidRPr="00DF1884">
        <w:t xml:space="preserve"> </w:t>
      </w:r>
      <w:r w:rsidRPr="00DF1884">
        <w:t>the</w:t>
      </w:r>
      <w:r w:rsidR="00DF1884" w:rsidRPr="00DF1884">
        <w:t xml:space="preserve"> </w:t>
      </w:r>
      <w:r w:rsidRPr="00DF1884">
        <w:t>onset</w:t>
      </w:r>
      <w:r w:rsidR="00DF1884" w:rsidRPr="00DF1884">
        <w:t xml:space="preserve"> </w:t>
      </w:r>
      <w:r w:rsidRPr="00DF1884">
        <w:t>of</w:t>
      </w:r>
      <w:r w:rsidR="00DF1884" w:rsidRPr="00DF1884">
        <w:t xml:space="preserve"> </w:t>
      </w:r>
      <w:r w:rsidRPr="00DF1884">
        <w:t>cardiovascular</w:t>
      </w:r>
      <w:r w:rsidR="00DF1884" w:rsidRPr="00DF1884">
        <w:t xml:space="preserve"> </w:t>
      </w:r>
      <w:r w:rsidRPr="00DF1884">
        <w:t>disease</w:t>
      </w:r>
      <w:r w:rsidR="00DF1884" w:rsidRPr="00DF1884">
        <w:t xml:space="preserve"> </w:t>
      </w:r>
      <w:r w:rsidRPr="00DF1884">
        <w:t>(Stone</w:t>
      </w:r>
      <w:r w:rsidR="00DF1884" w:rsidRPr="00DF1884">
        <w:t xml:space="preserve"> </w:t>
      </w:r>
      <w:r w:rsidRPr="00DF1884">
        <w:t>et</w:t>
      </w:r>
      <w:r w:rsidR="00DF1884" w:rsidRPr="00DF1884">
        <w:t xml:space="preserve"> </w:t>
      </w:r>
      <w:r w:rsidRPr="00DF1884">
        <w:t>al.,</w:t>
      </w:r>
      <w:r w:rsidR="00DF1884" w:rsidRPr="00DF1884">
        <w:t xml:space="preserve"> </w:t>
      </w:r>
      <w:r w:rsidRPr="00DF1884">
        <w:t>2013).</w:t>
      </w:r>
      <w:r w:rsidR="00DF1884" w:rsidRPr="00DF1884">
        <w:t xml:space="preserve"> </w:t>
      </w:r>
      <w:r w:rsidRPr="00DF1884">
        <w:t>The</w:t>
      </w:r>
      <w:r w:rsidR="00DF1884" w:rsidRPr="00DF1884">
        <w:t xml:space="preserve"> </w:t>
      </w:r>
      <w:r w:rsidRPr="00DF1884">
        <w:t>Centers</w:t>
      </w:r>
      <w:r w:rsidR="00DF1884" w:rsidRPr="00DF1884">
        <w:t xml:space="preserve"> </w:t>
      </w:r>
      <w:r w:rsidRPr="00DF1884">
        <w:t>for</w:t>
      </w:r>
      <w:r w:rsidR="00DF1884" w:rsidRPr="00DF1884">
        <w:t xml:space="preserve"> </w:t>
      </w:r>
      <w:r w:rsidRPr="00DF1884">
        <w:t>Disease</w:t>
      </w:r>
      <w:r w:rsidR="00DF1884" w:rsidRPr="00DF1884">
        <w:t xml:space="preserve"> </w:t>
      </w:r>
      <w:r w:rsidRPr="00DF1884">
        <w:t>Control</w:t>
      </w:r>
      <w:r w:rsidR="00DF1884" w:rsidRPr="00DF1884">
        <w:t xml:space="preserve"> </w:t>
      </w:r>
      <w:r w:rsidRPr="00DF1884">
        <w:t>and</w:t>
      </w:r>
      <w:r w:rsidR="00DF1884" w:rsidRPr="00DF1884">
        <w:t xml:space="preserve"> </w:t>
      </w:r>
      <w:r w:rsidRPr="00DF1884">
        <w:t>Prevention</w:t>
      </w:r>
      <w:r w:rsidR="00DF1884" w:rsidRPr="00DF1884">
        <w:t xml:space="preserve"> </w:t>
      </w:r>
      <w:r w:rsidRPr="00DF1884">
        <w:t>estimates</w:t>
      </w:r>
      <w:r w:rsidR="00DF1884" w:rsidRPr="00DF1884">
        <w:t xml:space="preserve"> </w:t>
      </w:r>
      <w:r w:rsidRPr="00DF1884">
        <w:t>that</w:t>
      </w:r>
      <w:r w:rsidR="00DF1884" w:rsidRPr="00DF1884">
        <w:t xml:space="preserve"> </w:t>
      </w:r>
      <w:r w:rsidRPr="00DF1884">
        <w:t>adults</w:t>
      </w:r>
      <w:r w:rsidR="00DF1884" w:rsidRPr="00DF1884">
        <w:t xml:space="preserve"> </w:t>
      </w:r>
      <w:r w:rsidRPr="00DF1884">
        <w:t>with</w:t>
      </w:r>
      <w:r w:rsidR="00DF1884" w:rsidRPr="00DF1884">
        <w:t xml:space="preserve"> </w:t>
      </w:r>
      <w:r w:rsidRPr="00DF1884">
        <w:t>diabetes</w:t>
      </w:r>
      <w:r w:rsidR="00DF1884" w:rsidRPr="00DF1884">
        <w:t xml:space="preserve"> </w:t>
      </w:r>
      <w:r w:rsidRPr="00DF1884">
        <w:t>are</w:t>
      </w:r>
      <w:r w:rsidR="00DF1884" w:rsidRPr="00DF1884">
        <w:t xml:space="preserve"> </w:t>
      </w:r>
      <w:r w:rsidRPr="00DF1884">
        <w:t>1.7</w:t>
      </w:r>
      <w:r w:rsidR="00DF1884" w:rsidRPr="00DF1884">
        <w:t xml:space="preserve"> </w:t>
      </w:r>
      <w:r w:rsidRPr="00DF1884">
        <w:t>times</w:t>
      </w:r>
      <w:r w:rsidR="00DF1884" w:rsidRPr="00DF1884">
        <w:t xml:space="preserve"> </w:t>
      </w:r>
      <w:r w:rsidRPr="00DF1884">
        <w:t>more</w:t>
      </w:r>
      <w:r w:rsidR="00DF1884" w:rsidRPr="00DF1884">
        <w:t xml:space="preserve"> </w:t>
      </w:r>
      <w:r w:rsidRPr="00DF1884">
        <w:t>likely</w:t>
      </w:r>
      <w:r w:rsidR="00DF1884" w:rsidRPr="00DF1884">
        <w:t xml:space="preserve"> </w:t>
      </w:r>
      <w:r w:rsidRPr="00DF1884">
        <w:t>to</w:t>
      </w:r>
      <w:r w:rsidR="00DF1884" w:rsidRPr="00DF1884">
        <w:t xml:space="preserve"> </w:t>
      </w:r>
      <w:r w:rsidRPr="00DF1884">
        <w:t>die</w:t>
      </w:r>
      <w:r w:rsidR="00DF1884" w:rsidRPr="00DF1884">
        <w:t xml:space="preserve"> </w:t>
      </w:r>
      <w:r w:rsidRPr="00DF1884">
        <w:t>from</w:t>
      </w:r>
      <w:r w:rsidR="00DF1884" w:rsidRPr="00DF1884">
        <w:t xml:space="preserve"> </w:t>
      </w:r>
      <w:r w:rsidRPr="00DF1884">
        <w:t>cardiovascular</w:t>
      </w:r>
      <w:r w:rsidR="00DF1884" w:rsidRPr="00DF1884">
        <w:t xml:space="preserve"> </w:t>
      </w:r>
      <w:r w:rsidRPr="00DF1884">
        <w:t>disease</w:t>
      </w:r>
      <w:r w:rsidR="00DF1884" w:rsidRPr="00DF1884">
        <w:t xml:space="preserve"> </w:t>
      </w:r>
      <w:r w:rsidRPr="00DF1884">
        <w:t>than</w:t>
      </w:r>
      <w:r w:rsidR="00DF1884" w:rsidRPr="00DF1884">
        <w:t xml:space="preserve"> </w:t>
      </w:r>
      <w:r w:rsidRPr="00DF1884">
        <w:t>adults</w:t>
      </w:r>
      <w:r w:rsidR="00DF1884" w:rsidRPr="00DF1884">
        <w:t xml:space="preserve"> </w:t>
      </w:r>
      <w:r w:rsidRPr="00DF1884">
        <w:t>without</w:t>
      </w:r>
      <w:r w:rsidR="00DF1884" w:rsidRPr="00DF1884">
        <w:t xml:space="preserve"> </w:t>
      </w:r>
      <w:r w:rsidRPr="00DF1884">
        <w:t>diabetes</w:t>
      </w:r>
      <w:r w:rsidR="00DF1884" w:rsidRPr="00DF1884">
        <w:t xml:space="preserve"> </w:t>
      </w:r>
      <w:r w:rsidRPr="00DF1884">
        <w:t>(CDC,</w:t>
      </w:r>
      <w:r w:rsidR="00DF1884" w:rsidRPr="00DF1884">
        <w:t xml:space="preserve"> </w:t>
      </w:r>
      <w:r w:rsidRPr="00DF1884">
        <w:t>2014).</w:t>
      </w:r>
      <w:r w:rsidR="00DF1884" w:rsidRPr="00DF1884">
        <w:t xml:space="preserve"> </w:t>
      </w:r>
    </w:p>
    <w:p w14:paraId="23DA8FAC" w14:textId="292B383A" w:rsidR="005B5649" w:rsidRPr="00DF1884" w:rsidRDefault="005B5649" w:rsidP="005B5649">
      <w:pPr>
        <w:pStyle w:val="Body"/>
      </w:pPr>
      <w:r w:rsidRPr="00DF1884">
        <w:t>Numerous</w:t>
      </w:r>
      <w:r w:rsidR="00DF1884" w:rsidRPr="00DF1884">
        <w:t xml:space="preserve"> </w:t>
      </w:r>
      <w:r w:rsidRPr="00DF1884">
        <w:t>studies</w:t>
      </w:r>
      <w:r w:rsidR="00DF1884" w:rsidRPr="00DF1884">
        <w:t xml:space="preserve"> </w:t>
      </w:r>
      <w:r w:rsidRPr="00DF1884">
        <w:t>have</w:t>
      </w:r>
      <w:r w:rsidR="00DF1884" w:rsidRPr="00DF1884">
        <w:t xml:space="preserve"> </w:t>
      </w:r>
      <w:r w:rsidRPr="00DF1884">
        <w:t>demonstrated</w:t>
      </w:r>
      <w:r w:rsidR="00DF1884" w:rsidRPr="00DF1884">
        <w:t xml:space="preserve"> </w:t>
      </w:r>
      <w:r w:rsidRPr="00DF1884">
        <w:t>the</w:t>
      </w:r>
      <w:r w:rsidR="00DF1884" w:rsidRPr="00DF1884">
        <w:t xml:space="preserve"> </w:t>
      </w:r>
      <w:r w:rsidRPr="00DF1884">
        <w:t>efficacy</w:t>
      </w:r>
      <w:r w:rsidR="00DF1884" w:rsidRPr="00DF1884">
        <w:t xml:space="preserve"> </w:t>
      </w:r>
      <w:r w:rsidRPr="00DF1884">
        <w:t>of</w:t>
      </w:r>
      <w:r w:rsidR="00DF1884" w:rsidRPr="00DF1884">
        <w:t xml:space="preserve"> </w:t>
      </w:r>
      <w:r w:rsidRPr="00DF1884">
        <w:t>statins</w:t>
      </w:r>
      <w:r w:rsidR="00DF1884" w:rsidRPr="00DF1884">
        <w:t xml:space="preserve"> </w:t>
      </w:r>
      <w:r w:rsidRPr="00DF1884">
        <w:t>in</w:t>
      </w:r>
      <w:r w:rsidR="00DF1884" w:rsidRPr="00DF1884">
        <w:t xml:space="preserve"> </w:t>
      </w:r>
      <w:r w:rsidRPr="00DF1884">
        <w:t>reducing</w:t>
      </w:r>
      <w:r w:rsidR="00DF1884" w:rsidRPr="00DF1884">
        <w:t xml:space="preserve"> </w:t>
      </w:r>
      <w:r w:rsidRPr="00DF1884">
        <w:t>cardiovascular</w:t>
      </w:r>
      <w:r w:rsidR="00DF1884" w:rsidRPr="00DF1884">
        <w:t xml:space="preserve"> </w:t>
      </w:r>
      <w:r w:rsidRPr="00DF1884">
        <w:t>risk.</w:t>
      </w:r>
      <w:r w:rsidR="00DF1884" w:rsidRPr="00DF1884">
        <w:t xml:space="preserve"> </w:t>
      </w:r>
      <w:r w:rsidRPr="00DF1884">
        <w:t>The</w:t>
      </w:r>
      <w:r w:rsidR="00DF1884" w:rsidRPr="00DF1884">
        <w:t xml:space="preserve"> </w:t>
      </w:r>
      <w:r w:rsidRPr="00DF1884">
        <w:t>use</w:t>
      </w:r>
      <w:r w:rsidR="00DF1884" w:rsidRPr="00DF1884">
        <w:t xml:space="preserve"> </w:t>
      </w:r>
      <w:r w:rsidRPr="00DF1884">
        <w:t>of</w:t>
      </w:r>
      <w:r w:rsidR="00DF1884" w:rsidRPr="00DF1884">
        <w:t xml:space="preserve"> </w:t>
      </w:r>
      <w:r w:rsidRPr="00DF1884">
        <w:t>statins</w:t>
      </w:r>
      <w:r w:rsidR="00DF1884" w:rsidRPr="00DF1884">
        <w:t xml:space="preserve"> </w:t>
      </w:r>
      <w:r w:rsidRPr="00DF1884">
        <w:t>for</w:t>
      </w:r>
      <w:r w:rsidR="00DF1884" w:rsidRPr="00DF1884">
        <w:t xml:space="preserve"> </w:t>
      </w:r>
      <w:r w:rsidRPr="00DF1884">
        <w:t>primary</w:t>
      </w:r>
      <w:r w:rsidR="00DF1884" w:rsidRPr="00DF1884">
        <w:t xml:space="preserve"> </w:t>
      </w:r>
      <w:r w:rsidRPr="00DF1884">
        <w:t>prevention</w:t>
      </w:r>
      <w:r w:rsidR="00DF1884" w:rsidRPr="00DF1884">
        <w:t xml:space="preserve"> </w:t>
      </w:r>
      <w:r w:rsidRPr="00DF1884">
        <w:t>of</w:t>
      </w:r>
      <w:r w:rsidR="00DF1884" w:rsidRPr="00DF1884">
        <w:t xml:space="preserve"> </w:t>
      </w:r>
      <w:r w:rsidRPr="00DF1884">
        <w:t>cardiovascular</w:t>
      </w:r>
      <w:r w:rsidR="00DF1884" w:rsidRPr="00DF1884">
        <w:t xml:space="preserve"> </w:t>
      </w:r>
      <w:r w:rsidRPr="00DF1884">
        <w:t>disease</w:t>
      </w:r>
      <w:r w:rsidR="00DF1884" w:rsidRPr="00DF1884">
        <w:t xml:space="preserve"> </w:t>
      </w:r>
      <w:r w:rsidRPr="00DF1884">
        <w:t>in</w:t>
      </w:r>
      <w:r w:rsidR="00DF1884" w:rsidRPr="00DF1884">
        <w:t xml:space="preserve"> </w:t>
      </w:r>
      <w:r w:rsidRPr="00DF1884">
        <w:t>patients</w:t>
      </w:r>
      <w:r w:rsidR="00DF1884" w:rsidRPr="00DF1884">
        <w:t xml:space="preserve"> </w:t>
      </w:r>
      <w:r w:rsidRPr="00DF1884">
        <w:t>with</w:t>
      </w:r>
      <w:r w:rsidR="00DF1884" w:rsidRPr="00DF1884">
        <w:t xml:space="preserve"> </w:t>
      </w:r>
      <w:r w:rsidRPr="00DF1884">
        <w:t>diabetes,</w:t>
      </w:r>
      <w:r w:rsidR="00DF1884" w:rsidRPr="00DF1884">
        <w:t xml:space="preserve"> </w:t>
      </w:r>
      <w:r w:rsidRPr="00DF1884">
        <w:t>based</w:t>
      </w:r>
      <w:r w:rsidR="00DF1884" w:rsidRPr="00DF1884">
        <w:t xml:space="preserve"> </w:t>
      </w:r>
      <w:r w:rsidRPr="00DF1884">
        <w:t>on</w:t>
      </w:r>
      <w:r w:rsidR="00DF1884" w:rsidRPr="00DF1884">
        <w:t xml:space="preserve"> </w:t>
      </w:r>
      <w:r w:rsidRPr="00DF1884">
        <w:t>their</w:t>
      </w:r>
      <w:r w:rsidR="00DF1884" w:rsidRPr="00DF1884">
        <w:t xml:space="preserve"> </w:t>
      </w:r>
      <w:r w:rsidRPr="00DF1884">
        <w:t>age</w:t>
      </w:r>
      <w:r w:rsidR="00DF1884" w:rsidRPr="00DF1884">
        <w:t xml:space="preserve"> </w:t>
      </w:r>
      <w:r w:rsidRPr="00DF1884">
        <w:t>and</w:t>
      </w:r>
      <w:r w:rsidR="00DF1884" w:rsidRPr="00DF1884">
        <w:t xml:space="preserve"> </w:t>
      </w:r>
      <w:r w:rsidRPr="00DF1884">
        <w:t>other</w:t>
      </w:r>
      <w:r w:rsidR="00DF1884" w:rsidRPr="00DF1884">
        <w:t xml:space="preserve"> </w:t>
      </w:r>
      <w:r w:rsidRPr="00DF1884">
        <w:t>risk</w:t>
      </w:r>
      <w:r w:rsidR="00DF1884" w:rsidRPr="00DF1884">
        <w:t xml:space="preserve"> </w:t>
      </w:r>
      <w:r w:rsidRPr="00DF1884">
        <w:t>factors,</w:t>
      </w:r>
      <w:r w:rsidR="00DF1884" w:rsidRPr="00DF1884">
        <w:t xml:space="preserve"> </w:t>
      </w:r>
      <w:r w:rsidRPr="00DF1884">
        <w:t>is</w:t>
      </w:r>
      <w:r w:rsidR="00DF1884" w:rsidRPr="00DF1884">
        <w:t xml:space="preserve"> </w:t>
      </w:r>
      <w:r w:rsidRPr="00DF1884">
        <w:t>recommended</w:t>
      </w:r>
      <w:r w:rsidR="00DF1884" w:rsidRPr="00DF1884">
        <w:t xml:space="preserve"> </w:t>
      </w:r>
      <w:r w:rsidRPr="00DF1884">
        <w:t>by</w:t>
      </w:r>
      <w:r w:rsidR="00DF1884" w:rsidRPr="00DF1884">
        <w:t xml:space="preserve"> </w:t>
      </w:r>
      <w:r w:rsidRPr="00DF1884">
        <w:t>guidelines</w:t>
      </w:r>
      <w:r w:rsidR="00DF1884" w:rsidRPr="00DF1884">
        <w:t xml:space="preserve"> </w:t>
      </w:r>
      <w:r w:rsidRPr="00DF1884">
        <w:t>from</w:t>
      </w:r>
      <w:r w:rsidR="00DF1884" w:rsidRPr="00DF1884">
        <w:t xml:space="preserve"> </w:t>
      </w:r>
      <w:r w:rsidRPr="00DF1884">
        <w:t>the</w:t>
      </w:r>
      <w:r w:rsidR="00DF1884" w:rsidRPr="00DF1884">
        <w:t xml:space="preserve"> </w:t>
      </w:r>
      <w:r w:rsidRPr="00DF1884">
        <w:t>American</w:t>
      </w:r>
      <w:r w:rsidR="00DF1884" w:rsidRPr="00DF1884">
        <w:t xml:space="preserve"> </w:t>
      </w:r>
      <w:r w:rsidRPr="00DF1884">
        <w:t>Diabetes</w:t>
      </w:r>
      <w:r w:rsidR="00DF1884" w:rsidRPr="00DF1884">
        <w:t xml:space="preserve"> </w:t>
      </w:r>
      <w:r w:rsidRPr="00DF1884">
        <w:t>Association</w:t>
      </w:r>
      <w:r w:rsidR="00DF1884" w:rsidRPr="00DF1884">
        <w:t xml:space="preserve"> </w:t>
      </w:r>
      <w:r w:rsidRPr="00DF1884">
        <w:t>(ADA)</w:t>
      </w:r>
      <w:r w:rsidR="00DF1884" w:rsidRPr="00DF1884">
        <w:t xml:space="preserve"> </w:t>
      </w:r>
      <w:r w:rsidRPr="00DF1884">
        <w:t>and</w:t>
      </w:r>
      <w:r w:rsidR="00DF1884" w:rsidRPr="00DF1884">
        <w:t xml:space="preserve"> </w:t>
      </w:r>
      <w:r w:rsidRPr="00DF1884">
        <w:t>the</w:t>
      </w:r>
      <w:r w:rsidR="00DF1884" w:rsidRPr="00DF1884">
        <w:t xml:space="preserve"> </w:t>
      </w:r>
      <w:r w:rsidRPr="00DF1884">
        <w:t>American</w:t>
      </w:r>
      <w:r w:rsidR="00DF1884" w:rsidRPr="00DF1884">
        <w:t xml:space="preserve"> </w:t>
      </w:r>
      <w:r w:rsidRPr="00DF1884">
        <w:t>College</w:t>
      </w:r>
      <w:r w:rsidR="00DF1884" w:rsidRPr="00DF1884">
        <w:t xml:space="preserve"> </w:t>
      </w:r>
      <w:r w:rsidRPr="00DF1884">
        <w:t>of</w:t>
      </w:r>
      <w:r w:rsidR="00DF1884" w:rsidRPr="00DF1884">
        <w:t xml:space="preserve"> </w:t>
      </w:r>
      <w:r w:rsidRPr="00DF1884">
        <w:t>Cardiology/American</w:t>
      </w:r>
      <w:r w:rsidR="00DF1884" w:rsidRPr="00DF1884">
        <w:t xml:space="preserve"> </w:t>
      </w:r>
      <w:r w:rsidRPr="00DF1884">
        <w:t>Heart</w:t>
      </w:r>
      <w:r w:rsidR="00DF1884" w:rsidRPr="00DF1884">
        <w:t xml:space="preserve"> </w:t>
      </w:r>
      <w:r w:rsidRPr="00DF1884">
        <w:t>Association</w:t>
      </w:r>
      <w:r w:rsidR="00DF1884" w:rsidRPr="00DF1884">
        <w:t xml:space="preserve"> </w:t>
      </w:r>
      <w:r w:rsidRPr="00DF1884">
        <w:t>(ACC/AHA).</w:t>
      </w:r>
    </w:p>
    <w:p w14:paraId="12C67594" w14:textId="77777777" w:rsidR="005B5649" w:rsidRPr="00DF1884" w:rsidRDefault="005B5649" w:rsidP="005B5649">
      <w:pPr>
        <w:pStyle w:val="StdHead"/>
      </w:pPr>
      <w:r w:rsidRPr="00DF1884">
        <w:t>Relevance</w:t>
      </w:r>
    </w:p>
    <w:tbl>
      <w:tblPr>
        <w:tblW w:w="9941" w:type="dxa"/>
        <w:tblInd w:w="-41" w:type="dxa"/>
        <w:tblLayout w:type="fixed"/>
        <w:tblCellMar>
          <w:left w:w="180" w:type="dxa"/>
          <w:right w:w="180" w:type="dxa"/>
        </w:tblCellMar>
        <w:tblLook w:val="0000" w:firstRow="0" w:lastRow="0" w:firstColumn="0" w:lastColumn="0" w:noHBand="0" w:noVBand="0"/>
      </w:tblPr>
      <w:tblGrid>
        <w:gridCol w:w="1931"/>
        <w:gridCol w:w="8010"/>
      </w:tblGrid>
      <w:tr w:rsidR="00DF1884" w:rsidRPr="00DF1884" w14:paraId="02378AFE" w14:textId="77777777" w:rsidTr="002E4322">
        <w:tc>
          <w:tcPr>
            <w:tcW w:w="1931" w:type="dxa"/>
            <w:tcMar>
              <w:left w:w="115" w:type="dxa"/>
              <w:right w:w="115" w:type="dxa"/>
            </w:tcMar>
          </w:tcPr>
          <w:p w14:paraId="62997C2A" w14:textId="2350A9A9" w:rsidR="005B5649" w:rsidRPr="00DF1884" w:rsidRDefault="005B5649" w:rsidP="005B5649">
            <w:pPr>
              <w:pStyle w:val="MarginSubhead"/>
            </w:pPr>
            <w:r w:rsidRPr="00DF1884">
              <w:t>Health</w:t>
            </w:r>
            <w:r w:rsidR="00DF1884" w:rsidRPr="00DF1884">
              <w:t xml:space="preserve"> </w:t>
            </w:r>
            <w:r w:rsidRPr="00DF1884">
              <w:t>importance</w:t>
            </w:r>
          </w:p>
        </w:tc>
        <w:tc>
          <w:tcPr>
            <w:tcW w:w="8010" w:type="dxa"/>
            <w:tcMar>
              <w:left w:w="115" w:type="dxa"/>
              <w:right w:w="115" w:type="dxa"/>
            </w:tcMar>
          </w:tcPr>
          <w:p w14:paraId="353D4973" w14:textId="1D73AB96" w:rsidR="005B5649" w:rsidRPr="00DF1884" w:rsidRDefault="005B5649" w:rsidP="005B5649">
            <w:pPr>
              <w:pStyle w:val="Body"/>
              <w:rPr>
                <w:rFonts w:cs="Arial"/>
                <w:szCs w:val="20"/>
              </w:rPr>
            </w:pPr>
            <w:r w:rsidRPr="00DF1884">
              <w:rPr>
                <w:rFonts w:cs="Arial"/>
                <w:szCs w:val="20"/>
              </w:rPr>
              <w:t>Statins</w:t>
            </w:r>
            <w:r w:rsidR="00DF1884" w:rsidRPr="00DF1884">
              <w:rPr>
                <w:rFonts w:cs="Arial"/>
                <w:szCs w:val="20"/>
              </w:rPr>
              <w:t xml:space="preserve"> </w:t>
            </w:r>
            <w:r w:rsidRPr="00DF1884">
              <w:rPr>
                <w:rFonts w:cs="Arial"/>
                <w:szCs w:val="20"/>
              </w:rPr>
              <w:t>(3-hydroxy-3-methylglutaryl</w:t>
            </w:r>
            <w:r w:rsidR="00DF1884" w:rsidRPr="00DF1884">
              <w:rPr>
                <w:rFonts w:cs="Arial"/>
                <w:szCs w:val="20"/>
              </w:rPr>
              <w:t xml:space="preserve"> </w:t>
            </w:r>
            <w:r w:rsidRPr="00DF1884">
              <w:rPr>
                <w:rFonts w:cs="Arial"/>
                <w:szCs w:val="20"/>
              </w:rPr>
              <w:t>coenzyme</w:t>
            </w:r>
            <w:r w:rsidR="00DF1884" w:rsidRPr="00DF1884">
              <w:rPr>
                <w:rFonts w:cs="Arial"/>
                <w:szCs w:val="20"/>
              </w:rPr>
              <w:t xml:space="preserve"> </w:t>
            </w:r>
            <w:r w:rsidRPr="00DF1884">
              <w:rPr>
                <w:rFonts w:cs="Arial"/>
                <w:szCs w:val="20"/>
              </w:rPr>
              <w:t>A</w:t>
            </w:r>
            <w:r w:rsidR="00DF1884" w:rsidRPr="00DF1884">
              <w:rPr>
                <w:rFonts w:cs="Arial"/>
                <w:szCs w:val="20"/>
              </w:rPr>
              <w:t xml:space="preserve"> </w:t>
            </w:r>
            <w:r w:rsidRPr="00DF1884">
              <w:rPr>
                <w:rFonts w:cs="Arial"/>
                <w:szCs w:val="20"/>
              </w:rPr>
              <w:t>reductase</w:t>
            </w:r>
            <w:r w:rsidR="00DF1884" w:rsidRPr="00DF1884">
              <w:rPr>
                <w:rFonts w:cs="Arial"/>
                <w:szCs w:val="20"/>
              </w:rPr>
              <w:t xml:space="preserve"> </w:t>
            </w:r>
            <w:r w:rsidRPr="00DF1884">
              <w:rPr>
                <w:rFonts w:cs="Arial"/>
                <w:szCs w:val="20"/>
              </w:rPr>
              <w:t>inhibitors)</w:t>
            </w:r>
            <w:r w:rsidR="00DF1884" w:rsidRPr="00DF1884">
              <w:rPr>
                <w:rFonts w:cs="Arial"/>
                <w:szCs w:val="20"/>
              </w:rPr>
              <w:t xml:space="preserve"> </w:t>
            </w:r>
            <w:r w:rsidRPr="00DF1884">
              <w:rPr>
                <w:rFonts w:cs="Arial"/>
                <w:szCs w:val="20"/>
              </w:rPr>
              <w:t>are</w:t>
            </w:r>
            <w:r w:rsidR="00DF1884" w:rsidRPr="00DF1884">
              <w:rPr>
                <w:rFonts w:cs="Arial"/>
                <w:szCs w:val="20"/>
              </w:rPr>
              <w:t xml:space="preserve"> </w:t>
            </w:r>
            <w:r w:rsidRPr="00DF1884">
              <w:rPr>
                <w:rFonts w:cs="Arial"/>
                <w:szCs w:val="20"/>
              </w:rPr>
              <w:t>a</w:t>
            </w:r>
            <w:r w:rsidR="00DF1884" w:rsidRPr="00DF1884">
              <w:rPr>
                <w:rFonts w:cs="Arial"/>
                <w:szCs w:val="20"/>
              </w:rPr>
              <w:t xml:space="preserve"> </w:t>
            </w:r>
            <w:r w:rsidRPr="00DF1884">
              <w:rPr>
                <w:rFonts w:cs="Arial"/>
                <w:szCs w:val="20"/>
              </w:rPr>
              <w:t>class</w:t>
            </w:r>
            <w:r w:rsidR="00DF1884" w:rsidRPr="00DF1884">
              <w:rPr>
                <w:rFonts w:cs="Arial"/>
                <w:szCs w:val="20"/>
              </w:rPr>
              <w:t xml:space="preserve"> </w:t>
            </w:r>
            <w:r w:rsidRPr="00DF1884">
              <w:rPr>
                <w:rFonts w:cs="Arial"/>
                <w:szCs w:val="20"/>
              </w:rPr>
              <w:t>of</w:t>
            </w:r>
            <w:r w:rsidR="00DF1884" w:rsidRPr="00DF1884">
              <w:rPr>
                <w:rFonts w:cs="Arial"/>
                <w:szCs w:val="20"/>
              </w:rPr>
              <w:t xml:space="preserve"> </w:t>
            </w:r>
            <w:r w:rsidRPr="00DF1884">
              <w:rPr>
                <w:rFonts w:cs="Arial"/>
                <w:szCs w:val="20"/>
              </w:rPr>
              <w:t>drugs</w:t>
            </w:r>
            <w:r w:rsidR="00DF1884" w:rsidRPr="00DF1884">
              <w:rPr>
                <w:rFonts w:cs="Arial"/>
                <w:szCs w:val="20"/>
              </w:rPr>
              <w:t xml:space="preserve"> </w:t>
            </w:r>
            <w:r w:rsidRPr="00DF1884">
              <w:rPr>
                <w:rFonts w:cs="Arial"/>
                <w:szCs w:val="20"/>
              </w:rPr>
              <w:t>that</w:t>
            </w:r>
            <w:r w:rsidR="00DF1884" w:rsidRPr="00DF1884">
              <w:rPr>
                <w:rFonts w:cs="Arial"/>
                <w:szCs w:val="20"/>
              </w:rPr>
              <w:t xml:space="preserve"> </w:t>
            </w:r>
            <w:r w:rsidRPr="00DF1884">
              <w:rPr>
                <w:rFonts w:cs="Arial"/>
                <w:szCs w:val="20"/>
              </w:rPr>
              <w:t>decrease</w:t>
            </w:r>
            <w:r w:rsidR="00DF1884" w:rsidRPr="00DF1884">
              <w:rPr>
                <w:rFonts w:cs="Arial"/>
                <w:szCs w:val="20"/>
              </w:rPr>
              <w:t xml:space="preserve"> </w:t>
            </w:r>
            <w:r w:rsidRPr="00DF1884">
              <w:rPr>
                <w:rFonts w:cs="Arial"/>
                <w:szCs w:val="20"/>
              </w:rPr>
              <w:t>low-density</w:t>
            </w:r>
            <w:r w:rsidR="00DF1884" w:rsidRPr="00DF1884">
              <w:rPr>
                <w:rFonts w:cs="Arial"/>
                <w:szCs w:val="20"/>
              </w:rPr>
              <w:t xml:space="preserve"> </w:t>
            </w:r>
            <w:r w:rsidRPr="00DF1884">
              <w:rPr>
                <w:rFonts w:cs="Arial"/>
                <w:szCs w:val="20"/>
              </w:rPr>
              <w:t>lipoprotein</w:t>
            </w:r>
            <w:r w:rsidR="00DF1884" w:rsidRPr="00DF1884">
              <w:rPr>
                <w:rFonts w:cs="Arial"/>
                <w:szCs w:val="20"/>
              </w:rPr>
              <w:t xml:space="preserve"> </w:t>
            </w:r>
            <w:r w:rsidRPr="00DF1884">
              <w:rPr>
                <w:rFonts w:cs="Arial"/>
                <w:szCs w:val="20"/>
              </w:rPr>
              <w:t>cholesterol</w:t>
            </w:r>
            <w:r w:rsidR="00DF1884" w:rsidRPr="00DF1884">
              <w:rPr>
                <w:rFonts w:cs="Arial"/>
                <w:szCs w:val="20"/>
              </w:rPr>
              <w:t xml:space="preserve"> </w:t>
            </w:r>
            <w:r w:rsidRPr="00DF1884">
              <w:rPr>
                <w:rFonts w:cs="Arial"/>
                <w:szCs w:val="20"/>
              </w:rPr>
              <w:t>(LDL-C)</w:t>
            </w:r>
            <w:r w:rsidR="00DF1884" w:rsidRPr="00DF1884">
              <w:rPr>
                <w:rFonts w:cs="Arial"/>
                <w:szCs w:val="20"/>
              </w:rPr>
              <w:t xml:space="preserve"> </w:t>
            </w:r>
            <w:r w:rsidRPr="00DF1884">
              <w:rPr>
                <w:rFonts w:cs="Arial"/>
                <w:szCs w:val="20"/>
              </w:rPr>
              <w:t>levels.</w:t>
            </w:r>
            <w:r w:rsidR="00DF1884" w:rsidRPr="00DF1884">
              <w:rPr>
                <w:rFonts w:cs="Arial"/>
                <w:szCs w:val="20"/>
              </w:rPr>
              <w:t xml:space="preserve"> </w:t>
            </w:r>
            <w:r w:rsidRPr="00DF1884">
              <w:rPr>
                <w:rFonts w:cs="Arial"/>
                <w:szCs w:val="20"/>
              </w:rPr>
              <w:t>Statins</w:t>
            </w:r>
            <w:r w:rsidR="00DF1884" w:rsidRPr="00DF1884">
              <w:rPr>
                <w:rFonts w:cs="Arial"/>
                <w:szCs w:val="20"/>
              </w:rPr>
              <w:t xml:space="preserve"> </w:t>
            </w:r>
            <w:r w:rsidRPr="00DF1884">
              <w:rPr>
                <w:rFonts w:cs="Arial"/>
                <w:szCs w:val="20"/>
              </w:rPr>
              <w:t>can</w:t>
            </w:r>
            <w:r w:rsidR="00DF1884" w:rsidRPr="00DF1884">
              <w:rPr>
                <w:rFonts w:cs="Arial"/>
                <w:szCs w:val="20"/>
              </w:rPr>
              <w:t xml:space="preserve"> </w:t>
            </w:r>
            <w:r w:rsidRPr="00DF1884">
              <w:rPr>
                <w:rFonts w:cs="Arial"/>
                <w:szCs w:val="20"/>
              </w:rPr>
              <w:t>decrease</w:t>
            </w:r>
            <w:r w:rsidR="00DF1884" w:rsidRPr="00DF1884">
              <w:rPr>
                <w:rFonts w:cs="Arial"/>
                <w:szCs w:val="20"/>
              </w:rPr>
              <w:t xml:space="preserve"> </w:t>
            </w:r>
            <w:r w:rsidRPr="00DF1884">
              <w:rPr>
                <w:rFonts w:cs="Arial"/>
                <w:szCs w:val="20"/>
              </w:rPr>
              <w:t>LDL-C</w:t>
            </w:r>
            <w:r w:rsidR="00DF1884" w:rsidRPr="00DF1884">
              <w:rPr>
                <w:rFonts w:cs="Arial"/>
                <w:szCs w:val="20"/>
              </w:rPr>
              <w:t xml:space="preserve"> </w:t>
            </w:r>
            <w:r w:rsidRPr="00DF1884">
              <w:rPr>
                <w:rFonts w:cs="Arial"/>
                <w:szCs w:val="20"/>
              </w:rPr>
              <w:t>levels</w:t>
            </w:r>
            <w:r w:rsidR="00DF1884" w:rsidRPr="00DF1884">
              <w:rPr>
                <w:rFonts w:cs="Arial"/>
                <w:szCs w:val="20"/>
              </w:rPr>
              <w:t xml:space="preserve"> </w:t>
            </w:r>
            <w:r w:rsidRPr="00DF1884">
              <w:rPr>
                <w:rFonts w:cs="Arial"/>
                <w:szCs w:val="20"/>
              </w:rPr>
              <w:t>by</w:t>
            </w:r>
            <w:r w:rsidR="00DF1884" w:rsidRPr="00DF1884">
              <w:rPr>
                <w:rFonts w:cs="Arial"/>
                <w:szCs w:val="20"/>
              </w:rPr>
              <w:t xml:space="preserve"> </w:t>
            </w:r>
            <w:r w:rsidRPr="00DF1884">
              <w:rPr>
                <w:rFonts w:cs="Arial"/>
                <w:szCs w:val="20"/>
              </w:rPr>
              <w:t>as</w:t>
            </w:r>
            <w:r w:rsidR="00DF1884" w:rsidRPr="00DF1884">
              <w:rPr>
                <w:rFonts w:cs="Arial"/>
                <w:szCs w:val="20"/>
              </w:rPr>
              <w:t xml:space="preserve"> </w:t>
            </w:r>
            <w:r w:rsidRPr="00DF1884">
              <w:rPr>
                <w:rFonts w:cs="Arial"/>
                <w:szCs w:val="20"/>
              </w:rPr>
              <w:t>much</w:t>
            </w:r>
            <w:r w:rsidR="00DF1884" w:rsidRPr="00DF1884">
              <w:rPr>
                <w:rFonts w:cs="Arial"/>
                <w:szCs w:val="20"/>
              </w:rPr>
              <w:t xml:space="preserve"> </w:t>
            </w:r>
            <w:r w:rsidRPr="00DF1884">
              <w:rPr>
                <w:rFonts w:cs="Arial"/>
                <w:szCs w:val="20"/>
              </w:rPr>
              <w:t>as</w:t>
            </w:r>
            <w:r w:rsidR="00DF1884" w:rsidRPr="00DF1884">
              <w:rPr>
                <w:rFonts w:cs="Arial"/>
                <w:szCs w:val="20"/>
              </w:rPr>
              <w:t xml:space="preserve"> </w:t>
            </w:r>
            <w:r w:rsidRPr="00DF1884">
              <w:rPr>
                <w:rFonts w:cs="Arial"/>
                <w:szCs w:val="20"/>
              </w:rPr>
              <w:t>50%</w:t>
            </w:r>
            <w:r w:rsidR="00DF1884" w:rsidRPr="00DF1884">
              <w:rPr>
                <w:rFonts w:cs="Arial"/>
                <w:szCs w:val="20"/>
              </w:rPr>
              <w:t xml:space="preserve"> </w:t>
            </w:r>
            <w:r w:rsidRPr="00DF1884">
              <w:rPr>
                <w:rFonts w:cs="Arial"/>
                <w:szCs w:val="20"/>
              </w:rPr>
              <w:t>and</w:t>
            </w:r>
            <w:r w:rsidR="00DF1884" w:rsidRPr="00DF1884">
              <w:rPr>
                <w:rFonts w:cs="Arial"/>
                <w:szCs w:val="20"/>
              </w:rPr>
              <w:t xml:space="preserve"> </w:t>
            </w:r>
            <w:r w:rsidRPr="00DF1884">
              <w:rPr>
                <w:rFonts w:cs="Arial"/>
                <w:szCs w:val="20"/>
              </w:rPr>
              <w:t>could</w:t>
            </w:r>
            <w:r w:rsidR="00DF1884" w:rsidRPr="00DF1884">
              <w:rPr>
                <w:rFonts w:cs="Arial"/>
                <w:szCs w:val="20"/>
              </w:rPr>
              <w:t xml:space="preserve"> </w:t>
            </w:r>
            <w:r w:rsidRPr="00DF1884">
              <w:rPr>
                <w:rFonts w:cs="Arial"/>
                <w:szCs w:val="20"/>
              </w:rPr>
              <w:t>have</w:t>
            </w:r>
            <w:r w:rsidR="00DF1884" w:rsidRPr="00DF1884">
              <w:rPr>
                <w:rFonts w:cs="Arial"/>
                <w:szCs w:val="20"/>
              </w:rPr>
              <w:t xml:space="preserve"> </w:t>
            </w:r>
            <w:r w:rsidRPr="00DF1884">
              <w:rPr>
                <w:rFonts w:cs="Arial"/>
                <w:szCs w:val="20"/>
              </w:rPr>
              <w:t>additional</w:t>
            </w:r>
            <w:r w:rsidR="00DF1884" w:rsidRPr="00DF1884">
              <w:rPr>
                <w:rFonts w:cs="Arial"/>
                <w:szCs w:val="20"/>
              </w:rPr>
              <w:t xml:space="preserve"> </w:t>
            </w:r>
            <w:r w:rsidRPr="00DF1884">
              <w:rPr>
                <w:rFonts w:cs="Arial"/>
                <w:szCs w:val="20"/>
              </w:rPr>
              <w:t>benefit</w:t>
            </w:r>
            <w:r w:rsidR="00DF1884" w:rsidRPr="00DF1884">
              <w:rPr>
                <w:rFonts w:cs="Arial"/>
                <w:szCs w:val="20"/>
              </w:rPr>
              <w:t xml:space="preserve"> </w:t>
            </w:r>
            <w:r w:rsidRPr="00DF1884">
              <w:rPr>
                <w:rFonts w:cs="Arial"/>
                <w:szCs w:val="20"/>
              </w:rPr>
              <w:t>on</w:t>
            </w:r>
            <w:r w:rsidR="00DF1884" w:rsidRPr="00DF1884">
              <w:rPr>
                <w:rFonts w:cs="Arial"/>
                <w:szCs w:val="20"/>
              </w:rPr>
              <w:t xml:space="preserve"> </w:t>
            </w:r>
            <w:r w:rsidRPr="00DF1884">
              <w:rPr>
                <w:rFonts w:cs="Arial"/>
                <w:szCs w:val="20"/>
              </w:rPr>
              <w:t>high-density</w:t>
            </w:r>
            <w:r w:rsidR="00DF1884" w:rsidRPr="00DF1884">
              <w:rPr>
                <w:rFonts w:cs="Arial"/>
                <w:szCs w:val="20"/>
              </w:rPr>
              <w:t xml:space="preserve"> </w:t>
            </w:r>
            <w:r w:rsidRPr="00DF1884">
              <w:rPr>
                <w:rFonts w:cs="Arial"/>
                <w:szCs w:val="20"/>
              </w:rPr>
              <w:t>lipoprotein</w:t>
            </w:r>
            <w:r w:rsidR="00DF1884" w:rsidRPr="00DF1884">
              <w:rPr>
                <w:rFonts w:cs="Arial"/>
                <w:szCs w:val="20"/>
              </w:rPr>
              <w:t xml:space="preserve"> </w:t>
            </w:r>
            <w:r w:rsidRPr="00DF1884">
              <w:rPr>
                <w:rFonts w:cs="Arial"/>
                <w:szCs w:val="20"/>
              </w:rPr>
              <w:t>cholesterol</w:t>
            </w:r>
            <w:r w:rsidR="00DF1884" w:rsidRPr="00DF1884">
              <w:rPr>
                <w:rFonts w:cs="Arial"/>
                <w:szCs w:val="20"/>
              </w:rPr>
              <w:t xml:space="preserve"> </w:t>
            </w:r>
            <w:r w:rsidRPr="00DF1884">
              <w:rPr>
                <w:rFonts w:cs="Arial"/>
                <w:szCs w:val="20"/>
              </w:rPr>
              <w:t>(HDL-C)</w:t>
            </w:r>
            <w:r w:rsidR="00DF1884" w:rsidRPr="00DF1884">
              <w:rPr>
                <w:rFonts w:cs="Arial"/>
                <w:szCs w:val="20"/>
              </w:rPr>
              <w:t xml:space="preserve"> </w:t>
            </w:r>
            <w:r w:rsidRPr="00DF1884">
              <w:rPr>
                <w:rFonts w:cs="Arial"/>
                <w:szCs w:val="20"/>
              </w:rPr>
              <w:t>and</w:t>
            </w:r>
            <w:r w:rsidR="00DF1884" w:rsidRPr="00DF1884">
              <w:rPr>
                <w:rFonts w:cs="Arial"/>
                <w:szCs w:val="20"/>
              </w:rPr>
              <w:t xml:space="preserve"> </w:t>
            </w:r>
            <w:r w:rsidRPr="00DF1884">
              <w:rPr>
                <w:rFonts w:cs="Arial"/>
                <w:szCs w:val="20"/>
              </w:rPr>
              <w:t>triglyceride</w:t>
            </w:r>
            <w:r w:rsidR="00DF1884" w:rsidRPr="00DF1884">
              <w:rPr>
                <w:rFonts w:cs="Arial"/>
                <w:szCs w:val="20"/>
              </w:rPr>
              <w:t xml:space="preserve"> </w:t>
            </w:r>
            <w:r w:rsidRPr="00DF1884">
              <w:rPr>
                <w:rFonts w:cs="Arial"/>
                <w:szCs w:val="20"/>
              </w:rPr>
              <w:t>levels</w:t>
            </w:r>
            <w:r w:rsidR="00DF1884" w:rsidRPr="00DF1884">
              <w:rPr>
                <w:rFonts w:cs="Arial"/>
                <w:szCs w:val="20"/>
              </w:rPr>
              <w:t xml:space="preserve"> </w:t>
            </w:r>
            <w:r w:rsidRPr="00DF1884">
              <w:rPr>
                <w:rFonts w:cs="Arial"/>
                <w:szCs w:val="20"/>
              </w:rPr>
              <w:t>(Spratt,</w:t>
            </w:r>
            <w:r w:rsidR="00DF1884" w:rsidRPr="00DF1884">
              <w:rPr>
                <w:rFonts w:cs="Arial"/>
                <w:szCs w:val="20"/>
              </w:rPr>
              <w:t xml:space="preserve"> </w:t>
            </w:r>
            <w:r w:rsidRPr="00DF1884">
              <w:rPr>
                <w:rFonts w:cs="Arial"/>
                <w:szCs w:val="20"/>
              </w:rPr>
              <w:t>2009).</w:t>
            </w:r>
            <w:r w:rsidR="00DF1884" w:rsidRPr="00DF1884">
              <w:rPr>
                <w:rFonts w:cs="Arial"/>
                <w:szCs w:val="20"/>
              </w:rPr>
              <w:t xml:space="preserve"> </w:t>
            </w:r>
            <w:r w:rsidRPr="00DF1884">
              <w:rPr>
                <w:rFonts w:cs="Arial"/>
                <w:szCs w:val="20"/>
              </w:rPr>
              <w:t>The</w:t>
            </w:r>
            <w:r w:rsidR="00DF1884" w:rsidRPr="00DF1884">
              <w:rPr>
                <w:rFonts w:cs="Arial"/>
                <w:szCs w:val="20"/>
              </w:rPr>
              <w:t xml:space="preserve"> </w:t>
            </w:r>
            <w:r w:rsidRPr="00DF1884">
              <w:rPr>
                <w:rFonts w:cs="Arial"/>
                <w:szCs w:val="20"/>
              </w:rPr>
              <w:t>amount</w:t>
            </w:r>
            <w:r w:rsidR="00DF1884" w:rsidRPr="00DF1884">
              <w:rPr>
                <w:rFonts w:cs="Arial"/>
                <w:szCs w:val="20"/>
              </w:rPr>
              <w:t xml:space="preserve"> </w:t>
            </w:r>
            <w:r w:rsidRPr="00DF1884">
              <w:rPr>
                <w:rFonts w:cs="Arial"/>
                <w:szCs w:val="20"/>
              </w:rPr>
              <w:t>of</w:t>
            </w:r>
            <w:r w:rsidR="00DF1884" w:rsidRPr="00DF1884">
              <w:rPr>
                <w:rFonts w:cs="Arial"/>
                <w:szCs w:val="20"/>
              </w:rPr>
              <w:t xml:space="preserve"> </w:t>
            </w:r>
            <w:r w:rsidRPr="00DF1884">
              <w:rPr>
                <w:rFonts w:cs="Arial"/>
                <w:szCs w:val="20"/>
              </w:rPr>
              <w:t>cholesterol</w:t>
            </w:r>
            <w:r w:rsidR="00DF1884" w:rsidRPr="00DF1884">
              <w:rPr>
                <w:rFonts w:cs="Arial"/>
                <w:szCs w:val="20"/>
              </w:rPr>
              <w:t xml:space="preserve"> </w:t>
            </w:r>
            <w:r w:rsidRPr="00DF1884">
              <w:rPr>
                <w:rFonts w:cs="Arial"/>
                <w:szCs w:val="20"/>
              </w:rPr>
              <w:t>lowering</w:t>
            </w:r>
            <w:r w:rsidR="00DF1884" w:rsidRPr="00DF1884">
              <w:rPr>
                <w:rFonts w:cs="Arial"/>
                <w:szCs w:val="20"/>
              </w:rPr>
              <w:t xml:space="preserve"> </w:t>
            </w:r>
            <w:r w:rsidRPr="00DF1884">
              <w:rPr>
                <w:rFonts w:cs="Arial"/>
                <w:szCs w:val="20"/>
              </w:rPr>
              <w:t>effect</w:t>
            </w:r>
            <w:r w:rsidR="00DF1884" w:rsidRPr="00DF1884">
              <w:rPr>
                <w:rFonts w:cs="Arial"/>
                <w:szCs w:val="20"/>
              </w:rPr>
              <w:t xml:space="preserve"> </w:t>
            </w:r>
            <w:r w:rsidRPr="00DF1884">
              <w:rPr>
                <w:rFonts w:cs="Arial"/>
                <w:szCs w:val="20"/>
              </w:rPr>
              <w:t>is</w:t>
            </w:r>
            <w:r w:rsidR="00DF1884" w:rsidRPr="00DF1884">
              <w:rPr>
                <w:rFonts w:cs="Arial"/>
                <w:szCs w:val="20"/>
              </w:rPr>
              <w:t xml:space="preserve"> </w:t>
            </w:r>
            <w:r w:rsidRPr="00DF1884">
              <w:rPr>
                <w:rFonts w:cs="Arial"/>
                <w:szCs w:val="20"/>
              </w:rPr>
              <w:t>based</w:t>
            </w:r>
            <w:r w:rsidR="00DF1884" w:rsidRPr="00DF1884">
              <w:rPr>
                <w:rFonts w:cs="Arial"/>
                <w:szCs w:val="20"/>
              </w:rPr>
              <w:t xml:space="preserve"> </w:t>
            </w:r>
            <w:r w:rsidRPr="00DF1884">
              <w:rPr>
                <w:rFonts w:cs="Arial"/>
                <w:szCs w:val="20"/>
              </w:rPr>
              <w:t>on</w:t>
            </w:r>
            <w:r w:rsidR="00DF1884" w:rsidRPr="00DF1884">
              <w:rPr>
                <w:rFonts w:cs="Arial"/>
                <w:szCs w:val="20"/>
              </w:rPr>
              <w:t xml:space="preserve"> </w:t>
            </w:r>
            <w:r w:rsidRPr="00DF1884">
              <w:rPr>
                <w:rFonts w:cs="Arial"/>
                <w:szCs w:val="20"/>
              </w:rPr>
              <w:t>statin</w:t>
            </w:r>
            <w:r w:rsidR="00DF1884" w:rsidRPr="00DF1884">
              <w:rPr>
                <w:rFonts w:cs="Arial"/>
                <w:szCs w:val="20"/>
              </w:rPr>
              <w:t xml:space="preserve"> </w:t>
            </w:r>
            <w:r w:rsidRPr="00DF1884">
              <w:rPr>
                <w:rFonts w:cs="Arial"/>
                <w:szCs w:val="20"/>
              </w:rPr>
              <w:t>intensity,</w:t>
            </w:r>
            <w:r w:rsidR="00DF1884" w:rsidRPr="00DF1884">
              <w:rPr>
                <w:rFonts w:cs="Arial"/>
                <w:szCs w:val="20"/>
              </w:rPr>
              <w:t xml:space="preserve"> </w:t>
            </w:r>
            <w:r w:rsidRPr="00DF1884">
              <w:rPr>
                <w:rFonts w:cs="Arial"/>
                <w:szCs w:val="20"/>
              </w:rPr>
              <w:t>which</w:t>
            </w:r>
            <w:r w:rsidR="00DF1884" w:rsidRPr="00DF1884">
              <w:rPr>
                <w:rFonts w:cs="Arial"/>
                <w:szCs w:val="20"/>
              </w:rPr>
              <w:t xml:space="preserve"> </w:t>
            </w:r>
            <w:r w:rsidRPr="00DF1884">
              <w:rPr>
                <w:rFonts w:cs="Arial"/>
                <w:szCs w:val="20"/>
              </w:rPr>
              <w:t>is</w:t>
            </w:r>
            <w:r w:rsidR="00DF1884" w:rsidRPr="00DF1884">
              <w:rPr>
                <w:rFonts w:cs="Arial"/>
                <w:szCs w:val="20"/>
              </w:rPr>
              <w:t xml:space="preserve"> </w:t>
            </w:r>
            <w:r w:rsidRPr="00DF1884">
              <w:rPr>
                <w:rFonts w:cs="Arial"/>
                <w:szCs w:val="20"/>
              </w:rPr>
              <w:t>classified</w:t>
            </w:r>
            <w:r w:rsidR="00DF1884" w:rsidRPr="00DF1884">
              <w:rPr>
                <w:rFonts w:cs="Arial"/>
                <w:szCs w:val="20"/>
              </w:rPr>
              <w:t xml:space="preserve"> </w:t>
            </w:r>
            <w:r w:rsidRPr="00DF1884">
              <w:rPr>
                <w:rFonts w:cs="Arial"/>
                <w:szCs w:val="20"/>
              </w:rPr>
              <w:t>as</w:t>
            </w:r>
            <w:r w:rsidR="00DF1884" w:rsidRPr="00DF1884">
              <w:rPr>
                <w:rFonts w:cs="Arial"/>
                <w:szCs w:val="20"/>
              </w:rPr>
              <w:t xml:space="preserve"> </w:t>
            </w:r>
            <w:r w:rsidRPr="00DF1884">
              <w:rPr>
                <w:rFonts w:cs="Arial"/>
                <w:szCs w:val="20"/>
              </w:rPr>
              <w:t>either</w:t>
            </w:r>
            <w:r w:rsidR="00DF1884" w:rsidRPr="00DF1884">
              <w:rPr>
                <w:rFonts w:cs="Arial"/>
                <w:szCs w:val="20"/>
              </w:rPr>
              <w:t xml:space="preserve"> </w:t>
            </w:r>
            <w:r w:rsidRPr="00DF1884">
              <w:rPr>
                <w:rFonts w:cs="Arial"/>
                <w:szCs w:val="20"/>
              </w:rPr>
              <w:t>high,</w:t>
            </w:r>
            <w:r w:rsidR="00DF1884" w:rsidRPr="00DF1884">
              <w:rPr>
                <w:rFonts w:cs="Arial"/>
                <w:szCs w:val="20"/>
              </w:rPr>
              <w:t xml:space="preserve"> </w:t>
            </w:r>
            <w:r w:rsidRPr="00DF1884">
              <w:rPr>
                <w:rFonts w:cs="Arial"/>
                <w:szCs w:val="20"/>
              </w:rPr>
              <w:t>moderate</w:t>
            </w:r>
            <w:r w:rsidR="00DF1884" w:rsidRPr="00DF1884">
              <w:rPr>
                <w:rFonts w:cs="Arial"/>
                <w:szCs w:val="20"/>
              </w:rPr>
              <w:t xml:space="preserve"> </w:t>
            </w:r>
            <w:r w:rsidRPr="00DF1884">
              <w:rPr>
                <w:rFonts w:cs="Arial"/>
                <w:szCs w:val="20"/>
              </w:rPr>
              <w:t>or</w:t>
            </w:r>
            <w:r w:rsidR="00DF1884" w:rsidRPr="00DF1884">
              <w:rPr>
                <w:rFonts w:cs="Arial"/>
                <w:szCs w:val="20"/>
              </w:rPr>
              <w:t xml:space="preserve"> </w:t>
            </w:r>
            <w:r w:rsidRPr="00DF1884">
              <w:rPr>
                <w:rFonts w:cs="Arial"/>
                <w:szCs w:val="20"/>
              </w:rPr>
              <w:t>low</w:t>
            </w:r>
            <w:r w:rsidR="00DF1884" w:rsidRPr="00DF1884">
              <w:rPr>
                <w:rFonts w:cs="Arial"/>
                <w:szCs w:val="20"/>
              </w:rPr>
              <w:t xml:space="preserve"> </w:t>
            </w:r>
            <w:r w:rsidRPr="00DF1884">
              <w:rPr>
                <w:rFonts w:cs="Arial"/>
                <w:szCs w:val="20"/>
              </w:rPr>
              <w:t>intensity.</w:t>
            </w:r>
          </w:p>
          <w:p w14:paraId="0B3793BA" w14:textId="0398127B" w:rsidR="005B5649" w:rsidRPr="00DF1884" w:rsidRDefault="005B5649" w:rsidP="005B5649">
            <w:pPr>
              <w:pStyle w:val="Body"/>
            </w:pPr>
            <w:r w:rsidRPr="00DF1884">
              <w:t>Cholesterol</w:t>
            </w:r>
            <w:r w:rsidR="00DF1884" w:rsidRPr="00DF1884">
              <w:t xml:space="preserve"> </w:t>
            </w:r>
            <w:r w:rsidRPr="00DF1884">
              <w:t>lowering</w:t>
            </w:r>
            <w:r w:rsidR="00DF1884" w:rsidRPr="00DF1884">
              <w:t xml:space="preserve"> </w:t>
            </w:r>
            <w:r w:rsidRPr="00DF1884">
              <w:t>medications,</w:t>
            </w:r>
            <w:r w:rsidR="00DF1884" w:rsidRPr="00DF1884">
              <w:t xml:space="preserve"> </w:t>
            </w:r>
            <w:r w:rsidRPr="00DF1884">
              <w:t>such</w:t>
            </w:r>
            <w:r w:rsidR="00DF1884" w:rsidRPr="00DF1884">
              <w:t xml:space="preserve"> </w:t>
            </w:r>
            <w:r w:rsidRPr="00DF1884">
              <w:t>as</w:t>
            </w:r>
            <w:r w:rsidR="00DF1884" w:rsidRPr="00DF1884">
              <w:t xml:space="preserve"> </w:t>
            </w:r>
            <w:r w:rsidRPr="00DF1884">
              <w:t>statins,</w:t>
            </w:r>
            <w:r w:rsidR="00DF1884" w:rsidRPr="00DF1884">
              <w:t xml:space="preserve"> </w:t>
            </w:r>
            <w:r w:rsidRPr="00DF1884">
              <w:t>are</w:t>
            </w:r>
            <w:r w:rsidR="00DF1884" w:rsidRPr="00DF1884">
              <w:t xml:space="preserve"> </w:t>
            </w:r>
            <w:r w:rsidRPr="00DF1884">
              <w:t>among</w:t>
            </w:r>
            <w:r w:rsidR="00DF1884" w:rsidRPr="00DF1884">
              <w:t xml:space="preserve"> </w:t>
            </w:r>
            <w:r w:rsidRPr="00DF1884">
              <w:t>the</w:t>
            </w:r>
            <w:r w:rsidR="00DF1884" w:rsidRPr="00DF1884">
              <w:t xml:space="preserve"> </w:t>
            </w:r>
            <w:r w:rsidRPr="00DF1884">
              <w:t>most</w:t>
            </w:r>
            <w:r w:rsidR="00DF1884" w:rsidRPr="00DF1884">
              <w:t xml:space="preserve"> </w:t>
            </w:r>
            <w:r w:rsidRPr="00DF1884">
              <w:t>commonly</w:t>
            </w:r>
            <w:r w:rsidR="00DF1884" w:rsidRPr="00DF1884">
              <w:t xml:space="preserve"> </w:t>
            </w:r>
            <w:r w:rsidRPr="00DF1884">
              <w:t>prescribed</w:t>
            </w:r>
            <w:r w:rsidR="00DF1884" w:rsidRPr="00DF1884">
              <w:t xml:space="preserve"> </w:t>
            </w:r>
            <w:r w:rsidRPr="00DF1884">
              <w:t>drugs</w:t>
            </w:r>
            <w:r w:rsidR="00DF1884" w:rsidRPr="00DF1884">
              <w:t xml:space="preserve"> </w:t>
            </w:r>
            <w:r w:rsidRPr="00DF1884">
              <w:t>in</w:t>
            </w:r>
            <w:r w:rsidR="00DF1884" w:rsidRPr="00DF1884">
              <w:t xml:space="preserve"> </w:t>
            </w:r>
            <w:r w:rsidRPr="00DF1884">
              <w:t>America,</w:t>
            </w:r>
            <w:r w:rsidR="00DF1884" w:rsidRPr="00DF1884">
              <w:t xml:space="preserve"> </w:t>
            </w:r>
            <w:r w:rsidRPr="00DF1884">
              <w:t>accumulating</w:t>
            </w:r>
            <w:r w:rsidR="00DF1884" w:rsidRPr="00DF1884">
              <w:t xml:space="preserve"> </w:t>
            </w:r>
            <w:r w:rsidRPr="00DF1884">
              <w:t>$17</w:t>
            </w:r>
            <w:r w:rsidR="00DF1884" w:rsidRPr="00DF1884">
              <w:t xml:space="preserve"> </w:t>
            </w:r>
            <w:r w:rsidRPr="00DF1884">
              <w:t>billion</w:t>
            </w:r>
            <w:r w:rsidR="00DF1884" w:rsidRPr="00DF1884">
              <w:t xml:space="preserve"> </w:t>
            </w:r>
            <w:r w:rsidRPr="00DF1884">
              <w:t>in</w:t>
            </w:r>
            <w:r w:rsidR="00DF1884" w:rsidRPr="00DF1884">
              <w:t xml:space="preserve"> </w:t>
            </w:r>
            <w:r w:rsidRPr="00DF1884">
              <w:t>sales</w:t>
            </w:r>
            <w:r w:rsidR="00DF1884" w:rsidRPr="00DF1884">
              <w:t xml:space="preserve"> </w:t>
            </w:r>
            <w:r w:rsidRPr="00DF1884">
              <w:t>in</w:t>
            </w:r>
            <w:r w:rsidR="00DF1884" w:rsidRPr="00DF1884">
              <w:t xml:space="preserve"> </w:t>
            </w:r>
            <w:r w:rsidRPr="00DF1884">
              <w:t>2012.</w:t>
            </w:r>
            <w:r w:rsidR="00DF1884" w:rsidRPr="00DF1884">
              <w:t xml:space="preserve"> </w:t>
            </w:r>
            <w:r w:rsidRPr="00DF1884">
              <w:t>In</w:t>
            </w:r>
            <w:r w:rsidR="00DF1884" w:rsidRPr="00DF1884">
              <w:t xml:space="preserve"> </w:t>
            </w:r>
            <w:r w:rsidRPr="00DF1884">
              <w:t>the</w:t>
            </w:r>
            <w:r w:rsidR="00DF1884" w:rsidRPr="00DF1884">
              <w:t xml:space="preserve"> </w:t>
            </w:r>
            <w:r w:rsidRPr="00DF1884">
              <w:t>United</w:t>
            </w:r>
            <w:r w:rsidR="00DF1884" w:rsidRPr="00DF1884">
              <w:t xml:space="preserve"> </w:t>
            </w:r>
            <w:r w:rsidRPr="00DF1884">
              <w:t>States,</w:t>
            </w:r>
            <w:r w:rsidR="00DF1884" w:rsidRPr="00DF1884">
              <w:t xml:space="preserve"> </w:t>
            </w:r>
            <w:r w:rsidRPr="00DF1884">
              <w:t>22</w:t>
            </w:r>
            <w:r w:rsidR="00DF1884" w:rsidRPr="00DF1884">
              <w:t xml:space="preserve"> </w:t>
            </w:r>
            <w:r w:rsidRPr="00DF1884">
              <w:t>percent</w:t>
            </w:r>
            <w:r w:rsidR="00DF1884" w:rsidRPr="00DF1884">
              <w:t xml:space="preserve"> </w:t>
            </w:r>
            <w:r w:rsidRPr="00DF1884">
              <w:t>of</w:t>
            </w:r>
            <w:r w:rsidR="00DF1884" w:rsidRPr="00DF1884">
              <w:t xml:space="preserve"> </w:t>
            </w:r>
            <w:r w:rsidRPr="00DF1884">
              <w:t>adults</w:t>
            </w:r>
            <w:r w:rsidR="00DF1884" w:rsidRPr="00DF1884">
              <w:t xml:space="preserve"> </w:t>
            </w:r>
            <w:r w:rsidRPr="00DF1884">
              <w:t>(45</w:t>
            </w:r>
            <w:r w:rsidR="00DF1884" w:rsidRPr="00DF1884">
              <w:t xml:space="preserve"> </w:t>
            </w:r>
            <w:r w:rsidRPr="00DF1884">
              <w:t>and</w:t>
            </w:r>
            <w:r w:rsidR="00DF1884" w:rsidRPr="00DF1884">
              <w:t xml:space="preserve"> </w:t>
            </w:r>
            <w:r w:rsidRPr="00DF1884">
              <w:t>older)</w:t>
            </w:r>
            <w:r w:rsidR="00DF1884" w:rsidRPr="00DF1884">
              <w:t xml:space="preserve"> </w:t>
            </w:r>
            <w:r w:rsidRPr="00DF1884">
              <w:t>take</w:t>
            </w:r>
            <w:r w:rsidR="00DF1884" w:rsidRPr="00DF1884">
              <w:t xml:space="preserve"> </w:t>
            </w:r>
            <w:r w:rsidRPr="00DF1884">
              <w:t>statins</w:t>
            </w:r>
            <w:r w:rsidR="00DF1884" w:rsidRPr="00DF1884">
              <w:t xml:space="preserve"> </w:t>
            </w:r>
            <w:r w:rsidRPr="00DF1884">
              <w:t>(Consumer</w:t>
            </w:r>
            <w:r w:rsidR="00DF1884" w:rsidRPr="00DF1884">
              <w:t xml:space="preserve"> </w:t>
            </w:r>
            <w:r w:rsidRPr="00DF1884">
              <w:t>Reports,</w:t>
            </w:r>
            <w:r w:rsidR="00DF1884" w:rsidRPr="00DF1884">
              <w:t xml:space="preserve"> </w:t>
            </w:r>
            <w:r w:rsidRPr="00DF1884">
              <w:t>2014).</w:t>
            </w:r>
            <w:r w:rsidR="00DF1884" w:rsidRPr="00DF1884">
              <w:t xml:space="preserve"> </w:t>
            </w:r>
            <w:r w:rsidRPr="00DF1884">
              <w:t>Evidence</w:t>
            </w:r>
            <w:r w:rsidR="00DF1884" w:rsidRPr="00DF1884">
              <w:t xml:space="preserve"> </w:t>
            </w:r>
            <w:r w:rsidRPr="00DF1884">
              <w:t>shows</w:t>
            </w:r>
            <w:r w:rsidR="00DF1884" w:rsidRPr="00DF1884">
              <w:t xml:space="preserve"> </w:t>
            </w:r>
            <w:r w:rsidRPr="00DF1884">
              <w:t>statin</w:t>
            </w:r>
            <w:r w:rsidR="00DF1884" w:rsidRPr="00DF1884">
              <w:t xml:space="preserve"> </w:t>
            </w:r>
            <w:r w:rsidRPr="00DF1884">
              <w:t>use</w:t>
            </w:r>
            <w:r w:rsidR="00DF1884" w:rsidRPr="00DF1884">
              <w:t xml:space="preserve"> </w:t>
            </w:r>
            <w:r w:rsidRPr="00DF1884">
              <w:t>decreases</w:t>
            </w:r>
            <w:r w:rsidR="00DF1884" w:rsidRPr="00DF1884">
              <w:t xml:space="preserve"> </w:t>
            </w:r>
            <w:r w:rsidRPr="00DF1884">
              <w:t>cardiovascular</w:t>
            </w:r>
            <w:r w:rsidR="00DF1884" w:rsidRPr="00DF1884">
              <w:t xml:space="preserve"> </w:t>
            </w:r>
            <w:r w:rsidRPr="00DF1884">
              <w:t>mortality</w:t>
            </w:r>
            <w:r w:rsidR="00DF1884" w:rsidRPr="00DF1884">
              <w:t xml:space="preserve"> </w:t>
            </w:r>
            <w:r w:rsidRPr="00DF1884">
              <w:t>in</w:t>
            </w:r>
            <w:r w:rsidR="00DF1884" w:rsidRPr="00DF1884">
              <w:t xml:space="preserve"> </w:t>
            </w:r>
            <w:r w:rsidRPr="00DF1884">
              <w:t>patients</w:t>
            </w:r>
            <w:r w:rsidR="00DF1884" w:rsidRPr="00DF1884">
              <w:t xml:space="preserve"> </w:t>
            </w:r>
            <w:r w:rsidRPr="00DF1884">
              <w:t>with</w:t>
            </w:r>
            <w:r w:rsidR="00DF1884" w:rsidRPr="00DF1884">
              <w:t xml:space="preserve"> </w:t>
            </w:r>
            <w:r w:rsidRPr="00DF1884">
              <w:t>established</w:t>
            </w:r>
            <w:r w:rsidR="00DF1884" w:rsidRPr="00DF1884">
              <w:t xml:space="preserve"> </w:t>
            </w:r>
            <w:r w:rsidRPr="00DF1884">
              <w:t>cardiovascular</w:t>
            </w:r>
            <w:r w:rsidR="00DF1884" w:rsidRPr="00DF1884">
              <w:t xml:space="preserve"> </w:t>
            </w:r>
            <w:r w:rsidRPr="00DF1884">
              <w:t>disease,</w:t>
            </w:r>
            <w:r w:rsidR="00DF1884" w:rsidRPr="00DF1884">
              <w:t xml:space="preserve"> </w:t>
            </w:r>
            <w:r w:rsidRPr="00DF1884">
              <w:t>and</w:t>
            </w:r>
            <w:r w:rsidR="00DF1884" w:rsidRPr="00DF1884">
              <w:t xml:space="preserve"> </w:t>
            </w:r>
            <w:r w:rsidRPr="00DF1884">
              <w:t>total</w:t>
            </w:r>
            <w:r w:rsidR="00DF1884" w:rsidRPr="00DF1884">
              <w:t xml:space="preserve"> </w:t>
            </w:r>
            <w:r w:rsidRPr="00DF1884">
              <w:t>mortality</w:t>
            </w:r>
            <w:r w:rsidR="00DF1884" w:rsidRPr="00DF1884">
              <w:t xml:space="preserve"> </w:t>
            </w:r>
            <w:r w:rsidRPr="00DF1884">
              <w:t>rates.</w:t>
            </w:r>
            <w:r w:rsidR="00DF1884" w:rsidRPr="00DF1884">
              <w:t xml:space="preserve"> </w:t>
            </w:r>
            <w:r w:rsidRPr="00DF1884">
              <w:t>Primary</w:t>
            </w:r>
            <w:r w:rsidR="00DF1884" w:rsidRPr="00DF1884">
              <w:t xml:space="preserve"> </w:t>
            </w:r>
            <w:r w:rsidRPr="00DF1884">
              <w:t>and</w:t>
            </w:r>
            <w:r w:rsidR="00DF1884" w:rsidRPr="00DF1884">
              <w:t xml:space="preserve"> </w:t>
            </w:r>
            <w:r w:rsidRPr="00DF1884">
              <w:t>secondary</w:t>
            </w:r>
            <w:r w:rsidR="00DF1884" w:rsidRPr="00DF1884">
              <w:t xml:space="preserve"> </w:t>
            </w:r>
            <w:r w:rsidRPr="00DF1884">
              <w:t>prevention</w:t>
            </w:r>
            <w:r w:rsidR="00DF1884" w:rsidRPr="00DF1884">
              <w:t xml:space="preserve"> </w:t>
            </w:r>
            <w:r w:rsidRPr="00DF1884">
              <w:t>trial</w:t>
            </w:r>
            <w:r w:rsidR="00DF1884" w:rsidRPr="00DF1884">
              <w:t xml:space="preserve"> </w:t>
            </w:r>
            <w:r w:rsidRPr="00DF1884">
              <w:t>data</w:t>
            </w:r>
            <w:r w:rsidR="00DF1884" w:rsidRPr="00DF1884">
              <w:t xml:space="preserve"> </w:t>
            </w:r>
            <w:r w:rsidRPr="00DF1884">
              <w:t>strongly</w:t>
            </w:r>
            <w:r w:rsidR="00DF1884" w:rsidRPr="00DF1884">
              <w:t xml:space="preserve"> </w:t>
            </w:r>
            <w:r w:rsidRPr="00DF1884">
              <w:t>support</w:t>
            </w:r>
            <w:r w:rsidR="00DF1884" w:rsidRPr="00DF1884">
              <w:t xml:space="preserve"> </w:t>
            </w:r>
            <w:r w:rsidRPr="00DF1884">
              <w:t>starting</w:t>
            </w:r>
            <w:r w:rsidR="00DF1884" w:rsidRPr="00DF1884">
              <w:t xml:space="preserve"> </w:t>
            </w:r>
            <w:r w:rsidRPr="00DF1884">
              <w:t>lipid-lowering</w:t>
            </w:r>
            <w:r w:rsidR="00DF1884" w:rsidRPr="00DF1884">
              <w:t xml:space="preserve"> </w:t>
            </w:r>
            <w:r w:rsidRPr="00DF1884">
              <w:t>therapy</w:t>
            </w:r>
            <w:r w:rsidR="00DF1884" w:rsidRPr="00DF1884">
              <w:t xml:space="preserve"> </w:t>
            </w:r>
            <w:r w:rsidRPr="00DF1884">
              <w:t>with</w:t>
            </w:r>
            <w:r w:rsidR="00DF1884" w:rsidRPr="00DF1884">
              <w:t xml:space="preserve"> </w:t>
            </w:r>
            <w:r w:rsidRPr="00DF1884">
              <w:t>a</w:t>
            </w:r>
            <w:r w:rsidR="00DF1884" w:rsidRPr="00DF1884">
              <w:t xml:space="preserve"> </w:t>
            </w:r>
            <w:r w:rsidRPr="00DF1884">
              <w:t>statin</w:t>
            </w:r>
            <w:r w:rsidR="00DF1884" w:rsidRPr="00DF1884">
              <w:t xml:space="preserve"> </w:t>
            </w:r>
            <w:r w:rsidRPr="00DF1884">
              <w:t>in</w:t>
            </w:r>
            <w:r w:rsidR="00DF1884" w:rsidRPr="00DF1884">
              <w:t xml:space="preserve"> </w:t>
            </w:r>
            <w:r w:rsidRPr="00DF1884">
              <w:t>most</w:t>
            </w:r>
            <w:r w:rsidR="00DF1884" w:rsidRPr="00DF1884">
              <w:t xml:space="preserve"> </w:t>
            </w:r>
            <w:r w:rsidRPr="00DF1884">
              <w:t>patients</w:t>
            </w:r>
            <w:r w:rsidR="00DF1884" w:rsidRPr="00DF1884">
              <w:t xml:space="preserve"> </w:t>
            </w:r>
            <w:r w:rsidRPr="00DF1884">
              <w:t>with</w:t>
            </w:r>
            <w:r w:rsidR="00DF1884" w:rsidRPr="00DF1884">
              <w:t xml:space="preserve"> </w:t>
            </w:r>
            <w:r w:rsidRPr="00DF1884">
              <w:t>type</w:t>
            </w:r>
            <w:r w:rsidR="00DF1884" w:rsidRPr="00DF1884">
              <w:t xml:space="preserve"> </w:t>
            </w:r>
            <w:r w:rsidRPr="00DF1884">
              <w:t>2</w:t>
            </w:r>
            <w:r w:rsidR="00DF1884" w:rsidRPr="00DF1884">
              <w:t xml:space="preserve"> </w:t>
            </w:r>
            <w:r w:rsidRPr="00DF1884">
              <w:t>diabetes</w:t>
            </w:r>
            <w:r w:rsidR="00DF1884" w:rsidRPr="00DF1884">
              <w:t xml:space="preserve"> </w:t>
            </w:r>
            <w:r w:rsidRPr="00DF1884">
              <w:t>(Spratt,</w:t>
            </w:r>
            <w:r w:rsidR="00DF1884" w:rsidRPr="00DF1884">
              <w:t xml:space="preserve"> </w:t>
            </w:r>
            <w:r w:rsidRPr="00DF1884">
              <w:t>2009).</w:t>
            </w:r>
          </w:p>
          <w:p w14:paraId="6E2AFCF7" w14:textId="3D297D36" w:rsidR="005B5649" w:rsidRPr="00DF1884" w:rsidRDefault="005B5649" w:rsidP="005B5649">
            <w:pPr>
              <w:pStyle w:val="Body"/>
            </w:pPr>
            <w:r w:rsidRPr="00DF1884">
              <w:t>In</w:t>
            </w:r>
            <w:r w:rsidR="00DF1884" w:rsidRPr="00DF1884">
              <w:t xml:space="preserve"> </w:t>
            </w:r>
            <w:r w:rsidRPr="00DF1884">
              <w:t>a</w:t>
            </w:r>
            <w:r w:rsidR="00DF1884" w:rsidRPr="00DF1884">
              <w:t xml:space="preserve"> </w:t>
            </w:r>
            <w:r w:rsidRPr="00DF1884">
              <w:t>systematic</w:t>
            </w:r>
            <w:r w:rsidR="00DF1884" w:rsidRPr="00DF1884">
              <w:t xml:space="preserve"> </w:t>
            </w:r>
            <w:r w:rsidRPr="00DF1884">
              <w:t>review</w:t>
            </w:r>
            <w:r w:rsidR="00DF1884" w:rsidRPr="00DF1884">
              <w:t xml:space="preserve"> </w:t>
            </w:r>
            <w:r w:rsidRPr="00DF1884">
              <w:t>and</w:t>
            </w:r>
            <w:r w:rsidR="00DF1884" w:rsidRPr="00DF1884">
              <w:t xml:space="preserve"> </w:t>
            </w:r>
            <w:r w:rsidRPr="00DF1884">
              <w:t>meta-analysis</w:t>
            </w:r>
            <w:r w:rsidR="00DF1884" w:rsidRPr="00DF1884">
              <w:t xml:space="preserve"> </w:t>
            </w:r>
            <w:r w:rsidRPr="00DF1884">
              <w:t>of</w:t>
            </w:r>
            <w:r w:rsidR="00DF1884" w:rsidRPr="00DF1884">
              <w:t xml:space="preserve"> </w:t>
            </w:r>
            <w:r w:rsidRPr="00DF1884">
              <w:t>12</w:t>
            </w:r>
            <w:r w:rsidR="00DF1884" w:rsidRPr="00DF1884">
              <w:t xml:space="preserve"> </w:t>
            </w:r>
            <w:r w:rsidRPr="00DF1884">
              <w:t>studies</w:t>
            </w:r>
            <w:r w:rsidR="00DF1884" w:rsidRPr="00DF1884">
              <w:t xml:space="preserve"> </w:t>
            </w:r>
            <w:r w:rsidRPr="00DF1884">
              <w:t>conducted</w:t>
            </w:r>
            <w:r w:rsidR="00DF1884" w:rsidRPr="00DF1884">
              <w:t xml:space="preserve"> </w:t>
            </w:r>
            <w:r w:rsidRPr="00DF1884">
              <w:t>to</w:t>
            </w:r>
            <w:r w:rsidR="00DF1884" w:rsidRPr="00DF1884">
              <w:t xml:space="preserve"> </w:t>
            </w:r>
            <w:r w:rsidRPr="00DF1884">
              <w:t>evaluate</w:t>
            </w:r>
            <w:r w:rsidR="00DF1884" w:rsidRPr="00DF1884">
              <w:t xml:space="preserve"> </w:t>
            </w:r>
            <w:r w:rsidRPr="00DF1884">
              <w:t>the</w:t>
            </w:r>
            <w:r w:rsidR="00DF1884" w:rsidRPr="00DF1884">
              <w:t xml:space="preserve"> </w:t>
            </w:r>
            <w:r w:rsidRPr="00DF1884">
              <w:t>clinical</w:t>
            </w:r>
            <w:r w:rsidR="00DF1884" w:rsidRPr="00DF1884">
              <w:t xml:space="preserve"> </w:t>
            </w:r>
            <w:r w:rsidRPr="00DF1884">
              <w:t>benefit</w:t>
            </w:r>
            <w:r w:rsidR="00DF1884" w:rsidRPr="00DF1884">
              <w:t xml:space="preserve"> </w:t>
            </w:r>
            <w:r w:rsidRPr="00DF1884">
              <w:t>of</w:t>
            </w:r>
            <w:r w:rsidR="00DF1884" w:rsidRPr="00DF1884">
              <w:t xml:space="preserve"> </w:t>
            </w:r>
            <w:r w:rsidRPr="00DF1884">
              <w:t>lipid-lowering</w:t>
            </w:r>
            <w:r w:rsidR="00DF1884" w:rsidRPr="00DF1884">
              <w:t xml:space="preserve"> </w:t>
            </w:r>
            <w:r w:rsidRPr="00DF1884">
              <w:t>drug</w:t>
            </w:r>
            <w:r w:rsidR="00DF1884" w:rsidRPr="00DF1884">
              <w:t xml:space="preserve"> </w:t>
            </w:r>
            <w:r w:rsidRPr="00DF1884">
              <w:t>treatment</w:t>
            </w:r>
            <w:r w:rsidR="00DF1884" w:rsidRPr="00DF1884">
              <w:t xml:space="preserve"> </w:t>
            </w:r>
            <w:r w:rsidRPr="00DF1884">
              <w:t>in</w:t>
            </w:r>
            <w:r w:rsidR="00DF1884" w:rsidRPr="00DF1884">
              <w:t xml:space="preserve"> </w:t>
            </w:r>
            <w:r w:rsidRPr="00DF1884">
              <w:t>primary</w:t>
            </w:r>
            <w:r w:rsidR="00DF1884" w:rsidRPr="00DF1884">
              <w:t xml:space="preserve"> </w:t>
            </w:r>
            <w:r w:rsidRPr="00DF1884">
              <w:t>and</w:t>
            </w:r>
            <w:r w:rsidR="00DF1884" w:rsidRPr="00DF1884">
              <w:t xml:space="preserve"> </w:t>
            </w:r>
            <w:r w:rsidRPr="00DF1884">
              <w:t>secondary</w:t>
            </w:r>
            <w:r w:rsidR="00DF1884" w:rsidRPr="00DF1884">
              <w:t xml:space="preserve"> </w:t>
            </w:r>
            <w:r w:rsidRPr="00DF1884">
              <w:t>prevention,</w:t>
            </w:r>
            <w:r w:rsidR="00DF1884" w:rsidRPr="00DF1884">
              <w:t xml:space="preserve"> </w:t>
            </w:r>
            <w:r w:rsidRPr="00DF1884">
              <w:t>researchers</w:t>
            </w:r>
            <w:r w:rsidR="00DF1884" w:rsidRPr="00DF1884">
              <w:t xml:space="preserve"> </w:t>
            </w:r>
            <w:r w:rsidRPr="00DF1884">
              <w:t>found</w:t>
            </w:r>
            <w:r w:rsidR="00DF1884" w:rsidRPr="00DF1884">
              <w:t xml:space="preserve"> </w:t>
            </w:r>
            <w:r w:rsidRPr="00DF1884">
              <w:t>statins</w:t>
            </w:r>
            <w:r w:rsidR="00DF1884" w:rsidRPr="00DF1884">
              <w:t xml:space="preserve"> </w:t>
            </w:r>
            <w:r w:rsidRPr="00DF1884">
              <w:t>were</w:t>
            </w:r>
            <w:r w:rsidR="00DF1884" w:rsidRPr="00DF1884">
              <w:t xml:space="preserve"> </w:t>
            </w:r>
            <w:r w:rsidRPr="00DF1884">
              <w:t>equally</w:t>
            </w:r>
            <w:r w:rsidR="00DF1884" w:rsidRPr="00DF1884">
              <w:t xml:space="preserve"> </w:t>
            </w:r>
            <w:r w:rsidRPr="00DF1884">
              <w:t>effective</w:t>
            </w:r>
            <w:r w:rsidR="00DF1884" w:rsidRPr="00DF1884">
              <w:t xml:space="preserve"> </w:t>
            </w:r>
            <w:r w:rsidRPr="00DF1884">
              <w:t>in</w:t>
            </w:r>
            <w:r w:rsidR="00DF1884" w:rsidRPr="00DF1884">
              <w:t xml:space="preserve"> </w:t>
            </w:r>
            <w:r w:rsidRPr="00DF1884">
              <w:t>patients</w:t>
            </w:r>
            <w:r w:rsidR="00DF1884" w:rsidRPr="00DF1884">
              <w:t xml:space="preserve"> </w:t>
            </w:r>
            <w:r w:rsidRPr="00DF1884">
              <w:t>with</w:t>
            </w:r>
            <w:r w:rsidR="00DF1884" w:rsidRPr="00DF1884">
              <w:t xml:space="preserve"> </w:t>
            </w:r>
            <w:r w:rsidRPr="00DF1884">
              <w:t>and</w:t>
            </w:r>
            <w:r w:rsidR="00DF1884" w:rsidRPr="00DF1884">
              <w:t xml:space="preserve"> </w:t>
            </w:r>
            <w:r w:rsidRPr="00DF1884">
              <w:t>without</w:t>
            </w:r>
            <w:r w:rsidR="00DF1884" w:rsidRPr="00DF1884">
              <w:t xml:space="preserve"> </w:t>
            </w:r>
            <w:r w:rsidRPr="00DF1884">
              <w:t>diabetes</w:t>
            </w:r>
            <w:r w:rsidR="00DF1884" w:rsidRPr="00DF1884">
              <w:t xml:space="preserve"> </w:t>
            </w:r>
            <w:r w:rsidRPr="00DF1884">
              <w:lastRenderedPageBreak/>
              <w:t>(Costa</w:t>
            </w:r>
            <w:r w:rsidR="00DF1884" w:rsidRPr="00DF1884">
              <w:t xml:space="preserve"> </w:t>
            </w:r>
            <w:r w:rsidRPr="00DF1884">
              <w:t>et</w:t>
            </w:r>
            <w:r w:rsidR="00DF1884" w:rsidRPr="00DF1884">
              <w:t xml:space="preserve"> </w:t>
            </w:r>
            <w:r w:rsidRPr="00DF1884">
              <w:t>al,</w:t>
            </w:r>
            <w:r w:rsidR="00DF1884" w:rsidRPr="00DF1884">
              <w:t xml:space="preserve"> </w:t>
            </w:r>
            <w:r w:rsidRPr="00DF1884">
              <w:t>2006).</w:t>
            </w:r>
            <w:r w:rsidR="00DF1884" w:rsidRPr="00DF1884">
              <w:t xml:space="preserve"> </w:t>
            </w:r>
            <w:r w:rsidRPr="00DF1884">
              <w:t>However,</w:t>
            </w:r>
            <w:r w:rsidR="00DF1884" w:rsidRPr="00DF1884">
              <w:t xml:space="preserve"> </w:t>
            </w:r>
            <w:r w:rsidRPr="00DF1884">
              <w:t>after</w:t>
            </w:r>
            <w:r w:rsidR="00DF1884" w:rsidRPr="00DF1884">
              <w:t xml:space="preserve"> </w:t>
            </w:r>
            <w:r w:rsidRPr="00DF1884">
              <w:t>adjusting</w:t>
            </w:r>
            <w:r w:rsidR="00DF1884" w:rsidRPr="00DF1884">
              <w:t xml:space="preserve"> </w:t>
            </w:r>
            <w:r w:rsidRPr="00DF1884">
              <w:t>for</w:t>
            </w:r>
            <w:r w:rsidR="00DF1884" w:rsidRPr="00DF1884">
              <w:t xml:space="preserve"> </w:t>
            </w:r>
            <w:r w:rsidRPr="00DF1884">
              <w:t>baseline</w:t>
            </w:r>
            <w:r w:rsidR="00DF1884" w:rsidRPr="00DF1884">
              <w:t xml:space="preserve"> </w:t>
            </w:r>
            <w:r w:rsidRPr="00DF1884">
              <w:t>risk,</w:t>
            </w:r>
            <w:r w:rsidR="00DF1884" w:rsidRPr="00DF1884">
              <w:t xml:space="preserve"> </w:t>
            </w:r>
            <w:r w:rsidRPr="00DF1884">
              <w:t>patients</w:t>
            </w:r>
            <w:r w:rsidR="00DF1884" w:rsidRPr="00DF1884">
              <w:t xml:space="preserve"> </w:t>
            </w:r>
            <w:r w:rsidRPr="00DF1884">
              <w:t>with</w:t>
            </w:r>
            <w:r w:rsidR="00DF1884" w:rsidRPr="00DF1884">
              <w:t xml:space="preserve"> </w:t>
            </w:r>
            <w:r w:rsidRPr="00DF1884">
              <w:t>diabetes</w:t>
            </w:r>
            <w:r w:rsidR="00DF1884" w:rsidRPr="00DF1884">
              <w:t xml:space="preserve"> </w:t>
            </w:r>
            <w:r w:rsidRPr="00DF1884">
              <w:t>had</w:t>
            </w:r>
            <w:r w:rsidR="00DF1884" w:rsidRPr="00DF1884">
              <w:t xml:space="preserve"> </w:t>
            </w:r>
            <w:r w:rsidRPr="00DF1884">
              <w:t>greater</w:t>
            </w:r>
            <w:r w:rsidR="00DF1884" w:rsidRPr="00DF1884">
              <w:t xml:space="preserve"> </w:t>
            </w:r>
            <w:r w:rsidRPr="00DF1884">
              <w:t>benefit</w:t>
            </w:r>
            <w:r w:rsidR="00DF1884" w:rsidRPr="00DF1884">
              <w:t xml:space="preserve"> </w:t>
            </w:r>
            <w:r w:rsidRPr="00DF1884">
              <w:t>in</w:t>
            </w:r>
            <w:r w:rsidR="00DF1884" w:rsidRPr="00DF1884">
              <w:t xml:space="preserve"> </w:t>
            </w:r>
            <w:r w:rsidRPr="00DF1884">
              <w:t>both</w:t>
            </w:r>
            <w:r w:rsidR="00DF1884" w:rsidRPr="00DF1884">
              <w:t xml:space="preserve"> </w:t>
            </w:r>
            <w:r w:rsidRPr="00DF1884">
              <w:t>the</w:t>
            </w:r>
            <w:r w:rsidR="00DF1884" w:rsidRPr="00DF1884">
              <w:t xml:space="preserve"> </w:t>
            </w:r>
            <w:r w:rsidRPr="00DF1884">
              <w:t>primary</w:t>
            </w:r>
            <w:r w:rsidR="00DF1884" w:rsidRPr="00DF1884">
              <w:t xml:space="preserve"> </w:t>
            </w:r>
            <w:r w:rsidRPr="00DF1884">
              <w:t>and</w:t>
            </w:r>
            <w:r w:rsidR="00DF1884" w:rsidRPr="00DF1884">
              <w:t xml:space="preserve"> </w:t>
            </w:r>
            <w:r w:rsidRPr="00DF1884">
              <w:t>secondary</w:t>
            </w:r>
            <w:r w:rsidR="00DF1884" w:rsidRPr="00DF1884">
              <w:t xml:space="preserve"> </w:t>
            </w:r>
            <w:r w:rsidRPr="00DF1884">
              <w:t>prevention</w:t>
            </w:r>
            <w:r w:rsidR="00DF1884" w:rsidRPr="00DF1884">
              <w:t xml:space="preserve"> </w:t>
            </w:r>
            <w:r w:rsidRPr="00DF1884">
              <w:t>of</w:t>
            </w:r>
            <w:r w:rsidR="00DF1884" w:rsidRPr="00DF1884">
              <w:t xml:space="preserve"> </w:t>
            </w:r>
            <w:r w:rsidRPr="00DF1884">
              <w:t>death</w:t>
            </w:r>
            <w:r w:rsidR="00DF1884" w:rsidRPr="00DF1884">
              <w:t xml:space="preserve"> </w:t>
            </w:r>
            <w:r w:rsidRPr="00DF1884">
              <w:t>due</w:t>
            </w:r>
            <w:r w:rsidR="00DF1884" w:rsidRPr="00DF1884">
              <w:t xml:space="preserve"> </w:t>
            </w:r>
            <w:r w:rsidRPr="00DF1884">
              <w:t>to</w:t>
            </w:r>
            <w:r w:rsidR="00DF1884" w:rsidRPr="00DF1884">
              <w:t xml:space="preserve"> </w:t>
            </w:r>
            <w:r w:rsidRPr="00DF1884">
              <w:t>coronary</w:t>
            </w:r>
            <w:r w:rsidR="00DF1884" w:rsidRPr="00DF1884">
              <w:t xml:space="preserve"> </w:t>
            </w:r>
            <w:r w:rsidRPr="00DF1884">
              <w:t>artery</w:t>
            </w:r>
            <w:r w:rsidR="00DF1884" w:rsidRPr="00DF1884">
              <w:t xml:space="preserve"> </w:t>
            </w:r>
            <w:r w:rsidRPr="00DF1884">
              <w:t>disease,</w:t>
            </w:r>
            <w:r w:rsidR="00DF1884" w:rsidRPr="00DF1884">
              <w:t xml:space="preserve"> </w:t>
            </w:r>
            <w:r w:rsidRPr="00DF1884">
              <w:t>nonfatal</w:t>
            </w:r>
            <w:r w:rsidR="00DF1884" w:rsidRPr="00DF1884">
              <w:t xml:space="preserve"> </w:t>
            </w:r>
            <w:r w:rsidRPr="00DF1884">
              <w:t>myocardial</w:t>
            </w:r>
            <w:r w:rsidR="00DF1884" w:rsidRPr="00DF1884">
              <w:t xml:space="preserve"> </w:t>
            </w:r>
            <w:r w:rsidRPr="00DF1884">
              <w:t>infarction,</w:t>
            </w:r>
            <w:r w:rsidR="00DF1884" w:rsidRPr="00DF1884">
              <w:t xml:space="preserve"> </w:t>
            </w:r>
            <w:r w:rsidRPr="00DF1884">
              <w:t>revascularization</w:t>
            </w:r>
            <w:r w:rsidR="00DF1884" w:rsidRPr="00DF1884">
              <w:t xml:space="preserve"> </w:t>
            </w:r>
            <w:r w:rsidRPr="00DF1884">
              <w:t>and</w:t>
            </w:r>
            <w:r w:rsidR="00DF1884" w:rsidRPr="00DF1884">
              <w:t xml:space="preserve"> </w:t>
            </w:r>
            <w:r w:rsidRPr="00DF1884">
              <w:t>stroke.</w:t>
            </w:r>
            <w:r w:rsidR="00DF1884" w:rsidRPr="00DF1884">
              <w:t xml:space="preserve"> </w:t>
            </w:r>
            <w:r w:rsidRPr="00DF1884">
              <w:t>Another</w:t>
            </w:r>
            <w:r w:rsidR="00DF1884" w:rsidRPr="00DF1884">
              <w:t xml:space="preserve"> </w:t>
            </w:r>
            <w:r w:rsidRPr="00DF1884">
              <w:t>meta-analysis</w:t>
            </w:r>
            <w:r w:rsidR="00DF1884" w:rsidRPr="00DF1884">
              <w:t xml:space="preserve"> </w:t>
            </w:r>
            <w:r w:rsidRPr="00DF1884">
              <w:t>by</w:t>
            </w:r>
            <w:r w:rsidR="00DF1884" w:rsidRPr="00DF1884">
              <w:t xml:space="preserve"> </w:t>
            </w:r>
            <w:r w:rsidRPr="00DF1884">
              <w:t>the</w:t>
            </w:r>
            <w:r w:rsidR="00DF1884" w:rsidRPr="00DF1884">
              <w:t xml:space="preserve"> </w:t>
            </w:r>
            <w:r w:rsidRPr="00DF1884">
              <w:t>American</w:t>
            </w:r>
            <w:r w:rsidR="00DF1884" w:rsidRPr="00DF1884">
              <w:t xml:space="preserve"> </w:t>
            </w:r>
            <w:r w:rsidRPr="00DF1884">
              <w:t>College</w:t>
            </w:r>
            <w:r w:rsidR="00DF1884" w:rsidRPr="00DF1884">
              <w:t xml:space="preserve"> </w:t>
            </w:r>
            <w:r w:rsidRPr="00DF1884">
              <w:t>of</w:t>
            </w:r>
            <w:r w:rsidR="00DF1884" w:rsidRPr="00DF1884">
              <w:t xml:space="preserve"> </w:t>
            </w:r>
            <w:r w:rsidRPr="00DF1884">
              <w:t>Physicians</w:t>
            </w:r>
            <w:r w:rsidR="00DF1884" w:rsidRPr="00DF1884">
              <w:t xml:space="preserve"> </w:t>
            </w:r>
            <w:r w:rsidRPr="00DF1884">
              <w:t>on</w:t>
            </w:r>
            <w:r w:rsidR="00DF1884" w:rsidRPr="00DF1884">
              <w:t xml:space="preserve"> </w:t>
            </w:r>
            <w:r w:rsidRPr="00DF1884">
              <w:t>lipid-lowering</w:t>
            </w:r>
            <w:r w:rsidR="00DF1884" w:rsidRPr="00DF1884">
              <w:t xml:space="preserve"> </w:t>
            </w:r>
            <w:r w:rsidRPr="00DF1884">
              <w:t>therapy</w:t>
            </w:r>
            <w:r w:rsidR="00DF1884" w:rsidRPr="00DF1884">
              <w:t xml:space="preserve"> </w:t>
            </w:r>
            <w:r w:rsidRPr="00DF1884">
              <w:t>for</w:t>
            </w:r>
            <w:r w:rsidR="00DF1884" w:rsidRPr="00DF1884">
              <w:t xml:space="preserve"> </w:t>
            </w:r>
            <w:r w:rsidRPr="00DF1884">
              <w:t>type</w:t>
            </w:r>
            <w:r w:rsidR="00DF1884" w:rsidRPr="00DF1884">
              <w:t xml:space="preserve"> </w:t>
            </w:r>
            <w:r w:rsidRPr="00DF1884">
              <w:t>2</w:t>
            </w:r>
            <w:r w:rsidR="00DF1884" w:rsidRPr="00DF1884">
              <w:t xml:space="preserve"> </w:t>
            </w:r>
            <w:r w:rsidRPr="00DF1884">
              <w:t>diabetes</w:t>
            </w:r>
            <w:r w:rsidR="00DF1884" w:rsidRPr="00DF1884">
              <w:t xml:space="preserve"> </w:t>
            </w:r>
            <w:r w:rsidRPr="00DF1884">
              <w:t>patients</w:t>
            </w:r>
            <w:r w:rsidR="00DF1884" w:rsidRPr="00DF1884">
              <w:t xml:space="preserve"> </w:t>
            </w:r>
            <w:r w:rsidRPr="00DF1884">
              <w:t>found</w:t>
            </w:r>
            <w:r w:rsidR="00DF1884" w:rsidRPr="00DF1884">
              <w:t xml:space="preserve"> </w:t>
            </w:r>
            <w:r w:rsidRPr="00DF1884">
              <w:t>a</w:t>
            </w:r>
            <w:r w:rsidR="00DF1884" w:rsidRPr="00DF1884">
              <w:t xml:space="preserve"> </w:t>
            </w:r>
            <w:r w:rsidRPr="00DF1884">
              <w:t>22</w:t>
            </w:r>
            <w:r w:rsidR="00DF1884" w:rsidRPr="00DF1884">
              <w:t xml:space="preserve"> </w:t>
            </w:r>
            <w:r w:rsidRPr="00DF1884">
              <w:t>percent</w:t>
            </w:r>
            <w:r w:rsidR="00DF1884" w:rsidRPr="00DF1884">
              <w:t xml:space="preserve"> </w:t>
            </w:r>
            <w:r w:rsidRPr="00DF1884">
              <w:t>reduction</w:t>
            </w:r>
            <w:r w:rsidR="00DF1884" w:rsidRPr="00DF1884">
              <w:t xml:space="preserve"> </w:t>
            </w:r>
            <w:r w:rsidRPr="00DF1884">
              <w:t>of</w:t>
            </w:r>
            <w:r w:rsidR="00DF1884" w:rsidRPr="00DF1884">
              <w:t xml:space="preserve"> </w:t>
            </w:r>
            <w:r w:rsidRPr="00DF1884">
              <w:t>cardiovascular</w:t>
            </w:r>
            <w:r w:rsidR="00DF1884" w:rsidRPr="00DF1884">
              <w:t xml:space="preserve"> </w:t>
            </w:r>
            <w:r w:rsidRPr="00DF1884">
              <w:t>events</w:t>
            </w:r>
            <w:r w:rsidR="00DF1884" w:rsidRPr="00DF1884">
              <w:t xml:space="preserve"> </w:t>
            </w:r>
            <w:r w:rsidRPr="00DF1884">
              <w:t>with</w:t>
            </w:r>
            <w:r w:rsidR="00DF1884" w:rsidRPr="00DF1884">
              <w:t xml:space="preserve"> </w:t>
            </w:r>
            <w:r w:rsidRPr="00DF1884">
              <w:t>primary</w:t>
            </w:r>
            <w:r w:rsidR="00DF1884" w:rsidRPr="00DF1884">
              <w:t xml:space="preserve"> </w:t>
            </w:r>
            <w:r w:rsidRPr="00DF1884">
              <w:t>prevention</w:t>
            </w:r>
            <w:r w:rsidR="00DF1884" w:rsidRPr="00DF1884">
              <w:t xml:space="preserve"> </w:t>
            </w:r>
            <w:r w:rsidRPr="00DF1884">
              <w:t>and</w:t>
            </w:r>
            <w:r w:rsidR="00DF1884" w:rsidRPr="00DF1884">
              <w:t xml:space="preserve"> </w:t>
            </w:r>
            <w:r w:rsidRPr="00DF1884">
              <w:t>a</w:t>
            </w:r>
            <w:r w:rsidR="00DF1884" w:rsidRPr="00DF1884">
              <w:t xml:space="preserve"> </w:t>
            </w:r>
            <w:r w:rsidRPr="00DF1884">
              <w:t>24</w:t>
            </w:r>
            <w:r w:rsidR="00DF1884" w:rsidRPr="00DF1884">
              <w:t xml:space="preserve"> </w:t>
            </w:r>
            <w:r w:rsidRPr="00DF1884">
              <w:t>percent</w:t>
            </w:r>
            <w:r w:rsidR="00DF1884" w:rsidRPr="00DF1884">
              <w:t xml:space="preserve"> </w:t>
            </w:r>
            <w:r w:rsidRPr="00DF1884">
              <w:t>reduction</w:t>
            </w:r>
            <w:r w:rsidR="00DF1884" w:rsidRPr="00DF1884">
              <w:t xml:space="preserve"> </w:t>
            </w:r>
            <w:r w:rsidRPr="00DF1884">
              <w:t>for</w:t>
            </w:r>
            <w:r w:rsidR="00DF1884" w:rsidRPr="00DF1884">
              <w:t xml:space="preserve"> </w:t>
            </w:r>
            <w:r w:rsidRPr="00DF1884">
              <w:t>secondary</w:t>
            </w:r>
            <w:r w:rsidR="00DF1884" w:rsidRPr="00DF1884">
              <w:t xml:space="preserve"> </w:t>
            </w:r>
            <w:r w:rsidRPr="00DF1884">
              <w:t>prevention</w:t>
            </w:r>
            <w:r w:rsidR="00DF1884" w:rsidRPr="00DF1884">
              <w:t xml:space="preserve"> </w:t>
            </w:r>
            <w:r w:rsidRPr="00DF1884">
              <w:t>(Spratt,</w:t>
            </w:r>
            <w:r w:rsidR="00DF1884" w:rsidRPr="00DF1884">
              <w:t xml:space="preserve"> </w:t>
            </w:r>
            <w:r w:rsidRPr="00DF1884">
              <w:t>2009).</w:t>
            </w:r>
          </w:p>
        </w:tc>
      </w:tr>
      <w:tr w:rsidR="00DF1884" w:rsidRPr="00DF1884" w14:paraId="344C96C8" w14:textId="77777777" w:rsidTr="002E4322">
        <w:tc>
          <w:tcPr>
            <w:tcW w:w="1931" w:type="dxa"/>
            <w:tcMar>
              <w:left w:w="115" w:type="dxa"/>
              <w:right w:w="115" w:type="dxa"/>
            </w:tcMar>
          </w:tcPr>
          <w:p w14:paraId="27DBDE1C" w14:textId="65E30DD2" w:rsidR="005B5649" w:rsidRPr="00DF1884" w:rsidRDefault="005B5649" w:rsidP="005B5649">
            <w:pPr>
              <w:pStyle w:val="MarginSubhead"/>
            </w:pPr>
            <w:r w:rsidRPr="00DF1884">
              <w:lastRenderedPageBreak/>
              <w:t>Financial</w:t>
            </w:r>
            <w:r w:rsidR="00DF1884" w:rsidRPr="00DF1884">
              <w:t xml:space="preserve"> </w:t>
            </w:r>
            <w:r w:rsidRPr="00DF1884">
              <w:t>importance</w:t>
            </w:r>
            <w:r w:rsidR="00DF1884" w:rsidRPr="00DF1884">
              <w:t xml:space="preserve"> </w:t>
            </w:r>
          </w:p>
        </w:tc>
        <w:tc>
          <w:tcPr>
            <w:tcW w:w="8010" w:type="dxa"/>
            <w:tcMar>
              <w:left w:w="115" w:type="dxa"/>
              <w:right w:w="115" w:type="dxa"/>
            </w:tcMar>
          </w:tcPr>
          <w:p w14:paraId="38E4959E" w14:textId="2E6D2A7F" w:rsidR="005B5649" w:rsidRPr="00DF1884" w:rsidRDefault="005B5649" w:rsidP="002E4322">
            <w:pPr>
              <w:pStyle w:val="Body"/>
            </w:pPr>
            <w:r w:rsidRPr="00DF1884">
              <w:t>The</w:t>
            </w:r>
            <w:r w:rsidR="00DF1884" w:rsidRPr="00DF1884">
              <w:t xml:space="preserve"> </w:t>
            </w:r>
            <w:r w:rsidRPr="00DF1884">
              <w:t>total</w:t>
            </w:r>
            <w:r w:rsidR="00DF1884" w:rsidRPr="00DF1884">
              <w:t xml:space="preserve"> </w:t>
            </w:r>
            <w:r w:rsidRPr="00DF1884">
              <w:t>cost</w:t>
            </w:r>
            <w:r w:rsidR="00DF1884" w:rsidRPr="00DF1884">
              <w:t xml:space="preserve"> </w:t>
            </w:r>
            <w:r w:rsidRPr="00DF1884">
              <w:t>of</w:t>
            </w:r>
            <w:r w:rsidR="00DF1884" w:rsidRPr="00DF1884">
              <w:t xml:space="preserve"> </w:t>
            </w:r>
            <w:r w:rsidRPr="00DF1884">
              <w:t>diabetes</w:t>
            </w:r>
            <w:r w:rsidR="00DF1884" w:rsidRPr="00DF1884">
              <w:t xml:space="preserve"> </w:t>
            </w:r>
            <w:r w:rsidRPr="00DF1884">
              <w:t>care</w:t>
            </w:r>
            <w:r w:rsidR="00DF1884" w:rsidRPr="00DF1884">
              <w:t xml:space="preserve"> </w:t>
            </w:r>
            <w:r w:rsidRPr="00DF1884">
              <w:t>in</w:t>
            </w:r>
            <w:r w:rsidR="00DF1884" w:rsidRPr="00DF1884">
              <w:t xml:space="preserve"> </w:t>
            </w:r>
            <w:r w:rsidRPr="00DF1884">
              <w:t>the</w:t>
            </w:r>
            <w:r w:rsidR="00DF1884" w:rsidRPr="00DF1884">
              <w:t xml:space="preserve"> </w:t>
            </w:r>
            <w:r w:rsidRPr="00DF1884">
              <w:t>United</w:t>
            </w:r>
            <w:r w:rsidR="00DF1884" w:rsidRPr="00DF1884">
              <w:t xml:space="preserve"> </w:t>
            </w:r>
            <w:r w:rsidRPr="00DF1884">
              <w:t>States</w:t>
            </w:r>
            <w:r w:rsidR="00DF1884" w:rsidRPr="00DF1884">
              <w:t xml:space="preserve"> </w:t>
            </w:r>
            <w:r w:rsidRPr="00DF1884">
              <w:t>was</w:t>
            </w:r>
            <w:r w:rsidR="00DF1884" w:rsidRPr="00DF1884">
              <w:t xml:space="preserve"> </w:t>
            </w:r>
            <w:r w:rsidRPr="00DF1884">
              <w:t>$245</w:t>
            </w:r>
            <w:r w:rsidR="00DF1884" w:rsidRPr="00DF1884">
              <w:t xml:space="preserve"> </w:t>
            </w:r>
            <w:r w:rsidRPr="00DF1884">
              <w:t>billion</w:t>
            </w:r>
            <w:r w:rsidR="00DF1884" w:rsidRPr="00DF1884">
              <w:t xml:space="preserve"> </w:t>
            </w:r>
            <w:r w:rsidRPr="00DF1884">
              <w:t>in</w:t>
            </w:r>
            <w:r w:rsidR="00DF1884" w:rsidRPr="00DF1884">
              <w:t xml:space="preserve"> </w:t>
            </w:r>
            <w:r w:rsidRPr="00DF1884">
              <w:t>2012</w:t>
            </w:r>
            <w:r w:rsidR="002E4322" w:rsidRPr="00DF1884">
              <w:t>—</w:t>
            </w:r>
            <w:r w:rsidRPr="00DF1884">
              <w:t>a</w:t>
            </w:r>
            <w:r w:rsidR="00DF1884" w:rsidRPr="00DF1884">
              <w:t xml:space="preserve"> </w:t>
            </w:r>
            <w:r w:rsidRPr="00DF1884">
              <w:t>41</w:t>
            </w:r>
            <w:r w:rsidR="00DF1884" w:rsidRPr="00DF1884">
              <w:t xml:space="preserve"> </w:t>
            </w:r>
            <w:r w:rsidRPr="00DF1884">
              <w:t>pe</w:t>
            </w:r>
            <w:r w:rsidR="002E4322" w:rsidRPr="00DF1884">
              <w:t>r</w:t>
            </w:r>
            <w:r w:rsidRPr="00DF1884">
              <w:t>cent</w:t>
            </w:r>
            <w:r w:rsidR="00DF1884" w:rsidRPr="00DF1884">
              <w:t xml:space="preserve"> </w:t>
            </w:r>
            <w:r w:rsidRPr="00DF1884">
              <w:t>increase</w:t>
            </w:r>
            <w:r w:rsidR="00DF1884" w:rsidRPr="00DF1884">
              <w:t xml:space="preserve"> </w:t>
            </w:r>
            <w:r w:rsidRPr="00DF1884">
              <w:t>from</w:t>
            </w:r>
            <w:r w:rsidR="00DF1884" w:rsidRPr="00DF1884">
              <w:t xml:space="preserve"> </w:t>
            </w:r>
            <w:r w:rsidRPr="00DF1884">
              <w:t>$175</w:t>
            </w:r>
            <w:r w:rsidR="00DF1884" w:rsidRPr="00DF1884">
              <w:t xml:space="preserve"> </w:t>
            </w:r>
            <w:r w:rsidRPr="00DF1884">
              <w:t>billion</w:t>
            </w:r>
            <w:r w:rsidR="00DF1884" w:rsidRPr="00DF1884">
              <w:t xml:space="preserve"> </w:t>
            </w:r>
            <w:r w:rsidRPr="00DF1884">
              <w:t>in</w:t>
            </w:r>
            <w:r w:rsidR="00DF1884" w:rsidRPr="00DF1884">
              <w:t xml:space="preserve"> </w:t>
            </w:r>
            <w:r w:rsidRPr="00DF1884">
              <w:t>2007.</w:t>
            </w:r>
            <w:r w:rsidR="00DF1884" w:rsidRPr="00DF1884">
              <w:t xml:space="preserve"> </w:t>
            </w:r>
            <w:r w:rsidRPr="00DF1884">
              <w:t>The</w:t>
            </w:r>
            <w:r w:rsidR="00DF1884" w:rsidRPr="00DF1884">
              <w:t xml:space="preserve"> </w:t>
            </w:r>
            <w:r w:rsidRPr="00DF1884">
              <w:t>cost</w:t>
            </w:r>
            <w:r w:rsidR="00DF1884" w:rsidRPr="00DF1884">
              <w:t xml:space="preserve"> </w:t>
            </w:r>
            <w:r w:rsidRPr="00DF1884">
              <w:t>of</w:t>
            </w:r>
            <w:r w:rsidR="00DF1884" w:rsidRPr="00DF1884">
              <w:t xml:space="preserve"> </w:t>
            </w:r>
            <w:r w:rsidRPr="00DF1884">
              <w:t>care</w:t>
            </w:r>
            <w:r w:rsidR="00DF1884" w:rsidRPr="00DF1884">
              <w:t xml:space="preserve"> </w:t>
            </w:r>
            <w:r w:rsidRPr="00DF1884">
              <w:t>to</w:t>
            </w:r>
            <w:r w:rsidR="00DF1884" w:rsidRPr="00DF1884">
              <w:t xml:space="preserve"> </w:t>
            </w:r>
            <w:r w:rsidRPr="00DF1884">
              <w:t>treat</w:t>
            </w:r>
            <w:r w:rsidR="00DF1884" w:rsidRPr="00DF1884">
              <w:t xml:space="preserve"> </w:t>
            </w:r>
            <w:r w:rsidRPr="00DF1884">
              <w:t>patients</w:t>
            </w:r>
            <w:r w:rsidR="00DF1884" w:rsidRPr="00DF1884">
              <w:t xml:space="preserve"> </w:t>
            </w:r>
            <w:r w:rsidRPr="00DF1884">
              <w:t>with</w:t>
            </w:r>
            <w:r w:rsidR="00DF1884" w:rsidRPr="00DF1884">
              <w:t xml:space="preserve"> </w:t>
            </w:r>
            <w:r w:rsidRPr="00DF1884">
              <w:t>diabetes</w:t>
            </w:r>
            <w:r w:rsidR="00DF1884" w:rsidRPr="00DF1884">
              <w:t xml:space="preserve"> </w:t>
            </w:r>
            <w:r w:rsidRPr="00DF1884">
              <w:t>includes</w:t>
            </w:r>
            <w:r w:rsidR="00DF1884" w:rsidRPr="00DF1884">
              <w:t xml:space="preserve"> </w:t>
            </w:r>
            <w:r w:rsidRPr="00DF1884">
              <w:t>direct</w:t>
            </w:r>
            <w:r w:rsidR="00DF1884" w:rsidRPr="00DF1884">
              <w:t xml:space="preserve"> </w:t>
            </w:r>
            <w:r w:rsidRPr="00DF1884">
              <w:t>costs</w:t>
            </w:r>
            <w:r w:rsidR="00DF1884" w:rsidRPr="00DF1884">
              <w:t xml:space="preserve"> </w:t>
            </w:r>
            <w:r w:rsidRPr="00DF1884">
              <w:t>($176</w:t>
            </w:r>
            <w:r w:rsidR="00DF1884" w:rsidRPr="00DF1884">
              <w:t xml:space="preserve"> </w:t>
            </w:r>
            <w:r w:rsidRPr="00DF1884">
              <w:t>billion)</w:t>
            </w:r>
            <w:r w:rsidR="00DF1884" w:rsidRPr="00DF1884">
              <w:t xml:space="preserve"> </w:t>
            </w:r>
            <w:r w:rsidRPr="00DF1884">
              <w:t>from</w:t>
            </w:r>
            <w:r w:rsidR="00DF1884" w:rsidRPr="00DF1884">
              <w:t xml:space="preserve"> </w:t>
            </w:r>
            <w:r w:rsidRPr="00DF1884">
              <w:t>office</w:t>
            </w:r>
            <w:r w:rsidR="00DF1884" w:rsidRPr="00DF1884">
              <w:t xml:space="preserve"> </w:t>
            </w:r>
            <w:r w:rsidRPr="00DF1884">
              <w:t>visits,</w:t>
            </w:r>
            <w:r w:rsidR="00DF1884" w:rsidRPr="00DF1884">
              <w:t xml:space="preserve"> </w:t>
            </w:r>
            <w:r w:rsidRPr="00DF1884">
              <w:t>hospital</w:t>
            </w:r>
            <w:r w:rsidR="00DF1884" w:rsidRPr="00DF1884">
              <w:t xml:space="preserve"> </w:t>
            </w:r>
            <w:r w:rsidRPr="00DF1884">
              <w:t>care</w:t>
            </w:r>
            <w:r w:rsidR="00DF1884" w:rsidRPr="00DF1884">
              <w:t xml:space="preserve"> </w:t>
            </w:r>
            <w:r w:rsidRPr="00DF1884">
              <w:t>and</w:t>
            </w:r>
            <w:r w:rsidR="00DF1884" w:rsidRPr="00DF1884">
              <w:t xml:space="preserve"> </w:t>
            </w:r>
            <w:r w:rsidRPr="00DF1884">
              <w:t>medications.</w:t>
            </w:r>
            <w:r w:rsidR="00DF1884" w:rsidRPr="00DF1884">
              <w:t xml:space="preserve"> </w:t>
            </w:r>
            <w:r w:rsidRPr="00DF1884">
              <w:t>Indirect</w:t>
            </w:r>
            <w:r w:rsidR="00DF1884" w:rsidRPr="00DF1884">
              <w:t xml:space="preserve"> </w:t>
            </w:r>
            <w:r w:rsidRPr="00DF1884">
              <w:t>costs</w:t>
            </w:r>
            <w:r w:rsidR="00DF1884" w:rsidRPr="00DF1884">
              <w:t xml:space="preserve"> </w:t>
            </w:r>
            <w:r w:rsidRPr="00DF1884">
              <w:t>to</w:t>
            </w:r>
            <w:r w:rsidR="00DF1884" w:rsidRPr="00DF1884">
              <w:t xml:space="preserve"> </w:t>
            </w:r>
            <w:r w:rsidRPr="00DF1884">
              <w:t>treat</w:t>
            </w:r>
            <w:r w:rsidR="00DF1884" w:rsidRPr="00DF1884">
              <w:t xml:space="preserve"> </w:t>
            </w:r>
            <w:r w:rsidRPr="00DF1884">
              <w:t>patients</w:t>
            </w:r>
            <w:r w:rsidR="00DF1884" w:rsidRPr="00DF1884">
              <w:t xml:space="preserve"> </w:t>
            </w:r>
            <w:r w:rsidRPr="00DF1884">
              <w:t>with</w:t>
            </w:r>
            <w:r w:rsidR="00DF1884" w:rsidRPr="00DF1884">
              <w:t xml:space="preserve"> </w:t>
            </w:r>
            <w:r w:rsidRPr="00DF1884">
              <w:t>diabetes</w:t>
            </w:r>
            <w:r w:rsidR="00DF1884" w:rsidRPr="00DF1884">
              <w:t xml:space="preserve"> </w:t>
            </w:r>
            <w:r w:rsidRPr="00DF1884">
              <w:t>are</w:t>
            </w:r>
            <w:r w:rsidR="00DF1884" w:rsidRPr="00DF1884">
              <w:t xml:space="preserve"> </w:t>
            </w:r>
            <w:r w:rsidRPr="00DF1884">
              <w:t>estimated</w:t>
            </w:r>
            <w:r w:rsidR="00DF1884" w:rsidRPr="00DF1884">
              <w:t xml:space="preserve"> </w:t>
            </w:r>
            <w:r w:rsidRPr="00DF1884">
              <w:t>to</w:t>
            </w:r>
            <w:r w:rsidR="00DF1884" w:rsidRPr="00DF1884">
              <w:t xml:space="preserve"> </w:t>
            </w:r>
            <w:r w:rsidRPr="00DF1884">
              <w:t>be</w:t>
            </w:r>
            <w:r w:rsidR="00DF1884" w:rsidRPr="00DF1884">
              <w:t xml:space="preserve"> </w:t>
            </w:r>
            <w:r w:rsidRPr="00DF1884">
              <w:t>$69</w:t>
            </w:r>
            <w:r w:rsidR="00DF1884" w:rsidRPr="00DF1884">
              <w:t xml:space="preserve"> </w:t>
            </w:r>
            <w:r w:rsidRPr="00DF1884">
              <w:t>billion</w:t>
            </w:r>
            <w:r w:rsidR="00DF1884" w:rsidRPr="00DF1884">
              <w:t xml:space="preserve"> </w:t>
            </w:r>
            <w:r w:rsidRPr="00DF1884">
              <w:t>and</w:t>
            </w:r>
            <w:r w:rsidR="00DF1884" w:rsidRPr="00DF1884">
              <w:t xml:space="preserve"> </w:t>
            </w:r>
            <w:r w:rsidRPr="00DF1884">
              <w:t>includes</w:t>
            </w:r>
            <w:r w:rsidR="00DF1884" w:rsidRPr="00DF1884">
              <w:t xml:space="preserve"> </w:t>
            </w:r>
            <w:r w:rsidRPr="00DF1884">
              <w:t>costs</w:t>
            </w:r>
            <w:r w:rsidR="00DF1884" w:rsidRPr="00DF1884">
              <w:t xml:space="preserve"> </w:t>
            </w:r>
            <w:r w:rsidRPr="00DF1884">
              <w:t>for</w:t>
            </w:r>
            <w:r w:rsidR="00DF1884" w:rsidRPr="00DF1884">
              <w:t xml:space="preserve"> </w:t>
            </w:r>
            <w:r w:rsidRPr="00DF1884">
              <w:t>absenteeism,</w:t>
            </w:r>
            <w:r w:rsidR="00DF1884" w:rsidRPr="00DF1884">
              <w:t xml:space="preserve"> </w:t>
            </w:r>
            <w:r w:rsidRPr="00DF1884">
              <w:t>reduced</w:t>
            </w:r>
            <w:r w:rsidR="00DF1884" w:rsidRPr="00DF1884">
              <w:t xml:space="preserve"> </w:t>
            </w:r>
            <w:r w:rsidRPr="00DF1884">
              <w:t>productivity,</w:t>
            </w:r>
            <w:r w:rsidR="00DF1884" w:rsidRPr="00DF1884">
              <w:t xml:space="preserve"> </w:t>
            </w:r>
            <w:r w:rsidRPr="00DF1884">
              <w:t>unemployment</w:t>
            </w:r>
            <w:r w:rsidR="00DF1884" w:rsidRPr="00DF1884">
              <w:t xml:space="preserve"> </w:t>
            </w:r>
            <w:r w:rsidRPr="00DF1884">
              <w:t>due</w:t>
            </w:r>
            <w:r w:rsidR="00DF1884" w:rsidRPr="00DF1884">
              <w:t xml:space="preserve"> </w:t>
            </w:r>
            <w:r w:rsidRPr="00DF1884">
              <w:t>to</w:t>
            </w:r>
            <w:r w:rsidR="00DF1884" w:rsidRPr="00DF1884">
              <w:t xml:space="preserve"> </w:t>
            </w:r>
            <w:r w:rsidRPr="00DF1884">
              <w:t>disability</w:t>
            </w:r>
            <w:r w:rsidR="00DF1884" w:rsidRPr="00DF1884">
              <w:t xml:space="preserve"> </w:t>
            </w:r>
            <w:r w:rsidRPr="00DF1884">
              <w:t>and</w:t>
            </w:r>
            <w:r w:rsidR="00DF1884" w:rsidRPr="00DF1884">
              <w:t xml:space="preserve"> </w:t>
            </w:r>
            <w:r w:rsidRPr="00DF1884">
              <w:t>loss</w:t>
            </w:r>
            <w:r w:rsidR="00DF1884" w:rsidRPr="00DF1884">
              <w:t xml:space="preserve"> </w:t>
            </w:r>
            <w:r w:rsidRPr="00DF1884">
              <w:t>of</w:t>
            </w:r>
            <w:r w:rsidR="00DF1884" w:rsidRPr="00DF1884">
              <w:t xml:space="preserve"> </w:t>
            </w:r>
            <w:r w:rsidRPr="00DF1884">
              <w:t>productivity</w:t>
            </w:r>
            <w:r w:rsidR="00DF1884" w:rsidRPr="00DF1884">
              <w:t xml:space="preserve"> </w:t>
            </w:r>
            <w:r w:rsidRPr="00DF1884">
              <w:t>due</w:t>
            </w:r>
            <w:r w:rsidR="00DF1884" w:rsidRPr="00DF1884">
              <w:t xml:space="preserve"> </w:t>
            </w:r>
            <w:r w:rsidRPr="00DF1884">
              <w:t>to</w:t>
            </w:r>
            <w:r w:rsidR="00DF1884" w:rsidRPr="00DF1884">
              <w:t xml:space="preserve"> </w:t>
            </w:r>
            <w:r w:rsidRPr="00DF1884">
              <w:t>premature</w:t>
            </w:r>
            <w:r w:rsidR="00DF1884" w:rsidRPr="00DF1884">
              <w:t xml:space="preserve"> </w:t>
            </w:r>
            <w:r w:rsidRPr="00DF1884">
              <w:t>mortality.</w:t>
            </w:r>
            <w:r w:rsidR="00DF1884" w:rsidRPr="00DF1884">
              <w:t xml:space="preserve"> </w:t>
            </w:r>
            <w:r w:rsidRPr="00DF1884">
              <w:t>Research</w:t>
            </w:r>
            <w:r w:rsidR="00DF1884" w:rsidRPr="00DF1884">
              <w:t xml:space="preserve"> </w:t>
            </w:r>
            <w:r w:rsidRPr="00DF1884">
              <w:t>also</w:t>
            </w:r>
            <w:r w:rsidR="00DF1884" w:rsidRPr="00DF1884">
              <w:t xml:space="preserve"> </w:t>
            </w:r>
            <w:r w:rsidRPr="00DF1884">
              <w:t>shows</w:t>
            </w:r>
            <w:r w:rsidR="00DF1884" w:rsidRPr="00DF1884">
              <w:t xml:space="preserve"> </w:t>
            </w:r>
            <w:r w:rsidRPr="00DF1884">
              <w:t>that</w:t>
            </w:r>
            <w:r w:rsidR="00DF1884" w:rsidRPr="00DF1884">
              <w:t xml:space="preserve"> </w:t>
            </w:r>
            <w:r w:rsidRPr="00DF1884">
              <w:t>more</w:t>
            </w:r>
            <w:r w:rsidR="00DF1884" w:rsidRPr="00DF1884">
              <w:t xml:space="preserve"> </w:t>
            </w:r>
            <w:r w:rsidRPr="00DF1884">
              <w:t>than</w:t>
            </w:r>
            <w:r w:rsidR="00DF1884" w:rsidRPr="00DF1884">
              <w:t xml:space="preserve"> </w:t>
            </w:r>
            <w:r w:rsidRPr="00DF1884">
              <w:t>1</w:t>
            </w:r>
            <w:r w:rsidR="00DF1884" w:rsidRPr="00DF1884">
              <w:t xml:space="preserve"> </w:t>
            </w:r>
            <w:r w:rsidRPr="00DF1884">
              <w:t>in</w:t>
            </w:r>
            <w:r w:rsidR="00DF1884" w:rsidRPr="00DF1884">
              <w:t xml:space="preserve"> </w:t>
            </w:r>
            <w:r w:rsidRPr="00DF1884">
              <w:t>10</w:t>
            </w:r>
            <w:r w:rsidR="00DF1884" w:rsidRPr="00DF1884">
              <w:t xml:space="preserve"> </w:t>
            </w:r>
            <w:r w:rsidRPr="00DF1884">
              <w:t>dollars</w:t>
            </w:r>
            <w:r w:rsidR="00DF1884" w:rsidRPr="00DF1884">
              <w:t xml:space="preserve"> </w:t>
            </w:r>
            <w:r w:rsidRPr="00DF1884">
              <w:t>spent</w:t>
            </w:r>
            <w:r w:rsidR="00DF1884" w:rsidRPr="00DF1884">
              <w:t xml:space="preserve"> </w:t>
            </w:r>
            <w:r w:rsidRPr="00DF1884">
              <w:t>on</w:t>
            </w:r>
            <w:r w:rsidR="00DF1884" w:rsidRPr="00DF1884">
              <w:t xml:space="preserve"> </w:t>
            </w:r>
            <w:r w:rsidRPr="00DF1884">
              <w:t>health</w:t>
            </w:r>
            <w:r w:rsidR="00DF1884" w:rsidRPr="00DF1884">
              <w:t xml:space="preserve"> </w:t>
            </w:r>
            <w:r w:rsidRPr="00DF1884">
              <w:t>care</w:t>
            </w:r>
            <w:r w:rsidR="00DF1884" w:rsidRPr="00DF1884">
              <w:t xml:space="preserve"> </w:t>
            </w:r>
            <w:r w:rsidRPr="00DF1884">
              <w:t>in</w:t>
            </w:r>
            <w:r w:rsidR="00DF1884" w:rsidRPr="00DF1884">
              <w:t xml:space="preserve"> </w:t>
            </w:r>
            <w:r w:rsidRPr="00DF1884">
              <w:t>the</w:t>
            </w:r>
            <w:r w:rsidR="00DF1884" w:rsidRPr="00DF1884">
              <w:t xml:space="preserve"> </w:t>
            </w:r>
            <w:r w:rsidRPr="00DF1884">
              <w:t>United</w:t>
            </w:r>
            <w:r w:rsidR="00DF1884" w:rsidRPr="00DF1884">
              <w:t xml:space="preserve"> </w:t>
            </w:r>
            <w:r w:rsidRPr="00DF1884">
              <w:t>States</w:t>
            </w:r>
            <w:r w:rsidR="00DF1884" w:rsidRPr="00DF1884">
              <w:t xml:space="preserve"> </w:t>
            </w:r>
            <w:r w:rsidRPr="00DF1884">
              <w:t>are</w:t>
            </w:r>
            <w:r w:rsidR="00DF1884" w:rsidRPr="00DF1884">
              <w:t xml:space="preserve"> </w:t>
            </w:r>
            <w:r w:rsidRPr="00DF1884">
              <w:t>spent</w:t>
            </w:r>
            <w:r w:rsidR="00DF1884" w:rsidRPr="00DF1884">
              <w:t xml:space="preserve"> </w:t>
            </w:r>
            <w:r w:rsidRPr="00DF1884">
              <w:t>on</w:t>
            </w:r>
            <w:r w:rsidR="00DF1884" w:rsidRPr="00DF1884">
              <w:t xml:space="preserve"> </w:t>
            </w:r>
            <w:r w:rsidRPr="00DF1884">
              <w:t>the</w:t>
            </w:r>
            <w:r w:rsidR="00DF1884" w:rsidRPr="00DF1884">
              <w:t xml:space="preserve"> </w:t>
            </w:r>
            <w:r w:rsidRPr="00DF1884">
              <w:t>care</w:t>
            </w:r>
            <w:r w:rsidR="00DF1884" w:rsidRPr="00DF1884">
              <w:t xml:space="preserve"> </w:t>
            </w:r>
            <w:r w:rsidRPr="00DF1884">
              <w:t>of</w:t>
            </w:r>
            <w:r w:rsidR="00DF1884" w:rsidRPr="00DF1884">
              <w:t xml:space="preserve"> </w:t>
            </w:r>
            <w:r w:rsidRPr="00DF1884">
              <w:t>patients</w:t>
            </w:r>
            <w:r w:rsidR="00DF1884" w:rsidRPr="00DF1884">
              <w:t xml:space="preserve"> </w:t>
            </w:r>
            <w:r w:rsidRPr="00DF1884">
              <w:t>with</w:t>
            </w:r>
            <w:r w:rsidR="00DF1884" w:rsidRPr="00DF1884">
              <w:t xml:space="preserve"> </w:t>
            </w:r>
            <w:r w:rsidRPr="00DF1884">
              <w:t>diabetes</w:t>
            </w:r>
            <w:r w:rsidR="00DF1884" w:rsidRPr="00DF1884">
              <w:t xml:space="preserve"> </w:t>
            </w:r>
            <w:r w:rsidRPr="00DF1884">
              <w:t>and</w:t>
            </w:r>
            <w:r w:rsidR="00DF1884" w:rsidRPr="00DF1884">
              <w:t xml:space="preserve"> </w:t>
            </w:r>
            <w:r w:rsidRPr="00DF1884">
              <w:t>its</w:t>
            </w:r>
            <w:r w:rsidR="00DF1884" w:rsidRPr="00DF1884">
              <w:t xml:space="preserve"> </w:t>
            </w:r>
            <w:r w:rsidRPr="00DF1884">
              <w:t>complications.</w:t>
            </w:r>
            <w:r w:rsidR="00DF1884" w:rsidRPr="00DF1884">
              <w:t xml:space="preserve"> </w:t>
            </w:r>
            <w:r w:rsidRPr="00DF1884">
              <w:t>(ADA,</w:t>
            </w:r>
            <w:r w:rsidR="00DF1884" w:rsidRPr="00DF1884">
              <w:t xml:space="preserve"> </w:t>
            </w:r>
            <w:r w:rsidRPr="00DF1884">
              <w:t>2013)</w:t>
            </w:r>
          </w:p>
        </w:tc>
      </w:tr>
      <w:tr w:rsidR="00DF1884" w:rsidRPr="00DF1884" w14:paraId="05439C48" w14:textId="77777777" w:rsidTr="002E4322">
        <w:tc>
          <w:tcPr>
            <w:tcW w:w="1931" w:type="dxa"/>
            <w:tcMar>
              <w:left w:w="115" w:type="dxa"/>
              <w:right w:w="115" w:type="dxa"/>
            </w:tcMar>
          </w:tcPr>
          <w:p w14:paraId="79413BF6" w14:textId="414D7690" w:rsidR="005B5649" w:rsidRPr="00DF1884" w:rsidRDefault="005B5649" w:rsidP="005B5649">
            <w:pPr>
              <w:pStyle w:val="MarginSubhead"/>
            </w:pPr>
            <w:r w:rsidRPr="00DF1884">
              <w:t>Potential</w:t>
            </w:r>
            <w:r w:rsidR="00DF1884" w:rsidRPr="00DF1884">
              <w:t xml:space="preserve"> </w:t>
            </w:r>
            <w:r w:rsidRPr="00DF1884">
              <w:t>for</w:t>
            </w:r>
            <w:r w:rsidR="00DF1884" w:rsidRPr="00DF1884">
              <w:t xml:space="preserve"> </w:t>
            </w:r>
            <w:r w:rsidRPr="00DF1884">
              <w:t>improvement</w:t>
            </w:r>
          </w:p>
        </w:tc>
        <w:tc>
          <w:tcPr>
            <w:tcW w:w="8010" w:type="dxa"/>
            <w:tcMar>
              <w:left w:w="115" w:type="dxa"/>
              <w:right w:w="115" w:type="dxa"/>
            </w:tcMar>
          </w:tcPr>
          <w:p w14:paraId="44EE2D8C" w14:textId="7E9A108D" w:rsidR="005B5649" w:rsidRPr="00DF1884" w:rsidRDefault="005B5649" w:rsidP="002E4322">
            <w:pPr>
              <w:pStyle w:val="Body"/>
            </w:pPr>
            <w:r w:rsidRPr="00DF1884">
              <w:t>The</w:t>
            </w:r>
            <w:r w:rsidR="00DF1884" w:rsidRPr="00DF1884">
              <w:t xml:space="preserve"> </w:t>
            </w:r>
            <w:r w:rsidRPr="00DF1884">
              <w:t>ACC/AHA</w:t>
            </w:r>
            <w:r w:rsidR="00DF1884" w:rsidRPr="00DF1884">
              <w:t xml:space="preserve"> </w:t>
            </w:r>
            <w:r w:rsidRPr="00DF1884">
              <w:t>guidelines</w:t>
            </w:r>
            <w:r w:rsidR="00DF1884" w:rsidRPr="00DF1884">
              <w:t xml:space="preserve"> </w:t>
            </w:r>
            <w:r w:rsidRPr="00DF1884">
              <w:t>state,</w:t>
            </w:r>
            <w:r w:rsidR="00DF1884" w:rsidRPr="00DF1884">
              <w:t xml:space="preserve"> </w:t>
            </w:r>
            <w:r w:rsidRPr="00DF1884">
              <w:t>“adherence</w:t>
            </w:r>
            <w:r w:rsidR="00DF1884" w:rsidRPr="00DF1884">
              <w:t xml:space="preserve"> </w:t>
            </w:r>
            <w:r w:rsidRPr="00DF1884">
              <w:t>to</w:t>
            </w:r>
            <w:r w:rsidR="00DF1884" w:rsidRPr="00DF1884">
              <w:t xml:space="preserve"> </w:t>
            </w:r>
            <w:r w:rsidRPr="00DF1884">
              <w:t>both</w:t>
            </w:r>
            <w:r w:rsidR="00DF1884" w:rsidRPr="00DF1884">
              <w:t xml:space="preserve"> </w:t>
            </w:r>
            <w:r w:rsidRPr="00DF1884">
              <w:t>medication</w:t>
            </w:r>
            <w:r w:rsidR="00DF1884" w:rsidRPr="00DF1884">
              <w:t xml:space="preserve"> </w:t>
            </w:r>
            <w:r w:rsidRPr="00DF1884">
              <w:t>and</w:t>
            </w:r>
            <w:r w:rsidR="00DF1884" w:rsidRPr="00DF1884">
              <w:t xml:space="preserve"> </w:t>
            </w:r>
            <w:r w:rsidRPr="00DF1884">
              <w:t>lifestyle</w:t>
            </w:r>
            <w:r w:rsidR="00DF1884" w:rsidRPr="00DF1884">
              <w:t xml:space="preserve"> </w:t>
            </w:r>
            <w:r w:rsidRPr="00DF1884">
              <w:t>regimens</w:t>
            </w:r>
            <w:r w:rsidR="00DF1884" w:rsidRPr="00DF1884">
              <w:t xml:space="preserve"> </w:t>
            </w:r>
            <w:r w:rsidRPr="00DF1884">
              <w:t>are</w:t>
            </w:r>
            <w:r w:rsidR="00DF1884" w:rsidRPr="00DF1884">
              <w:t xml:space="preserve"> </w:t>
            </w:r>
            <w:r w:rsidRPr="00DF1884">
              <w:t>required</w:t>
            </w:r>
            <w:r w:rsidR="00DF1884" w:rsidRPr="00DF1884">
              <w:t xml:space="preserve"> </w:t>
            </w:r>
            <w:r w:rsidRPr="00DF1884">
              <w:t>for</w:t>
            </w:r>
            <w:r w:rsidR="00DF1884" w:rsidRPr="00DF1884">
              <w:t xml:space="preserve"> </w:t>
            </w:r>
            <w:r w:rsidRPr="00DF1884">
              <w:t>ASCVD</w:t>
            </w:r>
            <w:r w:rsidR="00DF1884" w:rsidRPr="00DF1884">
              <w:t xml:space="preserve"> </w:t>
            </w:r>
            <w:r w:rsidRPr="00DF1884">
              <w:t>risk</w:t>
            </w:r>
            <w:r w:rsidR="00DF1884" w:rsidRPr="00DF1884">
              <w:t xml:space="preserve"> </w:t>
            </w:r>
            <w:r w:rsidRPr="00DF1884">
              <w:t>reduction”</w:t>
            </w:r>
            <w:r w:rsidR="00DF1884" w:rsidRPr="00DF1884">
              <w:t xml:space="preserve"> </w:t>
            </w:r>
            <w:r w:rsidRPr="00DF1884">
              <w:t>(Stone</w:t>
            </w:r>
            <w:r w:rsidR="00DF1884" w:rsidRPr="00DF1884">
              <w:t xml:space="preserve"> </w:t>
            </w:r>
            <w:r w:rsidRPr="00DF1884">
              <w:t>et</w:t>
            </w:r>
            <w:r w:rsidR="00DF1884" w:rsidRPr="00DF1884">
              <w:t xml:space="preserve"> </w:t>
            </w:r>
            <w:r w:rsidRPr="00DF1884">
              <w:t>al.,</w:t>
            </w:r>
            <w:r w:rsidR="00DF1884" w:rsidRPr="00DF1884">
              <w:t xml:space="preserve"> </w:t>
            </w:r>
            <w:r w:rsidRPr="00DF1884">
              <w:t>2013).</w:t>
            </w:r>
            <w:r w:rsidR="00DF1884" w:rsidRPr="00DF1884">
              <w:t xml:space="preserve"> </w:t>
            </w:r>
            <w:r w:rsidRPr="00DF1884">
              <w:t>This</w:t>
            </w:r>
            <w:r w:rsidR="00DF1884" w:rsidRPr="00DF1884">
              <w:t xml:space="preserve"> </w:t>
            </w:r>
            <w:r w:rsidRPr="00DF1884">
              <w:t>measure</w:t>
            </w:r>
            <w:r w:rsidR="00DF1884" w:rsidRPr="00DF1884">
              <w:t xml:space="preserve"> </w:t>
            </w:r>
            <w:r w:rsidRPr="00DF1884">
              <w:t>uses</w:t>
            </w:r>
            <w:r w:rsidR="00DF1884" w:rsidRPr="00DF1884">
              <w:t xml:space="preserve"> </w:t>
            </w:r>
            <w:r w:rsidRPr="00DF1884">
              <w:t>the</w:t>
            </w:r>
            <w:r w:rsidR="00DF1884" w:rsidRPr="00DF1884">
              <w:t xml:space="preserve"> </w:t>
            </w:r>
            <w:r w:rsidRPr="00DF1884">
              <w:t>proportion</w:t>
            </w:r>
            <w:r w:rsidR="00DF1884" w:rsidRPr="00DF1884">
              <w:t xml:space="preserve"> </w:t>
            </w:r>
            <w:r w:rsidRPr="00DF1884">
              <w:t>of</w:t>
            </w:r>
            <w:r w:rsidR="00DF1884" w:rsidRPr="00DF1884">
              <w:t xml:space="preserve"> </w:t>
            </w:r>
            <w:r w:rsidRPr="00DF1884">
              <w:t>days</w:t>
            </w:r>
            <w:r w:rsidR="00DF1884" w:rsidRPr="00DF1884">
              <w:t xml:space="preserve"> </w:t>
            </w:r>
            <w:r w:rsidRPr="00DF1884">
              <w:t>covered</w:t>
            </w:r>
            <w:r w:rsidR="00DF1884" w:rsidRPr="00DF1884">
              <w:t xml:space="preserve"> </w:t>
            </w:r>
            <w:r w:rsidRPr="00DF1884">
              <w:t>(PDC)</w:t>
            </w:r>
            <w:r w:rsidR="00DF1884" w:rsidRPr="00DF1884">
              <w:t xml:space="preserve"> </w:t>
            </w:r>
            <w:r w:rsidRPr="00DF1884">
              <w:t>to</w:t>
            </w:r>
            <w:r w:rsidR="00DF1884" w:rsidRPr="00DF1884">
              <w:t xml:space="preserve"> </w:t>
            </w:r>
            <w:r w:rsidRPr="00DF1884">
              <w:t>assess</w:t>
            </w:r>
            <w:r w:rsidR="00DF1884" w:rsidRPr="00DF1884">
              <w:t xml:space="preserve"> </w:t>
            </w:r>
            <w:r w:rsidRPr="00DF1884">
              <w:t>adherence.</w:t>
            </w:r>
            <w:r w:rsidR="00DF1884" w:rsidRPr="00DF1884">
              <w:t xml:space="preserve"> </w:t>
            </w:r>
            <w:r w:rsidRPr="00DF1884">
              <w:t>According</w:t>
            </w:r>
            <w:r w:rsidR="00DF1884" w:rsidRPr="00DF1884">
              <w:t xml:space="preserve"> </w:t>
            </w:r>
            <w:r w:rsidRPr="00DF1884">
              <w:t>to</w:t>
            </w:r>
            <w:r w:rsidR="00DF1884" w:rsidRPr="00DF1884">
              <w:t xml:space="preserve"> </w:t>
            </w:r>
            <w:r w:rsidRPr="00DF1884">
              <w:t>the</w:t>
            </w:r>
            <w:r w:rsidR="00DF1884" w:rsidRPr="00DF1884">
              <w:t xml:space="preserve"> </w:t>
            </w:r>
            <w:r w:rsidRPr="00DF1884">
              <w:t>Pharmacy</w:t>
            </w:r>
            <w:r w:rsidR="00DF1884" w:rsidRPr="00DF1884">
              <w:t xml:space="preserve"> </w:t>
            </w:r>
            <w:r w:rsidRPr="00DF1884">
              <w:t>Quality</w:t>
            </w:r>
            <w:r w:rsidR="00DF1884" w:rsidRPr="00DF1884">
              <w:t xml:space="preserve"> </w:t>
            </w:r>
            <w:r w:rsidRPr="00DF1884">
              <w:t>Alliance,</w:t>
            </w:r>
            <w:r w:rsidR="00DF1884" w:rsidRPr="00DF1884">
              <w:t xml:space="preserve"> </w:t>
            </w:r>
            <w:r w:rsidRPr="00DF1884">
              <w:t>a</w:t>
            </w:r>
            <w:r w:rsidR="00DF1884" w:rsidRPr="00DF1884">
              <w:t xml:space="preserve"> </w:t>
            </w:r>
            <w:r w:rsidRPr="00DF1884">
              <w:t>PDC</w:t>
            </w:r>
            <w:r w:rsidR="00DF1884" w:rsidRPr="00DF1884">
              <w:t xml:space="preserve"> </w:t>
            </w:r>
            <w:r w:rsidRPr="00DF1884">
              <w:t>threshold</w:t>
            </w:r>
            <w:r w:rsidR="00DF1884" w:rsidRPr="00DF1884">
              <w:t xml:space="preserve"> </w:t>
            </w:r>
            <w:r w:rsidRPr="00DF1884">
              <w:t>of</w:t>
            </w:r>
            <w:r w:rsidR="00DF1884" w:rsidRPr="00DF1884">
              <w:t xml:space="preserve"> </w:t>
            </w:r>
            <w:r w:rsidRPr="00DF1884">
              <w:t>80</w:t>
            </w:r>
            <w:r w:rsidR="00DF1884" w:rsidRPr="00DF1884">
              <w:t xml:space="preserve"> </w:t>
            </w:r>
            <w:r w:rsidRPr="00DF1884">
              <w:t>percent</w:t>
            </w:r>
            <w:r w:rsidR="00DF1884" w:rsidRPr="00DF1884">
              <w:t xml:space="preserve"> </w:t>
            </w:r>
            <w:r w:rsidRPr="00DF1884">
              <w:t>is</w:t>
            </w:r>
            <w:r w:rsidR="00DF1884" w:rsidRPr="00DF1884">
              <w:t xml:space="preserve"> </w:t>
            </w:r>
            <w:r w:rsidRPr="00DF1884">
              <w:t>considered</w:t>
            </w:r>
            <w:r w:rsidR="00DF1884" w:rsidRPr="00DF1884">
              <w:t xml:space="preserve"> </w:t>
            </w:r>
            <w:r w:rsidRPr="00DF1884">
              <w:t>highly</w:t>
            </w:r>
            <w:r w:rsidR="00DF1884" w:rsidRPr="00DF1884">
              <w:t xml:space="preserve"> </w:t>
            </w:r>
            <w:r w:rsidRPr="00DF1884">
              <w:t>adherent</w:t>
            </w:r>
            <w:r w:rsidR="00DF1884" w:rsidRPr="00DF1884">
              <w:t xml:space="preserve"> </w:t>
            </w:r>
            <w:r w:rsidRPr="00DF1884">
              <w:t>for</w:t>
            </w:r>
            <w:r w:rsidR="00DF1884" w:rsidRPr="00DF1884">
              <w:t xml:space="preserve"> </w:t>
            </w:r>
            <w:r w:rsidRPr="00DF1884">
              <w:t>most</w:t>
            </w:r>
            <w:r w:rsidR="00DF1884" w:rsidRPr="00DF1884">
              <w:t xml:space="preserve"> </w:t>
            </w:r>
            <w:r w:rsidRPr="00DF1884">
              <w:t>classes</w:t>
            </w:r>
            <w:r w:rsidR="00DF1884" w:rsidRPr="00DF1884">
              <w:t xml:space="preserve"> </w:t>
            </w:r>
            <w:r w:rsidRPr="00DF1884">
              <w:t>of</w:t>
            </w:r>
            <w:r w:rsidR="00DF1884" w:rsidRPr="00DF1884">
              <w:t xml:space="preserve"> </w:t>
            </w:r>
            <w:r w:rsidRPr="00DF1884">
              <w:t>chronic</w:t>
            </w:r>
            <w:r w:rsidR="00DF1884" w:rsidRPr="00DF1884">
              <w:t xml:space="preserve"> </w:t>
            </w:r>
            <w:r w:rsidRPr="00DF1884">
              <w:t>medications</w:t>
            </w:r>
            <w:r w:rsidR="00DF1884" w:rsidRPr="00DF1884">
              <w:t xml:space="preserve"> </w:t>
            </w:r>
            <w:r w:rsidRPr="00DF1884">
              <w:t>(Nau,</w:t>
            </w:r>
            <w:r w:rsidR="00DF1884" w:rsidRPr="00DF1884">
              <w:t xml:space="preserve"> </w:t>
            </w:r>
            <w:r w:rsidRPr="00DF1884">
              <w:t>2012).</w:t>
            </w:r>
          </w:p>
          <w:p w14:paraId="00562E87" w14:textId="5C718AB7" w:rsidR="005B5649" w:rsidRPr="00DF1884" w:rsidRDefault="005B5649" w:rsidP="002E4322">
            <w:pPr>
              <w:pStyle w:val="Body"/>
            </w:pPr>
            <w:r w:rsidRPr="00DF1884">
              <w:t>The</w:t>
            </w:r>
            <w:r w:rsidR="00DF1884" w:rsidRPr="00DF1884">
              <w:t xml:space="preserve"> </w:t>
            </w:r>
            <w:r w:rsidRPr="00DF1884">
              <w:t>impact</w:t>
            </w:r>
            <w:r w:rsidR="00DF1884" w:rsidRPr="00DF1884">
              <w:t xml:space="preserve"> </w:t>
            </w:r>
            <w:r w:rsidRPr="00DF1884">
              <w:t>of</w:t>
            </w:r>
            <w:r w:rsidR="00DF1884" w:rsidRPr="00DF1884">
              <w:t xml:space="preserve"> </w:t>
            </w:r>
            <w:r w:rsidRPr="00DF1884">
              <w:t>adherence</w:t>
            </w:r>
            <w:r w:rsidR="00DF1884" w:rsidRPr="00DF1884">
              <w:t xml:space="preserve"> </w:t>
            </w:r>
            <w:r w:rsidRPr="00DF1884">
              <w:t>on</w:t>
            </w:r>
            <w:r w:rsidR="00DF1884" w:rsidRPr="00DF1884">
              <w:t xml:space="preserve"> </w:t>
            </w:r>
            <w:r w:rsidRPr="00DF1884">
              <w:t>statin</w:t>
            </w:r>
            <w:r w:rsidR="00DF1884" w:rsidRPr="00DF1884">
              <w:t xml:space="preserve"> </w:t>
            </w:r>
            <w:r w:rsidRPr="00DF1884">
              <w:t>efficacy</w:t>
            </w:r>
            <w:r w:rsidR="00DF1884" w:rsidRPr="00DF1884">
              <w:t xml:space="preserve"> </w:t>
            </w:r>
            <w:r w:rsidRPr="00DF1884">
              <w:t>has</w:t>
            </w:r>
            <w:r w:rsidR="00DF1884" w:rsidRPr="00DF1884">
              <w:t xml:space="preserve"> </w:t>
            </w:r>
            <w:r w:rsidRPr="00DF1884">
              <w:t>been</w:t>
            </w:r>
            <w:r w:rsidR="00DF1884" w:rsidRPr="00DF1884">
              <w:t xml:space="preserve"> </w:t>
            </w:r>
            <w:r w:rsidRPr="00DF1884">
              <w:t>shown:</w:t>
            </w:r>
            <w:r w:rsidR="00DF1884" w:rsidRPr="00DF1884">
              <w:t xml:space="preserve"> </w:t>
            </w:r>
            <w:r w:rsidRPr="00DF1884">
              <w:t>each</w:t>
            </w:r>
            <w:r w:rsidR="00DF1884" w:rsidRPr="00DF1884">
              <w:t xml:space="preserve"> </w:t>
            </w:r>
            <w:r w:rsidRPr="00DF1884">
              <w:t>25</w:t>
            </w:r>
            <w:r w:rsidR="00DF1884" w:rsidRPr="00DF1884">
              <w:t xml:space="preserve"> </w:t>
            </w:r>
            <w:r w:rsidRPr="00DF1884">
              <w:t>percent</w:t>
            </w:r>
            <w:r w:rsidR="00DF1884" w:rsidRPr="00DF1884">
              <w:t xml:space="preserve"> </w:t>
            </w:r>
            <w:r w:rsidRPr="00DF1884">
              <w:t>increase</w:t>
            </w:r>
            <w:r w:rsidR="00DF1884" w:rsidRPr="00DF1884">
              <w:t xml:space="preserve"> </w:t>
            </w:r>
            <w:r w:rsidRPr="00DF1884">
              <w:t>in</w:t>
            </w:r>
            <w:r w:rsidR="00DF1884" w:rsidRPr="00DF1884">
              <w:t xml:space="preserve"> </w:t>
            </w:r>
            <w:r w:rsidRPr="00DF1884">
              <w:t>statin</w:t>
            </w:r>
            <w:r w:rsidR="00DF1884" w:rsidRPr="00DF1884">
              <w:t xml:space="preserve"> </w:t>
            </w:r>
            <w:r w:rsidRPr="00DF1884">
              <w:t>adherence</w:t>
            </w:r>
            <w:r w:rsidR="00DF1884" w:rsidRPr="00DF1884">
              <w:t xml:space="preserve"> </w:t>
            </w:r>
            <w:r w:rsidRPr="00DF1884">
              <w:t>is</w:t>
            </w:r>
            <w:r w:rsidR="00DF1884" w:rsidRPr="00DF1884">
              <w:t xml:space="preserve"> </w:t>
            </w:r>
            <w:r w:rsidRPr="00DF1884">
              <w:t>associated</w:t>
            </w:r>
            <w:r w:rsidR="00DF1884" w:rsidRPr="00DF1884">
              <w:t xml:space="preserve"> </w:t>
            </w:r>
            <w:r w:rsidRPr="00DF1884">
              <w:t>with</w:t>
            </w:r>
            <w:r w:rsidR="00DF1884" w:rsidRPr="00DF1884">
              <w:t xml:space="preserve"> </w:t>
            </w:r>
            <w:r w:rsidRPr="00DF1884">
              <w:t>a</w:t>
            </w:r>
            <w:r w:rsidR="00DF1884" w:rsidRPr="00DF1884">
              <w:t xml:space="preserve"> </w:t>
            </w:r>
            <w:r w:rsidRPr="00DF1884">
              <w:t>~3.8</w:t>
            </w:r>
            <w:r w:rsidR="00DF1884" w:rsidRPr="00DF1884">
              <w:t xml:space="preserve"> </w:t>
            </w:r>
            <w:r w:rsidRPr="00DF1884">
              <w:t>mg/dL</w:t>
            </w:r>
            <w:r w:rsidR="00DF1884" w:rsidRPr="00DF1884">
              <w:t xml:space="preserve"> </w:t>
            </w:r>
            <w:r w:rsidRPr="00DF1884">
              <w:t>reduction</w:t>
            </w:r>
            <w:r w:rsidR="00DF1884" w:rsidRPr="00DF1884">
              <w:t xml:space="preserve"> </w:t>
            </w:r>
            <w:r w:rsidRPr="00DF1884">
              <w:t>in</w:t>
            </w:r>
            <w:r w:rsidR="00DF1884" w:rsidRPr="00DF1884">
              <w:t xml:space="preserve"> </w:t>
            </w:r>
            <w:r w:rsidRPr="00DF1884">
              <w:t>low-density</w:t>
            </w:r>
            <w:r w:rsidR="00DF1884" w:rsidRPr="00DF1884">
              <w:t xml:space="preserve"> </w:t>
            </w:r>
            <w:r w:rsidRPr="00DF1884">
              <w:t>lipoprotein</w:t>
            </w:r>
            <w:r w:rsidR="00DF1884" w:rsidRPr="00DF1884">
              <w:t xml:space="preserve"> </w:t>
            </w:r>
            <w:r w:rsidRPr="00DF1884">
              <w:t>cholesterol</w:t>
            </w:r>
            <w:r w:rsidR="00DF1884" w:rsidRPr="00DF1884">
              <w:t xml:space="preserve"> </w:t>
            </w:r>
            <w:r w:rsidRPr="00DF1884">
              <w:t>(Ho,</w:t>
            </w:r>
            <w:r w:rsidR="00DF1884" w:rsidRPr="00DF1884">
              <w:t xml:space="preserve"> </w:t>
            </w:r>
            <w:r w:rsidRPr="00DF1884">
              <w:t>2009).</w:t>
            </w:r>
            <w:r w:rsidR="00DF1884" w:rsidRPr="00DF1884">
              <w:t xml:space="preserve"> </w:t>
            </w:r>
            <w:r w:rsidRPr="00DF1884">
              <w:t>Nonadherence</w:t>
            </w:r>
            <w:r w:rsidR="00DF1884" w:rsidRPr="00DF1884">
              <w:t xml:space="preserve"> </w:t>
            </w:r>
            <w:r w:rsidRPr="00DF1884">
              <w:t>to</w:t>
            </w:r>
            <w:r w:rsidR="00DF1884" w:rsidRPr="00DF1884">
              <w:t xml:space="preserve"> </w:t>
            </w:r>
            <w:r w:rsidRPr="00DF1884">
              <w:t>statin</w:t>
            </w:r>
            <w:r w:rsidR="00DF1884" w:rsidRPr="00DF1884">
              <w:t xml:space="preserve"> </w:t>
            </w:r>
            <w:r w:rsidRPr="00DF1884">
              <w:t>therapy</w:t>
            </w:r>
            <w:r w:rsidR="00DF1884" w:rsidRPr="00DF1884">
              <w:t xml:space="preserve"> </w:t>
            </w:r>
            <w:r w:rsidRPr="00DF1884">
              <w:t>can</w:t>
            </w:r>
            <w:r w:rsidR="00DF1884" w:rsidRPr="00DF1884">
              <w:t xml:space="preserve"> </w:t>
            </w:r>
            <w:r w:rsidRPr="00DF1884">
              <w:t>result</w:t>
            </w:r>
            <w:r w:rsidR="00DF1884" w:rsidRPr="00DF1884">
              <w:t xml:space="preserve"> </w:t>
            </w:r>
            <w:r w:rsidRPr="00DF1884">
              <w:t>in</w:t>
            </w:r>
            <w:r w:rsidR="00DF1884" w:rsidRPr="00DF1884">
              <w:t xml:space="preserve"> </w:t>
            </w:r>
            <w:r w:rsidRPr="00DF1884">
              <w:t>an</w:t>
            </w:r>
            <w:r w:rsidR="00DF1884" w:rsidRPr="00DF1884">
              <w:t xml:space="preserve"> </w:t>
            </w:r>
            <w:r w:rsidRPr="00DF1884">
              <w:t>increased</w:t>
            </w:r>
            <w:r w:rsidR="00DF1884" w:rsidRPr="00DF1884">
              <w:t xml:space="preserve"> </w:t>
            </w:r>
            <w:r w:rsidRPr="00DF1884">
              <w:t>risk</w:t>
            </w:r>
            <w:r w:rsidR="00DF1884" w:rsidRPr="00DF1884">
              <w:t xml:space="preserve"> </w:t>
            </w:r>
            <w:r w:rsidRPr="00DF1884">
              <w:t>for</w:t>
            </w:r>
            <w:r w:rsidR="00DF1884" w:rsidRPr="00DF1884">
              <w:t xml:space="preserve"> </w:t>
            </w:r>
            <w:r w:rsidRPr="00DF1884">
              <w:t>morbidity</w:t>
            </w:r>
            <w:r w:rsidR="00DF1884" w:rsidRPr="00DF1884">
              <w:t xml:space="preserve"> </w:t>
            </w:r>
            <w:r w:rsidRPr="00DF1884">
              <w:t>and</w:t>
            </w:r>
            <w:r w:rsidR="00DF1884" w:rsidRPr="00DF1884">
              <w:t xml:space="preserve"> </w:t>
            </w:r>
            <w:r w:rsidRPr="00DF1884">
              <w:t>mortality.</w:t>
            </w:r>
            <w:r w:rsidR="00DF1884" w:rsidRPr="00DF1884">
              <w:t xml:space="preserve"> </w:t>
            </w:r>
            <w:r w:rsidRPr="00DF1884">
              <w:t>One</w:t>
            </w:r>
            <w:r w:rsidR="00DF1884" w:rsidRPr="00DF1884">
              <w:t xml:space="preserve"> </w:t>
            </w:r>
            <w:r w:rsidRPr="00DF1884">
              <w:t>study</w:t>
            </w:r>
            <w:r w:rsidR="00DF1884" w:rsidRPr="00DF1884">
              <w:t xml:space="preserve"> </w:t>
            </w:r>
            <w:r w:rsidRPr="00DF1884">
              <w:t>found</w:t>
            </w:r>
            <w:r w:rsidR="00DF1884" w:rsidRPr="00DF1884">
              <w:t xml:space="preserve"> </w:t>
            </w:r>
            <w:r w:rsidRPr="00DF1884">
              <w:t>a</w:t>
            </w:r>
            <w:r w:rsidR="00DF1884" w:rsidRPr="00DF1884">
              <w:t xml:space="preserve"> </w:t>
            </w:r>
            <w:r w:rsidRPr="00DF1884">
              <w:t>12</w:t>
            </w:r>
            <w:r w:rsidR="00DF1884" w:rsidRPr="00DF1884">
              <w:t xml:space="preserve"> </w:t>
            </w:r>
            <w:r w:rsidRPr="00DF1884">
              <w:t>percent–25</w:t>
            </w:r>
            <w:r w:rsidR="00DF1884" w:rsidRPr="00DF1884">
              <w:t xml:space="preserve"> </w:t>
            </w:r>
            <w:r w:rsidRPr="00DF1884">
              <w:t>percent</w:t>
            </w:r>
            <w:r w:rsidR="00DF1884" w:rsidRPr="00DF1884">
              <w:t xml:space="preserve"> </w:t>
            </w:r>
            <w:r w:rsidRPr="00DF1884">
              <w:t>increase</w:t>
            </w:r>
            <w:r w:rsidR="00DF1884" w:rsidRPr="00DF1884">
              <w:t xml:space="preserve"> </w:t>
            </w:r>
            <w:r w:rsidRPr="00DF1884">
              <w:t>in</w:t>
            </w:r>
            <w:r w:rsidR="00DF1884" w:rsidRPr="00DF1884">
              <w:t xml:space="preserve"> </w:t>
            </w:r>
            <w:r w:rsidRPr="00DF1884">
              <w:t>the</w:t>
            </w:r>
            <w:r w:rsidR="00DF1884" w:rsidRPr="00DF1884">
              <w:t xml:space="preserve"> </w:t>
            </w:r>
            <w:r w:rsidRPr="00DF1884">
              <w:t>risk</w:t>
            </w:r>
            <w:r w:rsidR="00DF1884" w:rsidRPr="00DF1884">
              <w:t xml:space="preserve"> </w:t>
            </w:r>
            <w:r w:rsidRPr="00DF1884">
              <w:t>for</w:t>
            </w:r>
            <w:r w:rsidR="00DF1884" w:rsidRPr="00DF1884">
              <w:t xml:space="preserve"> </w:t>
            </w:r>
            <w:r w:rsidRPr="00DF1884">
              <w:t>mortality</w:t>
            </w:r>
            <w:r w:rsidR="00DF1884" w:rsidRPr="00DF1884">
              <w:t xml:space="preserve"> </w:t>
            </w:r>
            <w:r w:rsidRPr="00DF1884">
              <w:t>with</w:t>
            </w:r>
            <w:r w:rsidR="00DF1884" w:rsidRPr="00DF1884">
              <w:t xml:space="preserve"> </w:t>
            </w:r>
            <w:r w:rsidRPr="00DF1884">
              <w:t>non-adherence</w:t>
            </w:r>
            <w:r w:rsidR="00DF1884" w:rsidRPr="00DF1884">
              <w:t xml:space="preserve"> </w:t>
            </w:r>
            <w:r w:rsidRPr="00DF1884">
              <w:t>to</w:t>
            </w:r>
            <w:r w:rsidR="00DF1884" w:rsidRPr="00DF1884">
              <w:t xml:space="preserve"> </w:t>
            </w:r>
            <w:r w:rsidRPr="00DF1884">
              <w:t>statins</w:t>
            </w:r>
            <w:r w:rsidR="00DF1884" w:rsidRPr="00DF1884">
              <w:t xml:space="preserve"> </w:t>
            </w:r>
            <w:r w:rsidRPr="00DF1884">
              <w:t>after</w:t>
            </w:r>
            <w:r w:rsidR="00DF1884" w:rsidRPr="00DF1884">
              <w:t xml:space="preserve"> </w:t>
            </w:r>
            <w:r w:rsidRPr="00DF1884">
              <w:t>an</w:t>
            </w:r>
            <w:r w:rsidR="00DF1884" w:rsidRPr="00DF1884">
              <w:t xml:space="preserve"> </w:t>
            </w:r>
            <w:r w:rsidRPr="00DF1884">
              <w:t>acute</w:t>
            </w:r>
            <w:r w:rsidR="00DF1884" w:rsidRPr="00DF1884">
              <w:t xml:space="preserve"> </w:t>
            </w:r>
            <w:r w:rsidRPr="00DF1884">
              <w:t>myocardial</w:t>
            </w:r>
            <w:r w:rsidR="00DF1884" w:rsidRPr="00DF1884">
              <w:t xml:space="preserve"> </w:t>
            </w:r>
            <w:r w:rsidRPr="00DF1884">
              <w:t>infarction</w:t>
            </w:r>
            <w:r w:rsidR="00DF1884" w:rsidRPr="00DF1884">
              <w:t xml:space="preserve"> </w:t>
            </w:r>
            <w:r w:rsidRPr="00DF1884">
              <w:t>(Rasmussen,</w:t>
            </w:r>
            <w:r w:rsidR="00DF1884" w:rsidRPr="00DF1884">
              <w:t xml:space="preserve"> </w:t>
            </w:r>
            <w:r w:rsidRPr="00DF1884">
              <w:t>2007).</w:t>
            </w:r>
          </w:p>
        </w:tc>
      </w:tr>
    </w:tbl>
    <w:p w14:paraId="0DCF2238" w14:textId="55E00D04" w:rsidR="005B5649" w:rsidRPr="00DF1884" w:rsidRDefault="005B5649" w:rsidP="005B5649">
      <w:pPr>
        <w:pStyle w:val="StdHead"/>
      </w:pPr>
      <w:r w:rsidRPr="00DF1884">
        <w:t>Scientific</w:t>
      </w:r>
      <w:r w:rsidR="00DF1884" w:rsidRPr="00DF1884">
        <w:t xml:space="preserve"> </w:t>
      </w:r>
      <w:r w:rsidRPr="00DF1884">
        <w:t>Soundness</w:t>
      </w:r>
    </w:p>
    <w:tbl>
      <w:tblPr>
        <w:tblW w:w="0" w:type="auto"/>
        <w:tblInd w:w="-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1956"/>
        <w:gridCol w:w="7985"/>
      </w:tblGrid>
      <w:tr w:rsidR="005B5649" w:rsidRPr="00DF1884" w14:paraId="35E4A0E4" w14:textId="77777777" w:rsidTr="005B5649">
        <w:tc>
          <w:tcPr>
            <w:tcW w:w="1956" w:type="dxa"/>
            <w:tcBorders>
              <w:top w:val="nil"/>
              <w:left w:val="nil"/>
              <w:bottom w:val="nil"/>
              <w:right w:val="nil"/>
            </w:tcBorders>
            <w:tcMar>
              <w:left w:w="115" w:type="dxa"/>
              <w:right w:w="115" w:type="dxa"/>
            </w:tcMar>
          </w:tcPr>
          <w:p w14:paraId="5E6078B3" w14:textId="27906AC3" w:rsidR="005B5649" w:rsidRPr="00DF1884" w:rsidRDefault="005B5649" w:rsidP="005B5649">
            <w:pPr>
              <w:pStyle w:val="MarginSubhead"/>
            </w:pPr>
            <w:r w:rsidRPr="00DF1884">
              <w:t>Clinical</w:t>
            </w:r>
            <w:r w:rsidR="00DF1884" w:rsidRPr="00DF1884">
              <w:t xml:space="preserve"> </w:t>
            </w:r>
            <w:r w:rsidRPr="00DF1884">
              <w:t>importance</w:t>
            </w:r>
            <w:r w:rsidR="00DF1884" w:rsidRPr="00DF1884">
              <w:t xml:space="preserve"> </w:t>
            </w:r>
            <w:r w:rsidRPr="00DF1884">
              <w:br/>
              <w:t>and</w:t>
            </w:r>
            <w:r w:rsidR="00DF1884" w:rsidRPr="00DF1884">
              <w:t xml:space="preserve"> </w:t>
            </w:r>
            <w:r w:rsidRPr="00DF1884">
              <w:t>evidence</w:t>
            </w:r>
          </w:p>
        </w:tc>
        <w:tc>
          <w:tcPr>
            <w:tcW w:w="7985" w:type="dxa"/>
            <w:tcBorders>
              <w:top w:val="nil"/>
              <w:left w:val="nil"/>
              <w:bottom w:val="nil"/>
              <w:right w:val="nil"/>
            </w:tcBorders>
            <w:tcMar>
              <w:left w:w="115" w:type="dxa"/>
              <w:right w:w="115" w:type="dxa"/>
            </w:tcMar>
          </w:tcPr>
          <w:p w14:paraId="36034115" w14:textId="77777777" w:rsidR="005B5649" w:rsidRPr="00DF1884" w:rsidRDefault="005B5649" w:rsidP="005B5649">
            <w:pPr>
              <w:pStyle w:val="Body"/>
              <w:rPr>
                <w:b/>
                <w:bCs/>
                <w:i/>
              </w:rPr>
            </w:pPr>
          </w:p>
        </w:tc>
      </w:tr>
      <w:tr w:rsidR="005B5649" w:rsidRPr="00DF1884" w14:paraId="2CFDF784" w14:textId="77777777" w:rsidTr="005B5649">
        <w:tc>
          <w:tcPr>
            <w:tcW w:w="1956" w:type="dxa"/>
            <w:tcBorders>
              <w:top w:val="nil"/>
              <w:left w:val="nil"/>
              <w:bottom w:val="nil"/>
              <w:right w:val="nil"/>
            </w:tcBorders>
            <w:tcMar>
              <w:left w:w="115" w:type="dxa"/>
              <w:right w:w="115" w:type="dxa"/>
            </w:tcMar>
          </w:tcPr>
          <w:p w14:paraId="1EFD11A3" w14:textId="789918BB" w:rsidR="005B5649" w:rsidRPr="00DF1884" w:rsidRDefault="005B5649" w:rsidP="005B5649">
            <w:pPr>
              <w:pStyle w:val="MarginSubhead"/>
              <w:ind w:left="0"/>
              <w:jc w:val="right"/>
              <w:rPr>
                <w:i/>
                <w:highlight w:val="yellow"/>
              </w:rPr>
            </w:pPr>
            <w:r w:rsidRPr="00DF1884">
              <w:rPr>
                <w:i/>
              </w:rPr>
              <w:t>Guideline</w:t>
            </w:r>
            <w:r w:rsidR="00DF1884" w:rsidRPr="00DF1884">
              <w:rPr>
                <w:i/>
              </w:rPr>
              <w:t xml:space="preserve"> </w:t>
            </w:r>
            <w:r w:rsidRPr="00DF1884">
              <w:rPr>
                <w:i/>
              </w:rPr>
              <w:t>recommendations</w:t>
            </w:r>
          </w:p>
        </w:tc>
        <w:tc>
          <w:tcPr>
            <w:tcW w:w="7985" w:type="dxa"/>
            <w:tcBorders>
              <w:top w:val="nil"/>
              <w:left w:val="nil"/>
              <w:bottom w:val="nil"/>
              <w:right w:val="nil"/>
            </w:tcBorders>
            <w:tcMar>
              <w:left w:w="115" w:type="dxa"/>
              <w:right w:w="115" w:type="dxa"/>
            </w:tcMar>
          </w:tcPr>
          <w:p w14:paraId="6D9A66A4" w14:textId="24991DB1" w:rsidR="005B5649" w:rsidRPr="00DF1884" w:rsidRDefault="005B5649" w:rsidP="005B5649">
            <w:pPr>
              <w:pStyle w:val="Body"/>
            </w:pPr>
            <w:r w:rsidRPr="00DF1884">
              <w:rPr>
                <w:b/>
              </w:rPr>
              <w:t>ACA/AHA.</w:t>
            </w:r>
            <w:r w:rsidR="00DF1884" w:rsidRPr="00DF1884">
              <w:t xml:space="preserve"> </w:t>
            </w:r>
            <w:r w:rsidRPr="00DF1884">
              <w:t>For</w:t>
            </w:r>
            <w:r w:rsidR="00DF1884" w:rsidRPr="00DF1884">
              <w:t xml:space="preserve"> </w:t>
            </w:r>
            <w:r w:rsidRPr="00DF1884">
              <w:t>men</w:t>
            </w:r>
            <w:r w:rsidR="00DF1884" w:rsidRPr="00DF1884">
              <w:t xml:space="preserve"> </w:t>
            </w:r>
            <w:r w:rsidRPr="00DF1884">
              <w:t>and</w:t>
            </w:r>
            <w:r w:rsidR="00DF1884" w:rsidRPr="00DF1884">
              <w:t xml:space="preserve"> </w:t>
            </w:r>
            <w:r w:rsidRPr="00DF1884">
              <w:t>women</w:t>
            </w:r>
            <w:r w:rsidR="00DF1884" w:rsidRPr="00DF1884">
              <w:t xml:space="preserve"> </w:t>
            </w:r>
            <w:r w:rsidRPr="00DF1884">
              <w:t>40</w:t>
            </w:r>
            <w:r w:rsidR="002E4322" w:rsidRPr="00DF1884">
              <w:t>–</w:t>
            </w:r>
            <w:r w:rsidRPr="00DF1884">
              <w:t>75</w:t>
            </w:r>
            <w:r w:rsidR="00DF1884" w:rsidRPr="00DF1884">
              <w:t xml:space="preserve"> </w:t>
            </w:r>
            <w:r w:rsidRPr="00DF1884">
              <w:t>years</w:t>
            </w:r>
            <w:r w:rsidR="00DF1884" w:rsidRPr="00DF1884">
              <w:t xml:space="preserve"> </w:t>
            </w:r>
            <w:r w:rsidRPr="00DF1884">
              <w:t>of</w:t>
            </w:r>
            <w:r w:rsidR="00DF1884" w:rsidRPr="00DF1884">
              <w:t xml:space="preserve"> </w:t>
            </w:r>
            <w:r w:rsidRPr="00DF1884">
              <w:t>age</w:t>
            </w:r>
            <w:r w:rsidR="00DF1884" w:rsidRPr="00DF1884">
              <w:t xml:space="preserve"> </w:t>
            </w:r>
            <w:r w:rsidRPr="00DF1884">
              <w:t>with</w:t>
            </w:r>
            <w:r w:rsidR="00DF1884" w:rsidRPr="00DF1884">
              <w:t xml:space="preserve"> </w:t>
            </w:r>
            <w:r w:rsidRPr="00DF1884">
              <w:t>a</w:t>
            </w:r>
            <w:r w:rsidR="00DF1884" w:rsidRPr="00DF1884">
              <w:t xml:space="preserve"> </w:t>
            </w:r>
            <w:r w:rsidRPr="00DF1884">
              <w:t>diagnosis</w:t>
            </w:r>
            <w:r w:rsidR="00DF1884" w:rsidRPr="00DF1884">
              <w:t xml:space="preserve"> </w:t>
            </w:r>
            <w:r w:rsidRPr="00DF1884">
              <w:t>of</w:t>
            </w:r>
            <w:r w:rsidR="00DF1884" w:rsidRPr="00DF1884">
              <w:t xml:space="preserve"> </w:t>
            </w:r>
            <w:r w:rsidRPr="00DF1884">
              <w:t>diabetes,</w:t>
            </w:r>
            <w:r w:rsidR="00DF1884" w:rsidRPr="00DF1884">
              <w:t xml:space="preserve"> </w:t>
            </w:r>
            <w:r w:rsidRPr="00DF1884">
              <w:t>moderate-intensity</w:t>
            </w:r>
            <w:r w:rsidR="00DF1884" w:rsidRPr="00DF1884">
              <w:t xml:space="preserve"> </w:t>
            </w:r>
            <w:r w:rsidRPr="00DF1884">
              <w:t>statin</w:t>
            </w:r>
            <w:r w:rsidR="00DF1884" w:rsidRPr="00DF1884">
              <w:t xml:space="preserve"> </w:t>
            </w:r>
            <w:r w:rsidRPr="00DF1884">
              <w:t>therapy</w:t>
            </w:r>
            <w:r w:rsidR="00DF1884" w:rsidRPr="00DF1884">
              <w:t xml:space="preserve"> </w:t>
            </w:r>
            <w:r w:rsidRPr="00DF1884">
              <w:t>is</w:t>
            </w:r>
            <w:r w:rsidR="00DF1884" w:rsidRPr="00DF1884">
              <w:t xml:space="preserve"> </w:t>
            </w:r>
            <w:r w:rsidRPr="00DF1884">
              <w:t>recommended.</w:t>
            </w:r>
            <w:r w:rsidR="00DF1884" w:rsidRPr="00DF1884">
              <w:t xml:space="preserve"> </w:t>
            </w:r>
            <w:r w:rsidRPr="00DF1884">
              <w:t>For</w:t>
            </w:r>
            <w:r w:rsidR="00DF1884" w:rsidRPr="00DF1884">
              <w:t xml:space="preserve"> </w:t>
            </w:r>
            <w:r w:rsidRPr="00DF1884">
              <w:t>men</w:t>
            </w:r>
            <w:r w:rsidR="00DF1884" w:rsidRPr="00DF1884">
              <w:t xml:space="preserve"> </w:t>
            </w:r>
            <w:r w:rsidRPr="00DF1884">
              <w:t>and</w:t>
            </w:r>
            <w:r w:rsidR="00DF1884" w:rsidRPr="00DF1884">
              <w:t xml:space="preserve"> </w:t>
            </w:r>
            <w:r w:rsidRPr="00DF1884">
              <w:t>women</w:t>
            </w:r>
            <w:r w:rsidR="00DF1884" w:rsidRPr="00DF1884">
              <w:t xml:space="preserve"> </w:t>
            </w:r>
            <w:r w:rsidRPr="00DF1884">
              <w:t>age</w:t>
            </w:r>
            <w:r w:rsidR="00DF1884" w:rsidRPr="00DF1884">
              <w:t xml:space="preserve"> </w:t>
            </w:r>
            <w:r w:rsidRPr="00DF1884">
              <w:t>40</w:t>
            </w:r>
            <w:r w:rsidR="002E4322" w:rsidRPr="00DF1884">
              <w:t>–</w:t>
            </w:r>
            <w:r w:rsidRPr="00DF1884">
              <w:t>75</w:t>
            </w:r>
            <w:r w:rsidR="00DF1884" w:rsidRPr="00DF1884">
              <w:t xml:space="preserve"> </w:t>
            </w:r>
            <w:r w:rsidRPr="00DF1884">
              <w:t>years</w:t>
            </w:r>
            <w:r w:rsidR="00DF1884" w:rsidRPr="00DF1884">
              <w:t xml:space="preserve"> </w:t>
            </w:r>
            <w:r w:rsidRPr="00DF1884">
              <w:t>of</w:t>
            </w:r>
            <w:r w:rsidR="00DF1884" w:rsidRPr="00DF1884">
              <w:t xml:space="preserve"> </w:t>
            </w:r>
            <w:r w:rsidRPr="00DF1884">
              <w:t>age</w:t>
            </w:r>
            <w:r w:rsidR="00DF1884" w:rsidRPr="00DF1884">
              <w:t xml:space="preserve"> </w:t>
            </w:r>
            <w:r w:rsidRPr="00DF1884">
              <w:t>with</w:t>
            </w:r>
            <w:r w:rsidR="00DF1884" w:rsidRPr="00DF1884">
              <w:t xml:space="preserve"> </w:t>
            </w:r>
            <w:r w:rsidRPr="00DF1884">
              <w:t>diabetes</w:t>
            </w:r>
            <w:r w:rsidR="00DF1884" w:rsidRPr="00DF1884">
              <w:t xml:space="preserve"> </w:t>
            </w:r>
            <w:r w:rsidRPr="00DF1884">
              <w:t>and</w:t>
            </w:r>
            <w:r w:rsidR="00DF1884" w:rsidRPr="00DF1884">
              <w:t xml:space="preserve"> </w:t>
            </w:r>
            <w:r w:rsidRPr="00DF1884">
              <w:t>an</w:t>
            </w:r>
            <w:r w:rsidR="00DF1884" w:rsidRPr="00DF1884">
              <w:t xml:space="preserve"> </w:t>
            </w:r>
            <w:r w:rsidRPr="00DF1884">
              <w:t>estimated</w:t>
            </w:r>
            <w:r w:rsidR="00DF1884" w:rsidRPr="00DF1884">
              <w:t xml:space="preserve"> </w:t>
            </w:r>
            <w:r w:rsidRPr="00DF1884">
              <w:t>10-year</w:t>
            </w:r>
            <w:r w:rsidR="00DF1884" w:rsidRPr="00DF1884">
              <w:t xml:space="preserve"> </w:t>
            </w:r>
            <w:r w:rsidRPr="00DF1884">
              <w:t>ASCVD</w:t>
            </w:r>
            <w:r w:rsidR="00DF1884" w:rsidRPr="00DF1884">
              <w:t xml:space="preserve"> </w:t>
            </w:r>
            <w:r w:rsidRPr="00DF1884">
              <w:t>risk,</w:t>
            </w:r>
            <w:r w:rsidR="00DF1884" w:rsidRPr="00DF1884">
              <w:t xml:space="preserve"> </w:t>
            </w:r>
            <w:r w:rsidRPr="00DF1884">
              <w:t>high-intensity</w:t>
            </w:r>
            <w:r w:rsidR="00DF1884" w:rsidRPr="00DF1884">
              <w:t xml:space="preserve"> </w:t>
            </w:r>
            <w:r w:rsidRPr="00DF1884">
              <w:t>statin</w:t>
            </w:r>
            <w:r w:rsidR="00DF1884" w:rsidRPr="00DF1884">
              <w:t xml:space="preserve"> </w:t>
            </w:r>
            <w:r w:rsidRPr="00DF1884">
              <w:t>therapy</w:t>
            </w:r>
            <w:r w:rsidR="00DF1884" w:rsidRPr="00DF1884">
              <w:t xml:space="preserve"> </w:t>
            </w:r>
            <w:r w:rsidRPr="00DF1884">
              <w:t>should</w:t>
            </w:r>
            <w:r w:rsidR="00DF1884" w:rsidRPr="00DF1884">
              <w:t xml:space="preserve"> </w:t>
            </w:r>
            <w:r w:rsidRPr="00DF1884">
              <w:t>be</w:t>
            </w:r>
            <w:r w:rsidR="00DF1884" w:rsidRPr="00DF1884">
              <w:t xml:space="preserve"> </w:t>
            </w:r>
            <w:r w:rsidRPr="00DF1884">
              <w:t>used</w:t>
            </w:r>
            <w:r w:rsidR="00DF1884" w:rsidRPr="00DF1884">
              <w:t xml:space="preserve"> </w:t>
            </w:r>
            <w:r w:rsidRPr="00DF1884">
              <w:t>unless</w:t>
            </w:r>
            <w:r w:rsidR="00DF1884" w:rsidRPr="00DF1884">
              <w:t xml:space="preserve"> </w:t>
            </w:r>
            <w:r w:rsidRPr="00DF1884">
              <w:t>contraindicated.</w:t>
            </w:r>
            <w:r w:rsidR="00DF1884" w:rsidRPr="00DF1884">
              <w:t xml:space="preserve"> </w:t>
            </w:r>
            <w:r w:rsidRPr="00DF1884">
              <w:t>For</w:t>
            </w:r>
            <w:r w:rsidR="00DF1884" w:rsidRPr="00DF1884">
              <w:t xml:space="preserve"> </w:t>
            </w:r>
            <w:r w:rsidRPr="00DF1884">
              <w:t>men</w:t>
            </w:r>
            <w:r w:rsidR="00DF1884" w:rsidRPr="00DF1884">
              <w:t xml:space="preserve"> </w:t>
            </w:r>
            <w:r w:rsidRPr="00DF1884">
              <w:t>and</w:t>
            </w:r>
            <w:r w:rsidR="00DF1884" w:rsidRPr="00DF1884">
              <w:t xml:space="preserve"> </w:t>
            </w:r>
            <w:r w:rsidRPr="00DF1884">
              <w:t>women</w:t>
            </w:r>
            <w:r w:rsidR="00DF1884" w:rsidRPr="00DF1884">
              <w:t xml:space="preserve"> </w:t>
            </w:r>
            <w:r w:rsidRPr="00DF1884">
              <w:t>under</w:t>
            </w:r>
            <w:r w:rsidR="00DF1884" w:rsidRPr="00DF1884">
              <w:t xml:space="preserve"> </w:t>
            </w:r>
            <w:r w:rsidRPr="00DF1884">
              <w:t>40</w:t>
            </w:r>
            <w:r w:rsidR="00DF1884" w:rsidRPr="00DF1884">
              <w:t xml:space="preserve"> </w:t>
            </w:r>
            <w:r w:rsidRPr="00DF1884">
              <w:t>years</w:t>
            </w:r>
            <w:r w:rsidR="00DF1884" w:rsidRPr="00DF1884">
              <w:t xml:space="preserve"> </w:t>
            </w:r>
            <w:r w:rsidRPr="00DF1884">
              <w:t>of</w:t>
            </w:r>
            <w:r w:rsidR="00DF1884" w:rsidRPr="00DF1884">
              <w:t xml:space="preserve"> </w:t>
            </w:r>
            <w:r w:rsidRPr="00DF1884">
              <w:t>age</w:t>
            </w:r>
            <w:r w:rsidR="00DF1884" w:rsidRPr="00DF1884">
              <w:t xml:space="preserve"> </w:t>
            </w:r>
            <w:r w:rsidRPr="00DF1884">
              <w:t>or</w:t>
            </w:r>
            <w:r w:rsidR="00DF1884" w:rsidRPr="00DF1884">
              <w:t xml:space="preserve"> </w:t>
            </w:r>
            <w:r w:rsidRPr="00DF1884">
              <w:t>over</w:t>
            </w:r>
            <w:r w:rsidR="00DF1884" w:rsidRPr="00DF1884">
              <w:t xml:space="preserve"> </w:t>
            </w:r>
            <w:r w:rsidRPr="00DF1884">
              <w:t>75</w:t>
            </w:r>
            <w:r w:rsidR="00DF1884" w:rsidRPr="00DF1884">
              <w:t xml:space="preserve"> </w:t>
            </w:r>
            <w:r w:rsidRPr="00DF1884">
              <w:t>years</w:t>
            </w:r>
            <w:r w:rsidR="00DF1884" w:rsidRPr="00DF1884">
              <w:t xml:space="preserve"> </w:t>
            </w:r>
            <w:r w:rsidRPr="00DF1884">
              <w:t>of</w:t>
            </w:r>
            <w:r w:rsidR="00DF1884" w:rsidRPr="00DF1884">
              <w:t xml:space="preserve"> </w:t>
            </w:r>
            <w:r w:rsidRPr="00DF1884">
              <w:t>age</w:t>
            </w:r>
            <w:r w:rsidR="00DF1884" w:rsidRPr="00DF1884">
              <w:t xml:space="preserve"> </w:t>
            </w:r>
            <w:r w:rsidRPr="00DF1884">
              <w:t>with</w:t>
            </w:r>
            <w:r w:rsidR="00DF1884" w:rsidRPr="00DF1884">
              <w:t xml:space="preserve"> </w:t>
            </w:r>
            <w:r w:rsidRPr="00DF1884">
              <w:t>a</w:t>
            </w:r>
            <w:r w:rsidR="00DF1884" w:rsidRPr="00DF1884">
              <w:t xml:space="preserve"> </w:t>
            </w:r>
            <w:r w:rsidRPr="00DF1884">
              <w:t>diagnosis</w:t>
            </w:r>
            <w:r w:rsidR="00DF1884" w:rsidRPr="00DF1884">
              <w:t xml:space="preserve"> </w:t>
            </w:r>
            <w:r w:rsidRPr="00DF1884">
              <w:t>of</w:t>
            </w:r>
            <w:r w:rsidR="00DF1884" w:rsidRPr="00DF1884">
              <w:t xml:space="preserve"> </w:t>
            </w:r>
            <w:r w:rsidRPr="00DF1884">
              <w:t>diabetes,</w:t>
            </w:r>
            <w:r w:rsidR="00DF1884" w:rsidRPr="00DF1884">
              <w:t xml:space="preserve"> </w:t>
            </w:r>
            <w:r w:rsidRPr="00DF1884">
              <w:t>it</w:t>
            </w:r>
            <w:r w:rsidR="00DF1884" w:rsidRPr="00DF1884">
              <w:t xml:space="preserve"> </w:t>
            </w:r>
            <w:r w:rsidRPr="00DF1884">
              <w:t>is</w:t>
            </w:r>
            <w:r w:rsidR="00DF1884" w:rsidRPr="00DF1884">
              <w:t xml:space="preserve"> </w:t>
            </w:r>
            <w:r w:rsidRPr="00DF1884">
              <w:t>reasonable</w:t>
            </w:r>
            <w:r w:rsidR="00DF1884" w:rsidRPr="00DF1884">
              <w:t xml:space="preserve"> </w:t>
            </w:r>
            <w:r w:rsidRPr="00DF1884">
              <w:t>to</w:t>
            </w:r>
            <w:r w:rsidR="00DF1884" w:rsidRPr="00DF1884">
              <w:t xml:space="preserve"> </w:t>
            </w:r>
            <w:r w:rsidRPr="00DF1884">
              <w:t>initiate</w:t>
            </w:r>
            <w:r w:rsidR="00DF1884" w:rsidRPr="00DF1884">
              <w:t xml:space="preserve"> </w:t>
            </w:r>
            <w:r w:rsidRPr="00DF1884">
              <w:t>or</w:t>
            </w:r>
            <w:r w:rsidR="00DF1884" w:rsidRPr="00DF1884">
              <w:t xml:space="preserve"> </w:t>
            </w:r>
            <w:r w:rsidRPr="00DF1884">
              <w:t>continue</w:t>
            </w:r>
            <w:r w:rsidR="00DF1884" w:rsidRPr="00DF1884">
              <w:t xml:space="preserve"> </w:t>
            </w:r>
            <w:r w:rsidRPr="00DF1884">
              <w:t>statin</w:t>
            </w:r>
            <w:r w:rsidR="00DF1884" w:rsidRPr="00DF1884">
              <w:t xml:space="preserve"> </w:t>
            </w:r>
            <w:r w:rsidRPr="00DF1884">
              <w:t>therapy</w:t>
            </w:r>
            <w:r w:rsidR="00DF1884" w:rsidRPr="00DF1884">
              <w:t xml:space="preserve"> </w:t>
            </w:r>
            <w:r w:rsidRPr="00DF1884">
              <w:t>for</w:t>
            </w:r>
            <w:r w:rsidR="00DF1884" w:rsidRPr="00DF1884">
              <w:t xml:space="preserve"> </w:t>
            </w:r>
            <w:r w:rsidRPr="00DF1884">
              <w:t>those</w:t>
            </w:r>
            <w:r w:rsidR="00DF1884" w:rsidRPr="00DF1884">
              <w:t xml:space="preserve"> </w:t>
            </w:r>
            <w:r w:rsidRPr="00DF1884">
              <w:t>who</w:t>
            </w:r>
            <w:r w:rsidR="00DF1884" w:rsidRPr="00DF1884">
              <w:t xml:space="preserve"> </w:t>
            </w:r>
            <w:r w:rsidRPr="00DF1884">
              <w:t>are</w:t>
            </w:r>
            <w:r w:rsidR="00DF1884" w:rsidRPr="00DF1884">
              <w:t xml:space="preserve"> </w:t>
            </w:r>
            <w:r w:rsidRPr="00DF1884">
              <w:t>tolerating</w:t>
            </w:r>
            <w:r w:rsidR="00DF1884" w:rsidRPr="00DF1884">
              <w:t xml:space="preserve"> </w:t>
            </w:r>
            <w:r w:rsidRPr="00DF1884">
              <w:t>it,</w:t>
            </w:r>
            <w:r w:rsidR="00DF1884" w:rsidRPr="00DF1884">
              <w:t xml:space="preserve"> </w:t>
            </w:r>
            <w:r w:rsidRPr="00DF1884">
              <w:t>provided</w:t>
            </w:r>
            <w:r w:rsidR="00DF1884" w:rsidRPr="00DF1884">
              <w:t xml:space="preserve"> </w:t>
            </w:r>
            <w:r w:rsidRPr="00DF1884">
              <w:t>that</w:t>
            </w:r>
            <w:r w:rsidR="00DF1884" w:rsidRPr="00DF1884">
              <w:t xml:space="preserve"> </w:t>
            </w:r>
            <w:r w:rsidRPr="00DF1884">
              <w:t>benefits,</w:t>
            </w:r>
            <w:r w:rsidR="00DF1884" w:rsidRPr="00DF1884">
              <w:t xml:space="preserve"> </w:t>
            </w:r>
            <w:r w:rsidRPr="00DF1884">
              <w:t>potential</w:t>
            </w:r>
            <w:r w:rsidR="00DF1884" w:rsidRPr="00DF1884">
              <w:t xml:space="preserve"> </w:t>
            </w:r>
            <w:r w:rsidRPr="00DF1884">
              <w:t>risks,</w:t>
            </w:r>
            <w:r w:rsidR="00DF1884" w:rsidRPr="00DF1884">
              <w:t xml:space="preserve"> </w:t>
            </w:r>
            <w:r w:rsidRPr="00DF1884">
              <w:t>drug</w:t>
            </w:r>
            <w:r w:rsidR="00DF1884" w:rsidRPr="00DF1884">
              <w:t xml:space="preserve"> </w:t>
            </w:r>
            <w:r w:rsidRPr="00DF1884">
              <w:t>interactions</w:t>
            </w:r>
            <w:r w:rsidR="00DF1884" w:rsidRPr="00DF1884">
              <w:t xml:space="preserve"> </w:t>
            </w:r>
            <w:r w:rsidRPr="00DF1884">
              <w:t>and</w:t>
            </w:r>
            <w:r w:rsidR="00DF1884" w:rsidRPr="00DF1884">
              <w:t xml:space="preserve"> </w:t>
            </w:r>
            <w:r w:rsidRPr="00DF1884">
              <w:t>patient</w:t>
            </w:r>
            <w:r w:rsidR="00DF1884" w:rsidRPr="00DF1884">
              <w:t xml:space="preserve"> </w:t>
            </w:r>
            <w:r w:rsidRPr="00DF1884">
              <w:t>preferences</w:t>
            </w:r>
            <w:r w:rsidR="00DF1884" w:rsidRPr="00DF1884">
              <w:t xml:space="preserve"> </w:t>
            </w:r>
            <w:r w:rsidRPr="00DF1884">
              <w:t>are</w:t>
            </w:r>
            <w:r w:rsidR="00DF1884" w:rsidRPr="00DF1884">
              <w:t xml:space="preserve"> </w:t>
            </w:r>
            <w:r w:rsidRPr="00DF1884">
              <w:t>taken</w:t>
            </w:r>
            <w:r w:rsidR="00DF1884" w:rsidRPr="00DF1884">
              <w:t xml:space="preserve"> </w:t>
            </w:r>
            <w:r w:rsidRPr="00DF1884">
              <w:t>into</w:t>
            </w:r>
            <w:r w:rsidR="00DF1884" w:rsidRPr="00DF1884">
              <w:t xml:space="preserve"> </w:t>
            </w:r>
            <w:r w:rsidRPr="00DF1884">
              <w:t>consideration.</w:t>
            </w:r>
          </w:p>
          <w:p w14:paraId="576085E8" w14:textId="555D962F" w:rsidR="005B5649" w:rsidRPr="00DF1884" w:rsidRDefault="005B5649" w:rsidP="00567436">
            <w:pPr>
              <w:pStyle w:val="Body"/>
              <w:rPr>
                <w:highlight w:val="yellow"/>
              </w:rPr>
            </w:pPr>
            <w:r w:rsidRPr="00DF1884">
              <w:rPr>
                <w:b/>
              </w:rPr>
              <w:t>ADA.</w:t>
            </w:r>
            <w:r w:rsidR="00DF1884" w:rsidRPr="00DF1884">
              <w:t xml:space="preserve"> </w:t>
            </w:r>
            <w:r w:rsidRPr="00DF1884">
              <w:t>For</w:t>
            </w:r>
            <w:r w:rsidR="00DF1884" w:rsidRPr="00DF1884">
              <w:t xml:space="preserve"> </w:t>
            </w:r>
            <w:r w:rsidRPr="00DF1884">
              <w:t>men</w:t>
            </w:r>
            <w:r w:rsidR="00DF1884" w:rsidRPr="00DF1884">
              <w:t xml:space="preserve"> </w:t>
            </w:r>
            <w:r w:rsidRPr="00DF1884">
              <w:t>and</w:t>
            </w:r>
            <w:r w:rsidR="00DF1884" w:rsidRPr="00DF1884">
              <w:t xml:space="preserve"> </w:t>
            </w:r>
            <w:r w:rsidRPr="00DF1884">
              <w:t>women</w:t>
            </w:r>
            <w:r w:rsidR="00DF1884" w:rsidRPr="00DF1884">
              <w:t xml:space="preserve"> </w:t>
            </w:r>
            <w:r w:rsidR="00567436">
              <w:t>40-75 years of age</w:t>
            </w:r>
            <w:r w:rsidR="00DF1884" w:rsidRPr="00DF1884">
              <w:t xml:space="preserve"> </w:t>
            </w:r>
            <w:r w:rsidRPr="00DF1884">
              <w:t>with</w:t>
            </w:r>
            <w:r w:rsidR="00DF1884" w:rsidRPr="00DF1884">
              <w:t xml:space="preserve"> </w:t>
            </w:r>
            <w:r w:rsidRPr="00DF1884">
              <w:t>a</w:t>
            </w:r>
            <w:r w:rsidR="00DF1884" w:rsidRPr="00DF1884">
              <w:t xml:space="preserve"> </w:t>
            </w:r>
            <w:r w:rsidRPr="00DF1884">
              <w:t>diagnosis</w:t>
            </w:r>
            <w:r w:rsidR="00DF1884" w:rsidRPr="00DF1884">
              <w:t xml:space="preserve"> </w:t>
            </w:r>
            <w:r w:rsidRPr="00DF1884">
              <w:t>of</w:t>
            </w:r>
            <w:r w:rsidR="00DF1884" w:rsidRPr="00DF1884">
              <w:t xml:space="preserve"> </w:t>
            </w:r>
            <w:r w:rsidRPr="00DF1884">
              <w:t>diabetes</w:t>
            </w:r>
            <w:r w:rsidR="00DF1884" w:rsidRPr="00DF1884">
              <w:t xml:space="preserve"> </w:t>
            </w:r>
            <w:r w:rsidRPr="00DF1884">
              <w:t>but</w:t>
            </w:r>
            <w:r w:rsidR="00DF1884" w:rsidRPr="00DF1884">
              <w:t xml:space="preserve"> </w:t>
            </w:r>
            <w:r w:rsidRPr="00DF1884">
              <w:t>without</w:t>
            </w:r>
            <w:r w:rsidR="00DF1884" w:rsidRPr="00DF1884">
              <w:t xml:space="preserve"> </w:t>
            </w:r>
            <w:r w:rsidRPr="00DF1884">
              <w:t>any</w:t>
            </w:r>
            <w:r w:rsidR="00DF1884" w:rsidRPr="00DF1884">
              <w:t xml:space="preserve"> </w:t>
            </w:r>
            <w:r w:rsidRPr="00DF1884">
              <w:t>CVD</w:t>
            </w:r>
            <w:r w:rsidR="00DF1884" w:rsidRPr="00DF1884">
              <w:t xml:space="preserve"> </w:t>
            </w:r>
            <w:r w:rsidRPr="00DF1884">
              <w:t>risk</w:t>
            </w:r>
            <w:r w:rsidR="00DF1884" w:rsidRPr="00DF1884">
              <w:t xml:space="preserve"> </w:t>
            </w:r>
            <w:r w:rsidRPr="00DF1884">
              <w:t>factors,</w:t>
            </w:r>
            <w:r w:rsidR="00DF1884" w:rsidRPr="00DF1884">
              <w:t xml:space="preserve"> </w:t>
            </w:r>
            <w:r w:rsidR="00567436">
              <w:t>consider using moderate-intensity stain and lifestyle therapy.</w:t>
            </w:r>
            <w:r w:rsidR="00161803">
              <w:t xml:space="preserve"> </w:t>
            </w:r>
            <w:r w:rsidRPr="00DF1884">
              <w:t>For</w:t>
            </w:r>
            <w:r w:rsidR="00DF1884" w:rsidRPr="00DF1884">
              <w:t xml:space="preserve"> </w:t>
            </w:r>
            <w:r w:rsidRPr="00DF1884">
              <w:t>men</w:t>
            </w:r>
            <w:r w:rsidR="00DF1884" w:rsidRPr="00DF1884">
              <w:t xml:space="preserve"> </w:t>
            </w:r>
            <w:r w:rsidRPr="00DF1884">
              <w:t>and</w:t>
            </w:r>
            <w:r w:rsidR="00DF1884" w:rsidRPr="00DF1884">
              <w:t xml:space="preserve"> </w:t>
            </w:r>
            <w:r w:rsidRPr="00DF1884">
              <w:t>women</w:t>
            </w:r>
            <w:r w:rsidR="00DF1884" w:rsidRPr="00DF1884">
              <w:t xml:space="preserve"> </w:t>
            </w:r>
            <w:r w:rsidRPr="00DF1884">
              <w:t>of</w:t>
            </w:r>
            <w:r w:rsidR="00DF1884" w:rsidRPr="00DF1884">
              <w:t xml:space="preserve"> </w:t>
            </w:r>
            <w:r w:rsidRPr="00DF1884">
              <w:t>all</w:t>
            </w:r>
            <w:r w:rsidR="00DF1884" w:rsidRPr="00DF1884">
              <w:t xml:space="preserve"> </w:t>
            </w:r>
            <w:r w:rsidRPr="00DF1884">
              <w:t>ages</w:t>
            </w:r>
            <w:r w:rsidR="00DF1884" w:rsidRPr="00DF1884">
              <w:t xml:space="preserve"> </w:t>
            </w:r>
            <w:r w:rsidRPr="00DF1884">
              <w:t>with</w:t>
            </w:r>
            <w:r w:rsidR="00DF1884" w:rsidRPr="00DF1884">
              <w:t xml:space="preserve"> </w:t>
            </w:r>
            <w:r w:rsidRPr="00DF1884">
              <w:t>a</w:t>
            </w:r>
            <w:r w:rsidR="00DF1884" w:rsidRPr="00DF1884">
              <w:t xml:space="preserve"> </w:t>
            </w:r>
            <w:r w:rsidRPr="00DF1884">
              <w:t>diagnosis</w:t>
            </w:r>
            <w:r w:rsidR="00DF1884" w:rsidRPr="00DF1884">
              <w:t xml:space="preserve"> </w:t>
            </w:r>
            <w:r w:rsidRPr="00DF1884">
              <w:t>of</w:t>
            </w:r>
            <w:r w:rsidR="00DF1884" w:rsidRPr="00DF1884">
              <w:t xml:space="preserve"> </w:t>
            </w:r>
            <w:r w:rsidRPr="00DF1884">
              <w:t>diabetes</w:t>
            </w:r>
            <w:r w:rsidR="00DF1884" w:rsidRPr="00DF1884">
              <w:t xml:space="preserve"> </w:t>
            </w:r>
            <w:r w:rsidRPr="00DF1884">
              <w:t>and</w:t>
            </w:r>
            <w:r w:rsidR="00DF1884" w:rsidRPr="00DF1884">
              <w:t xml:space="preserve"> </w:t>
            </w:r>
            <w:r w:rsidRPr="00DF1884">
              <w:t>CVD</w:t>
            </w:r>
            <w:r w:rsidR="00DF1884" w:rsidRPr="00DF1884">
              <w:t xml:space="preserve"> </w:t>
            </w:r>
            <w:r w:rsidRPr="00DF1884">
              <w:t>risk</w:t>
            </w:r>
            <w:r w:rsidR="00DF1884" w:rsidRPr="00DF1884">
              <w:t xml:space="preserve"> </w:t>
            </w:r>
            <w:r w:rsidRPr="00DF1884">
              <w:t>factors,</w:t>
            </w:r>
            <w:r w:rsidR="00DF1884" w:rsidRPr="00DF1884">
              <w:t xml:space="preserve"> </w:t>
            </w:r>
            <w:r w:rsidRPr="00DF1884">
              <w:t>moderate</w:t>
            </w:r>
            <w:r w:rsidR="00DF1884" w:rsidRPr="00DF1884">
              <w:t xml:space="preserve"> </w:t>
            </w:r>
            <w:r w:rsidRPr="00DF1884">
              <w:t>or</w:t>
            </w:r>
            <w:r w:rsidR="00DF1884" w:rsidRPr="00DF1884">
              <w:t xml:space="preserve"> </w:t>
            </w:r>
            <w:r w:rsidRPr="00DF1884">
              <w:t>high-intensity</w:t>
            </w:r>
            <w:r w:rsidR="00DF1884" w:rsidRPr="00DF1884">
              <w:t xml:space="preserve"> </w:t>
            </w:r>
            <w:r w:rsidRPr="00DF1884">
              <w:t>statin</w:t>
            </w:r>
            <w:r w:rsidR="00DF1884" w:rsidRPr="00DF1884">
              <w:t xml:space="preserve"> </w:t>
            </w:r>
            <w:r w:rsidRPr="00DF1884">
              <w:t>therapy</w:t>
            </w:r>
            <w:r w:rsidR="00DF1884" w:rsidRPr="00DF1884">
              <w:t xml:space="preserve"> </w:t>
            </w:r>
            <w:r w:rsidRPr="00DF1884">
              <w:t>is</w:t>
            </w:r>
            <w:r w:rsidR="00DF1884" w:rsidRPr="00DF1884">
              <w:t xml:space="preserve"> </w:t>
            </w:r>
            <w:r w:rsidRPr="00DF1884">
              <w:t>recommended.</w:t>
            </w:r>
            <w:r w:rsidR="00DF1884" w:rsidRPr="00DF1884">
              <w:t xml:space="preserve"> </w:t>
            </w:r>
          </w:p>
        </w:tc>
      </w:tr>
      <w:tr w:rsidR="005B5649" w:rsidRPr="00DF1884" w14:paraId="15E335EB" w14:textId="77777777" w:rsidTr="005B5649">
        <w:tc>
          <w:tcPr>
            <w:tcW w:w="1956" w:type="dxa"/>
            <w:tcBorders>
              <w:top w:val="nil"/>
              <w:left w:val="nil"/>
              <w:bottom w:val="nil"/>
              <w:right w:val="nil"/>
            </w:tcBorders>
            <w:tcMar>
              <w:left w:w="115" w:type="dxa"/>
              <w:right w:w="115" w:type="dxa"/>
            </w:tcMar>
          </w:tcPr>
          <w:p w14:paraId="260D3B73" w14:textId="77777777" w:rsidR="005B5649" w:rsidRPr="00DF1884" w:rsidRDefault="005B5649" w:rsidP="005B5649">
            <w:pPr>
              <w:pStyle w:val="MarginSubhead"/>
            </w:pPr>
            <w:r w:rsidRPr="00DF1884">
              <w:t>Validity</w:t>
            </w:r>
          </w:p>
        </w:tc>
        <w:tc>
          <w:tcPr>
            <w:tcW w:w="7985" w:type="dxa"/>
            <w:tcBorders>
              <w:top w:val="nil"/>
              <w:left w:val="nil"/>
              <w:bottom w:val="nil"/>
              <w:right w:val="nil"/>
            </w:tcBorders>
            <w:tcMar>
              <w:left w:w="115" w:type="dxa"/>
              <w:right w:w="115" w:type="dxa"/>
            </w:tcMar>
          </w:tcPr>
          <w:p w14:paraId="64AE82F7" w14:textId="7CE09479" w:rsidR="005B5649" w:rsidRPr="00DF1884" w:rsidRDefault="005B5649" w:rsidP="005B5649">
            <w:pPr>
              <w:pStyle w:val="Body"/>
            </w:pPr>
            <w:r w:rsidRPr="00DF1884">
              <w:t>This</w:t>
            </w:r>
            <w:r w:rsidR="00DF1884" w:rsidRPr="00DF1884">
              <w:t xml:space="preserve"> </w:t>
            </w:r>
            <w:r w:rsidRPr="00DF1884">
              <w:t>measure</w:t>
            </w:r>
            <w:r w:rsidR="00DF1884" w:rsidRPr="00DF1884">
              <w:t xml:space="preserve"> </w:t>
            </w:r>
            <w:r w:rsidRPr="00DF1884">
              <w:t>has</w:t>
            </w:r>
            <w:r w:rsidR="00DF1884" w:rsidRPr="00DF1884">
              <w:t xml:space="preserve"> </w:t>
            </w:r>
            <w:r w:rsidRPr="00DF1884">
              <w:t>detailed,</w:t>
            </w:r>
            <w:r w:rsidR="00DF1884" w:rsidRPr="00DF1884">
              <w:t xml:space="preserve"> </w:t>
            </w:r>
            <w:r w:rsidRPr="00DF1884">
              <w:t>precise</w:t>
            </w:r>
            <w:r w:rsidR="00DF1884" w:rsidRPr="00DF1884">
              <w:t xml:space="preserve"> </w:t>
            </w:r>
            <w:r w:rsidRPr="00DF1884">
              <w:t>specifications</w:t>
            </w:r>
            <w:r w:rsidR="00DF1884" w:rsidRPr="00DF1884">
              <w:t xml:space="preserve"> </w:t>
            </w:r>
            <w:r w:rsidRPr="00DF1884">
              <w:t>that</w:t>
            </w:r>
            <w:r w:rsidR="00DF1884" w:rsidRPr="00DF1884">
              <w:t xml:space="preserve"> </w:t>
            </w:r>
            <w:r w:rsidRPr="00DF1884">
              <w:t>clearly</w:t>
            </w:r>
            <w:r w:rsidR="00DF1884" w:rsidRPr="00DF1884">
              <w:t xml:space="preserve"> </w:t>
            </w:r>
            <w:r w:rsidRPr="00DF1884">
              <w:t>define</w:t>
            </w:r>
            <w:r w:rsidR="00DF1884" w:rsidRPr="00DF1884">
              <w:t xml:space="preserve"> </w:t>
            </w:r>
            <w:r w:rsidRPr="00DF1884">
              <w:t>the</w:t>
            </w:r>
            <w:r w:rsidR="00DF1884" w:rsidRPr="00DF1884">
              <w:t xml:space="preserve"> </w:t>
            </w:r>
            <w:r w:rsidRPr="00DF1884">
              <w:t>numerator,</w:t>
            </w:r>
            <w:r w:rsidR="00DF1884" w:rsidRPr="00DF1884">
              <w:t xml:space="preserve"> </w:t>
            </w:r>
            <w:r w:rsidRPr="00DF1884">
              <w:t>denominator,</w:t>
            </w:r>
            <w:r w:rsidR="00DF1884" w:rsidRPr="00DF1884">
              <w:t xml:space="preserve"> </w:t>
            </w:r>
            <w:r w:rsidRPr="00DF1884">
              <w:t>data</w:t>
            </w:r>
            <w:r w:rsidR="00DF1884" w:rsidRPr="00DF1884">
              <w:t xml:space="preserve"> </w:t>
            </w:r>
            <w:r w:rsidRPr="00DF1884">
              <w:t>sources,</w:t>
            </w:r>
            <w:r w:rsidR="00DF1884" w:rsidRPr="00DF1884">
              <w:t xml:space="preserve"> </w:t>
            </w:r>
            <w:r w:rsidRPr="00DF1884">
              <w:t>allowable</w:t>
            </w:r>
            <w:r w:rsidR="00DF1884" w:rsidRPr="00DF1884">
              <w:t xml:space="preserve"> </w:t>
            </w:r>
            <w:r w:rsidRPr="00DF1884">
              <w:t>values,</w:t>
            </w:r>
            <w:r w:rsidR="00DF1884" w:rsidRPr="00DF1884">
              <w:t xml:space="preserve"> </w:t>
            </w:r>
            <w:r w:rsidRPr="00DF1884">
              <w:t>methods</w:t>
            </w:r>
            <w:r w:rsidR="00DF1884" w:rsidRPr="00DF1884">
              <w:t xml:space="preserve"> </w:t>
            </w:r>
            <w:r w:rsidRPr="00DF1884">
              <w:t>of</w:t>
            </w:r>
            <w:r w:rsidR="00DF1884" w:rsidRPr="00DF1884">
              <w:t xml:space="preserve"> </w:t>
            </w:r>
            <w:r w:rsidRPr="00DF1884">
              <w:t>measurement</w:t>
            </w:r>
            <w:r w:rsidR="00DF1884" w:rsidRPr="00DF1884">
              <w:t xml:space="preserve"> </w:t>
            </w:r>
            <w:r w:rsidRPr="00DF1884">
              <w:t>and</w:t>
            </w:r>
            <w:r w:rsidR="00DF1884" w:rsidRPr="00DF1884">
              <w:t xml:space="preserve"> </w:t>
            </w:r>
            <w:r w:rsidRPr="00DF1884">
              <w:t>method</w:t>
            </w:r>
            <w:r w:rsidR="00DF1884" w:rsidRPr="00DF1884">
              <w:t xml:space="preserve"> </w:t>
            </w:r>
            <w:r w:rsidRPr="00DF1884">
              <w:t>of</w:t>
            </w:r>
            <w:r w:rsidR="00DF1884" w:rsidRPr="00DF1884">
              <w:t xml:space="preserve"> </w:t>
            </w:r>
            <w:r w:rsidRPr="00DF1884">
              <w:t>reporting.</w:t>
            </w:r>
          </w:p>
        </w:tc>
      </w:tr>
    </w:tbl>
    <w:p w14:paraId="48983955" w14:textId="77777777" w:rsidR="005B5649" w:rsidRPr="00DF1884" w:rsidRDefault="005B5649" w:rsidP="005B5649">
      <w:pPr>
        <w:pStyle w:val="StdHead"/>
      </w:pPr>
      <w:r w:rsidRPr="00DF1884">
        <w:lastRenderedPageBreak/>
        <w:t>Feasibility</w:t>
      </w:r>
    </w:p>
    <w:tbl>
      <w:tblPr>
        <w:tblW w:w="9990" w:type="dxa"/>
        <w:tblInd w:w="-9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1710"/>
        <w:gridCol w:w="8280"/>
      </w:tblGrid>
      <w:tr w:rsidR="00DF1884" w:rsidRPr="00DF1884" w14:paraId="44EB0356" w14:textId="77777777" w:rsidTr="002E4322">
        <w:tc>
          <w:tcPr>
            <w:tcW w:w="1710" w:type="dxa"/>
            <w:tcBorders>
              <w:top w:val="nil"/>
              <w:left w:val="nil"/>
              <w:bottom w:val="nil"/>
              <w:right w:val="nil"/>
            </w:tcBorders>
            <w:tcMar>
              <w:left w:w="115" w:type="dxa"/>
              <w:right w:w="115" w:type="dxa"/>
            </w:tcMar>
          </w:tcPr>
          <w:p w14:paraId="12DC5E3A" w14:textId="56A54BA4" w:rsidR="005B5649" w:rsidRPr="00DF1884" w:rsidRDefault="005B5649" w:rsidP="005B5649">
            <w:pPr>
              <w:pStyle w:val="MarginSubhead"/>
            </w:pPr>
            <w:r w:rsidRPr="00DF1884">
              <w:t>Logistically</w:t>
            </w:r>
            <w:r w:rsidR="00DF1884" w:rsidRPr="00DF1884">
              <w:t xml:space="preserve"> </w:t>
            </w:r>
            <w:r w:rsidRPr="00DF1884">
              <w:t>feasible</w:t>
            </w:r>
          </w:p>
        </w:tc>
        <w:tc>
          <w:tcPr>
            <w:tcW w:w="8280" w:type="dxa"/>
            <w:tcBorders>
              <w:top w:val="nil"/>
              <w:left w:val="nil"/>
              <w:bottom w:val="nil"/>
              <w:right w:val="nil"/>
            </w:tcBorders>
            <w:tcMar>
              <w:left w:w="115" w:type="dxa"/>
              <w:right w:w="115" w:type="dxa"/>
            </w:tcMar>
          </w:tcPr>
          <w:p w14:paraId="2B17A393" w14:textId="0DC0282E" w:rsidR="005B5649" w:rsidRPr="00DF1884" w:rsidRDefault="005B5649" w:rsidP="005B5649">
            <w:pPr>
              <w:pStyle w:val="Body"/>
            </w:pPr>
            <w:r w:rsidRPr="00DF1884">
              <w:t>Feedback</w:t>
            </w:r>
            <w:r w:rsidR="00DF1884" w:rsidRPr="00DF1884">
              <w:t xml:space="preserve"> </w:t>
            </w:r>
            <w:r w:rsidRPr="00DF1884">
              <w:t>from</w:t>
            </w:r>
            <w:r w:rsidR="00DF1884" w:rsidRPr="00DF1884">
              <w:t xml:space="preserve"> </w:t>
            </w:r>
            <w:r w:rsidRPr="00DF1884">
              <w:t>plans</w:t>
            </w:r>
            <w:r w:rsidR="00DF1884" w:rsidRPr="00DF1884">
              <w:t xml:space="preserve"> </w:t>
            </w:r>
            <w:r w:rsidRPr="00DF1884">
              <w:t>and</w:t>
            </w:r>
            <w:r w:rsidR="00DF1884" w:rsidRPr="00DF1884">
              <w:t xml:space="preserve"> </w:t>
            </w:r>
            <w:r w:rsidRPr="00DF1884">
              <w:t>NCQA</w:t>
            </w:r>
            <w:r w:rsidR="00DF1884" w:rsidRPr="00DF1884">
              <w:t xml:space="preserve"> </w:t>
            </w:r>
            <w:r w:rsidRPr="00DF1884">
              <w:t>panels</w:t>
            </w:r>
            <w:r w:rsidR="00DF1884" w:rsidRPr="00DF1884">
              <w:t xml:space="preserve"> </w:t>
            </w:r>
            <w:r w:rsidRPr="00DF1884">
              <w:t>support</w:t>
            </w:r>
            <w:r w:rsidR="00DF1884" w:rsidRPr="00DF1884">
              <w:t xml:space="preserve"> </w:t>
            </w:r>
            <w:r w:rsidRPr="00DF1884">
              <w:t>the</w:t>
            </w:r>
            <w:r w:rsidR="00DF1884" w:rsidRPr="00DF1884">
              <w:t xml:space="preserve"> </w:t>
            </w:r>
            <w:r w:rsidRPr="00DF1884">
              <w:t>logistic</w:t>
            </w:r>
            <w:r w:rsidR="00DF1884" w:rsidRPr="00DF1884">
              <w:t xml:space="preserve"> </w:t>
            </w:r>
            <w:r w:rsidRPr="00DF1884">
              <w:t>feasibility</w:t>
            </w:r>
            <w:r w:rsidR="00DF1884" w:rsidRPr="00DF1884">
              <w:t xml:space="preserve"> </w:t>
            </w:r>
            <w:r w:rsidRPr="00DF1884">
              <w:t>of</w:t>
            </w:r>
            <w:r w:rsidR="00DF1884" w:rsidRPr="00DF1884">
              <w:t xml:space="preserve"> </w:t>
            </w:r>
            <w:r w:rsidRPr="00DF1884">
              <w:t>this</w:t>
            </w:r>
            <w:r w:rsidR="00DF1884" w:rsidRPr="00DF1884">
              <w:t xml:space="preserve"> </w:t>
            </w:r>
            <w:r w:rsidRPr="00DF1884">
              <w:t>measure.</w:t>
            </w:r>
            <w:r w:rsidR="00DF1884" w:rsidRPr="00DF1884">
              <w:t xml:space="preserve"> </w:t>
            </w:r>
            <w:r w:rsidRPr="00DF1884">
              <w:t>In</w:t>
            </w:r>
            <w:r w:rsidR="00DF1884" w:rsidRPr="00DF1884">
              <w:t xml:space="preserve"> </w:t>
            </w:r>
            <w:r w:rsidRPr="00DF1884">
              <w:t>general,</w:t>
            </w:r>
            <w:r w:rsidR="00DF1884" w:rsidRPr="00DF1884">
              <w:t xml:space="preserve"> </w:t>
            </w:r>
            <w:r w:rsidRPr="00DF1884">
              <w:t>claims</w:t>
            </w:r>
            <w:r w:rsidR="00DF1884" w:rsidRPr="00DF1884">
              <w:t xml:space="preserve"> </w:t>
            </w:r>
            <w:r w:rsidRPr="00DF1884">
              <w:t>and</w:t>
            </w:r>
            <w:r w:rsidR="00DF1884" w:rsidRPr="00DF1884">
              <w:t xml:space="preserve"> </w:t>
            </w:r>
            <w:r w:rsidRPr="00DF1884">
              <w:t>encounter</w:t>
            </w:r>
            <w:r w:rsidR="00DF1884" w:rsidRPr="00DF1884">
              <w:t xml:space="preserve"> </w:t>
            </w:r>
            <w:r w:rsidRPr="00DF1884">
              <w:t>data</w:t>
            </w:r>
            <w:r w:rsidR="00DF1884" w:rsidRPr="00DF1884">
              <w:t xml:space="preserve"> </w:t>
            </w:r>
            <w:r w:rsidRPr="00DF1884">
              <w:t>required</w:t>
            </w:r>
            <w:r w:rsidR="00DF1884" w:rsidRPr="00DF1884">
              <w:t xml:space="preserve"> </w:t>
            </w:r>
            <w:r w:rsidRPr="00DF1884">
              <w:t>for</w:t>
            </w:r>
            <w:r w:rsidR="00DF1884" w:rsidRPr="00DF1884">
              <w:t xml:space="preserve"> </w:t>
            </w:r>
            <w:r w:rsidRPr="00DF1884">
              <w:t>this</w:t>
            </w:r>
            <w:r w:rsidR="00DF1884" w:rsidRPr="00DF1884">
              <w:t xml:space="preserve"> </w:t>
            </w:r>
            <w:r w:rsidRPr="00DF1884">
              <w:t>measure</w:t>
            </w:r>
            <w:r w:rsidR="00DF1884" w:rsidRPr="00DF1884">
              <w:t xml:space="preserve"> </w:t>
            </w:r>
            <w:r w:rsidRPr="00DF1884">
              <w:t>should</w:t>
            </w:r>
            <w:r w:rsidR="00DF1884" w:rsidRPr="00DF1884">
              <w:t xml:space="preserve"> </w:t>
            </w:r>
            <w:r w:rsidRPr="00DF1884">
              <w:t>be</w:t>
            </w:r>
            <w:r w:rsidR="00DF1884" w:rsidRPr="00DF1884">
              <w:t xml:space="preserve"> </w:t>
            </w:r>
            <w:r w:rsidRPr="00DF1884">
              <w:t>available</w:t>
            </w:r>
            <w:r w:rsidR="00DF1884" w:rsidRPr="00DF1884">
              <w:t xml:space="preserve"> </w:t>
            </w:r>
            <w:r w:rsidRPr="00DF1884">
              <w:t>to</w:t>
            </w:r>
            <w:r w:rsidR="00DF1884" w:rsidRPr="00DF1884">
              <w:t xml:space="preserve"> </w:t>
            </w:r>
            <w:r w:rsidRPr="00DF1884">
              <w:t>health</w:t>
            </w:r>
            <w:r w:rsidR="00DF1884" w:rsidRPr="00DF1884">
              <w:t xml:space="preserve"> </w:t>
            </w:r>
            <w:r w:rsidRPr="00DF1884">
              <w:t>plans.</w:t>
            </w:r>
          </w:p>
        </w:tc>
      </w:tr>
      <w:tr w:rsidR="00DF1884" w:rsidRPr="00DF1884" w14:paraId="24A3BC3E" w14:textId="77777777" w:rsidTr="002E4322">
        <w:tc>
          <w:tcPr>
            <w:tcW w:w="1710" w:type="dxa"/>
            <w:tcBorders>
              <w:top w:val="nil"/>
              <w:left w:val="nil"/>
              <w:bottom w:val="nil"/>
              <w:right w:val="nil"/>
            </w:tcBorders>
            <w:tcMar>
              <w:left w:w="115" w:type="dxa"/>
              <w:right w:w="115" w:type="dxa"/>
            </w:tcMar>
          </w:tcPr>
          <w:p w14:paraId="06EBD848" w14:textId="77777777" w:rsidR="005B5649" w:rsidRPr="00DF1884" w:rsidRDefault="005B5649" w:rsidP="005B5649">
            <w:pPr>
              <w:pStyle w:val="MarginSubhead"/>
            </w:pPr>
            <w:r w:rsidRPr="00DF1884">
              <w:t>Auditable</w:t>
            </w:r>
          </w:p>
        </w:tc>
        <w:tc>
          <w:tcPr>
            <w:tcW w:w="8280" w:type="dxa"/>
            <w:tcBorders>
              <w:top w:val="nil"/>
              <w:left w:val="nil"/>
              <w:bottom w:val="nil"/>
              <w:right w:val="nil"/>
            </w:tcBorders>
            <w:tcMar>
              <w:left w:w="115" w:type="dxa"/>
              <w:right w:w="115" w:type="dxa"/>
            </w:tcMar>
          </w:tcPr>
          <w:p w14:paraId="20D4F410" w14:textId="50603AFB" w:rsidR="005B5649" w:rsidRPr="00DF1884" w:rsidRDefault="005B5649" w:rsidP="005B5649">
            <w:pPr>
              <w:pStyle w:val="Body"/>
            </w:pPr>
            <w:r w:rsidRPr="00DF1884">
              <w:t>This</w:t>
            </w:r>
            <w:r w:rsidR="00DF1884" w:rsidRPr="00DF1884">
              <w:t xml:space="preserve"> </w:t>
            </w:r>
            <w:r w:rsidRPr="00DF1884">
              <w:t>measure</w:t>
            </w:r>
            <w:r w:rsidR="00DF1884" w:rsidRPr="00DF1884">
              <w:t xml:space="preserve"> </w:t>
            </w:r>
            <w:r w:rsidRPr="00DF1884">
              <w:t>has</w:t>
            </w:r>
            <w:r w:rsidR="00DF1884" w:rsidRPr="00DF1884">
              <w:t xml:space="preserve"> </w:t>
            </w:r>
            <w:r w:rsidRPr="00DF1884">
              <w:t>been</w:t>
            </w:r>
            <w:r w:rsidR="00DF1884" w:rsidRPr="00DF1884">
              <w:t xml:space="preserve"> </w:t>
            </w:r>
            <w:r w:rsidRPr="00DF1884">
              <w:t>reviewed</w:t>
            </w:r>
            <w:r w:rsidR="00DF1884" w:rsidRPr="00DF1884">
              <w:t xml:space="preserve"> </w:t>
            </w:r>
            <w:r w:rsidRPr="00DF1884">
              <w:t>by</w:t>
            </w:r>
            <w:r w:rsidR="00DF1884" w:rsidRPr="00DF1884">
              <w:t xml:space="preserve"> </w:t>
            </w:r>
            <w:r w:rsidRPr="00DF1884">
              <w:t>NCQA’s</w:t>
            </w:r>
            <w:r w:rsidR="00DF1884" w:rsidRPr="00DF1884">
              <w:t xml:space="preserve"> </w:t>
            </w:r>
            <w:r w:rsidRPr="00DF1884">
              <w:t>internal</w:t>
            </w:r>
            <w:r w:rsidR="00DF1884" w:rsidRPr="00DF1884">
              <w:t xml:space="preserve"> </w:t>
            </w:r>
            <w:r w:rsidRPr="00DF1884">
              <w:t>HEDIS</w:t>
            </w:r>
            <w:r w:rsidR="00DF1884" w:rsidRPr="00DF1884">
              <w:t xml:space="preserve"> </w:t>
            </w:r>
            <w:r w:rsidRPr="00DF1884">
              <w:t>Audit</w:t>
            </w:r>
            <w:r w:rsidR="00DF1884" w:rsidRPr="00DF1884">
              <w:t xml:space="preserve"> </w:t>
            </w:r>
            <w:r w:rsidRPr="00DF1884">
              <w:t>and</w:t>
            </w:r>
            <w:r w:rsidR="00DF1884" w:rsidRPr="00DF1884">
              <w:t xml:space="preserve"> </w:t>
            </w:r>
            <w:r w:rsidRPr="00DF1884">
              <w:t>Measure</w:t>
            </w:r>
            <w:r w:rsidR="00DF1884" w:rsidRPr="00DF1884">
              <w:t xml:space="preserve"> </w:t>
            </w:r>
            <w:r w:rsidRPr="00DF1884">
              <w:t>certification</w:t>
            </w:r>
            <w:r w:rsidR="00DF1884" w:rsidRPr="00DF1884">
              <w:t xml:space="preserve"> </w:t>
            </w:r>
            <w:r w:rsidRPr="00DF1884">
              <w:t>staff</w:t>
            </w:r>
            <w:r w:rsidR="00DF1884" w:rsidRPr="00DF1884">
              <w:t xml:space="preserve"> </w:t>
            </w:r>
            <w:r w:rsidRPr="00DF1884">
              <w:t>and</w:t>
            </w:r>
            <w:r w:rsidR="00DF1884" w:rsidRPr="00DF1884">
              <w:t xml:space="preserve"> </w:t>
            </w:r>
            <w:r w:rsidRPr="00DF1884">
              <w:t>found</w:t>
            </w:r>
            <w:r w:rsidR="00DF1884" w:rsidRPr="00DF1884">
              <w:t xml:space="preserve"> </w:t>
            </w:r>
            <w:r w:rsidRPr="00DF1884">
              <w:t>to</w:t>
            </w:r>
            <w:r w:rsidR="00DF1884" w:rsidRPr="00DF1884">
              <w:t xml:space="preserve"> </w:t>
            </w:r>
            <w:r w:rsidRPr="00DF1884">
              <w:t>be</w:t>
            </w:r>
            <w:r w:rsidR="00DF1884" w:rsidRPr="00DF1884">
              <w:t xml:space="preserve"> </w:t>
            </w:r>
            <w:r w:rsidRPr="00DF1884">
              <w:t>auditable.</w:t>
            </w:r>
          </w:p>
        </w:tc>
      </w:tr>
    </w:tbl>
    <w:p w14:paraId="3879535E" w14:textId="77777777" w:rsidR="005B5649" w:rsidRPr="00DF1884" w:rsidRDefault="005B5649" w:rsidP="005B5649">
      <w:pPr>
        <w:pStyle w:val="StdHead"/>
      </w:pPr>
      <w:r w:rsidRPr="00DF1884">
        <w:t>References</w:t>
      </w:r>
    </w:p>
    <w:p w14:paraId="47135B35" w14:textId="4CF07A68" w:rsidR="005B5649" w:rsidRPr="00DF1884" w:rsidRDefault="005B5649" w:rsidP="002E4322">
      <w:pPr>
        <w:spacing w:before="180"/>
        <w:ind w:left="216" w:hanging="216"/>
        <w:rPr>
          <w:szCs w:val="20"/>
        </w:rPr>
      </w:pPr>
      <w:r w:rsidRPr="00DF1884">
        <w:rPr>
          <w:szCs w:val="20"/>
        </w:rPr>
        <w:t>American</w:t>
      </w:r>
      <w:r w:rsidR="00DF1884" w:rsidRPr="00DF1884">
        <w:rPr>
          <w:szCs w:val="20"/>
        </w:rPr>
        <w:t xml:space="preserve"> </w:t>
      </w:r>
      <w:r w:rsidRPr="00DF1884">
        <w:rPr>
          <w:szCs w:val="20"/>
        </w:rPr>
        <w:t>Diabetes</w:t>
      </w:r>
      <w:r w:rsidR="00DF1884" w:rsidRPr="00DF1884">
        <w:rPr>
          <w:szCs w:val="20"/>
        </w:rPr>
        <w:t xml:space="preserve"> </w:t>
      </w:r>
      <w:r w:rsidRPr="00DF1884">
        <w:rPr>
          <w:szCs w:val="20"/>
        </w:rPr>
        <w:t>Association</w:t>
      </w:r>
      <w:r w:rsidR="00DF1884" w:rsidRPr="00DF1884">
        <w:rPr>
          <w:szCs w:val="20"/>
        </w:rPr>
        <w:t xml:space="preserve"> </w:t>
      </w:r>
      <w:r w:rsidRPr="00DF1884">
        <w:rPr>
          <w:szCs w:val="20"/>
        </w:rPr>
        <w:t>(ADA).</w:t>
      </w:r>
      <w:r w:rsidR="00DF1884" w:rsidRPr="00DF1884">
        <w:rPr>
          <w:szCs w:val="20"/>
        </w:rPr>
        <w:t xml:space="preserve"> </w:t>
      </w:r>
      <w:r w:rsidRPr="00DF1884">
        <w:rPr>
          <w:szCs w:val="20"/>
        </w:rPr>
        <w:t>2013.</w:t>
      </w:r>
      <w:r w:rsidR="00DF1884" w:rsidRPr="00DF1884">
        <w:rPr>
          <w:szCs w:val="20"/>
        </w:rPr>
        <w:t xml:space="preserve"> </w:t>
      </w:r>
      <w:r w:rsidRPr="00DF1884">
        <w:rPr>
          <w:szCs w:val="20"/>
        </w:rPr>
        <w:t>“Economic</w:t>
      </w:r>
      <w:r w:rsidR="00DF1884" w:rsidRPr="00DF1884">
        <w:rPr>
          <w:szCs w:val="20"/>
        </w:rPr>
        <w:t xml:space="preserve"> </w:t>
      </w:r>
      <w:r w:rsidRPr="00DF1884">
        <w:rPr>
          <w:szCs w:val="20"/>
        </w:rPr>
        <w:t>Costs</w:t>
      </w:r>
      <w:r w:rsidR="00DF1884" w:rsidRPr="00DF1884">
        <w:rPr>
          <w:szCs w:val="20"/>
        </w:rPr>
        <w:t xml:space="preserve"> </w:t>
      </w:r>
      <w:r w:rsidRPr="00DF1884">
        <w:rPr>
          <w:szCs w:val="20"/>
        </w:rPr>
        <w:t>of</w:t>
      </w:r>
      <w:r w:rsidR="00DF1884" w:rsidRPr="00DF1884">
        <w:rPr>
          <w:szCs w:val="20"/>
        </w:rPr>
        <w:t xml:space="preserve"> </w:t>
      </w:r>
      <w:r w:rsidRPr="00DF1884">
        <w:rPr>
          <w:szCs w:val="20"/>
        </w:rPr>
        <w:t>Diabetes</w:t>
      </w:r>
      <w:r w:rsidR="00DF1884" w:rsidRPr="00DF1884">
        <w:rPr>
          <w:szCs w:val="20"/>
        </w:rPr>
        <w:t xml:space="preserve"> </w:t>
      </w:r>
      <w:r w:rsidRPr="00DF1884">
        <w:rPr>
          <w:szCs w:val="20"/>
        </w:rPr>
        <w:t>in</w:t>
      </w:r>
      <w:r w:rsidR="00DF1884" w:rsidRPr="00DF1884">
        <w:rPr>
          <w:szCs w:val="20"/>
        </w:rPr>
        <w:t xml:space="preserve"> </w:t>
      </w:r>
      <w:r w:rsidRPr="00DF1884">
        <w:rPr>
          <w:szCs w:val="20"/>
        </w:rPr>
        <w:t>the</w:t>
      </w:r>
      <w:r w:rsidR="00DF1884" w:rsidRPr="00DF1884">
        <w:rPr>
          <w:szCs w:val="20"/>
        </w:rPr>
        <w:t xml:space="preserve"> </w:t>
      </w:r>
      <w:r w:rsidRPr="00DF1884">
        <w:rPr>
          <w:szCs w:val="20"/>
        </w:rPr>
        <w:t>U.S.</w:t>
      </w:r>
      <w:r w:rsidR="00DF1884" w:rsidRPr="00DF1884">
        <w:rPr>
          <w:szCs w:val="20"/>
        </w:rPr>
        <w:t xml:space="preserve"> </w:t>
      </w:r>
      <w:r w:rsidRPr="00DF1884">
        <w:rPr>
          <w:szCs w:val="20"/>
        </w:rPr>
        <w:t>in</w:t>
      </w:r>
      <w:r w:rsidR="00DF1884" w:rsidRPr="00DF1884">
        <w:rPr>
          <w:szCs w:val="20"/>
        </w:rPr>
        <w:t xml:space="preserve"> </w:t>
      </w:r>
      <w:r w:rsidRPr="00DF1884">
        <w:rPr>
          <w:szCs w:val="20"/>
        </w:rPr>
        <w:t>2012.”</w:t>
      </w:r>
      <w:r w:rsidR="00DF1884" w:rsidRPr="00DF1884">
        <w:rPr>
          <w:szCs w:val="20"/>
        </w:rPr>
        <w:t xml:space="preserve"> </w:t>
      </w:r>
      <w:r w:rsidRPr="00DF1884">
        <w:rPr>
          <w:i/>
          <w:szCs w:val="20"/>
        </w:rPr>
        <w:t>Diabetes</w:t>
      </w:r>
      <w:r w:rsidR="00DF1884" w:rsidRPr="00DF1884">
        <w:rPr>
          <w:i/>
          <w:szCs w:val="20"/>
        </w:rPr>
        <w:t xml:space="preserve"> </w:t>
      </w:r>
      <w:r w:rsidRPr="00DF1884">
        <w:rPr>
          <w:i/>
          <w:szCs w:val="20"/>
        </w:rPr>
        <w:t>Care.</w:t>
      </w:r>
      <w:r w:rsidR="00DF1884" w:rsidRPr="00DF1884">
        <w:rPr>
          <w:szCs w:val="20"/>
        </w:rPr>
        <w:t xml:space="preserve"> </w:t>
      </w:r>
      <w:r w:rsidRPr="00DF1884">
        <w:rPr>
          <w:szCs w:val="20"/>
        </w:rPr>
        <w:t>36(4):</w:t>
      </w:r>
      <w:r w:rsidR="00DF1884" w:rsidRPr="00DF1884">
        <w:rPr>
          <w:szCs w:val="20"/>
        </w:rPr>
        <w:t xml:space="preserve"> </w:t>
      </w:r>
      <w:r w:rsidRPr="00DF1884">
        <w:rPr>
          <w:szCs w:val="20"/>
        </w:rPr>
        <w:t>1033-1046.</w:t>
      </w:r>
      <w:r w:rsidR="00DF1884" w:rsidRPr="00DF1884">
        <w:rPr>
          <w:szCs w:val="20"/>
        </w:rPr>
        <w:t xml:space="preserve"> </w:t>
      </w:r>
      <w:r w:rsidRPr="00DF1884">
        <w:rPr>
          <w:szCs w:val="20"/>
        </w:rPr>
        <w:t>doi:10.2337/dc12-2625.</w:t>
      </w:r>
    </w:p>
    <w:p w14:paraId="4C9ED6F2" w14:textId="4E41C150" w:rsidR="005B5649" w:rsidRPr="00DF1884" w:rsidRDefault="005B5649" w:rsidP="005B5649">
      <w:pPr>
        <w:ind w:left="216" w:hanging="216"/>
        <w:rPr>
          <w:b/>
          <w:szCs w:val="20"/>
        </w:rPr>
      </w:pPr>
      <w:r w:rsidRPr="00DF1884">
        <w:rPr>
          <w:szCs w:val="20"/>
        </w:rPr>
        <w:t>ADA.</w:t>
      </w:r>
      <w:r w:rsidR="00DF1884" w:rsidRPr="00DF1884">
        <w:rPr>
          <w:szCs w:val="20"/>
        </w:rPr>
        <w:t xml:space="preserve"> </w:t>
      </w:r>
      <w:r w:rsidRPr="00DF1884">
        <w:rPr>
          <w:szCs w:val="20"/>
        </w:rPr>
        <w:t>2014.</w:t>
      </w:r>
      <w:r w:rsidR="00DF1884" w:rsidRPr="00DF1884">
        <w:rPr>
          <w:szCs w:val="20"/>
        </w:rPr>
        <w:t xml:space="preserve"> </w:t>
      </w:r>
      <w:r w:rsidRPr="00DF1884">
        <w:rPr>
          <w:szCs w:val="20"/>
        </w:rPr>
        <w:t>“Statistics</w:t>
      </w:r>
      <w:r w:rsidR="00DF1884" w:rsidRPr="00DF1884">
        <w:rPr>
          <w:szCs w:val="20"/>
        </w:rPr>
        <w:t xml:space="preserve"> </w:t>
      </w:r>
      <w:r w:rsidRPr="00DF1884">
        <w:rPr>
          <w:szCs w:val="20"/>
        </w:rPr>
        <w:t>About</w:t>
      </w:r>
      <w:r w:rsidR="00DF1884" w:rsidRPr="00DF1884">
        <w:rPr>
          <w:szCs w:val="20"/>
        </w:rPr>
        <w:t xml:space="preserve"> </w:t>
      </w:r>
      <w:r w:rsidRPr="00DF1884">
        <w:rPr>
          <w:szCs w:val="20"/>
        </w:rPr>
        <w:t>Diabetes.”</w:t>
      </w:r>
      <w:r w:rsidR="00DF1884" w:rsidRPr="00DF1884">
        <w:rPr>
          <w:szCs w:val="20"/>
        </w:rPr>
        <w:t xml:space="preserve"> </w:t>
      </w:r>
      <w:hyperlink r:id="rId67" w:history="1">
        <w:r w:rsidRPr="00DF1884">
          <w:rPr>
            <w:rFonts w:cs="Arial"/>
            <w:szCs w:val="20"/>
            <w:u w:val="single"/>
          </w:rPr>
          <w:t>http://www.diabetes.org/diabetes-basics/statistics/</w:t>
        </w:r>
      </w:hyperlink>
      <w:r w:rsidR="002E4322" w:rsidRPr="00DF1884">
        <w:rPr>
          <w:szCs w:val="20"/>
        </w:rPr>
        <w:t>.</w:t>
      </w:r>
      <w:r w:rsidR="00DF1884" w:rsidRPr="00DF1884">
        <w:rPr>
          <w:szCs w:val="20"/>
        </w:rPr>
        <w:t xml:space="preserve"> </w:t>
      </w:r>
      <w:r w:rsidRPr="00DF1884">
        <w:rPr>
          <w:szCs w:val="20"/>
        </w:rPr>
        <w:t>Accessed</w:t>
      </w:r>
      <w:r w:rsidR="00DF1884" w:rsidRPr="00DF1884">
        <w:rPr>
          <w:szCs w:val="20"/>
        </w:rPr>
        <w:t xml:space="preserve"> </w:t>
      </w:r>
      <w:r w:rsidRPr="00DF1884">
        <w:rPr>
          <w:szCs w:val="20"/>
        </w:rPr>
        <w:t>January</w:t>
      </w:r>
      <w:r w:rsidR="00DF1884" w:rsidRPr="00DF1884">
        <w:rPr>
          <w:szCs w:val="20"/>
        </w:rPr>
        <w:t xml:space="preserve"> </w:t>
      </w:r>
      <w:r w:rsidRPr="00DF1884">
        <w:rPr>
          <w:szCs w:val="20"/>
        </w:rPr>
        <w:t>2015.</w:t>
      </w:r>
    </w:p>
    <w:p w14:paraId="04A8E1D4" w14:textId="76D08634" w:rsidR="005B5649" w:rsidRPr="00DF1884" w:rsidRDefault="005B5649" w:rsidP="005B5649">
      <w:pPr>
        <w:ind w:left="216" w:hanging="216"/>
        <w:rPr>
          <w:b/>
          <w:szCs w:val="20"/>
        </w:rPr>
      </w:pPr>
      <w:r w:rsidRPr="00DF1884">
        <w:rPr>
          <w:szCs w:val="20"/>
        </w:rPr>
        <w:t>ADA.</w:t>
      </w:r>
      <w:r w:rsidR="00DF1884" w:rsidRPr="00DF1884">
        <w:rPr>
          <w:szCs w:val="20"/>
        </w:rPr>
        <w:t xml:space="preserve"> </w:t>
      </w:r>
      <w:r w:rsidRPr="00DF1884">
        <w:rPr>
          <w:szCs w:val="20"/>
        </w:rPr>
        <w:t>2015.</w:t>
      </w:r>
      <w:r w:rsidR="00DF1884" w:rsidRPr="00DF1884">
        <w:rPr>
          <w:szCs w:val="20"/>
        </w:rPr>
        <w:t xml:space="preserve"> </w:t>
      </w:r>
      <w:r w:rsidRPr="00DF1884">
        <w:rPr>
          <w:szCs w:val="20"/>
        </w:rPr>
        <w:t>“Standards</w:t>
      </w:r>
      <w:r w:rsidR="00DF1884" w:rsidRPr="00DF1884">
        <w:rPr>
          <w:szCs w:val="20"/>
        </w:rPr>
        <w:t xml:space="preserve"> </w:t>
      </w:r>
      <w:r w:rsidRPr="00DF1884">
        <w:rPr>
          <w:szCs w:val="20"/>
        </w:rPr>
        <w:t>of</w:t>
      </w:r>
      <w:r w:rsidR="00DF1884" w:rsidRPr="00DF1884">
        <w:rPr>
          <w:szCs w:val="20"/>
        </w:rPr>
        <w:t xml:space="preserve"> </w:t>
      </w:r>
      <w:r w:rsidRPr="00DF1884">
        <w:rPr>
          <w:szCs w:val="20"/>
        </w:rPr>
        <w:t>Medical</w:t>
      </w:r>
      <w:r w:rsidR="00DF1884" w:rsidRPr="00DF1884">
        <w:rPr>
          <w:szCs w:val="20"/>
        </w:rPr>
        <w:t xml:space="preserve"> </w:t>
      </w:r>
      <w:r w:rsidRPr="00DF1884">
        <w:rPr>
          <w:szCs w:val="20"/>
        </w:rPr>
        <w:t>Care</w:t>
      </w:r>
      <w:r w:rsidR="00DF1884" w:rsidRPr="00DF1884">
        <w:rPr>
          <w:szCs w:val="20"/>
        </w:rPr>
        <w:t xml:space="preserve"> </w:t>
      </w:r>
      <w:r w:rsidRPr="00DF1884">
        <w:rPr>
          <w:szCs w:val="20"/>
        </w:rPr>
        <w:t>in</w:t>
      </w:r>
      <w:r w:rsidR="00DF1884" w:rsidRPr="00DF1884">
        <w:rPr>
          <w:szCs w:val="20"/>
        </w:rPr>
        <w:t xml:space="preserve"> </w:t>
      </w:r>
      <w:r w:rsidRPr="00DF1884">
        <w:rPr>
          <w:szCs w:val="20"/>
        </w:rPr>
        <w:t>Diabetes-2015:</w:t>
      </w:r>
      <w:r w:rsidR="00DF1884" w:rsidRPr="00DF1884">
        <w:rPr>
          <w:szCs w:val="20"/>
        </w:rPr>
        <w:t xml:space="preserve"> </w:t>
      </w:r>
      <w:r w:rsidRPr="00DF1884">
        <w:rPr>
          <w:szCs w:val="20"/>
        </w:rPr>
        <w:t>Cardiovascular</w:t>
      </w:r>
      <w:r w:rsidR="00DF1884" w:rsidRPr="00DF1884">
        <w:rPr>
          <w:szCs w:val="20"/>
        </w:rPr>
        <w:t xml:space="preserve"> </w:t>
      </w:r>
      <w:r w:rsidRPr="00DF1884">
        <w:rPr>
          <w:szCs w:val="20"/>
        </w:rPr>
        <w:t>disease</w:t>
      </w:r>
      <w:r w:rsidR="00DF1884" w:rsidRPr="00DF1884">
        <w:rPr>
          <w:szCs w:val="20"/>
        </w:rPr>
        <w:t xml:space="preserve"> </w:t>
      </w:r>
      <w:r w:rsidRPr="00DF1884">
        <w:rPr>
          <w:szCs w:val="20"/>
        </w:rPr>
        <w:t>and</w:t>
      </w:r>
      <w:r w:rsidR="00DF1884" w:rsidRPr="00DF1884">
        <w:rPr>
          <w:szCs w:val="20"/>
        </w:rPr>
        <w:t xml:space="preserve"> </w:t>
      </w:r>
      <w:r w:rsidRPr="00DF1884">
        <w:rPr>
          <w:szCs w:val="20"/>
        </w:rPr>
        <w:t>risk</w:t>
      </w:r>
      <w:r w:rsidR="00DF1884" w:rsidRPr="00DF1884">
        <w:rPr>
          <w:szCs w:val="20"/>
        </w:rPr>
        <w:t xml:space="preserve"> </w:t>
      </w:r>
      <w:r w:rsidRPr="00DF1884">
        <w:rPr>
          <w:szCs w:val="20"/>
        </w:rPr>
        <w:t>management.”</w:t>
      </w:r>
      <w:r w:rsidR="00DF1884" w:rsidRPr="00DF1884">
        <w:rPr>
          <w:szCs w:val="20"/>
        </w:rPr>
        <w:t xml:space="preserve"> </w:t>
      </w:r>
      <w:r w:rsidRPr="00DF1884">
        <w:rPr>
          <w:i/>
          <w:szCs w:val="20"/>
        </w:rPr>
        <w:t>Diabetes</w:t>
      </w:r>
      <w:r w:rsidR="00DF1884" w:rsidRPr="00DF1884">
        <w:rPr>
          <w:i/>
          <w:szCs w:val="20"/>
        </w:rPr>
        <w:t xml:space="preserve"> </w:t>
      </w:r>
      <w:r w:rsidRPr="00DF1884">
        <w:rPr>
          <w:i/>
          <w:szCs w:val="20"/>
        </w:rPr>
        <w:t>Care.</w:t>
      </w:r>
      <w:r w:rsidR="00DF1884" w:rsidRPr="00DF1884">
        <w:rPr>
          <w:szCs w:val="20"/>
        </w:rPr>
        <w:t xml:space="preserve"> </w:t>
      </w:r>
      <w:r w:rsidRPr="00DF1884">
        <w:rPr>
          <w:szCs w:val="20"/>
        </w:rPr>
        <w:t>38(Suppl.</w:t>
      </w:r>
      <w:r w:rsidR="00DF1884" w:rsidRPr="00DF1884">
        <w:rPr>
          <w:szCs w:val="20"/>
        </w:rPr>
        <w:t xml:space="preserve"> </w:t>
      </w:r>
      <w:r w:rsidRPr="00DF1884">
        <w:rPr>
          <w:szCs w:val="20"/>
        </w:rPr>
        <w:t>1):</w:t>
      </w:r>
      <w:r w:rsidR="00DF1884" w:rsidRPr="00DF1884">
        <w:rPr>
          <w:szCs w:val="20"/>
        </w:rPr>
        <w:t xml:space="preserve"> </w:t>
      </w:r>
      <w:r w:rsidRPr="00DF1884">
        <w:rPr>
          <w:szCs w:val="20"/>
        </w:rPr>
        <w:t>S49–S57.</w:t>
      </w:r>
      <w:r w:rsidR="00DF1884" w:rsidRPr="00DF1884">
        <w:rPr>
          <w:szCs w:val="20"/>
        </w:rPr>
        <w:t xml:space="preserve"> </w:t>
      </w:r>
      <w:r w:rsidRPr="00DF1884">
        <w:rPr>
          <w:szCs w:val="20"/>
        </w:rPr>
        <w:t>doi:</w:t>
      </w:r>
      <w:r w:rsidR="00DF1884" w:rsidRPr="00DF1884">
        <w:rPr>
          <w:szCs w:val="20"/>
        </w:rPr>
        <w:t xml:space="preserve"> </w:t>
      </w:r>
      <w:r w:rsidRPr="00DF1884">
        <w:rPr>
          <w:szCs w:val="20"/>
        </w:rPr>
        <w:t>10.2337/dc15-S011</w:t>
      </w:r>
    </w:p>
    <w:p w14:paraId="5DEC224F" w14:textId="26F24764" w:rsidR="005B5649" w:rsidRPr="00DF1884" w:rsidRDefault="005B5649" w:rsidP="005B5649">
      <w:pPr>
        <w:ind w:left="216" w:hanging="216"/>
        <w:rPr>
          <w:b/>
          <w:szCs w:val="20"/>
        </w:rPr>
      </w:pPr>
      <w:r w:rsidRPr="00DF1884">
        <w:rPr>
          <w:szCs w:val="20"/>
        </w:rPr>
        <w:t>American</w:t>
      </w:r>
      <w:r w:rsidR="00DF1884" w:rsidRPr="00DF1884">
        <w:rPr>
          <w:szCs w:val="20"/>
        </w:rPr>
        <w:t xml:space="preserve"> </w:t>
      </w:r>
      <w:r w:rsidRPr="00DF1884">
        <w:rPr>
          <w:szCs w:val="20"/>
        </w:rPr>
        <w:t>Heart</w:t>
      </w:r>
      <w:r w:rsidR="00DF1884" w:rsidRPr="00DF1884">
        <w:rPr>
          <w:szCs w:val="20"/>
        </w:rPr>
        <w:t xml:space="preserve"> </w:t>
      </w:r>
      <w:r w:rsidRPr="00DF1884">
        <w:rPr>
          <w:szCs w:val="20"/>
        </w:rPr>
        <w:t>Association</w:t>
      </w:r>
      <w:r w:rsidR="00DF1884" w:rsidRPr="00DF1884">
        <w:rPr>
          <w:szCs w:val="20"/>
        </w:rPr>
        <w:t xml:space="preserve"> </w:t>
      </w:r>
      <w:r w:rsidRPr="00DF1884">
        <w:rPr>
          <w:szCs w:val="20"/>
        </w:rPr>
        <w:t>(AHA).</w:t>
      </w:r>
      <w:r w:rsidR="00DF1884" w:rsidRPr="00DF1884">
        <w:rPr>
          <w:szCs w:val="20"/>
        </w:rPr>
        <w:t xml:space="preserve"> </w:t>
      </w:r>
      <w:r w:rsidRPr="00DF1884">
        <w:rPr>
          <w:szCs w:val="20"/>
        </w:rPr>
        <w:t>2012.</w:t>
      </w:r>
      <w:r w:rsidR="00DF1884" w:rsidRPr="00DF1884">
        <w:rPr>
          <w:szCs w:val="20"/>
        </w:rPr>
        <w:t xml:space="preserve"> </w:t>
      </w:r>
      <w:r w:rsidRPr="00DF1884">
        <w:rPr>
          <w:szCs w:val="20"/>
        </w:rPr>
        <w:t>“Cardiovascular</w:t>
      </w:r>
      <w:r w:rsidR="00DF1884" w:rsidRPr="00DF1884">
        <w:rPr>
          <w:szCs w:val="20"/>
        </w:rPr>
        <w:t xml:space="preserve"> </w:t>
      </w:r>
      <w:r w:rsidRPr="00DF1884">
        <w:rPr>
          <w:szCs w:val="20"/>
        </w:rPr>
        <w:t>Disease</w:t>
      </w:r>
      <w:r w:rsidR="00DF1884" w:rsidRPr="00DF1884">
        <w:rPr>
          <w:szCs w:val="20"/>
        </w:rPr>
        <w:t xml:space="preserve"> </w:t>
      </w:r>
      <w:r w:rsidRPr="00DF1884">
        <w:rPr>
          <w:szCs w:val="20"/>
        </w:rPr>
        <w:t>&amp;</w:t>
      </w:r>
      <w:r w:rsidR="00DF1884" w:rsidRPr="00DF1884">
        <w:rPr>
          <w:szCs w:val="20"/>
        </w:rPr>
        <w:t xml:space="preserve"> </w:t>
      </w:r>
      <w:r w:rsidRPr="00DF1884">
        <w:rPr>
          <w:szCs w:val="20"/>
        </w:rPr>
        <w:t>Diabetes.”</w:t>
      </w:r>
      <w:r w:rsidR="00DF1884" w:rsidRPr="00DF1884">
        <w:rPr>
          <w:szCs w:val="20"/>
        </w:rPr>
        <w:t xml:space="preserve"> </w:t>
      </w:r>
      <w:r w:rsidRPr="00DF1884">
        <w:rPr>
          <w:szCs w:val="20"/>
        </w:rPr>
        <w:t>Last</w:t>
      </w:r>
      <w:r w:rsidR="00DF1884" w:rsidRPr="00DF1884">
        <w:rPr>
          <w:szCs w:val="20"/>
        </w:rPr>
        <w:t xml:space="preserve"> </w:t>
      </w:r>
      <w:r w:rsidRPr="00DF1884">
        <w:rPr>
          <w:szCs w:val="20"/>
        </w:rPr>
        <w:t>modified</w:t>
      </w:r>
      <w:r w:rsidR="00DF1884" w:rsidRPr="00DF1884">
        <w:rPr>
          <w:szCs w:val="20"/>
        </w:rPr>
        <w:t xml:space="preserve"> </w:t>
      </w:r>
      <w:r w:rsidRPr="00DF1884">
        <w:rPr>
          <w:szCs w:val="20"/>
        </w:rPr>
        <w:t>July</w:t>
      </w:r>
      <w:r w:rsidR="00DF1884" w:rsidRPr="00DF1884">
        <w:rPr>
          <w:szCs w:val="20"/>
        </w:rPr>
        <w:t xml:space="preserve"> </w:t>
      </w:r>
      <w:r w:rsidRPr="00DF1884">
        <w:rPr>
          <w:szCs w:val="20"/>
        </w:rPr>
        <w:t>5</w:t>
      </w:r>
      <w:r w:rsidR="002E4322" w:rsidRPr="00DF1884">
        <w:rPr>
          <w:szCs w:val="20"/>
        </w:rPr>
        <w:br/>
      </w:r>
      <w:hyperlink r:id="rId68" w:history="1">
        <w:r w:rsidRPr="00DF1884">
          <w:rPr>
            <w:szCs w:val="20"/>
            <w:u w:val="single"/>
          </w:rPr>
          <w:t>http://www.heart.org/HEARTORG/Conditions/Diabetes/WhyDiabetesMatters/Cardiovascular-Disease-Diabetes_UCM_313865_Article.jsp</w:t>
        </w:r>
      </w:hyperlink>
      <w:r w:rsidR="002E4322" w:rsidRPr="00DF1884">
        <w:rPr>
          <w:szCs w:val="20"/>
        </w:rPr>
        <w:t>.</w:t>
      </w:r>
      <w:r w:rsidR="00DF1884" w:rsidRPr="00DF1884">
        <w:rPr>
          <w:szCs w:val="20"/>
        </w:rPr>
        <w:t xml:space="preserve"> </w:t>
      </w:r>
      <w:r w:rsidRPr="00DF1884">
        <w:rPr>
          <w:szCs w:val="20"/>
        </w:rPr>
        <w:t>Accessed</w:t>
      </w:r>
      <w:r w:rsidR="00DF1884" w:rsidRPr="00DF1884">
        <w:rPr>
          <w:szCs w:val="20"/>
        </w:rPr>
        <w:t xml:space="preserve"> </w:t>
      </w:r>
      <w:r w:rsidRPr="00DF1884">
        <w:rPr>
          <w:szCs w:val="20"/>
        </w:rPr>
        <w:t>January</w:t>
      </w:r>
      <w:r w:rsidR="00DF1884" w:rsidRPr="00DF1884">
        <w:rPr>
          <w:szCs w:val="20"/>
        </w:rPr>
        <w:t xml:space="preserve"> </w:t>
      </w:r>
      <w:r w:rsidRPr="00DF1884">
        <w:rPr>
          <w:szCs w:val="20"/>
        </w:rPr>
        <w:t>2015.</w:t>
      </w:r>
    </w:p>
    <w:p w14:paraId="46ED158D" w14:textId="216FDA43" w:rsidR="005B5649" w:rsidRPr="00DF1884" w:rsidRDefault="005B5649" w:rsidP="005B5649">
      <w:pPr>
        <w:ind w:left="216" w:hanging="216"/>
        <w:rPr>
          <w:b/>
          <w:szCs w:val="20"/>
        </w:rPr>
      </w:pPr>
      <w:r w:rsidRPr="00DF1884">
        <w:rPr>
          <w:szCs w:val="20"/>
        </w:rPr>
        <w:t>Butalia,</w:t>
      </w:r>
      <w:r w:rsidR="00DF1884" w:rsidRPr="00DF1884">
        <w:rPr>
          <w:szCs w:val="20"/>
        </w:rPr>
        <w:t xml:space="preserve"> </w:t>
      </w:r>
      <w:r w:rsidRPr="00DF1884">
        <w:rPr>
          <w:szCs w:val="20"/>
        </w:rPr>
        <w:t>S.,</w:t>
      </w:r>
      <w:r w:rsidR="00DF1884" w:rsidRPr="00DF1884">
        <w:rPr>
          <w:szCs w:val="20"/>
        </w:rPr>
        <w:t xml:space="preserve"> </w:t>
      </w:r>
      <w:r w:rsidRPr="00DF1884">
        <w:rPr>
          <w:szCs w:val="20"/>
        </w:rPr>
        <w:t>A.M.</w:t>
      </w:r>
      <w:r w:rsidR="00DF1884" w:rsidRPr="00DF1884">
        <w:rPr>
          <w:szCs w:val="20"/>
        </w:rPr>
        <w:t xml:space="preserve"> </w:t>
      </w:r>
      <w:r w:rsidRPr="00DF1884">
        <w:rPr>
          <w:szCs w:val="20"/>
        </w:rPr>
        <w:t>Lewin,</w:t>
      </w:r>
      <w:r w:rsidR="00DF1884" w:rsidRPr="00DF1884">
        <w:rPr>
          <w:szCs w:val="20"/>
        </w:rPr>
        <w:t xml:space="preserve"> </w:t>
      </w:r>
      <w:r w:rsidRPr="00DF1884">
        <w:rPr>
          <w:szCs w:val="20"/>
        </w:rPr>
        <w:t>S.H.</w:t>
      </w:r>
      <w:r w:rsidR="00DF1884" w:rsidRPr="00DF1884">
        <w:rPr>
          <w:szCs w:val="20"/>
        </w:rPr>
        <w:t xml:space="preserve"> </w:t>
      </w:r>
      <w:r w:rsidRPr="00DF1884">
        <w:rPr>
          <w:szCs w:val="20"/>
        </w:rPr>
        <w:t>Simpson,</w:t>
      </w:r>
      <w:r w:rsidR="00DF1884" w:rsidRPr="00DF1884">
        <w:rPr>
          <w:szCs w:val="20"/>
        </w:rPr>
        <w:t xml:space="preserve"> </w:t>
      </w:r>
      <w:r w:rsidRPr="00DF1884">
        <w:rPr>
          <w:szCs w:val="20"/>
        </w:rPr>
        <w:t>et</w:t>
      </w:r>
      <w:r w:rsidR="00DF1884" w:rsidRPr="00DF1884">
        <w:rPr>
          <w:szCs w:val="20"/>
        </w:rPr>
        <w:t xml:space="preserve"> </w:t>
      </w:r>
      <w:r w:rsidRPr="00DF1884">
        <w:rPr>
          <w:szCs w:val="20"/>
        </w:rPr>
        <w:t>al.</w:t>
      </w:r>
      <w:r w:rsidR="00DF1884" w:rsidRPr="00DF1884">
        <w:rPr>
          <w:szCs w:val="20"/>
        </w:rPr>
        <w:t xml:space="preserve"> </w:t>
      </w:r>
      <w:r w:rsidRPr="00DF1884">
        <w:rPr>
          <w:szCs w:val="20"/>
        </w:rPr>
        <w:t>2014.</w:t>
      </w:r>
      <w:r w:rsidR="00DF1884" w:rsidRPr="00DF1884">
        <w:rPr>
          <w:szCs w:val="20"/>
        </w:rPr>
        <w:t xml:space="preserve"> </w:t>
      </w:r>
      <w:r w:rsidRPr="00DF1884">
        <w:rPr>
          <w:szCs w:val="20"/>
        </w:rPr>
        <w:t>“Sex-based</w:t>
      </w:r>
      <w:r w:rsidR="00DF1884" w:rsidRPr="00DF1884">
        <w:rPr>
          <w:szCs w:val="20"/>
        </w:rPr>
        <w:t xml:space="preserve"> </w:t>
      </w:r>
      <w:r w:rsidRPr="00DF1884">
        <w:rPr>
          <w:szCs w:val="20"/>
        </w:rPr>
        <w:t>disparities</w:t>
      </w:r>
      <w:r w:rsidR="00DF1884" w:rsidRPr="00DF1884">
        <w:rPr>
          <w:szCs w:val="20"/>
        </w:rPr>
        <w:t xml:space="preserve"> </w:t>
      </w:r>
      <w:r w:rsidRPr="00DF1884">
        <w:rPr>
          <w:szCs w:val="20"/>
        </w:rPr>
        <w:t>in</w:t>
      </w:r>
      <w:r w:rsidR="00DF1884" w:rsidRPr="00DF1884">
        <w:rPr>
          <w:szCs w:val="20"/>
        </w:rPr>
        <w:t xml:space="preserve"> </w:t>
      </w:r>
      <w:r w:rsidRPr="00DF1884">
        <w:rPr>
          <w:szCs w:val="20"/>
        </w:rPr>
        <w:t>cardioprotective</w:t>
      </w:r>
      <w:r w:rsidR="00DF1884" w:rsidRPr="00DF1884">
        <w:rPr>
          <w:szCs w:val="20"/>
        </w:rPr>
        <w:t xml:space="preserve"> </w:t>
      </w:r>
      <w:r w:rsidRPr="00DF1884">
        <w:rPr>
          <w:szCs w:val="20"/>
        </w:rPr>
        <w:t>medication</w:t>
      </w:r>
      <w:r w:rsidR="00DF1884" w:rsidRPr="00DF1884">
        <w:rPr>
          <w:szCs w:val="20"/>
        </w:rPr>
        <w:t xml:space="preserve"> </w:t>
      </w:r>
      <w:r w:rsidRPr="00DF1884">
        <w:rPr>
          <w:szCs w:val="20"/>
        </w:rPr>
        <w:t>use</w:t>
      </w:r>
      <w:r w:rsidR="00DF1884" w:rsidRPr="00DF1884">
        <w:rPr>
          <w:szCs w:val="20"/>
        </w:rPr>
        <w:t xml:space="preserve"> </w:t>
      </w:r>
      <w:r w:rsidRPr="00DF1884">
        <w:rPr>
          <w:szCs w:val="20"/>
        </w:rPr>
        <w:t>in</w:t>
      </w:r>
      <w:r w:rsidR="00DF1884" w:rsidRPr="00DF1884">
        <w:rPr>
          <w:szCs w:val="20"/>
        </w:rPr>
        <w:t xml:space="preserve"> </w:t>
      </w:r>
      <w:r w:rsidRPr="00DF1884">
        <w:rPr>
          <w:szCs w:val="20"/>
        </w:rPr>
        <w:t>adults</w:t>
      </w:r>
      <w:r w:rsidR="00DF1884" w:rsidRPr="00DF1884">
        <w:rPr>
          <w:szCs w:val="20"/>
        </w:rPr>
        <w:t xml:space="preserve"> </w:t>
      </w:r>
      <w:r w:rsidRPr="00DF1884">
        <w:rPr>
          <w:szCs w:val="20"/>
        </w:rPr>
        <w:t>with</w:t>
      </w:r>
      <w:r w:rsidR="00DF1884" w:rsidRPr="00DF1884">
        <w:rPr>
          <w:szCs w:val="20"/>
        </w:rPr>
        <w:t xml:space="preserve"> </w:t>
      </w:r>
      <w:r w:rsidRPr="00DF1884">
        <w:rPr>
          <w:szCs w:val="20"/>
        </w:rPr>
        <w:t>diabetes.”</w:t>
      </w:r>
      <w:r w:rsidR="00DF1884" w:rsidRPr="00DF1884">
        <w:rPr>
          <w:szCs w:val="20"/>
        </w:rPr>
        <w:t xml:space="preserve"> </w:t>
      </w:r>
      <w:r w:rsidRPr="00DF1884">
        <w:rPr>
          <w:i/>
          <w:szCs w:val="20"/>
        </w:rPr>
        <w:t>Diabetol</w:t>
      </w:r>
      <w:r w:rsidR="00DF1884" w:rsidRPr="00DF1884">
        <w:rPr>
          <w:i/>
          <w:szCs w:val="20"/>
        </w:rPr>
        <w:t xml:space="preserve"> </w:t>
      </w:r>
      <w:r w:rsidRPr="00DF1884">
        <w:rPr>
          <w:i/>
          <w:szCs w:val="20"/>
        </w:rPr>
        <w:t>Metab</w:t>
      </w:r>
      <w:r w:rsidR="00DF1884" w:rsidRPr="00DF1884">
        <w:rPr>
          <w:i/>
          <w:szCs w:val="20"/>
        </w:rPr>
        <w:t xml:space="preserve"> </w:t>
      </w:r>
      <w:r w:rsidRPr="00DF1884">
        <w:rPr>
          <w:i/>
          <w:szCs w:val="20"/>
        </w:rPr>
        <w:t>Syndr.</w:t>
      </w:r>
      <w:r w:rsidR="00DF1884" w:rsidRPr="00DF1884">
        <w:rPr>
          <w:szCs w:val="20"/>
        </w:rPr>
        <w:t xml:space="preserve"> </w:t>
      </w:r>
      <w:r w:rsidRPr="00DF1884">
        <w:rPr>
          <w:szCs w:val="20"/>
        </w:rPr>
        <w:t>6(1):117.</w:t>
      </w:r>
      <w:r w:rsidR="00DF1884" w:rsidRPr="00DF1884">
        <w:rPr>
          <w:szCs w:val="20"/>
        </w:rPr>
        <w:t xml:space="preserve"> </w:t>
      </w:r>
      <w:r w:rsidRPr="00DF1884">
        <w:rPr>
          <w:szCs w:val="20"/>
        </w:rPr>
        <w:t>doi:</w:t>
      </w:r>
      <w:r w:rsidR="00DF1884" w:rsidRPr="00DF1884">
        <w:rPr>
          <w:szCs w:val="20"/>
        </w:rPr>
        <w:t xml:space="preserve"> </w:t>
      </w:r>
      <w:r w:rsidRPr="00DF1884">
        <w:rPr>
          <w:szCs w:val="20"/>
        </w:rPr>
        <w:t>10.1186/1758-5996-6-117.</w:t>
      </w:r>
      <w:r w:rsidR="00DF1884" w:rsidRPr="00DF1884">
        <w:rPr>
          <w:szCs w:val="20"/>
        </w:rPr>
        <w:t xml:space="preserve"> </w:t>
      </w:r>
      <w:r w:rsidRPr="00DF1884">
        <w:rPr>
          <w:szCs w:val="20"/>
        </w:rPr>
        <w:t>eCollection</w:t>
      </w:r>
      <w:r w:rsidR="00DF1884" w:rsidRPr="00DF1884">
        <w:rPr>
          <w:szCs w:val="20"/>
        </w:rPr>
        <w:t xml:space="preserve"> </w:t>
      </w:r>
      <w:r w:rsidRPr="00DF1884">
        <w:rPr>
          <w:szCs w:val="20"/>
        </w:rPr>
        <w:t>2014.</w:t>
      </w:r>
    </w:p>
    <w:p w14:paraId="1060AECC" w14:textId="16296040" w:rsidR="005B5649" w:rsidRPr="00DF1884" w:rsidRDefault="005B5649" w:rsidP="005B5649">
      <w:pPr>
        <w:ind w:left="216" w:hanging="216"/>
        <w:rPr>
          <w:szCs w:val="20"/>
        </w:rPr>
      </w:pPr>
      <w:r w:rsidRPr="00DF1884">
        <w:rPr>
          <w:szCs w:val="20"/>
        </w:rPr>
        <w:t>Centers</w:t>
      </w:r>
      <w:r w:rsidR="00DF1884" w:rsidRPr="00DF1884">
        <w:rPr>
          <w:szCs w:val="20"/>
        </w:rPr>
        <w:t xml:space="preserve"> </w:t>
      </w:r>
      <w:r w:rsidRPr="00DF1884">
        <w:rPr>
          <w:szCs w:val="20"/>
        </w:rPr>
        <w:t>for</w:t>
      </w:r>
      <w:r w:rsidR="00DF1884" w:rsidRPr="00DF1884">
        <w:rPr>
          <w:szCs w:val="20"/>
        </w:rPr>
        <w:t xml:space="preserve"> </w:t>
      </w:r>
      <w:r w:rsidRPr="00DF1884">
        <w:rPr>
          <w:szCs w:val="20"/>
        </w:rPr>
        <w:t>Disease</w:t>
      </w:r>
      <w:r w:rsidR="00DF1884" w:rsidRPr="00DF1884">
        <w:rPr>
          <w:szCs w:val="20"/>
        </w:rPr>
        <w:t xml:space="preserve"> </w:t>
      </w:r>
      <w:r w:rsidRPr="00DF1884">
        <w:rPr>
          <w:szCs w:val="20"/>
        </w:rPr>
        <w:t>Control</w:t>
      </w:r>
      <w:r w:rsidR="00DF1884" w:rsidRPr="00DF1884">
        <w:rPr>
          <w:szCs w:val="20"/>
        </w:rPr>
        <w:t xml:space="preserve"> </w:t>
      </w:r>
      <w:r w:rsidRPr="00DF1884">
        <w:rPr>
          <w:szCs w:val="20"/>
        </w:rPr>
        <w:t>and</w:t>
      </w:r>
      <w:r w:rsidR="00DF1884" w:rsidRPr="00DF1884">
        <w:rPr>
          <w:szCs w:val="20"/>
        </w:rPr>
        <w:t xml:space="preserve"> </w:t>
      </w:r>
      <w:r w:rsidRPr="00DF1884">
        <w:rPr>
          <w:szCs w:val="20"/>
        </w:rPr>
        <w:t>Prevention</w:t>
      </w:r>
      <w:r w:rsidR="00DF1884" w:rsidRPr="00DF1884">
        <w:rPr>
          <w:szCs w:val="20"/>
        </w:rPr>
        <w:t xml:space="preserve"> </w:t>
      </w:r>
      <w:r w:rsidRPr="00DF1884">
        <w:rPr>
          <w:szCs w:val="20"/>
        </w:rPr>
        <w:t>(CDC).</w:t>
      </w:r>
      <w:r w:rsidR="00DF1884" w:rsidRPr="00DF1884">
        <w:rPr>
          <w:szCs w:val="20"/>
        </w:rPr>
        <w:t xml:space="preserve"> </w:t>
      </w:r>
      <w:r w:rsidRPr="00DF1884">
        <w:rPr>
          <w:szCs w:val="20"/>
        </w:rPr>
        <w:t>2014.</w:t>
      </w:r>
      <w:r w:rsidR="00DF1884" w:rsidRPr="00DF1884">
        <w:rPr>
          <w:szCs w:val="20"/>
        </w:rPr>
        <w:t xml:space="preserve"> </w:t>
      </w:r>
      <w:r w:rsidRPr="00DF1884">
        <w:rPr>
          <w:szCs w:val="20"/>
        </w:rPr>
        <w:t>“National</w:t>
      </w:r>
      <w:r w:rsidR="00DF1884" w:rsidRPr="00DF1884">
        <w:rPr>
          <w:szCs w:val="20"/>
        </w:rPr>
        <w:t xml:space="preserve"> </w:t>
      </w:r>
      <w:r w:rsidRPr="00DF1884">
        <w:rPr>
          <w:szCs w:val="20"/>
        </w:rPr>
        <w:t>Diabetes</w:t>
      </w:r>
      <w:r w:rsidR="00DF1884" w:rsidRPr="00DF1884">
        <w:rPr>
          <w:szCs w:val="20"/>
        </w:rPr>
        <w:t xml:space="preserve"> </w:t>
      </w:r>
      <w:r w:rsidRPr="00DF1884">
        <w:rPr>
          <w:szCs w:val="20"/>
        </w:rPr>
        <w:t>Statistics</w:t>
      </w:r>
      <w:r w:rsidR="00DF1884" w:rsidRPr="00DF1884">
        <w:rPr>
          <w:szCs w:val="20"/>
        </w:rPr>
        <w:t xml:space="preserve"> </w:t>
      </w:r>
      <w:r w:rsidRPr="00DF1884">
        <w:rPr>
          <w:szCs w:val="20"/>
        </w:rPr>
        <w:t>Report:</w:t>
      </w:r>
      <w:r w:rsidR="00DF1884" w:rsidRPr="00DF1884">
        <w:rPr>
          <w:szCs w:val="20"/>
        </w:rPr>
        <w:t xml:space="preserve"> </w:t>
      </w:r>
      <w:r w:rsidRPr="00DF1884">
        <w:rPr>
          <w:szCs w:val="20"/>
        </w:rPr>
        <w:t>Estimates</w:t>
      </w:r>
      <w:r w:rsidR="00DF1884" w:rsidRPr="00DF1884">
        <w:rPr>
          <w:szCs w:val="20"/>
        </w:rPr>
        <w:t xml:space="preserve"> </w:t>
      </w:r>
      <w:r w:rsidRPr="00DF1884">
        <w:rPr>
          <w:szCs w:val="20"/>
        </w:rPr>
        <w:t>of</w:t>
      </w:r>
      <w:r w:rsidR="00DF1884" w:rsidRPr="00DF1884">
        <w:rPr>
          <w:szCs w:val="20"/>
        </w:rPr>
        <w:t xml:space="preserve"> </w:t>
      </w:r>
      <w:r w:rsidRPr="00DF1884">
        <w:rPr>
          <w:szCs w:val="20"/>
        </w:rPr>
        <w:t>Diabetes</w:t>
      </w:r>
      <w:r w:rsidR="00DF1884" w:rsidRPr="00DF1884">
        <w:rPr>
          <w:szCs w:val="20"/>
        </w:rPr>
        <w:t xml:space="preserve"> </w:t>
      </w:r>
      <w:r w:rsidRPr="00DF1884">
        <w:rPr>
          <w:szCs w:val="20"/>
        </w:rPr>
        <w:t>and</w:t>
      </w:r>
      <w:r w:rsidR="00DF1884" w:rsidRPr="00DF1884">
        <w:rPr>
          <w:szCs w:val="20"/>
        </w:rPr>
        <w:t xml:space="preserve"> </w:t>
      </w:r>
      <w:r w:rsidRPr="00DF1884">
        <w:rPr>
          <w:szCs w:val="20"/>
        </w:rPr>
        <w:t>Its</w:t>
      </w:r>
      <w:r w:rsidR="00DF1884" w:rsidRPr="00DF1884">
        <w:rPr>
          <w:szCs w:val="20"/>
        </w:rPr>
        <w:t xml:space="preserve"> </w:t>
      </w:r>
      <w:r w:rsidRPr="00DF1884">
        <w:rPr>
          <w:szCs w:val="20"/>
        </w:rPr>
        <w:t>Burden</w:t>
      </w:r>
      <w:r w:rsidR="00DF1884" w:rsidRPr="00DF1884">
        <w:rPr>
          <w:szCs w:val="20"/>
        </w:rPr>
        <w:t xml:space="preserve"> </w:t>
      </w:r>
      <w:r w:rsidRPr="00DF1884">
        <w:rPr>
          <w:szCs w:val="20"/>
        </w:rPr>
        <w:t>in</w:t>
      </w:r>
      <w:r w:rsidR="00DF1884" w:rsidRPr="00DF1884">
        <w:rPr>
          <w:szCs w:val="20"/>
        </w:rPr>
        <w:t xml:space="preserve"> </w:t>
      </w:r>
      <w:r w:rsidRPr="00DF1884">
        <w:rPr>
          <w:szCs w:val="20"/>
        </w:rPr>
        <w:t>the</w:t>
      </w:r>
      <w:r w:rsidR="00DF1884" w:rsidRPr="00DF1884">
        <w:rPr>
          <w:szCs w:val="20"/>
        </w:rPr>
        <w:t xml:space="preserve"> </w:t>
      </w:r>
      <w:r w:rsidRPr="00DF1884">
        <w:rPr>
          <w:szCs w:val="20"/>
        </w:rPr>
        <w:t>United</w:t>
      </w:r>
      <w:r w:rsidR="00DF1884" w:rsidRPr="00DF1884">
        <w:rPr>
          <w:szCs w:val="20"/>
        </w:rPr>
        <w:t xml:space="preserve"> </w:t>
      </w:r>
      <w:r w:rsidRPr="00DF1884">
        <w:rPr>
          <w:szCs w:val="20"/>
        </w:rPr>
        <w:t>States,</w:t>
      </w:r>
      <w:r w:rsidR="00DF1884" w:rsidRPr="00DF1884">
        <w:rPr>
          <w:szCs w:val="20"/>
        </w:rPr>
        <w:t xml:space="preserve"> </w:t>
      </w:r>
      <w:r w:rsidRPr="00DF1884">
        <w:rPr>
          <w:szCs w:val="20"/>
        </w:rPr>
        <w:t>2014.”</w:t>
      </w:r>
      <w:r w:rsidR="00DF1884" w:rsidRPr="00DF1884">
        <w:rPr>
          <w:szCs w:val="20"/>
        </w:rPr>
        <w:t xml:space="preserve"> </w:t>
      </w:r>
      <w:r w:rsidRPr="00DF1884">
        <w:rPr>
          <w:szCs w:val="20"/>
        </w:rPr>
        <w:t>Atlanta,</w:t>
      </w:r>
      <w:r w:rsidR="00DF1884" w:rsidRPr="00DF1884">
        <w:rPr>
          <w:szCs w:val="20"/>
        </w:rPr>
        <w:t xml:space="preserve"> </w:t>
      </w:r>
      <w:r w:rsidRPr="00DF1884">
        <w:rPr>
          <w:szCs w:val="20"/>
        </w:rPr>
        <w:t>GA:</w:t>
      </w:r>
      <w:r w:rsidR="00DF1884" w:rsidRPr="00DF1884">
        <w:rPr>
          <w:szCs w:val="20"/>
        </w:rPr>
        <w:t xml:space="preserve"> </w:t>
      </w:r>
      <w:r w:rsidRPr="00DF1884">
        <w:rPr>
          <w:szCs w:val="20"/>
        </w:rPr>
        <w:t>U.S.</w:t>
      </w:r>
      <w:r w:rsidR="00DF1884" w:rsidRPr="00DF1884">
        <w:rPr>
          <w:szCs w:val="20"/>
        </w:rPr>
        <w:t xml:space="preserve"> </w:t>
      </w:r>
      <w:r w:rsidRPr="00DF1884">
        <w:rPr>
          <w:szCs w:val="20"/>
        </w:rPr>
        <w:t>Department</w:t>
      </w:r>
      <w:r w:rsidR="00DF1884" w:rsidRPr="00DF1884">
        <w:rPr>
          <w:szCs w:val="20"/>
        </w:rPr>
        <w:t xml:space="preserve"> </w:t>
      </w:r>
      <w:r w:rsidRPr="00DF1884">
        <w:rPr>
          <w:szCs w:val="20"/>
        </w:rPr>
        <w:t>of</w:t>
      </w:r>
      <w:r w:rsidR="00DF1884" w:rsidRPr="00DF1884">
        <w:rPr>
          <w:szCs w:val="20"/>
        </w:rPr>
        <w:t xml:space="preserve"> </w:t>
      </w:r>
      <w:r w:rsidRPr="00DF1884">
        <w:rPr>
          <w:szCs w:val="20"/>
        </w:rPr>
        <w:t>Health</w:t>
      </w:r>
      <w:r w:rsidR="00DF1884" w:rsidRPr="00DF1884">
        <w:rPr>
          <w:szCs w:val="20"/>
        </w:rPr>
        <w:t xml:space="preserve"> </w:t>
      </w:r>
      <w:r w:rsidRPr="00DF1884">
        <w:rPr>
          <w:szCs w:val="20"/>
        </w:rPr>
        <w:t>and</w:t>
      </w:r>
      <w:r w:rsidR="00DF1884" w:rsidRPr="00DF1884">
        <w:rPr>
          <w:szCs w:val="20"/>
        </w:rPr>
        <w:t xml:space="preserve"> </w:t>
      </w:r>
      <w:r w:rsidRPr="00DF1884">
        <w:rPr>
          <w:szCs w:val="20"/>
        </w:rPr>
        <w:t>Human</w:t>
      </w:r>
      <w:r w:rsidR="00DF1884" w:rsidRPr="00DF1884">
        <w:rPr>
          <w:szCs w:val="20"/>
        </w:rPr>
        <w:t xml:space="preserve"> </w:t>
      </w:r>
      <w:r w:rsidRPr="00DF1884">
        <w:rPr>
          <w:szCs w:val="20"/>
        </w:rPr>
        <w:t>Services.</w:t>
      </w:r>
    </w:p>
    <w:p w14:paraId="681E8327" w14:textId="6F3929E6" w:rsidR="005B5649" w:rsidRPr="00DF1884" w:rsidRDefault="005B5649" w:rsidP="005B5649">
      <w:pPr>
        <w:ind w:left="216" w:hanging="216"/>
        <w:rPr>
          <w:szCs w:val="20"/>
        </w:rPr>
      </w:pPr>
      <w:r w:rsidRPr="00DF1884">
        <w:rPr>
          <w:szCs w:val="20"/>
        </w:rPr>
        <w:t>Choudhry,</w:t>
      </w:r>
      <w:r w:rsidR="00DF1884" w:rsidRPr="00DF1884">
        <w:rPr>
          <w:szCs w:val="20"/>
        </w:rPr>
        <w:t xml:space="preserve"> </w:t>
      </w:r>
      <w:r w:rsidRPr="00DF1884">
        <w:rPr>
          <w:szCs w:val="20"/>
        </w:rPr>
        <w:t>N.K.,</w:t>
      </w:r>
      <w:r w:rsidR="00DF1884" w:rsidRPr="00DF1884">
        <w:rPr>
          <w:szCs w:val="20"/>
        </w:rPr>
        <w:t xml:space="preserve"> </w:t>
      </w:r>
      <w:r w:rsidRPr="00DF1884">
        <w:rPr>
          <w:szCs w:val="20"/>
        </w:rPr>
        <w:t>J.</w:t>
      </w:r>
      <w:r w:rsidR="00DF1884" w:rsidRPr="00DF1884">
        <w:rPr>
          <w:szCs w:val="20"/>
        </w:rPr>
        <w:t xml:space="preserve"> </w:t>
      </w:r>
      <w:r w:rsidRPr="00DF1884">
        <w:rPr>
          <w:szCs w:val="20"/>
        </w:rPr>
        <w:t>Avorn,</w:t>
      </w:r>
      <w:r w:rsidR="00DF1884" w:rsidRPr="00DF1884">
        <w:rPr>
          <w:szCs w:val="20"/>
        </w:rPr>
        <w:t xml:space="preserve"> </w:t>
      </w:r>
      <w:r w:rsidRPr="00DF1884">
        <w:rPr>
          <w:szCs w:val="20"/>
        </w:rPr>
        <w:t>R.J.</w:t>
      </w:r>
      <w:r w:rsidR="00DF1884" w:rsidRPr="00DF1884">
        <w:rPr>
          <w:szCs w:val="20"/>
        </w:rPr>
        <w:t xml:space="preserve"> </w:t>
      </w:r>
      <w:r w:rsidRPr="00DF1884">
        <w:rPr>
          <w:szCs w:val="20"/>
        </w:rPr>
        <w:t>Glynn,</w:t>
      </w:r>
      <w:r w:rsidR="00DF1884" w:rsidRPr="00DF1884">
        <w:rPr>
          <w:szCs w:val="20"/>
        </w:rPr>
        <w:t xml:space="preserve"> </w:t>
      </w:r>
      <w:r w:rsidRPr="00DF1884">
        <w:rPr>
          <w:szCs w:val="20"/>
        </w:rPr>
        <w:t>et</w:t>
      </w:r>
      <w:r w:rsidR="00DF1884" w:rsidRPr="00DF1884">
        <w:rPr>
          <w:szCs w:val="20"/>
        </w:rPr>
        <w:t xml:space="preserve"> </w:t>
      </w:r>
      <w:r w:rsidRPr="00DF1884">
        <w:rPr>
          <w:szCs w:val="20"/>
        </w:rPr>
        <w:t>al.</w:t>
      </w:r>
      <w:r w:rsidR="00DF1884" w:rsidRPr="00DF1884">
        <w:rPr>
          <w:szCs w:val="20"/>
        </w:rPr>
        <w:t xml:space="preserve"> </w:t>
      </w:r>
      <w:r w:rsidRPr="00DF1884">
        <w:rPr>
          <w:szCs w:val="20"/>
        </w:rPr>
        <w:t>2011.</w:t>
      </w:r>
      <w:r w:rsidR="00DF1884" w:rsidRPr="00DF1884">
        <w:rPr>
          <w:szCs w:val="20"/>
        </w:rPr>
        <w:t xml:space="preserve"> </w:t>
      </w:r>
      <w:r w:rsidRPr="00DF1884">
        <w:rPr>
          <w:szCs w:val="20"/>
        </w:rPr>
        <w:t>“Full</w:t>
      </w:r>
      <w:r w:rsidR="00DF1884" w:rsidRPr="00DF1884">
        <w:rPr>
          <w:szCs w:val="20"/>
        </w:rPr>
        <w:t xml:space="preserve"> </w:t>
      </w:r>
      <w:r w:rsidRPr="00DF1884">
        <w:rPr>
          <w:szCs w:val="20"/>
        </w:rPr>
        <w:t>coverage</w:t>
      </w:r>
      <w:r w:rsidR="00DF1884" w:rsidRPr="00DF1884">
        <w:rPr>
          <w:szCs w:val="20"/>
        </w:rPr>
        <w:t xml:space="preserve"> </w:t>
      </w:r>
      <w:r w:rsidRPr="00DF1884">
        <w:rPr>
          <w:szCs w:val="20"/>
        </w:rPr>
        <w:t>for</w:t>
      </w:r>
      <w:r w:rsidR="00DF1884" w:rsidRPr="00DF1884">
        <w:rPr>
          <w:szCs w:val="20"/>
        </w:rPr>
        <w:t xml:space="preserve"> </w:t>
      </w:r>
      <w:r w:rsidRPr="00DF1884">
        <w:rPr>
          <w:szCs w:val="20"/>
        </w:rPr>
        <w:t>preventive</w:t>
      </w:r>
      <w:r w:rsidR="00DF1884" w:rsidRPr="00DF1884">
        <w:rPr>
          <w:szCs w:val="20"/>
        </w:rPr>
        <w:t xml:space="preserve"> </w:t>
      </w:r>
      <w:r w:rsidRPr="00DF1884">
        <w:rPr>
          <w:szCs w:val="20"/>
        </w:rPr>
        <w:t>medications</w:t>
      </w:r>
      <w:r w:rsidR="00DF1884" w:rsidRPr="00DF1884">
        <w:rPr>
          <w:szCs w:val="20"/>
        </w:rPr>
        <w:t xml:space="preserve"> </w:t>
      </w:r>
      <w:r w:rsidRPr="00DF1884">
        <w:rPr>
          <w:szCs w:val="20"/>
        </w:rPr>
        <w:t>after</w:t>
      </w:r>
      <w:r w:rsidR="00DF1884" w:rsidRPr="00DF1884">
        <w:rPr>
          <w:szCs w:val="20"/>
        </w:rPr>
        <w:t xml:space="preserve"> </w:t>
      </w:r>
      <w:r w:rsidRPr="00DF1884">
        <w:rPr>
          <w:szCs w:val="20"/>
        </w:rPr>
        <w:t>myocardial</w:t>
      </w:r>
      <w:r w:rsidR="00DF1884" w:rsidRPr="00DF1884">
        <w:rPr>
          <w:szCs w:val="20"/>
        </w:rPr>
        <w:t xml:space="preserve"> </w:t>
      </w:r>
      <w:r w:rsidRPr="00DF1884">
        <w:rPr>
          <w:szCs w:val="20"/>
        </w:rPr>
        <w:t>infarction.”</w:t>
      </w:r>
      <w:r w:rsidR="00DF1884" w:rsidRPr="00DF1884">
        <w:rPr>
          <w:szCs w:val="20"/>
        </w:rPr>
        <w:t xml:space="preserve"> </w:t>
      </w:r>
      <w:r w:rsidR="002E4322" w:rsidRPr="00DF1884">
        <w:rPr>
          <w:i/>
          <w:szCs w:val="20"/>
        </w:rPr>
        <w:t>NEJM</w:t>
      </w:r>
      <w:r w:rsidRPr="00DF1884">
        <w:rPr>
          <w:i/>
          <w:szCs w:val="20"/>
        </w:rPr>
        <w:t>.</w:t>
      </w:r>
      <w:r w:rsidR="00DF1884" w:rsidRPr="00DF1884">
        <w:rPr>
          <w:szCs w:val="20"/>
        </w:rPr>
        <w:t xml:space="preserve"> </w:t>
      </w:r>
      <w:r w:rsidRPr="00DF1884">
        <w:rPr>
          <w:szCs w:val="20"/>
        </w:rPr>
        <w:t>365(22):2088</w:t>
      </w:r>
      <w:r w:rsidR="002E4322" w:rsidRPr="00DF1884">
        <w:rPr>
          <w:szCs w:val="20"/>
        </w:rPr>
        <w:t>–</w:t>
      </w:r>
      <w:r w:rsidRPr="00DF1884">
        <w:rPr>
          <w:szCs w:val="20"/>
        </w:rPr>
        <w:t>97.</w:t>
      </w:r>
    </w:p>
    <w:p w14:paraId="759A4E19" w14:textId="386FAD9A" w:rsidR="005B5649" w:rsidRPr="00DF1884" w:rsidRDefault="005B5649" w:rsidP="005B5649">
      <w:pPr>
        <w:ind w:left="216" w:hanging="216"/>
        <w:rPr>
          <w:b/>
          <w:szCs w:val="20"/>
        </w:rPr>
      </w:pPr>
      <w:r w:rsidRPr="00DF1884">
        <w:rPr>
          <w:szCs w:val="20"/>
        </w:rPr>
        <w:t>Costa,</w:t>
      </w:r>
      <w:r w:rsidR="00DF1884" w:rsidRPr="00DF1884">
        <w:rPr>
          <w:szCs w:val="20"/>
        </w:rPr>
        <w:t xml:space="preserve"> </w:t>
      </w:r>
      <w:r w:rsidRPr="00DF1884">
        <w:rPr>
          <w:szCs w:val="20"/>
        </w:rPr>
        <w:t>J.,</w:t>
      </w:r>
      <w:r w:rsidR="00DF1884" w:rsidRPr="00DF1884">
        <w:rPr>
          <w:szCs w:val="20"/>
        </w:rPr>
        <w:t xml:space="preserve"> </w:t>
      </w:r>
      <w:r w:rsidRPr="00DF1884">
        <w:rPr>
          <w:szCs w:val="20"/>
        </w:rPr>
        <w:t>M.</w:t>
      </w:r>
      <w:r w:rsidR="00DF1884" w:rsidRPr="00DF1884">
        <w:rPr>
          <w:szCs w:val="20"/>
        </w:rPr>
        <w:t xml:space="preserve"> </w:t>
      </w:r>
      <w:r w:rsidRPr="00DF1884">
        <w:rPr>
          <w:szCs w:val="20"/>
        </w:rPr>
        <w:t>Borges,</w:t>
      </w:r>
      <w:r w:rsidR="00DF1884" w:rsidRPr="00DF1884">
        <w:rPr>
          <w:szCs w:val="20"/>
        </w:rPr>
        <w:t xml:space="preserve"> </w:t>
      </w:r>
      <w:r w:rsidRPr="00DF1884">
        <w:rPr>
          <w:szCs w:val="20"/>
        </w:rPr>
        <w:t>C.</w:t>
      </w:r>
      <w:r w:rsidR="00DF1884" w:rsidRPr="00DF1884">
        <w:rPr>
          <w:szCs w:val="20"/>
        </w:rPr>
        <w:t xml:space="preserve"> </w:t>
      </w:r>
      <w:r w:rsidRPr="00DF1884">
        <w:rPr>
          <w:szCs w:val="20"/>
        </w:rPr>
        <w:t>David,</w:t>
      </w:r>
      <w:r w:rsidR="00DF1884" w:rsidRPr="00DF1884">
        <w:rPr>
          <w:szCs w:val="20"/>
        </w:rPr>
        <w:t xml:space="preserve"> </w:t>
      </w:r>
      <w:r w:rsidRPr="00DF1884">
        <w:rPr>
          <w:szCs w:val="20"/>
        </w:rPr>
        <w:t>A.</w:t>
      </w:r>
      <w:r w:rsidR="00DF1884" w:rsidRPr="00DF1884">
        <w:rPr>
          <w:szCs w:val="20"/>
        </w:rPr>
        <w:t xml:space="preserve"> </w:t>
      </w:r>
      <w:r w:rsidRPr="00DF1884">
        <w:rPr>
          <w:szCs w:val="20"/>
        </w:rPr>
        <w:t>Vaz</w:t>
      </w:r>
      <w:r w:rsidR="00DF1884" w:rsidRPr="00DF1884">
        <w:rPr>
          <w:szCs w:val="20"/>
        </w:rPr>
        <w:t xml:space="preserve"> </w:t>
      </w:r>
      <w:r w:rsidRPr="00DF1884">
        <w:rPr>
          <w:szCs w:val="20"/>
        </w:rPr>
        <w:t>Carneiro.</w:t>
      </w:r>
      <w:r w:rsidR="00DF1884" w:rsidRPr="00DF1884">
        <w:rPr>
          <w:szCs w:val="20"/>
        </w:rPr>
        <w:t xml:space="preserve"> </w:t>
      </w:r>
      <w:r w:rsidRPr="00DF1884">
        <w:rPr>
          <w:szCs w:val="20"/>
        </w:rPr>
        <w:t>2006.</w:t>
      </w:r>
      <w:r w:rsidR="00DF1884" w:rsidRPr="00DF1884">
        <w:rPr>
          <w:szCs w:val="20"/>
        </w:rPr>
        <w:t xml:space="preserve"> </w:t>
      </w:r>
      <w:r w:rsidRPr="00DF1884">
        <w:rPr>
          <w:szCs w:val="20"/>
        </w:rPr>
        <w:t>“Efficacy</w:t>
      </w:r>
      <w:r w:rsidR="00DF1884" w:rsidRPr="00DF1884">
        <w:rPr>
          <w:szCs w:val="20"/>
        </w:rPr>
        <w:t xml:space="preserve"> </w:t>
      </w:r>
      <w:r w:rsidRPr="00DF1884">
        <w:rPr>
          <w:szCs w:val="20"/>
        </w:rPr>
        <w:t>of</w:t>
      </w:r>
      <w:r w:rsidR="00DF1884" w:rsidRPr="00DF1884">
        <w:rPr>
          <w:szCs w:val="20"/>
        </w:rPr>
        <w:t xml:space="preserve"> </w:t>
      </w:r>
      <w:r w:rsidRPr="00DF1884">
        <w:rPr>
          <w:szCs w:val="20"/>
        </w:rPr>
        <w:t>lipid</w:t>
      </w:r>
      <w:r w:rsidR="00DF1884" w:rsidRPr="00DF1884">
        <w:rPr>
          <w:szCs w:val="20"/>
        </w:rPr>
        <w:t xml:space="preserve"> </w:t>
      </w:r>
      <w:r w:rsidRPr="00DF1884">
        <w:rPr>
          <w:szCs w:val="20"/>
        </w:rPr>
        <w:t>lowering</w:t>
      </w:r>
      <w:r w:rsidR="00DF1884" w:rsidRPr="00DF1884">
        <w:rPr>
          <w:szCs w:val="20"/>
        </w:rPr>
        <w:t xml:space="preserve"> </w:t>
      </w:r>
      <w:r w:rsidRPr="00DF1884">
        <w:rPr>
          <w:szCs w:val="20"/>
        </w:rPr>
        <w:t>drug</w:t>
      </w:r>
      <w:r w:rsidR="00DF1884" w:rsidRPr="00DF1884">
        <w:rPr>
          <w:szCs w:val="20"/>
        </w:rPr>
        <w:t xml:space="preserve"> </w:t>
      </w:r>
      <w:r w:rsidRPr="00DF1884">
        <w:rPr>
          <w:szCs w:val="20"/>
        </w:rPr>
        <w:t>treatment</w:t>
      </w:r>
      <w:r w:rsidR="00DF1884" w:rsidRPr="00DF1884">
        <w:rPr>
          <w:szCs w:val="20"/>
        </w:rPr>
        <w:t xml:space="preserve"> </w:t>
      </w:r>
      <w:r w:rsidRPr="00DF1884">
        <w:rPr>
          <w:szCs w:val="20"/>
        </w:rPr>
        <w:t>for</w:t>
      </w:r>
      <w:r w:rsidR="00DF1884" w:rsidRPr="00DF1884">
        <w:rPr>
          <w:szCs w:val="20"/>
        </w:rPr>
        <w:t xml:space="preserve"> </w:t>
      </w:r>
      <w:r w:rsidRPr="00DF1884">
        <w:rPr>
          <w:szCs w:val="20"/>
        </w:rPr>
        <w:t>diabetic</w:t>
      </w:r>
      <w:r w:rsidR="00DF1884" w:rsidRPr="00DF1884">
        <w:rPr>
          <w:szCs w:val="20"/>
        </w:rPr>
        <w:t xml:space="preserve"> </w:t>
      </w:r>
      <w:r w:rsidRPr="00DF1884">
        <w:rPr>
          <w:szCs w:val="20"/>
        </w:rPr>
        <w:t>and</w:t>
      </w:r>
      <w:r w:rsidR="00DF1884" w:rsidRPr="00DF1884">
        <w:rPr>
          <w:szCs w:val="20"/>
        </w:rPr>
        <w:t xml:space="preserve"> </w:t>
      </w:r>
      <w:r w:rsidRPr="00DF1884">
        <w:rPr>
          <w:szCs w:val="20"/>
        </w:rPr>
        <w:t>non-diabetic</w:t>
      </w:r>
      <w:r w:rsidR="00DF1884" w:rsidRPr="00DF1884">
        <w:rPr>
          <w:szCs w:val="20"/>
        </w:rPr>
        <w:t xml:space="preserve"> </w:t>
      </w:r>
      <w:r w:rsidRPr="00DF1884">
        <w:rPr>
          <w:szCs w:val="20"/>
        </w:rPr>
        <w:t>patients:</w:t>
      </w:r>
      <w:r w:rsidR="00DF1884" w:rsidRPr="00DF1884">
        <w:rPr>
          <w:szCs w:val="20"/>
        </w:rPr>
        <w:t xml:space="preserve"> </w:t>
      </w:r>
      <w:r w:rsidRPr="00DF1884">
        <w:rPr>
          <w:szCs w:val="20"/>
        </w:rPr>
        <w:t>meta-analysis</w:t>
      </w:r>
      <w:r w:rsidR="00DF1884" w:rsidRPr="00DF1884">
        <w:rPr>
          <w:szCs w:val="20"/>
        </w:rPr>
        <w:t xml:space="preserve"> </w:t>
      </w:r>
      <w:r w:rsidRPr="00DF1884">
        <w:rPr>
          <w:szCs w:val="20"/>
        </w:rPr>
        <w:t>of</w:t>
      </w:r>
      <w:r w:rsidR="00DF1884" w:rsidRPr="00DF1884">
        <w:rPr>
          <w:szCs w:val="20"/>
        </w:rPr>
        <w:t xml:space="preserve"> </w:t>
      </w:r>
      <w:r w:rsidRPr="00DF1884">
        <w:rPr>
          <w:szCs w:val="20"/>
        </w:rPr>
        <w:t>randomised</w:t>
      </w:r>
      <w:r w:rsidR="00DF1884" w:rsidRPr="00DF1884">
        <w:rPr>
          <w:szCs w:val="20"/>
        </w:rPr>
        <w:t xml:space="preserve"> </w:t>
      </w:r>
      <w:r w:rsidRPr="00DF1884">
        <w:rPr>
          <w:szCs w:val="20"/>
        </w:rPr>
        <w:t>controlled</w:t>
      </w:r>
      <w:r w:rsidR="00DF1884" w:rsidRPr="00DF1884">
        <w:rPr>
          <w:szCs w:val="20"/>
        </w:rPr>
        <w:t xml:space="preserve"> </w:t>
      </w:r>
      <w:r w:rsidRPr="00DF1884">
        <w:rPr>
          <w:szCs w:val="20"/>
        </w:rPr>
        <w:t>trials.”</w:t>
      </w:r>
      <w:r w:rsidR="00DF1884" w:rsidRPr="00DF1884">
        <w:rPr>
          <w:szCs w:val="20"/>
        </w:rPr>
        <w:t xml:space="preserve"> </w:t>
      </w:r>
      <w:r w:rsidRPr="00DF1884">
        <w:rPr>
          <w:i/>
          <w:szCs w:val="20"/>
        </w:rPr>
        <w:t>BMJ.</w:t>
      </w:r>
      <w:r w:rsidR="00DF1884" w:rsidRPr="00DF1884">
        <w:rPr>
          <w:szCs w:val="20"/>
        </w:rPr>
        <w:t xml:space="preserve"> </w:t>
      </w:r>
      <w:r w:rsidRPr="00DF1884">
        <w:rPr>
          <w:szCs w:val="20"/>
        </w:rPr>
        <w:t>332(7550):1115-24.</w:t>
      </w:r>
      <w:r w:rsidR="00DF1884" w:rsidRPr="00DF1884">
        <w:rPr>
          <w:szCs w:val="20"/>
        </w:rPr>
        <w:t xml:space="preserve"> </w:t>
      </w:r>
      <w:r w:rsidRPr="00DF1884">
        <w:rPr>
          <w:szCs w:val="20"/>
        </w:rPr>
        <w:t>Epub</w:t>
      </w:r>
      <w:r w:rsidR="00DF1884" w:rsidRPr="00DF1884">
        <w:rPr>
          <w:szCs w:val="20"/>
        </w:rPr>
        <w:t xml:space="preserve"> </w:t>
      </w:r>
      <w:r w:rsidRPr="00DF1884">
        <w:rPr>
          <w:szCs w:val="20"/>
        </w:rPr>
        <w:t>2006</w:t>
      </w:r>
      <w:r w:rsidR="00DF1884" w:rsidRPr="00DF1884">
        <w:rPr>
          <w:szCs w:val="20"/>
        </w:rPr>
        <w:t xml:space="preserve"> </w:t>
      </w:r>
      <w:r w:rsidRPr="00DF1884">
        <w:rPr>
          <w:szCs w:val="20"/>
        </w:rPr>
        <w:t>Apr</w:t>
      </w:r>
      <w:r w:rsidR="00DF1884" w:rsidRPr="00DF1884">
        <w:rPr>
          <w:szCs w:val="20"/>
        </w:rPr>
        <w:t xml:space="preserve"> </w:t>
      </w:r>
      <w:r w:rsidRPr="00DF1884">
        <w:rPr>
          <w:szCs w:val="20"/>
        </w:rPr>
        <w:t>3.</w:t>
      </w:r>
    </w:p>
    <w:p w14:paraId="3BB31A9B" w14:textId="437892D5" w:rsidR="005B5649" w:rsidRPr="00DF1884" w:rsidRDefault="005B5649" w:rsidP="005B5649">
      <w:pPr>
        <w:ind w:left="216" w:hanging="216"/>
        <w:rPr>
          <w:b/>
          <w:szCs w:val="20"/>
        </w:rPr>
      </w:pPr>
      <w:r w:rsidRPr="00DF1884">
        <w:rPr>
          <w:szCs w:val="20"/>
        </w:rPr>
        <w:t>Consumer</w:t>
      </w:r>
      <w:r w:rsidR="00DF1884" w:rsidRPr="00DF1884">
        <w:rPr>
          <w:szCs w:val="20"/>
        </w:rPr>
        <w:t xml:space="preserve"> </w:t>
      </w:r>
      <w:r w:rsidRPr="00DF1884">
        <w:rPr>
          <w:szCs w:val="20"/>
        </w:rPr>
        <w:t>Reports.</w:t>
      </w:r>
      <w:r w:rsidR="00DF1884" w:rsidRPr="00DF1884">
        <w:rPr>
          <w:szCs w:val="20"/>
        </w:rPr>
        <w:t xml:space="preserve"> </w:t>
      </w:r>
      <w:r w:rsidRPr="00DF1884">
        <w:rPr>
          <w:szCs w:val="20"/>
        </w:rPr>
        <w:t>2014.</w:t>
      </w:r>
      <w:r w:rsidR="00DF1884" w:rsidRPr="00DF1884">
        <w:rPr>
          <w:szCs w:val="20"/>
        </w:rPr>
        <w:t xml:space="preserve"> </w:t>
      </w:r>
      <w:r w:rsidRPr="00DF1884">
        <w:rPr>
          <w:szCs w:val="20"/>
        </w:rPr>
        <w:t>“Are</w:t>
      </w:r>
      <w:r w:rsidR="00DF1884" w:rsidRPr="00DF1884">
        <w:rPr>
          <w:szCs w:val="20"/>
        </w:rPr>
        <w:t xml:space="preserve"> </w:t>
      </w:r>
      <w:r w:rsidRPr="00DF1884">
        <w:rPr>
          <w:szCs w:val="20"/>
        </w:rPr>
        <w:t>you</w:t>
      </w:r>
      <w:r w:rsidR="00DF1884" w:rsidRPr="00DF1884">
        <w:rPr>
          <w:szCs w:val="20"/>
        </w:rPr>
        <w:t xml:space="preserve"> </w:t>
      </w:r>
      <w:r w:rsidRPr="00DF1884">
        <w:rPr>
          <w:szCs w:val="20"/>
        </w:rPr>
        <w:t>taking</w:t>
      </w:r>
      <w:r w:rsidR="00DF1884" w:rsidRPr="00DF1884">
        <w:rPr>
          <w:szCs w:val="20"/>
        </w:rPr>
        <w:t xml:space="preserve"> </w:t>
      </w:r>
      <w:r w:rsidRPr="00DF1884">
        <w:rPr>
          <w:szCs w:val="20"/>
        </w:rPr>
        <w:t>the</w:t>
      </w:r>
      <w:r w:rsidR="00DF1884" w:rsidRPr="00DF1884">
        <w:rPr>
          <w:szCs w:val="20"/>
        </w:rPr>
        <w:t xml:space="preserve"> </w:t>
      </w:r>
      <w:r w:rsidRPr="00DF1884">
        <w:rPr>
          <w:szCs w:val="20"/>
        </w:rPr>
        <w:t>right</w:t>
      </w:r>
      <w:r w:rsidR="00DF1884" w:rsidRPr="00DF1884">
        <w:rPr>
          <w:szCs w:val="20"/>
        </w:rPr>
        <w:t xml:space="preserve"> </w:t>
      </w:r>
      <w:r w:rsidRPr="00DF1884">
        <w:rPr>
          <w:szCs w:val="20"/>
        </w:rPr>
        <w:t>treatment</w:t>
      </w:r>
      <w:r w:rsidR="00DF1884" w:rsidRPr="00DF1884">
        <w:rPr>
          <w:szCs w:val="20"/>
        </w:rPr>
        <w:t xml:space="preserve"> </w:t>
      </w:r>
      <w:r w:rsidRPr="00DF1884">
        <w:rPr>
          <w:szCs w:val="20"/>
        </w:rPr>
        <w:t>for</w:t>
      </w:r>
      <w:r w:rsidR="00DF1884" w:rsidRPr="00DF1884">
        <w:rPr>
          <w:szCs w:val="20"/>
        </w:rPr>
        <w:t xml:space="preserve"> </w:t>
      </w:r>
      <w:r w:rsidRPr="00DF1884">
        <w:rPr>
          <w:szCs w:val="20"/>
        </w:rPr>
        <w:t>your</w:t>
      </w:r>
      <w:r w:rsidR="00DF1884" w:rsidRPr="00DF1884">
        <w:rPr>
          <w:szCs w:val="20"/>
        </w:rPr>
        <w:t xml:space="preserve"> </w:t>
      </w:r>
      <w:r w:rsidRPr="00DF1884">
        <w:rPr>
          <w:szCs w:val="20"/>
        </w:rPr>
        <w:t>high</w:t>
      </w:r>
      <w:r w:rsidR="00DF1884" w:rsidRPr="00DF1884">
        <w:rPr>
          <w:szCs w:val="20"/>
        </w:rPr>
        <w:t xml:space="preserve"> </w:t>
      </w:r>
      <w:r w:rsidRPr="00DF1884">
        <w:rPr>
          <w:szCs w:val="20"/>
        </w:rPr>
        <w:t>cholesterol?”</w:t>
      </w:r>
      <w:r w:rsidR="00DF1884" w:rsidRPr="00DF1884">
        <w:rPr>
          <w:szCs w:val="20"/>
        </w:rPr>
        <w:t xml:space="preserve"> </w:t>
      </w:r>
      <w:r w:rsidRPr="00DF1884">
        <w:rPr>
          <w:szCs w:val="20"/>
        </w:rPr>
        <w:t>March.</w:t>
      </w:r>
      <w:r w:rsidR="00DF1884" w:rsidRPr="00DF1884">
        <w:rPr>
          <w:szCs w:val="20"/>
        </w:rPr>
        <w:t xml:space="preserve"> </w:t>
      </w:r>
      <w:hyperlink r:id="rId69" w:history="1">
        <w:r w:rsidRPr="00DF1884">
          <w:rPr>
            <w:rFonts w:cs="Arial"/>
            <w:szCs w:val="20"/>
            <w:u w:val="single"/>
          </w:rPr>
          <w:t>http://www.consumerreports.org/cro/2014/03/treating-high-cholesterol-with-statins/index.htm</w:t>
        </w:r>
      </w:hyperlink>
      <w:r w:rsidR="00DF1884" w:rsidRPr="00DF1884">
        <w:rPr>
          <w:szCs w:val="20"/>
        </w:rPr>
        <w:t xml:space="preserve"> </w:t>
      </w:r>
    </w:p>
    <w:p w14:paraId="61107A28" w14:textId="38365308" w:rsidR="005B5649" w:rsidRPr="00DF1884" w:rsidRDefault="005B5649" w:rsidP="005B5649">
      <w:pPr>
        <w:ind w:left="216" w:hanging="216"/>
        <w:rPr>
          <w:b/>
          <w:szCs w:val="20"/>
        </w:rPr>
      </w:pPr>
      <w:r w:rsidRPr="00DF1884">
        <w:rPr>
          <w:szCs w:val="20"/>
        </w:rPr>
        <w:t>Donnelly,</w:t>
      </w:r>
      <w:r w:rsidR="00DF1884" w:rsidRPr="00DF1884">
        <w:rPr>
          <w:szCs w:val="20"/>
        </w:rPr>
        <w:t xml:space="preserve"> </w:t>
      </w:r>
      <w:r w:rsidRPr="00DF1884">
        <w:rPr>
          <w:szCs w:val="20"/>
        </w:rPr>
        <w:t>L.A.,</w:t>
      </w:r>
      <w:r w:rsidR="00DF1884" w:rsidRPr="00DF1884">
        <w:rPr>
          <w:szCs w:val="20"/>
        </w:rPr>
        <w:t xml:space="preserve"> </w:t>
      </w:r>
      <w:r w:rsidRPr="00DF1884">
        <w:rPr>
          <w:szCs w:val="20"/>
        </w:rPr>
        <w:t>A.S.F.</w:t>
      </w:r>
      <w:r w:rsidR="00DF1884" w:rsidRPr="00DF1884">
        <w:rPr>
          <w:szCs w:val="20"/>
        </w:rPr>
        <w:t xml:space="preserve"> </w:t>
      </w:r>
      <w:r w:rsidRPr="00DF1884">
        <w:rPr>
          <w:szCs w:val="20"/>
        </w:rPr>
        <w:t>Doney,</w:t>
      </w:r>
      <w:r w:rsidR="00DF1884" w:rsidRPr="00DF1884">
        <w:rPr>
          <w:szCs w:val="20"/>
        </w:rPr>
        <w:t xml:space="preserve"> </w:t>
      </w:r>
      <w:r w:rsidRPr="00DF1884">
        <w:rPr>
          <w:szCs w:val="20"/>
        </w:rPr>
        <w:t>A.D.</w:t>
      </w:r>
      <w:r w:rsidR="00DF1884" w:rsidRPr="00DF1884">
        <w:rPr>
          <w:szCs w:val="20"/>
        </w:rPr>
        <w:t xml:space="preserve"> </w:t>
      </w:r>
      <w:r w:rsidRPr="00DF1884">
        <w:rPr>
          <w:szCs w:val="20"/>
        </w:rPr>
        <w:t>Morris,</w:t>
      </w:r>
      <w:r w:rsidR="00DF1884" w:rsidRPr="00DF1884">
        <w:rPr>
          <w:szCs w:val="20"/>
        </w:rPr>
        <w:t xml:space="preserve"> </w:t>
      </w:r>
      <w:r w:rsidRPr="00DF1884">
        <w:rPr>
          <w:szCs w:val="20"/>
        </w:rPr>
        <w:t>et</w:t>
      </w:r>
      <w:r w:rsidR="00DF1884" w:rsidRPr="00DF1884">
        <w:rPr>
          <w:szCs w:val="20"/>
        </w:rPr>
        <w:t xml:space="preserve"> </w:t>
      </w:r>
      <w:r w:rsidRPr="00DF1884">
        <w:rPr>
          <w:szCs w:val="20"/>
        </w:rPr>
        <w:t>al.</w:t>
      </w:r>
      <w:r w:rsidR="00DF1884" w:rsidRPr="00DF1884">
        <w:rPr>
          <w:szCs w:val="20"/>
        </w:rPr>
        <w:t xml:space="preserve"> </w:t>
      </w:r>
      <w:r w:rsidRPr="00DF1884">
        <w:rPr>
          <w:szCs w:val="20"/>
        </w:rPr>
        <w:t>2008.</w:t>
      </w:r>
      <w:r w:rsidR="00DF1884" w:rsidRPr="00DF1884">
        <w:rPr>
          <w:szCs w:val="20"/>
        </w:rPr>
        <w:t xml:space="preserve"> </w:t>
      </w:r>
      <w:r w:rsidRPr="00DF1884">
        <w:rPr>
          <w:szCs w:val="20"/>
        </w:rPr>
        <w:t>“Long-Term</w:t>
      </w:r>
      <w:r w:rsidR="00DF1884" w:rsidRPr="00DF1884">
        <w:rPr>
          <w:szCs w:val="20"/>
        </w:rPr>
        <w:t xml:space="preserve"> </w:t>
      </w:r>
      <w:r w:rsidRPr="00DF1884">
        <w:rPr>
          <w:szCs w:val="20"/>
        </w:rPr>
        <w:t>Adherence</w:t>
      </w:r>
      <w:r w:rsidR="00DF1884" w:rsidRPr="00DF1884">
        <w:rPr>
          <w:szCs w:val="20"/>
        </w:rPr>
        <w:t xml:space="preserve"> </w:t>
      </w:r>
      <w:r w:rsidRPr="00DF1884">
        <w:rPr>
          <w:szCs w:val="20"/>
        </w:rPr>
        <w:t>to</w:t>
      </w:r>
      <w:r w:rsidR="00DF1884" w:rsidRPr="00DF1884">
        <w:rPr>
          <w:szCs w:val="20"/>
        </w:rPr>
        <w:t xml:space="preserve"> </w:t>
      </w:r>
      <w:r w:rsidRPr="00DF1884">
        <w:rPr>
          <w:szCs w:val="20"/>
        </w:rPr>
        <w:t>Statin</w:t>
      </w:r>
      <w:r w:rsidR="00DF1884" w:rsidRPr="00DF1884">
        <w:rPr>
          <w:szCs w:val="20"/>
        </w:rPr>
        <w:t xml:space="preserve"> </w:t>
      </w:r>
      <w:r w:rsidRPr="00DF1884">
        <w:rPr>
          <w:szCs w:val="20"/>
        </w:rPr>
        <w:t>Treatment</w:t>
      </w:r>
      <w:r w:rsidR="00DF1884" w:rsidRPr="00DF1884">
        <w:rPr>
          <w:szCs w:val="20"/>
        </w:rPr>
        <w:t xml:space="preserve"> </w:t>
      </w:r>
      <w:r w:rsidRPr="00DF1884">
        <w:rPr>
          <w:szCs w:val="20"/>
        </w:rPr>
        <w:t>in</w:t>
      </w:r>
      <w:r w:rsidR="00DF1884" w:rsidRPr="00DF1884">
        <w:rPr>
          <w:szCs w:val="20"/>
        </w:rPr>
        <w:t xml:space="preserve"> </w:t>
      </w:r>
      <w:r w:rsidRPr="00DF1884">
        <w:rPr>
          <w:szCs w:val="20"/>
        </w:rPr>
        <w:t>Diabetes.”</w:t>
      </w:r>
      <w:r w:rsidR="00DF1884" w:rsidRPr="00DF1884">
        <w:rPr>
          <w:szCs w:val="20"/>
        </w:rPr>
        <w:t xml:space="preserve"> </w:t>
      </w:r>
      <w:r w:rsidRPr="00DF1884">
        <w:rPr>
          <w:szCs w:val="20"/>
        </w:rPr>
        <w:t>25(7):850</w:t>
      </w:r>
      <w:r w:rsidR="002E4322" w:rsidRPr="00DF1884">
        <w:rPr>
          <w:szCs w:val="20"/>
        </w:rPr>
        <w:t>–</w:t>
      </w:r>
      <w:r w:rsidRPr="00DF1884">
        <w:rPr>
          <w:szCs w:val="20"/>
        </w:rPr>
        <w:t>55.</w:t>
      </w:r>
      <w:r w:rsidR="00DF1884" w:rsidRPr="00DF1884">
        <w:rPr>
          <w:i/>
          <w:szCs w:val="20"/>
        </w:rPr>
        <w:t xml:space="preserve"> </w:t>
      </w:r>
      <w:hyperlink r:id="rId70" w:history="1">
        <w:r w:rsidRPr="00DF1884">
          <w:rPr>
            <w:rFonts w:cs="Arial"/>
            <w:szCs w:val="20"/>
            <w:u w:val="single"/>
          </w:rPr>
          <w:t>http://onlinelibrary.wiley.com/doi/10.1111/j.1464-5491.2008.02476.x/abstract</w:t>
        </w:r>
      </w:hyperlink>
    </w:p>
    <w:p w14:paraId="502B462B" w14:textId="399C5B8C" w:rsidR="005B5649" w:rsidRPr="00DF1884" w:rsidRDefault="005B5649" w:rsidP="005B5649">
      <w:pPr>
        <w:ind w:left="216" w:hanging="216"/>
        <w:rPr>
          <w:b/>
          <w:szCs w:val="20"/>
        </w:rPr>
      </w:pPr>
      <w:r w:rsidRPr="00DF1884">
        <w:rPr>
          <w:szCs w:val="20"/>
        </w:rPr>
        <w:t>Fleetcroft,</w:t>
      </w:r>
      <w:r w:rsidR="00DF1884" w:rsidRPr="00DF1884">
        <w:rPr>
          <w:szCs w:val="20"/>
        </w:rPr>
        <w:t xml:space="preserve"> </w:t>
      </w:r>
      <w:r w:rsidRPr="00DF1884">
        <w:rPr>
          <w:szCs w:val="20"/>
        </w:rPr>
        <w:t>R.,</w:t>
      </w:r>
      <w:r w:rsidR="00DF1884" w:rsidRPr="00DF1884">
        <w:rPr>
          <w:szCs w:val="20"/>
        </w:rPr>
        <w:t xml:space="preserve"> </w:t>
      </w:r>
      <w:r w:rsidRPr="00DF1884">
        <w:rPr>
          <w:szCs w:val="20"/>
        </w:rPr>
        <w:t>P.</w:t>
      </w:r>
      <w:r w:rsidR="00DF1884" w:rsidRPr="00DF1884">
        <w:rPr>
          <w:szCs w:val="20"/>
        </w:rPr>
        <w:t xml:space="preserve"> </w:t>
      </w:r>
      <w:r w:rsidRPr="00DF1884">
        <w:rPr>
          <w:szCs w:val="20"/>
        </w:rPr>
        <w:t>Schofield,</w:t>
      </w:r>
      <w:r w:rsidR="00DF1884" w:rsidRPr="00DF1884">
        <w:rPr>
          <w:szCs w:val="20"/>
        </w:rPr>
        <w:t xml:space="preserve"> </w:t>
      </w:r>
      <w:r w:rsidRPr="00DF1884">
        <w:rPr>
          <w:szCs w:val="20"/>
        </w:rPr>
        <w:t>M.</w:t>
      </w:r>
      <w:r w:rsidR="00DF1884" w:rsidRPr="00DF1884">
        <w:rPr>
          <w:szCs w:val="20"/>
        </w:rPr>
        <w:t xml:space="preserve"> </w:t>
      </w:r>
      <w:r w:rsidRPr="00DF1884">
        <w:rPr>
          <w:szCs w:val="20"/>
        </w:rPr>
        <w:t>Ashworth.</w:t>
      </w:r>
      <w:r w:rsidR="00DF1884" w:rsidRPr="00DF1884">
        <w:rPr>
          <w:szCs w:val="20"/>
        </w:rPr>
        <w:t xml:space="preserve"> </w:t>
      </w:r>
      <w:r w:rsidRPr="00DF1884">
        <w:rPr>
          <w:szCs w:val="20"/>
        </w:rPr>
        <w:t>2014.</w:t>
      </w:r>
      <w:r w:rsidR="00DF1884" w:rsidRPr="00DF1884">
        <w:rPr>
          <w:szCs w:val="20"/>
        </w:rPr>
        <w:t xml:space="preserve"> </w:t>
      </w:r>
      <w:r w:rsidRPr="00DF1884">
        <w:rPr>
          <w:szCs w:val="20"/>
        </w:rPr>
        <w:t>“Variations</w:t>
      </w:r>
      <w:r w:rsidR="00DF1884" w:rsidRPr="00DF1884">
        <w:rPr>
          <w:szCs w:val="20"/>
        </w:rPr>
        <w:t xml:space="preserve"> </w:t>
      </w:r>
      <w:r w:rsidRPr="00DF1884">
        <w:rPr>
          <w:szCs w:val="20"/>
        </w:rPr>
        <w:t>in</w:t>
      </w:r>
      <w:r w:rsidR="00DF1884" w:rsidRPr="00DF1884">
        <w:rPr>
          <w:szCs w:val="20"/>
        </w:rPr>
        <w:t xml:space="preserve"> </w:t>
      </w:r>
      <w:r w:rsidRPr="00DF1884">
        <w:rPr>
          <w:szCs w:val="20"/>
        </w:rPr>
        <w:t>statin-prescribing</w:t>
      </w:r>
      <w:r w:rsidR="00DF1884" w:rsidRPr="00DF1884">
        <w:rPr>
          <w:szCs w:val="20"/>
        </w:rPr>
        <w:t xml:space="preserve"> </w:t>
      </w:r>
      <w:r w:rsidRPr="00DF1884">
        <w:rPr>
          <w:szCs w:val="20"/>
        </w:rPr>
        <w:t>for</w:t>
      </w:r>
      <w:r w:rsidR="00DF1884" w:rsidRPr="00DF1884">
        <w:rPr>
          <w:szCs w:val="20"/>
        </w:rPr>
        <w:t xml:space="preserve"> </w:t>
      </w:r>
      <w:r w:rsidRPr="00DF1884">
        <w:rPr>
          <w:szCs w:val="20"/>
        </w:rPr>
        <w:t>primary</w:t>
      </w:r>
      <w:r w:rsidR="00DF1884" w:rsidRPr="00DF1884">
        <w:rPr>
          <w:szCs w:val="20"/>
        </w:rPr>
        <w:t xml:space="preserve"> </w:t>
      </w:r>
      <w:r w:rsidRPr="00DF1884">
        <w:rPr>
          <w:szCs w:val="20"/>
        </w:rPr>
        <w:t>cardiovascular</w:t>
      </w:r>
      <w:r w:rsidR="00DF1884" w:rsidRPr="00DF1884">
        <w:rPr>
          <w:szCs w:val="20"/>
        </w:rPr>
        <w:t xml:space="preserve"> </w:t>
      </w:r>
      <w:r w:rsidRPr="00DF1884">
        <w:rPr>
          <w:szCs w:val="20"/>
        </w:rPr>
        <w:t>disease</w:t>
      </w:r>
      <w:r w:rsidR="00DF1884" w:rsidRPr="00DF1884">
        <w:rPr>
          <w:szCs w:val="20"/>
        </w:rPr>
        <w:t xml:space="preserve"> </w:t>
      </w:r>
      <w:r w:rsidRPr="00DF1884">
        <w:rPr>
          <w:szCs w:val="20"/>
        </w:rPr>
        <w:t>prevention:</w:t>
      </w:r>
      <w:r w:rsidR="00DF1884" w:rsidRPr="00DF1884">
        <w:rPr>
          <w:szCs w:val="20"/>
        </w:rPr>
        <w:t xml:space="preserve"> </w:t>
      </w:r>
      <w:r w:rsidRPr="00DF1884">
        <w:rPr>
          <w:szCs w:val="20"/>
        </w:rPr>
        <w:t>cross-sectional</w:t>
      </w:r>
      <w:r w:rsidR="00DF1884" w:rsidRPr="00DF1884">
        <w:rPr>
          <w:szCs w:val="20"/>
        </w:rPr>
        <w:t xml:space="preserve"> </w:t>
      </w:r>
      <w:r w:rsidRPr="00DF1884">
        <w:rPr>
          <w:szCs w:val="20"/>
        </w:rPr>
        <w:t>analysis.”</w:t>
      </w:r>
      <w:r w:rsidR="00DF1884" w:rsidRPr="00DF1884">
        <w:rPr>
          <w:szCs w:val="20"/>
        </w:rPr>
        <w:t xml:space="preserve"> </w:t>
      </w:r>
      <w:r w:rsidRPr="00DF1884">
        <w:rPr>
          <w:i/>
          <w:szCs w:val="20"/>
        </w:rPr>
        <w:t>BMC</w:t>
      </w:r>
      <w:r w:rsidR="00DF1884" w:rsidRPr="00DF1884">
        <w:rPr>
          <w:i/>
          <w:szCs w:val="20"/>
        </w:rPr>
        <w:t xml:space="preserve"> </w:t>
      </w:r>
      <w:r w:rsidRPr="00DF1884">
        <w:rPr>
          <w:i/>
          <w:szCs w:val="20"/>
        </w:rPr>
        <w:t>Health</w:t>
      </w:r>
      <w:r w:rsidR="00DF1884" w:rsidRPr="00DF1884">
        <w:rPr>
          <w:i/>
          <w:szCs w:val="20"/>
        </w:rPr>
        <w:t xml:space="preserve"> </w:t>
      </w:r>
      <w:r w:rsidRPr="00DF1884">
        <w:rPr>
          <w:i/>
          <w:szCs w:val="20"/>
        </w:rPr>
        <w:t>Services</w:t>
      </w:r>
      <w:r w:rsidR="00DF1884" w:rsidRPr="00DF1884">
        <w:rPr>
          <w:i/>
          <w:szCs w:val="20"/>
        </w:rPr>
        <w:t xml:space="preserve"> </w:t>
      </w:r>
      <w:r w:rsidRPr="00DF1884">
        <w:rPr>
          <w:i/>
          <w:szCs w:val="20"/>
        </w:rPr>
        <w:t>Research.</w:t>
      </w:r>
      <w:r w:rsidR="00DF1884" w:rsidRPr="00DF1884">
        <w:rPr>
          <w:szCs w:val="20"/>
        </w:rPr>
        <w:t xml:space="preserve"> </w:t>
      </w:r>
      <w:r w:rsidRPr="00DF1884">
        <w:rPr>
          <w:szCs w:val="20"/>
        </w:rPr>
        <w:t>14:414.</w:t>
      </w:r>
      <w:r w:rsidR="00DF1884" w:rsidRPr="00DF1884">
        <w:rPr>
          <w:szCs w:val="20"/>
        </w:rPr>
        <w:t xml:space="preserve"> </w:t>
      </w:r>
      <w:r w:rsidRPr="00DF1884">
        <w:rPr>
          <w:szCs w:val="20"/>
        </w:rPr>
        <w:t>doi:</w:t>
      </w:r>
      <w:r w:rsidR="00DF1884" w:rsidRPr="00DF1884">
        <w:rPr>
          <w:szCs w:val="20"/>
        </w:rPr>
        <w:t xml:space="preserve"> </w:t>
      </w:r>
      <w:r w:rsidRPr="00DF1884">
        <w:rPr>
          <w:szCs w:val="20"/>
        </w:rPr>
        <w:t>10.1186/1472-6963-14-414</w:t>
      </w:r>
      <w:r w:rsidR="002E4322" w:rsidRPr="00DF1884">
        <w:rPr>
          <w:szCs w:val="20"/>
        </w:rPr>
        <w:t>.</w:t>
      </w:r>
    </w:p>
    <w:p w14:paraId="272FC035" w14:textId="1CDDE7F0" w:rsidR="005B5649" w:rsidRPr="00DF1884" w:rsidRDefault="005B5649" w:rsidP="005B5649">
      <w:pPr>
        <w:ind w:left="216" w:hanging="216"/>
        <w:rPr>
          <w:b/>
          <w:szCs w:val="20"/>
        </w:rPr>
      </w:pPr>
      <w:r w:rsidRPr="00DF1884">
        <w:rPr>
          <w:szCs w:val="20"/>
        </w:rPr>
        <w:t>Heidenreich,</w:t>
      </w:r>
      <w:r w:rsidR="00DF1884" w:rsidRPr="00DF1884">
        <w:rPr>
          <w:szCs w:val="20"/>
        </w:rPr>
        <w:t xml:space="preserve"> </w:t>
      </w:r>
      <w:r w:rsidRPr="00DF1884">
        <w:rPr>
          <w:szCs w:val="20"/>
        </w:rPr>
        <w:t>P.A.,</w:t>
      </w:r>
      <w:r w:rsidR="00DF1884" w:rsidRPr="00DF1884">
        <w:rPr>
          <w:szCs w:val="20"/>
        </w:rPr>
        <w:t xml:space="preserve"> </w:t>
      </w:r>
      <w:r w:rsidRPr="00DF1884">
        <w:rPr>
          <w:szCs w:val="20"/>
        </w:rPr>
        <w:t>J.G.</w:t>
      </w:r>
      <w:r w:rsidR="00DF1884" w:rsidRPr="00DF1884">
        <w:rPr>
          <w:szCs w:val="20"/>
        </w:rPr>
        <w:t xml:space="preserve"> </w:t>
      </w:r>
      <w:r w:rsidRPr="00DF1884">
        <w:rPr>
          <w:szCs w:val="20"/>
        </w:rPr>
        <w:t>Trogdon,</w:t>
      </w:r>
      <w:r w:rsidR="00DF1884" w:rsidRPr="00DF1884">
        <w:rPr>
          <w:szCs w:val="20"/>
        </w:rPr>
        <w:t xml:space="preserve"> </w:t>
      </w:r>
      <w:r w:rsidRPr="00DF1884">
        <w:rPr>
          <w:szCs w:val="20"/>
        </w:rPr>
        <w:t>O.A.</w:t>
      </w:r>
      <w:r w:rsidR="00DF1884" w:rsidRPr="00DF1884">
        <w:rPr>
          <w:szCs w:val="20"/>
        </w:rPr>
        <w:t xml:space="preserve"> </w:t>
      </w:r>
      <w:r w:rsidRPr="00DF1884">
        <w:rPr>
          <w:szCs w:val="20"/>
        </w:rPr>
        <w:t>Khavjou,</w:t>
      </w:r>
      <w:r w:rsidR="00DF1884" w:rsidRPr="00DF1884">
        <w:rPr>
          <w:szCs w:val="20"/>
        </w:rPr>
        <w:t xml:space="preserve"> </w:t>
      </w:r>
      <w:r w:rsidRPr="00DF1884">
        <w:rPr>
          <w:szCs w:val="20"/>
        </w:rPr>
        <w:t>et</w:t>
      </w:r>
      <w:r w:rsidR="00DF1884" w:rsidRPr="00DF1884">
        <w:rPr>
          <w:szCs w:val="20"/>
        </w:rPr>
        <w:t xml:space="preserve"> </w:t>
      </w:r>
      <w:r w:rsidRPr="00DF1884">
        <w:rPr>
          <w:szCs w:val="20"/>
        </w:rPr>
        <w:t>al.</w:t>
      </w:r>
      <w:r w:rsidR="00DF1884" w:rsidRPr="00DF1884">
        <w:rPr>
          <w:szCs w:val="20"/>
        </w:rPr>
        <w:t xml:space="preserve"> </w:t>
      </w:r>
      <w:r w:rsidRPr="00DF1884">
        <w:rPr>
          <w:szCs w:val="20"/>
        </w:rPr>
        <w:t>2011.</w:t>
      </w:r>
      <w:r w:rsidR="00DF1884" w:rsidRPr="00DF1884">
        <w:rPr>
          <w:szCs w:val="20"/>
        </w:rPr>
        <w:t xml:space="preserve"> </w:t>
      </w:r>
      <w:r w:rsidRPr="00DF1884">
        <w:rPr>
          <w:szCs w:val="20"/>
        </w:rPr>
        <w:t>“Forecasting</w:t>
      </w:r>
      <w:r w:rsidR="00DF1884" w:rsidRPr="00DF1884">
        <w:rPr>
          <w:szCs w:val="20"/>
        </w:rPr>
        <w:t xml:space="preserve"> </w:t>
      </w:r>
      <w:r w:rsidRPr="00DF1884">
        <w:rPr>
          <w:szCs w:val="20"/>
        </w:rPr>
        <w:t>the</w:t>
      </w:r>
      <w:r w:rsidR="00DF1884" w:rsidRPr="00DF1884">
        <w:rPr>
          <w:szCs w:val="20"/>
        </w:rPr>
        <w:t xml:space="preserve"> </w:t>
      </w:r>
      <w:r w:rsidRPr="00DF1884">
        <w:rPr>
          <w:szCs w:val="20"/>
        </w:rPr>
        <w:t>future</w:t>
      </w:r>
      <w:r w:rsidR="00DF1884" w:rsidRPr="00DF1884">
        <w:rPr>
          <w:szCs w:val="20"/>
        </w:rPr>
        <w:t xml:space="preserve"> </w:t>
      </w:r>
      <w:r w:rsidRPr="00DF1884">
        <w:rPr>
          <w:szCs w:val="20"/>
        </w:rPr>
        <w:t>of</w:t>
      </w:r>
      <w:r w:rsidR="00DF1884" w:rsidRPr="00DF1884">
        <w:rPr>
          <w:szCs w:val="20"/>
        </w:rPr>
        <w:t xml:space="preserve"> </w:t>
      </w:r>
      <w:r w:rsidRPr="00DF1884">
        <w:rPr>
          <w:szCs w:val="20"/>
        </w:rPr>
        <w:t>cardiovascular</w:t>
      </w:r>
      <w:r w:rsidR="00DF1884" w:rsidRPr="00DF1884">
        <w:rPr>
          <w:szCs w:val="20"/>
        </w:rPr>
        <w:t xml:space="preserve"> </w:t>
      </w:r>
      <w:r w:rsidRPr="00DF1884">
        <w:rPr>
          <w:szCs w:val="20"/>
        </w:rPr>
        <w:t>disease</w:t>
      </w:r>
      <w:r w:rsidR="00DF1884" w:rsidRPr="00DF1884">
        <w:rPr>
          <w:szCs w:val="20"/>
        </w:rPr>
        <w:t xml:space="preserve"> </w:t>
      </w:r>
      <w:r w:rsidRPr="00DF1884">
        <w:rPr>
          <w:szCs w:val="20"/>
        </w:rPr>
        <w:t>in</w:t>
      </w:r>
      <w:r w:rsidR="00DF1884" w:rsidRPr="00DF1884">
        <w:rPr>
          <w:szCs w:val="20"/>
        </w:rPr>
        <w:t xml:space="preserve"> </w:t>
      </w:r>
      <w:r w:rsidRPr="00DF1884">
        <w:rPr>
          <w:szCs w:val="20"/>
        </w:rPr>
        <w:t>the</w:t>
      </w:r>
      <w:r w:rsidR="00DF1884" w:rsidRPr="00DF1884">
        <w:rPr>
          <w:szCs w:val="20"/>
        </w:rPr>
        <w:t xml:space="preserve"> </w:t>
      </w:r>
      <w:r w:rsidRPr="00DF1884">
        <w:rPr>
          <w:szCs w:val="20"/>
        </w:rPr>
        <w:t>United</w:t>
      </w:r>
      <w:r w:rsidR="00DF1884" w:rsidRPr="00DF1884">
        <w:rPr>
          <w:szCs w:val="20"/>
        </w:rPr>
        <w:t xml:space="preserve"> </w:t>
      </w:r>
      <w:r w:rsidRPr="00DF1884">
        <w:rPr>
          <w:szCs w:val="20"/>
        </w:rPr>
        <w:t>States:</w:t>
      </w:r>
      <w:r w:rsidR="00DF1884" w:rsidRPr="00DF1884">
        <w:rPr>
          <w:szCs w:val="20"/>
        </w:rPr>
        <w:t xml:space="preserve"> </w:t>
      </w:r>
      <w:r w:rsidRPr="00DF1884">
        <w:rPr>
          <w:szCs w:val="20"/>
        </w:rPr>
        <w:t>a</w:t>
      </w:r>
      <w:r w:rsidR="00DF1884" w:rsidRPr="00DF1884">
        <w:rPr>
          <w:szCs w:val="20"/>
        </w:rPr>
        <w:t xml:space="preserve"> </w:t>
      </w:r>
      <w:r w:rsidRPr="00DF1884">
        <w:rPr>
          <w:szCs w:val="20"/>
        </w:rPr>
        <w:t>policy</w:t>
      </w:r>
      <w:r w:rsidR="00DF1884" w:rsidRPr="00DF1884">
        <w:rPr>
          <w:szCs w:val="20"/>
        </w:rPr>
        <w:t xml:space="preserve"> </w:t>
      </w:r>
      <w:r w:rsidRPr="00DF1884">
        <w:rPr>
          <w:szCs w:val="20"/>
        </w:rPr>
        <w:t>statement</w:t>
      </w:r>
      <w:r w:rsidR="00DF1884" w:rsidRPr="00DF1884">
        <w:rPr>
          <w:szCs w:val="20"/>
        </w:rPr>
        <w:t xml:space="preserve"> </w:t>
      </w:r>
      <w:r w:rsidRPr="00DF1884">
        <w:rPr>
          <w:szCs w:val="20"/>
        </w:rPr>
        <w:t>from</w:t>
      </w:r>
      <w:r w:rsidR="00DF1884" w:rsidRPr="00DF1884">
        <w:rPr>
          <w:szCs w:val="20"/>
        </w:rPr>
        <w:t xml:space="preserve"> </w:t>
      </w:r>
      <w:r w:rsidRPr="00DF1884">
        <w:rPr>
          <w:szCs w:val="20"/>
        </w:rPr>
        <w:t>the</w:t>
      </w:r>
      <w:r w:rsidR="00DF1884" w:rsidRPr="00DF1884">
        <w:rPr>
          <w:szCs w:val="20"/>
        </w:rPr>
        <w:t xml:space="preserve"> </w:t>
      </w:r>
      <w:r w:rsidRPr="00DF1884">
        <w:rPr>
          <w:szCs w:val="20"/>
        </w:rPr>
        <w:t>American</w:t>
      </w:r>
      <w:r w:rsidR="00DF1884" w:rsidRPr="00DF1884">
        <w:rPr>
          <w:szCs w:val="20"/>
        </w:rPr>
        <w:t xml:space="preserve"> </w:t>
      </w:r>
      <w:r w:rsidRPr="00DF1884">
        <w:rPr>
          <w:szCs w:val="20"/>
        </w:rPr>
        <w:t>Heart</w:t>
      </w:r>
      <w:r w:rsidR="00DF1884" w:rsidRPr="00DF1884">
        <w:rPr>
          <w:szCs w:val="20"/>
        </w:rPr>
        <w:t xml:space="preserve"> </w:t>
      </w:r>
      <w:r w:rsidRPr="00DF1884">
        <w:rPr>
          <w:szCs w:val="20"/>
        </w:rPr>
        <w:t>Association.”</w:t>
      </w:r>
      <w:r w:rsidR="00DF1884" w:rsidRPr="00DF1884">
        <w:rPr>
          <w:szCs w:val="20"/>
        </w:rPr>
        <w:t xml:space="preserve"> </w:t>
      </w:r>
      <w:r w:rsidR="002E4322" w:rsidRPr="00DF1884">
        <w:rPr>
          <w:i/>
          <w:szCs w:val="20"/>
        </w:rPr>
        <w:t>Circulation.</w:t>
      </w:r>
      <w:r w:rsidR="00DF1884" w:rsidRPr="00DF1884">
        <w:rPr>
          <w:szCs w:val="20"/>
        </w:rPr>
        <w:t xml:space="preserve"> </w:t>
      </w:r>
      <w:r w:rsidRPr="00DF1884">
        <w:rPr>
          <w:szCs w:val="20"/>
        </w:rPr>
        <w:t>123(8):933-44.</w:t>
      </w:r>
      <w:r w:rsidR="00DF1884" w:rsidRPr="00DF1884">
        <w:rPr>
          <w:szCs w:val="20"/>
        </w:rPr>
        <w:t xml:space="preserve"> </w:t>
      </w:r>
      <w:r w:rsidRPr="00DF1884">
        <w:rPr>
          <w:szCs w:val="20"/>
        </w:rPr>
        <w:t>doi:</w:t>
      </w:r>
      <w:r w:rsidR="00DF1884" w:rsidRPr="00DF1884">
        <w:rPr>
          <w:szCs w:val="20"/>
        </w:rPr>
        <w:t xml:space="preserve"> </w:t>
      </w:r>
      <w:r w:rsidRPr="00DF1884">
        <w:rPr>
          <w:szCs w:val="20"/>
        </w:rPr>
        <w:t>10.1161/CIR.0b013e31820a55f5.</w:t>
      </w:r>
      <w:r w:rsidR="00DF1884" w:rsidRPr="00DF1884">
        <w:rPr>
          <w:szCs w:val="20"/>
        </w:rPr>
        <w:t xml:space="preserve"> </w:t>
      </w:r>
      <w:r w:rsidRPr="00DF1884">
        <w:rPr>
          <w:szCs w:val="20"/>
        </w:rPr>
        <w:t>Epub</w:t>
      </w:r>
      <w:r w:rsidR="00DF1884" w:rsidRPr="00DF1884">
        <w:rPr>
          <w:szCs w:val="20"/>
        </w:rPr>
        <w:t xml:space="preserve"> </w:t>
      </w:r>
      <w:r w:rsidRPr="00DF1884">
        <w:rPr>
          <w:szCs w:val="20"/>
        </w:rPr>
        <w:t>2011</w:t>
      </w:r>
      <w:r w:rsidR="00DF1884" w:rsidRPr="00DF1884">
        <w:rPr>
          <w:szCs w:val="20"/>
        </w:rPr>
        <w:t xml:space="preserve"> </w:t>
      </w:r>
      <w:r w:rsidRPr="00DF1884">
        <w:rPr>
          <w:szCs w:val="20"/>
        </w:rPr>
        <w:t>Jan</w:t>
      </w:r>
      <w:r w:rsidR="00DF1884" w:rsidRPr="00DF1884">
        <w:rPr>
          <w:szCs w:val="20"/>
        </w:rPr>
        <w:t xml:space="preserve"> </w:t>
      </w:r>
      <w:r w:rsidRPr="00DF1884">
        <w:rPr>
          <w:szCs w:val="20"/>
        </w:rPr>
        <w:t>24.</w:t>
      </w:r>
    </w:p>
    <w:p w14:paraId="6DED69E6" w14:textId="67CF122D" w:rsidR="005B5649" w:rsidRPr="00DF1884" w:rsidRDefault="005B5649" w:rsidP="005B5649">
      <w:pPr>
        <w:ind w:left="216" w:hanging="216"/>
        <w:rPr>
          <w:b/>
          <w:szCs w:val="20"/>
        </w:rPr>
      </w:pPr>
      <w:r w:rsidRPr="00DF1884">
        <w:rPr>
          <w:szCs w:val="20"/>
        </w:rPr>
        <w:t>Ho,</w:t>
      </w:r>
      <w:r w:rsidR="00DF1884" w:rsidRPr="00DF1884">
        <w:rPr>
          <w:szCs w:val="20"/>
        </w:rPr>
        <w:t xml:space="preserve"> </w:t>
      </w:r>
      <w:r w:rsidRPr="00DF1884">
        <w:rPr>
          <w:szCs w:val="20"/>
        </w:rPr>
        <w:t>P.M.,</w:t>
      </w:r>
      <w:r w:rsidR="00DF1884" w:rsidRPr="00DF1884">
        <w:rPr>
          <w:szCs w:val="20"/>
        </w:rPr>
        <w:t xml:space="preserve"> </w:t>
      </w:r>
      <w:r w:rsidRPr="00DF1884">
        <w:rPr>
          <w:szCs w:val="20"/>
        </w:rPr>
        <w:t>C.L.</w:t>
      </w:r>
      <w:r w:rsidR="00DF1884" w:rsidRPr="00DF1884">
        <w:rPr>
          <w:szCs w:val="20"/>
        </w:rPr>
        <w:t xml:space="preserve"> </w:t>
      </w:r>
      <w:r w:rsidRPr="00DF1884">
        <w:rPr>
          <w:szCs w:val="20"/>
        </w:rPr>
        <w:t>Bryson,</w:t>
      </w:r>
      <w:r w:rsidR="00DF1884" w:rsidRPr="00DF1884">
        <w:rPr>
          <w:szCs w:val="20"/>
        </w:rPr>
        <w:t xml:space="preserve"> </w:t>
      </w:r>
      <w:r w:rsidRPr="00DF1884">
        <w:rPr>
          <w:szCs w:val="20"/>
        </w:rPr>
        <w:t>J.S.</w:t>
      </w:r>
      <w:r w:rsidR="00DF1884" w:rsidRPr="00DF1884">
        <w:rPr>
          <w:szCs w:val="20"/>
        </w:rPr>
        <w:t xml:space="preserve"> </w:t>
      </w:r>
      <w:r w:rsidRPr="00DF1884">
        <w:rPr>
          <w:szCs w:val="20"/>
        </w:rPr>
        <w:t>Rumsfeld.</w:t>
      </w:r>
      <w:r w:rsidR="00DF1884" w:rsidRPr="00DF1884">
        <w:rPr>
          <w:szCs w:val="20"/>
        </w:rPr>
        <w:t xml:space="preserve"> </w:t>
      </w:r>
      <w:r w:rsidRPr="00DF1884">
        <w:rPr>
          <w:szCs w:val="20"/>
        </w:rPr>
        <w:t>2009.</w:t>
      </w:r>
      <w:r w:rsidR="00DF1884" w:rsidRPr="00DF1884">
        <w:rPr>
          <w:szCs w:val="20"/>
        </w:rPr>
        <w:t xml:space="preserve"> </w:t>
      </w:r>
      <w:r w:rsidRPr="00DF1884">
        <w:rPr>
          <w:szCs w:val="20"/>
        </w:rPr>
        <w:t>“Medication</w:t>
      </w:r>
      <w:r w:rsidR="00DF1884" w:rsidRPr="00DF1884">
        <w:rPr>
          <w:szCs w:val="20"/>
        </w:rPr>
        <w:t xml:space="preserve"> </w:t>
      </w:r>
      <w:r w:rsidRPr="00DF1884">
        <w:rPr>
          <w:szCs w:val="20"/>
        </w:rPr>
        <w:t>adherence:</w:t>
      </w:r>
      <w:r w:rsidR="00DF1884" w:rsidRPr="00DF1884">
        <w:rPr>
          <w:szCs w:val="20"/>
        </w:rPr>
        <w:t xml:space="preserve"> </w:t>
      </w:r>
      <w:r w:rsidRPr="00DF1884">
        <w:rPr>
          <w:szCs w:val="20"/>
        </w:rPr>
        <w:t>its</w:t>
      </w:r>
      <w:r w:rsidR="00DF1884" w:rsidRPr="00DF1884">
        <w:rPr>
          <w:szCs w:val="20"/>
        </w:rPr>
        <w:t xml:space="preserve"> </w:t>
      </w:r>
      <w:r w:rsidRPr="00DF1884">
        <w:rPr>
          <w:szCs w:val="20"/>
        </w:rPr>
        <w:t>importance</w:t>
      </w:r>
      <w:r w:rsidR="00DF1884" w:rsidRPr="00DF1884">
        <w:rPr>
          <w:szCs w:val="20"/>
        </w:rPr>
        <w:t xml:space="preserve"> </w:t>
      </w:r>
      <w:r w:rsidRPr="00DF1884">
        <w:rPr>
          <w:szCs w:val="20"/>
        </w:rPr>
        <w:t>in</w:t>
      </w:r>
      <w:r w:rsidR="00DF1884" w:rsidRPr="00DF1884">
        <w:rPr>
          <w:szCs w:val="20"/>
        </w:rPr>
        <w:t xml:space="preserve"> </w:t>
      </w:r>
      <w:r w:rsidRPr="00DF1884">
        <w:rPr>
          <w:szCs w:val="20"/>
        </w:rPr>
        <w:t>cardiovascular</w:t>
      </w:r>
      <w:r w:rsidR="00DF1884" w:rsidRPr="00DF1884">
        <w:rPr>
          <w:szCs w:val="20"/>
        </w:rPr>
        <w:t xml:space="preserve"> </w:t>
      </w:r>
      <w:r w:rsidRPr="00DF1884">
        <w:rPr>
          <w:szCs w:val="20"/>
        </w:rPr>
        <w:t>outcomes.”</w:t>
      </w:r>
      <w:r w:rsidR="00DF1884" w:rsidRPr="00DF1884">
        <w:rPr>
          <w:i/>
          <w:szCs w:val="20"/>
        </w:rPr>
        <w:t xml:space="preserve"> </w:t>
      </w:r>
      <w:r w:rsidRPr="00DF1884">
        <w:rPr>
          <w:i/>
          <w:szCs w:val="20"/>
        </w:rPr>
        <w:t>Circulation</w:t>
      </w:r>
      <w:r w:rsidR="002E4322" w:rsidRPr="00DF1884">
        <w:rPr>
          <w:i/>
          <w:szCs w:val="20"/>
        </w:rPr>
        <w:t>.</w:t>
      </w:r>
      <w:r w:rsidR="00DF1884" w:rsidRPr="00DF1884">
        <w:rPr>
          <w:i/>
          <w:szCs w:val="20"/>
        </w:rPr>
        <w:t xml:space="preserve"> </w:t>
      </w:r>
      <w:r w:rsidRPr="00DF1884">
        <w:rPr>
          <w:szCs w:val="20"/>
        </w:rPr>
        <w:t>119(23):3028-3035.</w:t>
      </w:r>
    </w:p>
    <w:p w14:paraId="480482AF" w14:textId="6A700A8E" w:rsidR="005B5649" w:rsidRPr="00DF1884" w:rsidRDefault="005B5649" w:rsidP="005B5649">
      <w:pPr>
        <w:ind w:left="216" w:hanging="216"/>
        <w:rPr>
          <w:b/>
          <w:szCs w:val="20"/>
        </w:rPr>
      </w:pPr>
      <w:r w:rsidRPr="00DF1884">
        <w:rPr>
          <w:szCs w:val="20"/>
        </w:rPr>
        <w:t>Lewey,</w:t>
      </w:r>
      <w:r w:rsidR="00DF1884" w:rsidRPr="00DF1884">
        <w:rPr>
          <w:szCs w:val="20"/>
        </w:rPr>
        <w:t xml:space="preserve"> </w:t>
      </w:r>
      <w:r w:rsidRPr="00DF1884">
        <w:rPr>
          <w:szCs w:val="20"/>
        </w:rPr>
        <w:t>J.,</w:t>
      </w:r>
      <w:r w:rsidR="00DF1884" w:rsidRPr="00DF1884">
        <w:rPr>
          <w:szCs w:val="20"/>
        </w:rPr>
        <w:t xml:space="preserve"> </w:t>
      </w:r>
      <w:r w:rsidRPr="00DF1884">
        <w:rPr>
          <w:szCs w:val="20"/>
        </w:rPr>
        <w:t>W.H.</w:t>
      </w:r>
      <w:r w:rsidR="00DF1884" w:rsidRPr="00DF1884">
        <w:rPr>
          <w:szCs w:val="20"/>
        </w:rPr>
        <w:t xml:space="preserve"> </w:t>
      </w:r>
      <w:r w:rsidRPr="00DF1884">
        <w:rPr>
          <w:szCs w:val="20"/>
        </w:rPr>
        <w:t>Shrank,</w:t>
      </w:r>
      <w:r w:rsidR="00DF1884" w:rsidRPr="00DF1884">
        <w:rPr>
          <w:szCs w:val="20"/>
        </w:rPr>
        <w:t xml:space="preserve"> </w:t>
      </w:r>
      <w:r w:rsidRPr="00DF1884">
        <w:rPr>
          <w:szCs w:val="20"/>
        </w:rPr>
        <w:t>A.D.</w:t>
      </w:r>
      <w:r w:rsidR="00DF1884" w:rsidRPr="00DF1884">
        <w:rPr>
          <w:szCs w:val="20"/>
        </w:rPr>
        <w:t xml:space="preserve"> </w:t>
      </w:r>
      <w:r w:rsidRPr="00DF1884">
        <w:rPr>
          <w:szCs w:val="20"/>
        </w:rPr>
        <w:t>Bowry,</w:t>
      </w:r>
      <w:r w:rsidR="00DF1884" w:rsidRPr="00DF1884">
        <w:rPr>
          <w:szCs w:val="20"/>
        </w:rPr>
        <w:t xml:space="preserve"> </w:t>
      </w:r>
      <w:r w:rsidRPr="00DF1884">
        <w:rPr>
          <w:szCs w:val="20"/>
        </w:rPr>
        <w:t>et</w:t>
      </w:r>
      <w:r w:rsidR="00DF1884" w:rsidRPr="00DF1884">
        <w:rPr>
          <w:szCs w:val="20"/>
        </w:rPr>
        <w:t xml:space="preserve"> </w:t>
      </w:r>
      <w:r w:rsidRPr="00DF1884">
        <w:rPr>
          <w:szCs w:val="20"/>
        </w:rPr>
        <w:t>al.</w:t>
      </w:r>
      <w:r w:rsidR="00DF1884" w:rsidRPr="00DF1884">
        <w:rPr>
          <w:szCs w:val="20"/>
        </w:rPr>
        <w:t xml:space="preserve"> </w:t>
      </w:r>
      <w:r w:rsidRPr="00DF1884">
        <w:rPr>
          <w:szCs w:val="20"/>
        </w:rPr>
        <w:t>2013.</w:t>
      </w:r>
      <w:r w:rsidR="00DF1884" w:rsidRPr="00DF1884">
        <w:rPr>
          <w:szCs w:val="20"/>
        </w:rPr>
        <w:t xml:space="preserve"> </w:t>
      </w:r>
      <w:r w:rsidRPr="00DF1884">
        <w:rPr>
          <w:szCs w:val="20"/>
        </w:rPr>
        <w:t>“Gender</w:t>
      </w:r>
      <w:r w:rsidR="00DF1884" w:rsidRPr="00DF1884">
        <w:rPr>
          <w:szCs w:val="20"/>
        </w:rPr>
        <w:t xml:space="preserve"> </w:t>
      </w:r>
      <w:r w:rsidRPr="00DF1884">
        <w:rPr>
          <w:szCs w:val="20"/>
        </w:rPr>
        <w:t>and</w:t>
      </w:r>
      <w:r w:rsidR="00DF1884" w:rsidRPr="00DF1884">
        <w:rPr>
          <w:szCs w:val="20"/>
        </w:rPr>
        <w:t xml:space="preserve"> </w:t>
      </w:r>
      <w:r w:rsidRPr="00DF1884">
        <w:rPr>
          <w:szCs w:val="20"/>
        </w:rPr>
        <w:t>racial</w:t>
      </w:r>
      <w:r w:rsidR="00DF1884" w:rsidRPr="00DF1884">
        <w:rPr>
          <w:szCs w:val="20"/>
        </w:rPr>
        <w:t xml:space="preserve"> </w:t>
      </w:r>
      <w:r w:rsidRPr="00DF1884">
        <w:rPr>
          <w:szCs w:val="20"/>
        </w:rPr>
        <w:t>disparities</w:t>
      </w:r>
      <w:r w:rsidR="00DF1884" w:rsidRPr="00DF1884">
        <w:rPr>
          <w:szCs w:val="20"/>
        </w:rPr>
        <w:t xml:space="preserve"> </w:t>
      </w:r>
      <w:r w:rsidRPr="00DF1884">
        <w:rPr>
          <w:szCs w:val="20"/>
        </w:rPr>
        <w:t>in</w:t>
      </w:r>
      <w:r w:rsidR="00DF1884" w:rsidRPr="00DF1884">
        <w:rPr>
          <w:szCs w:val="20"/>
        </w:rPr>
        <w:t xml:space="preserve"> </w:t>
      </w:r>
      <w:r w:rsidRPr="00DF1884">
        <w:rPr>
          <w:szCs w:val="20"/>
        </w:rPr>
        <w:t>adherence</w:t>
      </w:r>
      <w:r w:rsidR="00DF1884" w:rsidRPr="00DF1884">
        <w:rPr>
          <w:szCs w:val="20"/>
        </w:rPr>
        <w:t xml:space="preserve"> </w:t>
      </w:r>
      <w:r w:rsidRPr="00DF1884">
        <w:rPr>
          <w:szCs w:val="20"/>
        </w:rPr>
        <w:t>to</w:t>
      </w:r>
      <w:r w:rsidR="00DF1884" w:rsidRPr="00DF1884">
        <w:rPr>
          <w:szCs w:val="20"/>
        </w:rPr>
        <w:t xml:space="preserve"> </w:t>
      </w:r>
      <w:r w:rsidRPr="00DF1884">
        <w:rPr>
          <w:szCs w:val="20"/>
        </w:rPr>
        <w:t>statin</w:t>
      </w:r>
      <w:r w:rsidR="00DF1884" w:rsidRPr="00DF1884">
        <w:rPr>
          <w:szCs w:val="20"/>
        </w:rPr>
        <w:t xml:space="preserve"> </w:t>
      </w:r>
      <w:r w:rsidRPr="00DF1884">
        <w:rPr>
          <w:szCs w:val="20"/>
        </w:rPr>
        <w:t>therapy:</w:t>
      </w:r>
      <w:r w:rsidR="00DF1884" w:rsidRPr="00DF1884">
        <w:rPr>
          <w:szCs w:val="20"/>
        </w:rPr>
        <w:t xml:space="preserve"> </w:t>
      </w:r>
      <w:r w:rsidRPr="00DF1884">
        <w:rPr>
          <w:szCs w:val="20"/>
        </w:rPr>
        <w:t>a</w:t>
      </w:r>
      <w:r w:rsidR="00DF1884" w:rsidRPr="00DF1884">
        <w:rPr>
          <w:szCs w:val="20"/>
        </w:rPr>
        <w:t xml:space="preserve"> </w:t>
      </w:r>
      <w:r w:rsidRPr="00DF1884">
        <w:rPr>
          <w:szCs w:val="20"/>
        </w:rPr>
        <w:t>meta-analysis.”</w:t>
      </w:r>
      <w:r w:rsidR="00DF1884" w:rsidRPr="00DF1884">
        <w:rPr>
          <w:szCs w:val="20"/>
        </w:rPr>
        <w:t xml:space="preserve"> </w:t>
      </w:r>
      <w:r w:rsidRPr="00DF1884">
        <w:rPr>
          <w:szCs w:val="20"/>
        </w:rPr>
        <w:t>Am</w:t>
      </w:r>
      <w:r w:rsidR="00DF1884" w:rsidRPr="00DF1884">
        <w:rPr>
          <w:szCs w:val="20"/>
        </w:rPr>
        <w:t xml:space="preserve"> </w:t>
      </w:r>
      <w:r w:rsidRPr="00DF1884">
        <w:rPr>
          <w:szCs w:val="20"/>
        </w:rPr>
        <w:t>Heart</w:t>
      </w:r>
      <w:r w:rsidR="00DF1884" w:rsidRPr="00DF1884">
        <w:rPr>
          <w:szCs w:val="20"/>
        </w:rPr>
        <w:t xml:space="preserve"> </w:t>
      </w:r>
      <w:r w:rsidRPr="00DF1884">
        <w:rPr>
          <w:szCs w:val="20"/>
        </w:rPr>
        <w:t>J</w:t>
      </w:r>
      <w:r w:rsidR="00DF1884" w:rsidRPr="00DF1884">
        <w:rPr>
          <w:szCs w:val="20"/>
        </w:rPr>
        <w:t xml:space="preserve"> </w:t>
      </w:r>
      <w:r w:rsidRPr="00DF1884">
        <w:rPr>
          <w:szCs w:val="20"/>
        </w:rPr>
        <w:t>165(5):665-78,</w:t>
      </w:r>
      <w:r w:rsidR="00DF1884" w:rsidRPr="00DF1884">
        <w:rPr>
          <w:szCs w:val="20"/>
        </w:rPr>
        <w:t xml:space="preserve"> </w:t>
      </w:r>
      <w:r w:rsidRPr="00DF1884">
        <w:rPr>
          <w:szCs w:val="20"/>
        </w:rPr>
        <w:t>678.e1.</w:t>
      </w:r>
      <w:r w:rsidR="00DF1884" w:rsidRPr="00DF1884">
        <w:rPr>
          <w:szCs w:val="20"/>
        </w:rPr>
        <w:t xml:space="preserve"> </w:t>
      </w:r>
      <w:r w:rsidRPr="00DF1884">
        <w:rPr>
          <w:szCs w:val="20"/>
        </w:rPr>
        <w:t>doi:</w:t>
      </w:r>
      <w:r w:rsidR="00DF1884" w:rsidRPr="00DF1884">
        <w:rPr>
          <w:szCs w:val="20"/>
        </w:rPr>
        <w:t xml:space="preserve"> </w:t>
      </w:r>
      <w:r w:rsidRPr="00DF1884">
        <w:rPr>
          <w:szCs w:val="20"/>
        </w:rPr>
        <w:t>10.1016/j.ahj.2013.02.011.</w:t>
      </w:r>
      <w:r w:rsidR="00DF1884" w:rsidRPr="00DF1884">
        <w:rPr>
          <w:szCs w:val="20"/>
        </w:rPr>
        <w:t xml:space="preserve"> </w:t>
      </w:r>
      <w:r w:rsidRPr="00DF1884">
        <w:rPr>
          <w:szCs w:val="20"/>
        </w:rPr>
        <w:t>Epub</w:t>
      </w:r>
      <w:r w:rsidR="00DF1884" w:rsidRPr="00DF1884">
        <w:rPr>
          <w:szCs w:val="20"/>
        </w:rPr>
        <w:t xml:space="preserve"> </w:t>
      </w:r>
      <w:r w:rsidRPr="00DF1884">
        <w:rPr>
          <w:szCs w:val="20"/>
        </w:rPr>
        <w:t>2013</w:t>
      </w:r>
      <w:r w:rsidR="00DF1884" w:rsidRPr="00DF1884">
        <w:rPr>
          <w:szCs w:val="20"/>
        </w:rPr>
        <w:t xml:space="preserve"> </w:t>
      </w:r>
      <w:r w:rsidRPr="00DF1884">
        <w:rPr>
          <w:szCs w:val="20"/>
        </w:rPr>
        <w:t>Mar</w:t>
      </w:r>
      <w:r w:rsidR="00DF1884" w:rsidRPr="00DF1884">
        <w:rPr>
          <w:szCs w:val="20"/>
        </w:rPr>
        <w:t xml:space="preserve"> </w:t>
      </w:r>
      <w:r w:rsidRPr="00DF1884">
        <w:rPr>
          <w:szCs w:val="20"/>
        </w:rPr>
        <w:t>26</w:t>
      </w:r>
    </w:p>
    <w:p w14:paraId="70163D3A" w14:textId="69C068FB" w:rsidR="005B5649" w:rsidRPr="00DF1884" w:rsidRDefault="005B5649" w:rsidP="005B5649">
      <w:pPr>
        <w:ind w:left="216" w:hanging="216"/>
        <w:rPr>
          <w:rFonts w:cs="Arial"/>
          <w:b/>
          <w:szCs w:val="20"/>
          <w:u w:val="single"/>
        </w:rPr>
      </w:pPr>
      <w:r w:rsidRPr="00DF1884">
        <w:rPr>
          <w:szCs w:val="20"/>
        </w:rPr>
        <w:t>Mitka,</w:t>
      </w:r>
      <w:r w:rsidR="00DF1884" w:rsidRPr="00DF1884">
        <w:rPr>
          <w:szCs w:val="20"/>
        </w:rPr>
        <w:t xml:space="preserve"> </w:t>
      </w:r>
      <w:r w:rsidRPr="00DF1884">
        <w:rPr>
          <w:szCs w:val="20"/>
        </w:rPr>
        <w:t>M.</w:t>
      </w:r>
      <w:r w:rsidR="00DF1884" w:rsidRPr="00DF1884">
        <w:rPr>
          <w:szCs w:val="20"/>
        </w:rPr>
        <w:t xml:space="preserve"> </w:t>
      </w:r>
      <w:r w:rsidRPr="00DF1884">
        <w:rPr>
          <w:szCs w:val="20"/>
        </w:rPr>
        <w:t>2010.</w:t>
      </w:r>
      <w:r w:rsidR="00DF1884" w:rsidRPr="00DF1884">
        <w:rPr>
          <w:szCs w:val="20"/>
        </w:rPr>
        <w:t xml:space="preserve"> </w:t>
      </w:r>
      <w:r w:rsidRPr="00DF1884">
        <w:rPr>
          <w:szCs w:val="20"/>
        </w:rPr>
        <w:t>“Improving</w:t>
      </w:r>
      <w:r w:rsidR="00DF1884" w:rsidRPr="00DF1884">
        <w:rPr>
          <w:szCs w:val="20"/>
        </w:rPr>
        <w:t xml:space="preserve"> </w:t>
      </w:r>
      <w:r w:rsidRPr="00DF1884">
        <w:rPr>
          <w:szCs w:val="20"/>
        </w:rPr>
        <w:t>Medication</w:t>
      </w:r>
      <w:r w:rsidR="00DF1884" w:rsidRPr="00DF1884">
        <w:rPr>
          <w:szCs w:val="20"/>
        </w:rPr>
        <w:t xml:space="preserve"> </w:t>
      </w:r>
      <w:r w:rsidRPr="00DF1884">
        <w:rPr>
          <w:szCs w:val="20"/>
        </w:rPr>
        <w:t>Adherence</w:t>
      </w:r>
      <w:r w:rsidR="00DF1884" w:rsidRPr="00DF1884">
        <w:rPr>
          <w:szCs w:val="20"/>
        </w:rPr>
        <w:t xml:space="preserve"> </w:t>
      </w:r>
      <w:r w:rsidRPr="00DF1884">
        <w:rPr>
          <w:szCs w:val="20"/>
        </w:rPr>
        <w:t>Promises</w:t>
      </w:r>
      <w:r w:rsidR="00DF1884" w:rsidRPr="00DF1884">
        <w:rPr>
          <w:szCs w:val="20"/>
        </w:rPr>
        <w:t xml:space="preserve"> </w:t>
      </w:r>
      <w:r w:rsidRPr="00DF1884">
        <w:rPr>
          <w:szCs w:val="20"/>
        </w:rPr>
        <w:t>Great</w:t>
      </w:r>
      <w:r w:rsidR="00DF1884" w:rsidRPr="00DF1884">
        <w:rPr>
          <w:szCs w:val="20"/>
        </w:rPr>
        <w:t xml:space="preserve"> </w:t>
      </w:r>
      <w:r w:rsidRPr="00DF1884">
        <w:rPr>
          <w:szCs w:val="20"/>
        </w:rPr>
        <w:t>Payback,</w:t>
      </w:r>
      <w:r w:rsidR="00DF1884" w:rsidRPr="00DF1884">
        <w:rPr>
          <w:szCs w:val="20"/>
        </w:rPr>
        <w:t xml:space="preserve"> </w:t>
      </w:r>
      <w:r w:rsidRPr="00DF1884">
        <w:rPr>
          <w:szCs w:val="20"/>
        </w:rPr>
        <w:t>but</w:t>
      </w:r>
      <w:r w:rsidR="00DF1884" w:rsidRPr="00DF1884">
        <w:rPr>
          <w:szCs w:val="20"/>
        </w:rPr>
        <w:t xml:space="preserve"> </w:t>
      </w:r>
      <w:r w:rsidRPr="00DF1884">
        <w:rPr>
          <w:szCs w:val="20"/>
        </w:rPr>
        <w:t>Poses</w:t>
      </w:r>
      <w:r w:rsidR="00DF1884" w:rsidRPr="00DF1884">
        <w:rPr>
          <w:szCs w:val="20"/>
        </w:rPr>
        <w:t xml:space="preserve"> </w:t>
      </w:r>
      <w:r w:rsidRPr="00DF1884">
        <w:rPr>
          <w:szCs w:val="20"/>
        </w:rPr>
        <w:t>Tough</w:t>
      </w:r>
      <w:r w:rsidR="00DF1884" w:rsidRPr="00DF1884">
        <w:rPr>
          <w:szCs w:val="20"/>
        </w:rPr>
        <w:t xml:space="preserve"> </w:t>
      </w:r>
      <w:r w:rsidRPr="00DF1884">
        <w:rPr>
          <w:szCs w:val="20"/>
        </w:rPr>
        <w:t>Challenge.”</w:t>
      </w:r>
      <w:r w:rsidR="00DF1884" w:rsidRPr="00DF1884">
        <w:rPr>
          <w:szCs w:val="20"/>
        </w:rPr>
        <w:t xml:space="preserve"> </w:t>
      </w:r>
      <w:r w:rsidRPr="00DF1884">
        <w:rPr>
          <w:i/>
          <w:szCs w:val="20"/>
        </w:rPr>
        <w:t>JAMA</w:t>
      </w:r>
      <w:r w:rsidR="002E4322" w:rsidRPr="00DF1884">
        <w:rPr>
          <w:szCs w:val="20"/>
        </w:rPr>
        <w:t>.</w:t>
      </w:r>
      <w:r w:rsidR="00DF1884" w:rsidRPr="00DF1884">
        <w:rPr>
          <w:szCs w:val="20"/>
        </w:rPr>
        <w:t xml:space="preserve"> </w:t>
      </w:r>
      <w:r w:rsidRPr="00DF1884">
        <w:rPr>
          <w:szCs w:val="20"/>
        </w:rPr>
        <w:t>303(9):825.</w:t>
      </w:r>
      <w:r w:rsidR="00DF1884" w:rsidRPr="00DF1884">
        <w:rPr>
          <w:szCs w:val="20"/>
        </w:rPr>
        <w:t xml:space="preserve"> </w:t>
      </w:r>
      <w:hyperlink r:id="rId71" w:history="1">
        <w:r w:rsidRPr="00DF1884">
          <w:rPr>
            <w:rFonts w:cs="Arial"/>
            <w:szCs w:val="20"/>
            <w:u w:val="single"/>
          </w:rPr>
          <w:t>http://jama.ama-assn.org/content/303/9/825.full</w:t>
        </w:r>
      </w:hyperlink>
    </w:p>
    <w:p w14:paraId="2037C91E" w14:textId="18DFD6B7" w:rsidR="005B5649" w:rsidRPr="00DF1884" w:rsidRDefault="005B5649" w:rsidP="005B5649">
      <w:pPr>
        <w:ind w:left="216" w:hanging="216"/>
        <w:rPr>
          <w:b/>
          <w:szCs w:val="20"/>
        </w:rPr>
      </w:pPr>
      <w:r w:rsidRPr="00DF1884">
        <w:rPr>
          <w:szCs w:val="20"/>
        </w:rPr>
        <w:t>Mozaffarian,</w:t>
      </w:r>
      <w:r w:rsidR="00DF1884" w:rsidRPr="00DF1884">
        <w:rPr>
          <w:szCs w:val="20"/>
        </w:rPr>
        <w:t xml:space="preserve"> </w:t>
      </w:r>
      <w:r w:rsidRPr="00DF1884">
        <w:rPr>
          <w:szCs w:val="20"/>
        </w:rPr>
        <w:t>D.,</w:t>
      </w:r>
      <w:r w:rsidR="00DF1884" w:rsidRPr="00DF1884">
        <w:rPr>
          <w:szCs w:val="20"/>
        </w:rPr>
        <w:t xml:space="preserve"> </w:t>
      </w:r>
      <w:r w:rsidRPr="00DF1884">
        <w:rPr>
          <w:szCs w:val="20"/>
        </w:rPr>
        <w:t>E.J.</w:t>
      </w:r>
      <w:r w:rsidR="00DF1884" w:rsidRPr="00DF1884">
        <w:rPr>
          <w:szCs w:val="20"/>
        </w:rPr>
        <w:t xml:space="preserve"> </w:t>
      </w:r>
      <w:r w:rsidRPr="00DF1884">
        <w:rPr>
          <w:szCs w:val="20"/>
        </w:rPr>
        <w:t>Benjamin,</w:t>
      </w:r>
      <w:r w:rsidR="00DF1884" w:rsidRPr="00DF1884">
        <w:rPr>
          <w:szCs w:val="20"/>
        </w:rPr>
        <w:t xml:space="preserve"> </w:t>
      </w:r>
      <w:r w:rsidRPr="00DF1884">
        <w:rPr>
          <w:szCs w:val="20"/>
        </w:rPr>
        <w:t>A.S.</w:t>
      </w:r>
      <w:r w:rsidR="00DF1884" w:rsidRPr="00DF1884">
        <w:rPr>
          <w:szCs w:val="20"/>
        </w:rPr>
        <w:t xml:space="preserve"> </w:t>
      </w:r>
      <w:r w:rsidRPr="00DF1884">
        <w:rPr>
          <w:szCs w:val="20"/>
        </w:rPr>
        <w:t>Go,</w:t>
      </w:r>
      <w:r w:rsidR="00DF1884" w:rsidRPr="00DF1884">
        <w:rPr>
          <w:szCs w:val="20"/>
        </w:rPr>
        <w:t xml:space="preserve"> </w:t>
      </w:r>
      <w:r w:rsidRPr="00DF1884">
        <w:rPr>
          <w:szCs w:val="20"/>
        </w:rPr>
        <w:t>et</w:t>
      </w:r>
      <w:r w:rsidR="00DF1884" w:rsidRPr="00DF1884">
        <w:rPr>
          <w:szCs w:val="20"/>
        </w:rPr>
        <w:t xml:space="preserve"> </w:t>
      </w:r>
      <w:r w:rsidRPr="00DF1884">
        <w:rPr>
          <w:szCs w:val="20"/>
        </w:rPr>
        <w:t>al.</w:t>
      </w:r>
      <w:r w:rsidR="00DF1884" w:rsidRPr="00DF1884">
        <w:rPr>
          <w:szCs w:val="20"/>
        </w:rPr>
        <w:t xml:space="preserve"> </w:t>
      </w:r>
      <w:r w:rsidRPr="00DF1884">
        <w:rPr>
          <w:szCs w:val="20"/>
        </w:rPr>
        <w:t>2015.</w:t>
      </w:r>
      <w:r w:rsidR="00DF1884" w:rsidRPr="00DF1884">
        <w:rPr>
          <w:szCs w:val="20"/>
        </w:rPr>
        <w:t xml:space="preserve"> </w:t>
      </w:r>
      <w:r w:rsidRPr="00DF1884">
        <w:rPr>
          <w:szCs w:val="20"/>
        </w:rPr>
        <w:t>“Heart</w:t>
      </w:r>
      <w:r w:rsidR="00DF1884" w:rsidRPr="00DF1884">
        <w:rPr>
          <w:szCs w:val="20"/>
        </w:rPr>
        <w:t xml:space="preserve"> </w:t>
      </w:r>
      <w:r w:rsidRPr="00DF1884">
        <w:rPr>
          <w:szCs w:val="20"/>
        </w:rPr>
        <w:t>disease</w:t>
      </w:r>
      <w:r w:rsidR="00DF1884" w:rsidRPr="00DF1884">
        <w:rPr>
          <w:szCs w:val="20"/>
        </w:rPr>
        <w:t xml:space="preserve"> </w:t>
      </w:r>
      <w:r w:rsidRPr="00DF1884">
        <w:rPr>
          <w:szCs w:val="20"/>
        </w:rPr>
        <w:t>and</w:t>
      </w:r>
      <w:r w:rsidR="00DF1884" w:rsidRPr="00DF1884">
        <w:rPr>
          <w:szCs w:val="20"/>
        </w:rPr>
        <w:t xml:space="preserve"> </w:t>
      </w:r>
      <w:r w:rsidRPr="00DF1884">
        <w:rPr>
          <w:szCs w:val="20"/>
        </w:rPr>
        <w:t>stroke</w:t>
      </w:r>
      <w:r w:rsidR="00DF1884" w:rsidRPr="00DF1884">
        <w:rPr>
          <w:szCs w:val="20"/>
        </w:rPr>
        <w:t xml:space="preserve"> </w:t>
      </w:r>
      <w:r w:rsidRPr="00DF1884">
        <w:rPr>
          <w:szCs w:val="20"/>
        </w:rPr>
        <w:t>statistics—2015</w:t>
      </w:r>
      <w:r w:rsidR="00DF1884" w:rsidRPr="00DF1884">
        <w:rPr>
          <w:szCs w:val="20"/>
        </w:rPr>
        <w:t xml:space="preserve"> </w:t>
      </w:r>
      <w:r w:rsidRPr="00DF1884">
        <w:rPr>
          <w:szCs w:val="20"/>
        </w:rPr>
        <w:t>update:</w:t>
      </w:r>
      <w:r w:rsidR="00DF1884" w:rsidRPr="00DF1884">
        <w:rPr>
          <w:szCs w:val="20"/>
        </w:rPr>
        <w:t xml:space="preserve"> </w:t>
      </w:r>
      <w:r w:rsidRPr="00DF1884">
        <w:rPr>
          <w:szCs w:val="20"/>
        </w:rPr>
        <w:t>a</w:t>
      </w:r>
      <w:r w:rsidR="00DF1884" w:rsidRPr="00DF1884">
        <w:rPr>
          <w:szCs w:val="20"/>
        </w:rPr>
        <w:t xml:space="preserve"> </w:t>
      </w:r>
      <w:r w:rsidRPr="00DF1884">
        <w:rPr>
          <w:szCs w:val="20"/>
        </w:rPr>
        <w:t>report</w:t>
      </w:r>
      <w:r w:rsidR="00DF1884" w:rsidRPr="00DF1884">
        <w:rPr>
          <w:szCs w:val="20"/>
        </w:rPr>
        <w:t xml:space="preserve"> </w:t>
      </w:r>
      <w:r w:rsidRPr="00DF1884">
        <w:rPr>
          <w:szCs w:val="20"/>
        </w:rPr>
        <w:t>from</w:t>
      </w:r>
      <w:r w:rsidR="00DF1884" w:rsidRPr="00DF1884">
        <w:rPr>
          <w:szCs w:val="20"/>
        </w:rPr>
        <w:t xml:space="preserve"> </w:t>
      </w:r>
      <w:r w:rsidRPr="00DF1884">
        <w:rPr>
          <w:szCs w:val="20"/>
        </w:rPr>
        <w:t>the</w:t>
      </w:r>
      <w:r w:rsidR="00DF1884" w:rsidRPr="00DF1884">
        <w:rPr>
          <w:szCs w:val="20"/>
        </w:rPr>
        <w:t xml:space="preserve"> </w:t>
      </w:r>
      <w:r w:rsidRPr="00DF1884">
        <w:rPr>
          <w:szCs w:val="20"/>
        </w:rPr>
        <w:t>American</w:t>
      </w:r>
      <w:r w:rsidR="00DF1884" w:rsidRPr="00DF1884">
        <w:rPr>
          <w:szCs w:val="20"/>
        </w:rPr>
        <w:t xml:space="preserve"> </w:t>
      </w:r>
      <w:r w:rsidRPr="00DF1884">
        <w:rPr>
          <w:szCs w:val="20"/>
        </w:rPr>
        <w:t>Heart</w:t>
      </w:r>
      <w:r w:rsidR="00DF1884" w:rsidRPr="00DF1884">
        <w:rPr>
          <w:szCs w:val="20"/>
        </w:rPr>
        <w:t xml:space="preserve"> </w:t>
      </w:r>
      <w:r w:rsidRPr="00DF1884">
        <w:rPr>
          <w:szCs w:val="20"/>
        </w:rPr>
        <w:t>Association.”</w:t>
      </w:r>
      <w:r w:rsidR="00DF1884" w:rsidRPr="00DF1884">
        <w:rPr>
          <w:szCs w:val="20"/>
        </w:rPr>
        <w:t xml:space="preserve"> </w:t>
      </w:r>
      <w:r w:rsidRPr="00DF1884">
        <w:rPr>
          <w:szCs w:val="20"/>
        </w:rPr>
        <w:t>Circulation</w:t>
      </w:r>
      <w:r w:rsidR="00DF1884" w:rsidRPr="00DF1884">
        <w:rPr>
          <w:szCs w:val="20"/>
        </w:rPr>
        <w:t xml:space="preserve"> </w:t>
      </w:r>
      <w:r w:rsidRPr="00DF1884">
        <w:rPr>
          <w:szCs w:val="20"/>
        </w:rPr>
        <w:t>131:e29-e322.</w:t>
      </w:r>
      <w:r w:rsidR="00DF1884" w:rsidRPr="00DF1884">
        <w:rPr>
          <w:szCs w:val="20"/>
        </w:rPr>
        <w:t xml:space="preserve"> </w:t>
      </w:r>
      <w:r w:rsidRPr="00DF1884">
        <w:rPr>
          <w:szCs w:val="20"/>
        </w:rPr>
        <w:t>doi:</w:t>
      </w:r>
      <w:r w:rsidR="00DF1884" w:rsidRPr="00DF1884">
        <w:rPr>
          <w:szCs w:val="20"/>
        </w:rPr>
        <w:t xml:space="preserve"> </w:t>
      </w:r>
      <w:r w:rsidRPr="00DF1884">
        <w:rPr>
          <w:szCs w:val="20"/>
        </w:rPr>
        <w:t>10.1161/CIR.0000000000000152</w:t>
      </w:r>
    </w:p>
    <w:p w14:paraId="172B3EDF" w14:textId="5348319F" w:rsidR="005B5649" w:rsidRPr="00DF1884" w:rsidRDefault="005B5649" w:rsidP="005B5649">
      <w:pPr>
        <w:ind w:left="216" w:hanging="216"/>
        <w:rPr>
          <w:b/>
          <w:szCs w:val="20"/>
          <w:u w:val="single"/>
        </w:rPr>
      </w:pPr>
      <w:r w:rsidRPr="00DF1884">
        <w:rPr>
          <w:szCs w:val="20"/>
        </w:rPr>
        <w:t>Nau,</w:t>
      </w:r>
      <w:r w:rsidR="00DF1884" w:rsidRPr="00DF1884">
        <w:rPr>
          <w:szCs w:val="20"/>
        </w:rPr>
        <w:t xml:space="preserve"> </w:t>
      </w:r>
      <w:r w:rsidRPr="00DF1884">
        <w:rPr>
          <w:szCs w:val="20"/>
        </w:rPr>
        <w:t>D.P.</w:t>
      </w:r>
      <w:r w:rsidR="00DF1884" w:rsidRPr="00DF1884">
        <w:rPr>
          <w:szCs w:val="20"/>
        </w:rPr>
        <w:t xml:space="preserve"> </w:t>
      </w:r>
      <w:r w:rsidRPr="00DF1884">
        <w:rPr>
          <w:szCs w:val="20"/>
        </w:rPr>
        <w:t>2012.</w:t>
      </w:r>
      <w:r w:rsidR="00DF1884" w:rsidRPr="00DF1884">
        <w:rPr>
          <w:szCs w:val="20"/>
        </w:rPr>
        <w:t xml:space="preserve"> </w:t>
      </w:r>
      <w:r w:rsidRPr="00DF1884">
        <w:rPr>
          <w:szCs w:val="20"/>
        </w:rPr>
        <w:t>“Proportion</w:t>
      </w:r>
      <w:r w:rsidR="00DF1884" w:rsidRPr="00DF1884">
        <w:rPr>
          <w:szCs w:val="20"/>
        </w:rPr>
        <w:t xml:space="preserve"> </w:t>
      </w:r>
      <w:r w:rsidRPr="00DF1884">
        <w:rPr>
          <w:szCs w:val="20"/>
        </w:rPr>
        <w:t>of</w:t>
      </w:r>
      <w:r w:rsidR="00DF1884" w:rsidRPr="00DF1884">
        <w:rPr>
          <w:szCs w:val="20"/>
        </w:rPr>
        <w:t xml:space="preserve"> </w:t>
      </w:r>
      <w:r w:rsidRPr="00DF1884">
        <w:rPr>
          <w:szCs w:val="20"/>
        </w:rPr>
        <w:t>Days</w:t>
      </w:r>
      <w:r w:rsidR="00DF1884" w:rsidRPr="00DF1884">
        <w:rPr>
          <w:szCs w:val="20"/>
        </w:rPr>
        <w:t xml:space="preserve"> </w:t>
      </w:r>
      <w:r w:rsidRPr="00DF1884">
        <w:rPr>
          <w:szCs w:val="20"/>
        </w:rPr>
        <w:t>Covered</w:t>
      </w:r>
      <w:r w:rsidR="00DF1884" w:rsidRPr="00DF1884">
        <w:rPr>
          <w:szCs w:val="20"/>
        </w:rPr>
        <w:t xml:space="preserve"> </w:t>
      </w:r>
      <w:r w:rsidRPr="00DF1884">
        <w:rPr>
          <w:szCs w:val="20"/>
        </w:rPr>
        <w:t>(PDC)</w:t>
      </w:r>
      <w:r w:rsidR="00DF1884" w:rsidRPr="00DF1884">
        <w:rPr>
          <w:szCs w:val="20"/>
        </w:rPr>
        <w:t xml:space="preserve"> </w:t>
      </w:r>
      <w:r w:rsidRPr="00DF1884">
        <w:rPr>
          <w:szCs w:val="20"/>
        </w:rPr>
        <w:t>as</w:t>
      </w:r>
      <w:r w:rsidR="00DF1884" w:rsidRPr="00DF1884">
        <w:rPr>
          <w:szCs w:val="20"/>
        </w:rPr>
        <w:t xml:space="preserve"> </w:t>
      </w:r>
      <w:r w:rsidRPr="00DF1884">
        <w:rPr>
          <w:szCs w:val="20"/>
        </w:rPr>
        <w:t>a</w:t>
      </w:r>
      <w:r w:rsidR="00DF1884" w:rsidRPr="00DF1884">
        <w:rPr>
          <w:szCs w:val="20"/>
        </w:rPr>
        <w:t xml:space="preserve"> </w:t>
      </w:r>
      <w:r w:rsidRPr="00DF1884">
        <w:rPr>
          <w:szCs w:val="20"/>
        </w:rPr>
        <w:t>Preferred</w:t>
      </w:r>
      <w:r w:rsidR="00DF1884" w:rsidRPr="00DF1884">
        <w:rPr>
          <w:szCs w:val="20"/>
        </w:rPr>
        <w:t xml:space="preserve"> </w:t>
      </w:r>
      <w:r w:rsidRPr="00DF1884">
        <w:rPr>
          <w:szCs w:val="20"/>
        </w:rPr>
        <w:t>Method</w:t>
      </w:r>
      <w:r w:rsidR="00DF1884" w:rsidRPr="00DF1884">
        <w:rPr>
          <w:szCs w:val="20"/>
        </w:rPr>
        <w:t xml:space="preserve"> </w:t>
      </w:r>
      <w:r w:rsidRPr="00DF1884">
        <w:rPr>
          <w:szCs w:val="20"/>
        </w:rPr>
        <w:t>of</w:t>
      </w:r>
      <w:r w:rsidR="00DF1884" w:rsidRPr="00DF1884">
        <w:rPr>
          <w:szCs w:val="20"/>
        </w:rPr>
        <w:t xml:space="preserve"> </w:t>
      </w:r>
      <w:r w:rsidRPr="00DF1884">
        <w:rPr>
          <w:szCs w:val="20"/>
        </w:rPr>
        <w:t>Measuring</w:t>
      </w:r>
      <w:r w:rsidR="00DF1884" w:rsidRPr="00DF1884">
        <w:rPr>
          <w:szCs w:val="20"/>
        </w:rPr>
        <w:t xml:space="preserve"> </w:t>
      </w:r>
      <w:r w:rsidRPr="00DF1884">
        <w:rPr>
          <w:szCs w:val="20"/>
        </w:rPr>
        <w:t>Medication</w:t>
      </w:r>
      <w:r w:rsidR="00DF1884" w:rsidRPr="00DF1884">
        <w:rPr>
          <w:szCs w:val="20"/>
        </w:rPr>
        <w:t xml:space="preserve"> </w:t>
      </w:r>
      <w:r w:rsidRPr="00DF1884">
        <w:rPr>
          <w:szCs w:val="20"/>
        </w:rPr>
        <w:t>Adherence.”</w:t>
      </w:r>
      <w:r w:rsidR="00DF1884" w:rsidRPr="00DF1884">
        <w:rPr>
          <w:szCs w:val="20"/>
        </w:rPr>
        <w:t xml:space="preserve"> </w:t>
      </w:r>
      <w:r w:rsidRPr="00DF1884">
        <w:rPr>
          <w:szCs w:val="20"/>
        </w:rPr>
        <w:t>Pharmacy</w:t>
      </w:r>
      <w:r w:rsidR="00DF1884" w:rsidRPr="00DF1884">
        <w:rPr>
          <w:szCs w:val="20"/>
        </w:rPr>
        <w:t xml:space="preserve"> </w:t>
      </w:r>
      <w:r w:rsidRPr="00DF1884">
        <w:rPr>
          <w:szCs w:val="20"/>
        </w:rPr>
        <w:t>Quality</w:t>
      </w:r>
      <w:r w:rsidR="00DF1884" w:rsidRPr="00DF1884">
        <w:rPr>
          <w:szCs w:val="20"/>
        </w:rPr>
        <w:t xml:space="preserve"> </w:t>
      </w:r>
      <w:r w:rsidRPr="00DF1884">
        <w:rPr>
          <w:szCs w:val="20"/>
        </w:rPr>
        <w:t>Alliance</w:t>
      </w:r>
      <w:r w:rsidR="00DF1884" w:rsidRPr="00DF1884">
        <w:rPr>
          <w:szCs w:val="20"/>
        </w:rPr>
        <w:t xml:space="preserve"> </w:t>
      </w:r>
      <w:r w:rsidRPr="00DF1884">
        <w:rPr>
          <w:szCs w:val="20"/>
        </w:rPr>
        <w:t>(PQA).</w:t>
      </w:r>
      <w:r w:rsidR="00DF1884" w:rsidRPr="00DF1884">
        <w:rPr>
          <w:szCs w:val="20"/>
        </w:rPr>
        <w:t xml:space="preserve"> </w:t>
      </w:r>
      <w:hyperlink r:id="rId72" w:history="1">
        <w:r w:rsidR="00EA59AA" w:rsidRPr="00AB06E2">
          <w:rPr>
            <w:rStyle w:val="Hyperlink"/>
            <w:rFonts w:cs="Arial"/>
            <w:szCs w:val="20"/>
          </w:rPr>
          <w:t xml:space="preserve">http://ep.yimg.com/ty/cdn/epill/pdcmpr.pdf. </w:t>
        </w:r>
      </w:hyperlink>
    </w:p>
    <w:p w14:paraId="7117A29D" w14:textId="67ACF828" w:rsidR="005B5649" w:rsidRPr="00DF1884" w:rsidRDefault="005B5649" w:rsidP="005B5649">
      <w:pPr>
        <w:ind w:left="216" w:hanging="216"/>
        <w:rPr>
          <w:b/>
          <w:szCs w:val="20"/>
        </w:rPr>
      </w:pPr>
      <w:r w:rsidRPr="00DF1884">
        <w:rPr>
          <w:szCs w:val="20"/>
        </w:rPr>
        <w:t>Nemerovski,</w:t>
      </w:r>
      <w:r w:rsidR="00DF1884" w:rsidRPr="00DF1884">
        <w:rPr>
          <w:szCs w:val="20"/>
        </w:rPr>
        <w:t xml:space="preserve"> </w:t>
      </w:r>
      <w:r w:rsidRPr="00DF1884">
        <w:rPr>
          <w:szCs w:val="20"/>
        </w:rPr>
        <w:t>C.W.,</w:t>
      </w:r>
      <w:r w:rsidR="00DF1884" w:rsidRPr="00DF1884">
        <w:rPr>
          <w:szCs w:val="20"/>
        </w:rPr>
        <w:t xml:space="preserve"> </w:t>
      </w:r>
      <w:r w:rsidRPr="00DF1884">
        <w:rPr>
          <w:szCs w:val="20"/>
        </w:rPr>
        <w:t>J.</w:t>
      </w:r>
      <w:r w:rsidR="00DF1884" w:rsidRPr="00DF1884">
        <w:rPr>
          <w:szCs w:val="20"/>
        </w:rPr>
        <w:t xml:space="preserve"> </w:t>
      </w:r>
      <w:r w:rsidRPr="00DF1884">
        <w:rPr>
          <w:szCs w:val="20"/>
        </w:rPr>
        <w:t>Lekura,</w:t>
      </w:r>
      <w:r w:rsidR="00DF1884" w:rsidRPr="00DF1884">
        <w:rPr>
          <w:szCs w:val="20"/>
        </w:rPr>
        <w:t xml:space="preserve"> </w:t>
      </w:r>
      <w:r w:rsidRPr="00DF1884">
        <w:rPr>
          <w:szCs w:val="20"/>
        </w:rPr>
        <w:t>P.T.</w:t>
      </w:r>
      <w:r w:rsidR="00DF1884" w:rsidRPr="00DF1884">
        <w:rPr>
          <w:szCs w:val="20"/>
        </w:rPr>
        <w:t xml:space="preserve"> </w:t>
      </w:r>
      <w:r w:rsidRPr="00DF1884">
        <w:rPr>
          <w:szCs w:val="20"/>
        </w:rPr>
        <w:t>Mehta,</w:t>
      </w:r>
      <w:r w:rsidR="00DF1884" w:rsidRPr="00DF1884">
        <w:rPr>
          <w:szCs w:val="20"/>
        </w:rPr>
        <w:t xml:space="preserve"> </w:t>
      </w:r>
      <w:r w:rsidRPr="00DF1884">
        <w:rPr>
          <w:szCs w:val="20"/>
        </w:rPr>
        <w:t>C.L.</w:t>
      </w:r>
      <w:r w:rsidR="00DF1884" w:rsidRPr="00DF1884">
        <w:rPr>
          <w:szCs w:val="20"/>
        </w:rPr>
        <w:t xml:space="preserve"> </w:t>
      </w:r>
      <w:r w:rsidRPr="00DF1884">
        <w:rPr>
          <w:szCs w:val="20"/>
        </w:rPr>
        <w:t>Moore.</w:t>
      </w:r>
      <w:r w:rsidR="00DF1884" w:rsidRPr="00DF1884">
        <w:rPr>
          <w:szCs w:val="20"/>
        </w:rPr>
        <w:t xml:space="preserve"> </w:t>
      </w:r>
      <w:r w:rsidRPr="00DF1884">
        <w:rPr>
          <w:szCs w:val="20"/>
        </w:rPr>
        <w:t>2013.</w:t>
      </w:r>
      <w:r w:rsidR="00DF1884" w:rsidRPr="00DF1884">
        <w:rPr>
          <w:szCs w:val="20"/>
        </w:rPr>
        <w:t xml:space="preserve"> </w:t>
      </w:r>
      <w:r w:rsidRPr="00DF1884">
        <w:rPr>
          <w:szCs w:val="20"/>
        </w:rPr>
        <w:t>“Safety</w:t>
      </w:r>
      <w:r w:rsidR="00DF1884" w:rsidRPr="00DF1884">
        <w:rPr>
          <w:szCs w:val="20"/>
        </w:rPr>
        <w:t xml:space="preserve"> </w:t>
      </w:r>
      <w:r w:rsidRPr="00DF1884">
        <w:rPr>
          <w:szCs w:val="20"/>
        </w:rPr>
        <w:t>and</w:t>
      </w:r>
      <w:r w:rsidR="00DF1884" w:rsidRPr="00DF1884">
        <w:rPr>
          <w:szCs w:val="20"/>
        </w:rPr>
        <w:t xml:space="preserve"> </w:t>
      </w:r>
      <w:r w:rsidRPr="00DF1884">
        <w:rPr>
          <w:szCs w:val="20"/>
        </w:rPr>
        <w:t>efficacy</w:t>
      </w:r>
      <w:r w:rsidR="00DF1884" w:rsidRPr="00DF1884">
        <w:rPr>
          <w:szCs w:val="20"/>
        </w:rPr>
        <w:t xml:space="preserve"> </w:t>
      </w:r>
      <w:r w:rsidRPr="00DF1884">
        <w:rPr>
          <w:szCs w:val="20"/>
        </w:rPr>
        <w:t>of</w:t>
      </w:r>
      <w:r w:rsidR="00DF1884" w:rsidRPr="00DF1884">
        <w:rPr>
          <w:szCs w:val="20"/>
        </w:rPr>
        <w:t xml:space="preserve"> </w:t>
      </w:r>
      <w:r w:rsidRPr="00DF1884">
        <w:rPr>
          <w:szCs w:val="20"/>
        </w:rPr>
        <w:t>statins</w:t>
      </w:r>
      <w:r w:rsidR="00DF1884" w:rsidRPr="00DF1884">
        <w:rPr>
          <w:szCs w:val="20"/>
        </w:rPr>
        <w:t xml:space="preserve"> </w:t>
      </w:r>
      <w:r w:rsidRPr="00DF1884">
        <w:rPr>
          <w:szCs w:val="20"/>
        </w:rPr>
        <w:t>in</w:t>
      </w:r>
      <w:r w:rsidR="00DF1884" w:rsidRPr="00DF1884">
        <w:rPr>
          <w:szCs w:val="20"/>
        </w:rPr>
        <w:t xml:space="preserve"> </w:t>
      </w:r>
      <w:r w:rsidRPr="00DF1884">
        <w:rPr>
          <w:szCs w:val="20"/>
        </w:rPr>
        <w:t>patients</w:t>
      </w:r>
      <w:r w:rsidR="00DF1884" w:rsidRPr="00DF1884">
        <w:rPr>
          <w:szCs w:val="20"/>
        </w:rPr>
        <w:t xml:space="preserve"> </w:t>
      </w:r>
      <w:r w:rsidRPr="00DF1884">
        <w:rPr>
          <w:szCs w:val="20"/>
        </w:rPr>
        <w:t>with</w:t>
      </w:r>
      <w:r w:rsidR="00DF1884" w:rsidRPr="00DF1884">
        <w:rPr>
          <w:szCs w:val="20"/>
        </w:rPr>
        <w:t xml:space="preserve"> </w:t>
      </w:r>
      <w:r w:rsidRPr="00DF1884">
        <w:rPr>
          <w:szCs w:val="20"/>
        </w:rPr>
        <w:t>end-stage</w:t>
      </w:r>
      <w:r w:rsidR="00DF1884" w:rsidRPr="00DF1884">
        <w:rPr>
          <w:szCs w:val="20"/>
        </w:rPr>
        <w:t xml:space="preserve"> </w:t>
      </w:r>
      <w:r w:rsidRPr="00DF1884">
        <w:rPr>
          <w:szCs w:val="20"/>
        </w:rPr>
        <w:t>renal</w:t>
      </w:r>
      <w:r w:rsidR="00DF1884" w:rsidRPr="00DF1884">
        <w:rPr>
          <w:szCs w:val="20"/>
        </w:rPr>
        <w:t xml:space="preserve"> </w:t>
      </w:r>
      <w:r w:rsidRPr="00DF1884">
        <w:rPr>
          <w:szCs w:val="20"/>
        </w:rPr>
        <w:t>disease.”</w:t>
      </w:r>
      <w:r w:rsidR="00DF1884" w:rsidRPr="00DF1884">
        <w:rPr>
          <w:szCs w:val="20"/>
        </w:rPr>
        <w:t xml:space="preserve"> </w:t>
      </w:r>
      <w:r w:rsidRPr="00DF1884">
        <w:rPr>
          <w:i/>
          <w:szCs w:val="20"/>
        </w:rPr>
        <w:t>The</w:t>
      </w:r>
      <w:r w:rsidR="00DF1884" w:rsidRPr="00DF1884">
        <w:rPr>
          <w:i/>
          <w:szCs w:val="20"/>
        </w:rPr>
        <w:t xml:space="preserve"> </w:t>
      </w:r>
      <w:r w:rsidRPr="00DF1884">
        <w:rPr>
          <w:i/>
          <w:szCs w:val="20"/>
        </w:rPr>
        <w:t>Annals</w:t>
      </w:r>
      <w:r w:rsidR="00DF1884" w:rsidRPr="00DF1884">
        <w:rPr>
          <w:i/>
          <w:szCs w:val="20"/>
        </w:rPr>
        <w:t xml:space="preserve"> </w:t>
      </w:r>
      <w:r w:rsidRPr="00DF1884">
        <w:rPr>
          <w:i/>
          <w:szCs w:val="20"/>
        </w:rPr>
        <w:t>of</w:t>
      </w:r>
      <w:r w:rsidR="00DF1884" w:rsidRPr="00DF1884">
        <w:rPr>
          <w:i/>
          <w:szCs w:val="20"/>
        </w:rPr>
        <w:t xml:space="preserve"> </w:t>
      </w:r>
      <w:r w:rsidRPr="00DF1884">
        <w:rPr>
          <w:i/>
          <w:szCs w:val="20"/>
        </w:rPr>
        <w:t>Pharmacotherapy</w:t>
      </w:r>
      <w:r w:rsidR="002E4322" w:rsidRPr="00DF1884">
        <w:rPr>
          <w:i/>
          <w:szCs w:val="20"/>
        </w:rPr>
        <w:t>.</w:t>
      </w:r>
      <w:r w:rsidR="00DF1884" w:rsidRPr="00DF1884">
        <w:rPr>
          <w:i/>
          <w:szCs w:val="20"/>
        </w:rPr>
        <w:t xml:space="preserve"> </w:t>
      </w:r>
      <w:r w:rsidRPr="00DF1884">
        <w:rPr>
          <w:szCs w:val="20"/>
        </w:rPr>
        <w:t>47(10):1321</w:t>
      </w:r>
      <w:r w:rsidR="002E4322" w:rsidRPr="00DF1884">
        <w:rPr>
          <w:szCs w:val="20"/>
        </w:rPr>
        <w:t>–</w:t>
      </w:r>
      <w:r w:rsidRPr="00DF1884">
        <w:rPr>
          <w:szCs w:val="20"/>
        </w:rPr>
        <w:t>9.</w:t>
      </w:r>
      <w:r w:rsidR="00DF1884" w:rsidRPr="00DF1884">
        <w:rPr>
          <w:szCs w:val="20"/>
        </w:rPr>
        <w:t xml:space="preserve"> </w:t>
      </w:r>
      <w:r w:rsidRPr="00DF1884">
        <w:rPr>
          <w:szCs w:val="20"/>
        </w:rPr>
        <w:t>doi:</w:t>
      </w:r>
      <w:r w:rsidR="00DF1884" w:rsidRPr="00DF1884">
        <w:rPr>
          <w:szCs w:val="20"/>
        </w:rPr>
        <w:t xml:space="preserve"> </w:t>
      </w:r>
      <w:r w:rsidRPr="00DF1884">
        <w:rPr>
          <w:szCs w:val="20"/>
        </w:rPr>
        <w:t>10.1177/1060028013501997.</w:t>
      </w:r>
    </w:p>
    <w:p w14:paraId="32C64451" w14:textId="49E3A86D" w:rsidR="005B5649" w:rsidRPr="00DF1884" w:rsidRDefault="005B5649" w:rsidP="005B5649">
      <w:pPr>
        <w:ind w:left="216" w:hanging="216"/>
        <w:rPr>
          <w:b/>
          <w:szCs w:val="20"/>
        </w:rPr>
      </w:pPr>
      <w:r w:rsidRPr="00DF1884">
        <w:rPr>
          <w:szCs w:val="20"/>
        </w:rPr>
        <w:lastRenderedPageBreak/>
        <w:t>Parker,</w:t>
      </w:r>
      <w:r w:rsidR="00DF1884" w:rsidRPr="00DF1884">
        <w:rPr>
          <w:szCs w:val="20"/>
        </w:rPr>
        <w:t xml:space="preserve"> </w:t>
      </w:r>
      <w:r w:rsidRPr="00DF1884">
        <w:rPr>
          <w:szCs w:val="20"/>
        </w:rPr>
        <w:t>B.A.,</w:t>
      </w:r>
      <w:r w:rsidR="00DF1884" w:rsidRPr="00DF1884">
        <w:rPr>
          <w:szCs w:val="20"/>
        </w:rPr>
        <w:t xml:space="preserve"> </w:t>
      </w:r>
      <w:r w:rsidRPr="00DF1884">
        <w:rPr>
          <w:szCs w:val="20"/>
        </w:rPr>
        <w:t>J.A.</w:t>
      </w:r>
      <w:r w:rsidR="00DF1884" w:rsidRPr="00DF1884">
        <w:rPr>
          <w:szCs w:val="20"/>
        </w:rPr>
        <w:t xml:space="preserve"> </w:t>
      </w:r>
      <w:r w:rsidRPr="00DF1884">
        <w:rPr>
          <w:szCs w:val="20"/>
        </w:rPr>
        <w:t>Capizzi,</w:t>
      </w:r>
      <w:r w:rsidR="00DF1884" w:rsidRPr="00DF1884">
        <w:rPr>
          <w:szCs w:val="20"/>
        </w:rPr>
        <w:t xml:space="preserve"> </w:t>
      </w:r>
      <w:r w:rsidRPr="00DF1884">
        <w:rPr>
          <w:szCs w:val="20"/>
        </w:rPr>
        <w:t>A.S.</w:t>
      </w:r>
      <w:r w:rsidR="00DF1884" w:rsidRPr="00DF1884">
        <w:rPr>
          <w:szCs w:val="20"/>
        </w:rPr>
        <w:t xml:space="preserve"> </w:t>
      </w:r>
      <w:r w:rsidRPr="00DF1884">
        <w:rPr>
          <w:szCs w:val="20"/>
        </w:rPr>
        <w:t>Grimaldi,</w:t>
      </w:r>
      <w:r w:rsidR="00DF1884" w:rsidRPr="00DF1884">
        <w:rPr>
          <w:szCs w:val="20"/>
        </w:rPr>
        <w:t xml:space="preserve"> </w:t>
      </w:r>
      <w:r w:rsidRPr="00DF1884">
        <w:rPr>
          <w:szCs w:val="20"/>
        </w:rPr>
        <w:t>et</w:t>
      </w:r>
      <w:r w:rsidR="00DF1884" w:rsidRPr="00DF1884">
        <w:rPr>
          <w:szCs w:val="20"/>
        </w:rPr>
        <w:t xml:space="preserve"> </w:t>
      </w:r>
      <w:r w:rsidRPr="00DF1884">
        <w:rPr>
          <w:szCs w:val="20"/>
        </w:rPr>
        <w:t>al.</w:t>
      </w:r>
      <w:r w:rsidR="00DF1884" w:rsidRPr="00DF1884">
        <w:rPr>
          <w:szCs w:val="20"/>
        </w:rPr>
        <w:t xml:space="preserve"> </w:t>
      </w:r>
      <w:r w:rsidRPr="00DF1884">
        <w:rPr>
          <w:szCs w:val="20"/>
        </w:rPr>
        <w:t>2013.</w:t>
      </w:r>
      <w:r w:rsidR="00DF1884" w:rsidRPr="00DF1884">
        <w:rPr>
          <w:szCs w:val="20"/>
        </w:rPr>
        <w:t xml:space="preserve"> </w:t>
      </w:r>
      <w:r w:rsidRPr="00DF1884">
        <w:rPr>
          <w:szCs w:val="20"/>
        </w:rPr>
        <w:t>“Effect</w:t>
      </w:r>
      <w:r w:rsidR="00DF1884" w:rsidRPr="00DF1884">
        <w:rPr>
          <w:szCs w:val="20"/>
        </w:rPr>
        <w:t xml:space="preserve"> </w:t>
      </w:r>
      <w:r w:rsidRPr="00DF1884">
        <w:rPr>
          <w:szCs w:val="20"/>
        </w:rPr>
        <w:t>of</w:t>
      </w:r>
      <w:r w:rsidR="00DF1884" w:rsidRPr="00DF1884">
        <w:rPr>
          <w:szCs w:val="20"/>
        </w:rPr>
        <w:t xml:space="preserve"> </w:t>
      </w:r>
      <w:r w:rsidRPr="00DF1884">
        <w:rPr>
          <w:szCs w:val="20"/>
        </w:rPr>
        <w:t>statins</w:t>
      </w:r>
      <w:r w:rsidR="00DF1884" w:rsidRPr="00DF1884">
        <w:rPr>
          <w:szCs w:val="20"/>
        </w:rPr>
        <w:t xml:space="preserve"> </w:t>
      </w:r>
      <w:r w:rsidRPr="00DF1884">
        <w:rPr>
          <w:szCs w:val="20"/>
        </w:rPr>
        <w:t>on</w:t>
      </w:r>
      <w:r w:rsidR="00DF1884" w:rsidRPr="00DF1884">
        <w:rPr>
          <w:szCs w:val="20"/>
        </w:rPr>
        <w:t xml:space="preserve"> </w:t>
      </w:r>
      <w:r w:rsidRPr="00DF1884">
        <w:rPr>
          <w:szCs w:val="20"/>
        </w:rPr>
        <w:t>skeletal</w:t>
      </w:r>
      <w:r w:rsidR="00DF1884" w:rsidRPr="00DF1884">
        <w:rPr>
          <w:szCs w:val="20"/>
        </w:rPr>
        <w:t xml:space="preserve"> </w:t>
      </w:r>
      <w:r w:rsidRPr="00DF1884">
        <w:rPr>
          <w:szCs w:val="20"/>
        </w:rPr>
        <w:t>muscle</w:t>
      </w:r>
      <w:r w:rsidR="00DF1884" w:rsidRPr="00DF1884">
        <w:rPr>
          <w:szCs w:val="20"/>
        </w:rPr>
        <w:t xml:space="preserve"> </w:t>
      </w:r>
      <w:r w:rsidRPr="00DF1884">
        <w:rPr>
          <w:szCs w:val="20"/>
        </w:rPr>
        <w:t>function.”</w:t>
      </w:r>
      <w:r w:rsidR="00DF1884" w:rsidRPr="00DF1884">
        <w:rPr>
          <w:szCs w:val="20"/>
        </w:rPr>
        <w:t xml:space="preserve"> </w:t>
      </w:r>
      <w:r w:rsidRPr="00DF1884">
        <w:rPr>
          <w:i/>
          <w:szCs w:val="20"/>
        </w:rPr>
        <w:t>Circulation</w:t>
      </w:r>
      <w:r w:rsidR="002E4322" w:rsidRPr="00DF1884">
        <w:rPr>
          <w:i/>
          <w:szCs w:val="20"/>
        </w:rPr>
        <w:t>.</w:t>
      </w:r>
      <w:r w:rsidR="00DF1884" w:rsidRPr="00DF1884">
        <w:rPr>
          <w:i/>
          <w:szCs w:val="20"/>
        </w:rPr>
        <w:t xml:space="preserve"> </w:t>
      </w:r>
      <w:r w:rsidRPr="00DF1884">
        <w:rPr>
          <w:szCs w:val="20"/>
        </w:rPr>
        <w:t>127(1):96-103.</w:t>
      </w:r>
      <w:r w:rsidR="00DF1884" w:rsidRPr="00DF1884">
        <w:rPr>
          <w:szCs w:val="20"/>
        </w:rPr>
        <w:t xml:space="preserve"> </w:t>
      </w:r>
      <w:r w:rsidRPr="00DF1884">
        <w:rPr>
          <w:szCs w:val="20"/>
        </w:rPr>
        <w:t>doi.</w:t>
      </w:r>
      <w:r w:rsidR="00DF1884" w:rsidRPr="00DF1884">
        <w:rPr>
          <w:szCs w:val="20"/>
        </w:rPr>
        <w:t xml:space="preserve"> </w:t>
      </w:r>
      <w:r w:rsidRPr="00DF1884">
        <w:rPr>
          <w:szCs w:val="20"/>
        </w:rPr>
        <w:t>10.1161/CIRCULATIONAHA.112.136101.</w:t>
      </w:r>
    </w:p>
    <w:p w14:paraId="7B37A4D3" w14:textId="72E8F4D5" w:rsidR="005B5649" w:rsidRPr="00DF1884" w:rsidRDefault="005B5649" w:rsidP="005B5649">
      <w:pPr>
        <w:ind w:left="216" w:hanging="216"/>
        <w:rPr>
          <w:b/>
          <w:szCs w:val="20"/>
        </w:rPr>
      </w:pPr>
      <w:r w:rsidRPr="00DF1884">
        <w:rPr>
          <w:szCs w:val="20"/>
        </w:rPr>
        <w:t>Rasmussen,</w:t>
      </w:r>
      <w:r w:rsidR="00DF1884" w:rsidRPr="00DF1884">
        <w:rPr>
          <w:szCs w:val="20"/>
        </w:rPr>
        <w:t xml:space="preserve"> </w:t>
      </w:r>
      <w:r w:rsidRPr="00DF1884">
        <w:rPr>
          <w:szCs w:val="20"/>
        </w:rPr>
        <w:t>J.N.,</w:t>
      </w:r>
      <w:r w:rsidR="00DF1884" w:rsidRPr="00DF1884">
        <w:rPr>
          <w:szCs w:val="20"/>
        </w:rPr>
        <w:t xml:space="preserve"> </w:t>
      </w:r>
      <w:r w:rsidRPr="00DF1884">
        <w:rPr>
          <w:szCs w:val="20"/>
        </w:rPr>
        <w:t>A.</w:t>
      </w:r>
      <w:r w:rsidR="00DF1884" w:rsidRPr="00DF1884">
        <w:rPr>
          <w:szCs w:val="20"/>
        </w:rPr>
        <w:t xml:space="preserve"> </w:t>
      </w:r>
      <w:r w:rsidRPr="00DF1884">
        <w:rPr>
          <w:szCs w:val="20"/>
        </w:rPr>
        <w:t>Chong,</w:t>
      </w:r>
      <w:r w:rsidR="00DF1884" w:rsidRPr="00DF1884">
        <w:rPr>
          <w:szCs w:val="20"/>
        </w:rPr>
        <w:t xml:space="preserve"> </w:t>
      </w:r>
      <w:r w:rsidRPr="00DF1884">
        <w:rPr>
          <w:szCs w:val="20"/>
        </w:rPr>
        <w:t>D.A.</w:t>
      </w:r>
      <w:r w:rsidR="00DF1884" w:rsidRPr="00DF1884">
        <w:rPr>
          <w:szCs w:val="20"/>
        </w:rPr>
        <w:t xml:space="preserve"> </w:t>
      </w:r>
      <w:r w:rsidRPr="00DF1884">
        <w:rPr>
          <w:szCs w:val="20"/>
        </w:rPr>
        <w:t>Alter.</w:t>
      </w:r>
      <w:r w:rsidR="00DF1884" w:rsidRPr="00DF1884">
        <w:rPr>
          <w:szCs w:val="20"/>
        </w:rPr>
        <w:t xml:space="preserve"> </w:t>
      </w:r>
      <w:r w:rsidRPr="00DF1884">
        <w:rPr>
          <w:szCs w:val="20"/>
        </w:rPr>
        <w:t>2007.</w:t>
      </w:r>
      <w:r w:rsidR="00DF1884" w:rsidRPr="00DF1884">
        <w:rPr>
          <w:szCs w:val="20"/>
        </w:rPr>
        <w:t xml:space="preserve"> </w:t>
      </w:r>
      <w:r w:rsidRPr="00DF1884">
        <w:rPr>
          <w:szCs w:val="20"/>
        </w:rPr>
        <w:t>“Relationship</w:t>
      </w:r>
      <w:r w:rsidR="00DF1884" w:rsidRPr="00DF1884">
        <w:rPr>
          <w:szCs w:val="20"/>
        </w:rPr>
        <w:t xml:space="preserve"> </w:t>
      </w:r>
      <w:r w:rsidRPr="00DF1884">
        <w:rPr>
          <w:szCs w:val="20"/>
        </w:rPr>
        <w:t>between</w:t>
      </w:r>
      <w:r w:rsidR="00DF1884" w:rsidRPr="00DF1884">
        <w:rPr>
          <w:szCs w:val="20"/>
        </w:rPr>
        <w:t xml:space="preserve"> </w:t>
      </w:r>
      <w:r w:rsidRPr="00DF1884">
        <w:rPr>
          <w:szCs w:val="20"/>
        </w:rPr>
        <w:t>adherence</w:t>
      </w:r>
      <w:r w:rsidR="00DF1884" w:rsidRPr="00DF1884">
        <w:rPr>
          <w:szCs w:val="20"/>
        </w:rPr>
        <w:t xml:space="preserve"> </w:t>
      </w:r>
      <w:r w:rsidRPr="00DF1884">
        <w:rPr>
          <w:szCs w:val="20"/>
        </w:rPr>
        <w:t>to</w:t>
      </w:r>
      <w:r w:rsidR="00DF1884" w:rsidRPr="00DF1884">
        <w:rPr>
          <w:szCs w:val="20"/>
        </w:rPr>
        <w:t xml:space="preserve"> </w:t>
      </w:r>
      <w:r w:rsidRPr="00DF1884">
        <w:rPr>
          <w:szCs w:val="20"/>
        </w:rPr>
        <w:t>evidence-based</w:t>
      </w:r>
      <w:r w:rsidR="00DF1884" w:rsidRPr="00DF1884">
        <w:rPr>
          <w:szCs w:val="20"/>
        </w:rPr>
        <w:t xml:space="preserve"> </w:t>
      </w:r>
      <w:r w:rsidRPr="00DF1884">
        <w:rPr>
          <w:szCs w:val="20"/>
        </w:rPr>
        <w:t>pharmacotherapy</w:t>
      </w:r>
      <w:r w:rsidR="00DF1884" w:rsidRPr="00DF1884">
        <w:rPr>
          <w:szCs w:val="20"/>
        </w:rPr>
        <w:t xml:space="preserve"> </w:t>
      </w:r>
      <w:r w:rsidRPr="00DF1884">
        <w:rPr>
          <w:szCs w:val="20"/>
        </w:rPr>
        <w:t>and</w:t>
      </w:r>
      <w:r w:rsidR="00DF1884" w:rsidRPr="00DF1884">
        <w:rPr>
          <w:szCs w:val="20"/>
        </w:rPr>
        <w:t xml:space="preserve"> </w:t>
      </w:r>
      <w:r w:rsidRPr="00DF1884">
        <w:rPr>
          <w:szCs w:val="20"/>
        </w:rPr>
        <w:t>long-term</w:t>
      </w:r>
      <w:r w:rsidR="00DF1884" w:rsidRPr="00DF1884">
        <w:rPr>
          <w:szCs w:val="20"/>
        </w:rPr>
        <w:t xml:space="preserve"> </w:t>
      </w:r>
      <w:r w:rsidRPr="00DF1884">
        <w:rPr>
          <w:szCs w:val="20"/>
        </w:rPr>
        <w:t>mortality</w:t>
      </w:r>
      <w:r w:rsidR="00DF1884" w:rsidRPr="00DF1884">
        <w:rPr>
          <w:szCs w:val="20"/>
        </w:rPr>
        <w:t xml:space="preserve"> </w:t>
      </w:r>
      <w:r w:rsidRPr="00DF1884">
        <w:rPr>
          <w:szCs w:val="20"/>
        </w:rPr>
        <w:t>after</w:t>
      </w:r>
      <w:r w:rsidR="00DF1884" w:rsidRPr="00DF1884">
        <w:rPr>
          <w:szCs w:val="20"/>
        </w:rPr>
        <w:t xml:space="preserve"> </w:t>
      </w:r>
      <w:r w:rsidRPr="00DF1884">
        <w:rPr>
          <w:szCs w:val="20"/>
        </w:rPr>
        <w:t>acute</w:t>
      </w:r>
      <w:r w:rsidR="00DF1884" w:rsidRPr="00DF1884">
        <w:rPr>
          <w:szCs w:val="20"/>
        </w:rPr>
        <w:t xml:space="preserve"> </w:t>
      </w:r>
      <w:r w:rsidRPr="00DF1884">
        <w:rPr>
          <w:szCs w:val="20"/>
        </w:rPr>
        <w:t>myocardial</w:t>
      </w:r>
      <w:r w:rsidR="00DF1884" w:rsidRPr="00DF1884">
        <w:rPr>
          <w:szCs w:val="20"/>
        </w:rPr>
        <w:t xml:space="preserve"> </w:t>
      </w:r>
      <w:r w:rsidRPr="00DF1884">
        <w:rPr>
          <w:szCs w:val="20"/>
        </w:rPr>
        <w:t>infarction.”</w:t>
      </w:r>
      <w:r w:rsidR="00DF1884" w:rsidRPr="00DF1884">
        <w:rPr>
          <w:szCs w:val="20"/>
        </w:rPr>
        <w:t xml:space="preserve"> </w:t>
      </w:r>
      <w:r w:rsidR="002E4322" w:rsidRPr="00DF1884">
        <w:rPr>
          <w:i/>
          <w:szCs w:val="20"/>
        </w:rPr>
        <w:t>JAMA.</w:t>
      </w:r>
      <w:r w:rsidR="00DF1884" w:rsidRPr="00DF1884">
        <w:rPr>
          <w:i/>
          <w:szCs w:val="20"/>
        </w:rPr>
        <w:t xml:space="preserve"> </w:t>
      </w:r>
      <w:r w:rsidRPr="00DF1884">
        <w:rPr>
          <w:szCs w:val="20"/>
        </w:rPr>
        <w:t>297(2):177</w:t>
      </w:r>
      <w:r w:rsidR="002E4322" w:rsidRPr="00DF1884">
        <w:rPr>
          <w:szCs w:val="20"/>
        </w:rPr>
        <w:t>–</w:t>
      </w:r>
      <w:r w:rsidRPr="00DF1884">
        <w:rPr>
          <w:szCs w:val="20"/>
        </w:rPr>
        <w:t>86.</w:t>
      </w:r>
    </w:p>
    <w:p w14:paraId="20BB24D8" w14:textId="566F895B" w:rsidR="005B5649" w:rsidRPr="00DF1884" w:rsidRDefault="005B5649" w:rsidP="005B5649">
      <w:pPr>
        <w:ind w:left="216" w:hanging="216"/>
        <w:rPr>
          <w:rFonts w:cs="Arial"/>
          <w:b/>
          <w:szCs w:val="20"/>
          <w:u w:val="single"/>
        </w:rPr>
      </w:pPr>
      <w:r w:rsidRPr="00DF1884">
        <w:rPr>
          <w:szCs w:val="20"/>
        </w:rPr>
        <w:t>Spratt,</w:t>
      </w:r>
      <w:r w:rsidR="00DF1884" w:rsidRPr="00DF1884">
        <w:rPr>
          <w:szCs w:val="20"/>
        </w:rPr>
        <w:t xml:space="preserve"> </w:t>
      </w:r>
      <w:r w:rsidRPr="00DF1884">
        <w:rPr>
          <w:szCs w:val="20"/>
        </w:rPr>
        <w:t>K.A.</w:t>
      </w:r>
      <w:r w:rsidR="00DF1884" w:rsidRPr="00DF1884">
        <w:rPr>
          <w:szCs w:val="20"/>
        </w:rPr>
        <w:t xml:space="preserve"> </w:t>
      </w:r>
      <w:r w:rsidRPr="00DF1884">
        <w:rPr>
          <w:szCs w:val="20"/>
        </w:rPr>
        <w:t>2009.</w:t>
      </w:r>
      <w:r w:rsidR="00DF1884" w:rsidRPr="00DF1884">
        <w:rPr>
          <w:szCs w:val="20"/>
        </w:rPr>
        <w:t xml:space="preserve"> </w:t>
      </w:r>
      <w:r w:rsidRPr="00DF1884">
        <w:rPr>
          <w:szCs w:val="20"/>
        </w:rPr>
        <w:t>“Managing</w:t>
      </w:r>
      <w:r w:rsidR="00DF1884" w:rsidRPr="00DF1884">
        <w:rPr>
          <w:szCs w:val="20"/>
        </w:rPr>
        <w:t xml:space="preserve"> </w:t>
      </w:r>
      <w:r w:rsidRPr="00DF1884">
        <w:rPr>
          <w:szCs w:val="20"/>
        </w:rPr>
        <w:t>Diabetic</w:t>
      </w:r>
      <w:r w:rsidR="00DF1884" w:rsidRPr="00DF1884">
        <w:rPr>
          <w:szCs w:val="20"/>
        </w:rPr>
        <w:t xml:space="preserve"> </w:t>
      </w:r>
      <w:r w:rsidRPr="00DF1884">
        <w:rPr>
          <w:szCs w:val="20"/>
        </w:rPr>
        <w:t>Dyslipidemia:</w:t>
      </w:r>
      <w:r w:rsidR="00DF1884" w:rsidRPr="00DF1884">
        <w:rPr>
          <w:szCs w:val="20"/>
        </w:rPr>
        <w:t xml:space="preserve"> </w:t>
      </w:r>
      <w:r w:rsidRPr="00DF1884">
        <w:rPr>
          <w:szCs w:val="20"/>
        </w:rPr>
        <w:t>Aggressive</w:t>
      </w:r>
      <w:r w:rsidR="00DF1884" w:rsidRPr="00DF1884">
        <w:rPr>
          <w:szCs w:val="20"/>
        </w:rPr>
        <w:t xml:space="preserve"> </w:t>
      </w:r>
      <w:r w:rsidRPr="00DF1884">
        <w:rPr>
          <w:szCs w:val="20"/>
        </w:rPr>
        <w:t>Approach.”</w:t>
      </w:r>
      <w:r w:rsidR="00DF1884" w:rsidRPr="00DF1884">
        <w:rPr>
          <w:i/>
          <w:szCs w:val="20"/>
        </w:rPr>
        <w:t xml:space="preserve"> </w:t>
      </w:r>
      <w:r w:rsidRPr="00DF1884">
        <w:rPr>
          <w:i/>
          <w:szCs w:val="20"/>
        </w:rPr>
        <w:t>J</w:t>
      </w:r>
      <w:r w:rsidR="00DF1884" w:rsidRPr="00DF1884">
        <w:rPr>
          <w:i/>
          <w:szCs w:val="20"/>
        </w:rPr>
        <w:t xml:space="preserve"> </w:t>
      </w:r>
      <w:r w:rsidRPr="00DF1884">
        <w:rPr>
          <w:i/>
          <w:szCs w:val="20"/>
        </w:rPr>
        <w:t>Am</w:t>
      </w:r>
      <w:r w:rsidR="00DF1884" w:rsidRPr="00DF1884">
        <w:rPr>
          <w:i/>
          <w:szCs w:val="20"/>
        </w:rPr>
        <w:t xml:space="preserve"> </w:t>
      </w:r>
      <w:r w:rsidRPr="00DF1884">
        <w:rPr>
          <w:i/>
          <w:szCs w:val="20"/>
        </w:rPr>
        <w:t>Osteopath</w:t>
      </w:r>
      <w:r w:rsidR="00DF1884" w:rsidRPr="00DF1884">
        <w:rPr>
          <w:i/>
          <w:szCs w:val="20"/>
        </w:rPr>
        <w:t xml:space="preserve"> </w:t>
      </w:r>
      <w:r w:rsidRPr="00DF1884">
        <w:rPr>
          <w:i/>
          <w:szCs w:val="20"/>
        </w:rPr>
        <w:t>Assoc</w:t>
      </w:r>
      <w:r w:rsidR="002E4322" w:rsidRPr="00DF1884">
        <w:rPr>
          <w:i/>
          <w:szCs w:val="20"/>
        </w:rPr>
        <w:t>.</w:t>
      </w:r>
      <w:r w:rsidR="00DF1884" w:rsidRPr="00DF1884">
        <w:rPr>
          <w:i/>
          <w:szCs w:val="20"/>
        </w:rPr>
        <w:t xml:space="preserve"> </w:t>
      </w:r>
      <w:r w:rsidRPr="00DF1884">
        <w:rPr>
          <w:szCs w:val="20"/>
        </w:rPr>
        <w:t>109(5</w:t>
      </w:r>
      <w:r w:rsidR="00DF1884" w:rsidRPr="00DF1884">
        <w:rPr>
          <w:szCs w:val="20"/>
        </w:rPr>
        <w:t xml:space="preserve"> </w:t>
      </w:r>
      <w:r w:rsidRPr="00DF1884">
        <w:rPr>
          <w:szCs w:val="20"/>
        </w:rPr>
        <w:t>Suppl):S2-7.</w:t>
      </w:r>
      <w:r w:rsidR="00DF1884" w:rsidRPr="00DF1884">
        <w:rPr>
          <w:szCs w:val="20"/>
        </w:rPr>
        <w:t xml:space="preserve"> </w:t>
      </w:r>
      <w:hyperlink r:id="rId73" w:history="1">
        <w:r w:rsidRPr="00DF1884">
          <w:rPr>
            <w:rFonts w:cs="Arial"/>
            <w:szCs w:val="20"/>
            <w:u w:val="single"/>
          </w:rPr>
          <w:t>http://www.jaoa.org/cgi/content/full/109/5_suppl_1/S2</w:t>
        </w:r>
      </w:hyperlink>
    </w:p>
    <w:p w14:paraId="4681456A" w14:textId="6F8D274B" w:rsidR="005B5649" w:rsidRPr="00DF1884" w:rsidRDefault="005B5649" w:rsidP="005B5649">
      <w:pPr>
        <w:ind w:left="216" w:hanging="216"/>
        <w:rPr>
          <w:b/>
          <w:szCs w:val="20"/>
        </w:rPr>
      </w:pPr>
      <w:r w:rsidRPr="00DF1884">
        <w:rPr>
          <w:szCs w:val="20"/>
        </w:rPr>
        <w:t>Stone,</w:t>
      </w:r>
      <w:r w:rsidR="00DF1884" w:rsidRPr="00DF1884">
        <w:rPr>
          <w:szCs w:val="20"/>
        </w:rPr>
        <w:t xml:space="preserve"> </w:t>
      </w:r>
      <w:r w:rsidRPr="00DF1884">
        <w:rPr>
          <w:szCs w:val="20"/>
        </w:rPr>
        <w:t>N.J.,</w:t>
      </w:r>
      <w:r w:rsidR="00DF1884" w:rsidRPr="00DF1884">
        <w:rPr>
          <w:szCs w:val="20"/>
        </w:rPr>
        <w:t xml:space="preserve"> </w:t>
      </w:r>
      <w:r w:rsidRPr="00DF1884">
        <w:rPr>
          <w:szCs w:val="20"/>
        </w:rPr>
        <w:t>J.</w:t>
      </w:r>
      <w:r w:rsidR="00DF1884" w:rsidRPr="00DF1884">
        <w:rPr>
          <w:szCs w:val="20"/>
        </w:rPr>
        <w:t xml:space="preserve"> </w:t>
      </w:r>
      <w:r w:rsidRPr="00DF1884">
        <w:rPr>
          <w:szCs w:val="20"/>
        </w:rPr>
        <w:t>Robinson,</w:t>
      </w:r>
      <w:r w:rsidR="00DF1884" w:rsidRPr="00DF1884">
        <w:rPr>
          <w:szCs w:val="20"/>
        </w:rPr>
        <w:t xml:space="preserve"> </w:t>
      </w:r>
      <w:r w:rsidRPr="00DF1884">
        <w:rPr>
          <w:szCs w:val="20"/>
        </w:rPr>
        <w:t>A.H.</w:t>
      </w:r>
      <w:r w:rsidR="00DF1884" w:rsidRPr="00DF1884">
        <w:rPr>
          <w:szCs w:val="20"/>
        </w:rPr>
        <w:t xml:space="preserve"> </w:t>
      </w:r>
      <w:r w:rsidRPr="00DF1884">
        <w:rPr>
          <w:szCs w:val="20"/>
        </w:rPr>
        <w:t>Lichtenstein,</w:t>
      </w:r>
      <w:r w:rsidR="00DF1884" w:rsidRPr="00DF1884">
        <w:rPr>
          <w:szCs w:val="20"/>
        </w:rPr>
        <w:t xml:space="preserve"> </w:t>
      </w:r>
      <w:r w:rsidRPr="00DF1884">
        <w:rPr>
          <w:szCs w:val="20"/>
        </w:rPr>
        <w:t>et</w:t>
      </w:r>
      <w:r w:rsidR="00DF1884" w:rsidRPr="00DF1884">
        <w:rPr>
          <w:szCs w:val="20"/>
        </w:rPr>
        <w:t xml:space="preserve"> </w:t>
      </w:r>
      <w:r w:rsidRPr="00DF1884">
        <w:rPr>
          <w:szCs w:val="20"/>
        </w:rPr>
        <w:t>al.</w:t>
      </w:r>
      <w:r w:rsidR="00DF1884" w:rsidRPr="00DF1884">
        <w:rPr>
          <w:szCs w:val="20"/>
        </w:rPr>
        <w:t xml:space="preserve"> </w:t>
      </w:r>
      <w:r w:rsidRPr="00DF1884">
        <w:rPr>
          <w:szCs w:val="20"/>
        </w:rPr>
        <w:t>2013.</w:t>
      </w:r>
      <w:r w:rsidR="00DF1884" w:rsidRPr="00DF1884">
        <w:rPr>
          <w:szCs w:val="20"/>
        </w:rPr>
        <w:t xml:space="preserve"> </w:t>
      </w:r>
      <w:r w:rsidRPr="00DF1884">
        <w:rPr>
          <w:szCs w:val="20"/>
        </w:rPr>
        <w:t>“2013</w:t>
      </w:r>
      <w:r w:rsidR="00DF1884" w:rsidRPr="00DF1884">
        <w:rPr>
          <w:szCs w:val="20"/>
        </w:rPr>
        <w:t xml:space="preserve"> </w:t>
      </w:r>
      <w:r w:rsidRPr="00DF1884">
        <w:rPr>
          <w:szCs w:val="20"/>
        </w:rPr>
        <w:t>ACC/AHA</w:t>
      </w:r>
      <w:r w:rsidR="00DF1884" w:rsidRPr="00DF1884">
        <w:rPr>
          <w:szCs w:val="20"/>
        </w:rPr>
        <w:t xml:space="preserve"> </w:t>
      </w:r>
      <w:r w:rsidRPr="00DF1884">
        <w:rPr>
          <w:szCs w:val="20"/>
        </w:rPr>
        <w:t>Guideline</w:t>
      </w:r>
      <w:r w:rsidR="00DF1884" w:rsidRPr="00DF1884">
        <w:rPr>
          <w:szCs w:val="20"/>
        </w:rPr>
        <w:t xml:space="preserve"> </w:t>
      </w:r>
      <w:r w:rsidRPr="00DF1884">
        <w:rPr>
          <w:szCs w:val="20"/>
        </w:rPr>
        <w:t>on</w:t>
      </w:r>
      <w:r w:rsidR="00DF1884" w:rsidRPr="00DF1884">
        <w:rPr>
          <w:szCs w:val="20"/>
        </w:rPr>
        <w:t xml:space="preserve"> </w:t>
      </w:r>
      <w:r w:rsidRPr="00DF1884">
        <w:rPr>
          <w:szCs w:val="20"/>
        </w:rPr>
        <w:t>the</w:t>
      </w:r>
      <w:r w:rsidR="00DF1884" w:rsidRPr="00DF1884">
        <w:rPr>
          <w:szCs w:val="20"/>
        </w:rPr>
        <w:t xml:space="preserve"> </w:t>
      </w:r>
      <w:r w:rsidRPr="00DF1884">
        <w:rPr>
          <w:szCs w:val="20"/>
        </w:rPr>
        <w:t>Treatment</w:t>
      </w:r>
      <w:r w:rsidR="00DF1884" w:rsidRPr="00DF1884">
        <w:rPr>
          <w:szCs w:val="20"/>
        </w:rPr>
        <w:t xml:space="preserve"> </w:t>
      </w:r>
      <w:r w:rsidRPr="00DF1884">
        <w:rPr>
          <w:szCs w:val="20"/>
        </w:rPr>
        <w:t>of</w:t>
      </w:r>
      <w:r w:rsidR="00DF1884" w:rsidRPr="00DF1884">
        <w:rPr>
          <w:szCs w:val="20"/>
        </w:rPr>
        <w:t xml:space="preserve"> </w:t>
      </w:r>
      <w:r w:rsidRPr="00DF1884">
        <w:rPr>
          <w:szCs w:val="20"/>
        </w:rPr>
        <w:t>Blood</w:t>
      </w:r>
      <w:r w:rsidR="00DF1884" w:rsidRPr="00DF1884">
        <w:rPr>
          <w:szCs w:val="20"/>
        </w:rPr>
        <w:t xml:space="preserve"> </w:t>
      </w:r>
      <w:r w:rsidRPr="00DF1884">
        <w:rPr>
          <w:szCs w:val="20"/>
        </w:rPr>
        <w:t>Cholesterol</w:t>
      </w:r>
      <w:r w:rsidR="00DF1884" w:rsidRPr="00DF1884">
        <w:rPr>
          <w:szCs w:val="20"/>
        </w:rPr>
        <w:t xml:space="preserve"> </w:t>
      </w:r>
      <w:r w:rsidRPr="00DF1884">
        <w:rPr>
          <w:szCs w:val="20"/>
        </w:rPr>
        <w:t>to</w:t>
      </w:r>
      <w:r w:rsidR="00DF1884" w:rsidRPr="00DF1884">
        <w:rPr>
          <w:szCs w:val="20"/>
        </w:rPr>
        <w:t xml:space="preserve"> </w:t>
      </w:r>
      <w:r w:rsidRPr="00DF1884">
        <w:rPr>
          <w:szCs w:val="20"/>
        </w:rPr>
        <w:t>Reduce</w:t>
      </w:r>
      <w:r w:rsidR="00DF1884" w:rsidRPr="00DF1884">
        <w:rPr>
          <w:szCs w:val="20"/>
        </w:rPr>
        <w:t xml:space="preserve"> </w:t>
      </w:r>
      <w:r w:rsidRPr="00DF1884">
        <w:rPr>
          <w:szCs w:val="20"/>
        </w:rPr>
        <w:t>Atherosclerotic</w:t>
      </w:r>
      <w:r w:rsidR="00DF1884" w:rsidRPr="00DF1884">
        <w:rPr>
          <w:szCs w:val="20"/>
        </w:rPr>
        <w:t xml:space="preserve"> </w:t>
      </w:r>
      <w:r w:rsidRPr="00DF1884">
        <w:rPr>
          <w:szCs w:val="20"/>
        </w:rPr>
        <w:t>Cardiovascular</w:t>
      </w:r>
      <w:r w:rsidR="00DF1884" w:rsidRPr="00DF1884">
        <w:rPr>
          <w:szCs w:val="20"/>
        </w:rPr>
        <w:t xml:space="preserve"> </w:t>
      </w:r>
      <w:r w:rsidRPr="00DF1884">
        <w:rPr>
          <w:szCs w:val="20"/>
        </w:rPr>
        <w:t>Risk</w:t>
      </w:r>
      <w:r w:rsidR="00DF1884" w:rsidRPr="00DF1884">
        <w:rPr>
          <w:szCs w:val="20"/>
        </w:rPr>
        <w:t xml:space="preserve"> </w:t>
      </w:r>
      <w:r w:rsidRPr="00DF1884">
        <w:rPr>
          <w:szCs w:val="20"/>
        </w:rPr>
        <w:t>in</w:t>
      </w:r>
      <w:r w:rsidR="00DF1884" w:rsidRPr="00DF1884">
        <w:rPr>
          <w:szCs w:val="20"/>
        </w:rPr>
        <w:t xml:space="preserve"> </w:t>
      </w:r>
      <w:r w:rsidRPr="00DF1884">
        <w:rPr>
          <w:szCs w:val="20"/>
        </w:rPr>
        <w:t>Adults.”</w:t>
      </w:r>
      <w:r w:rsidR="00DF1884" w:rsidRPr="00DF1884">
        <w:rPr>
          <w:szCs w:val="20"/>
        </w:rPr>
        <w:t xml:space="preserve"> </w:t>
      </w:r>
      <w:r w:rsidRPr="00DF1884">
        <w:rPr>
          <w:i/>
          <w:szCs w:val="20"/>
        </w:rPr>
        <w:t>J</w:t>
      </w:r>
      <w:r w:rsidR="00DF1884" w:rsidRPr="00DF1884">
        <w:rPr>
          <w:i/>
          <w:szCs w:val="20"/>
        </w:rPr>
        <w:t xml:space="preserve"> </w:t>
      </w:r>
      <w:r w:rsidRPr="00DF1884">
        <w:rPr>
          <w:i/>
          <w:szCs w:val="20"/>
        </w:rPr>
        <w:t>Am</w:t>
      </w:r>
      <w:r w:rsidR="00DF1884" w:rsidRPr="00DF1884">
        <w:rPr>
          <w:i/>
          <w:szCs w:val="20"/>
        </w:rPr>
        <w:t xml:space="preserve"> </w:t>
      </w:r>
      <w:r w:rsidRPr="00DF1884">
        <w:rPr>
          <w:i/>
          <w:szCs w:val="20"/>
        </w:rPr>
        <w:t>Coll</w:t>
      </w:r>
      <w:r w:rsidR="00DF1884" w:rsidRPr="00DF1884">
        <w:rPr>
          <w:i/>
          <w:szCs w:val="20"/>
        </w:rPr>
        <w:t xml:space="preserve"> </w:t>
      </w:r>
      <w:r w:rsidRPr="00DF1884">
        <w:rPr>
          <w:i/>
          <w:szCs w:val="20"/>
        </w:rPr>
        <w:t>Cardiol.</w:t>
      </w:r>
      <w:r w:rsidR="00DF1884" w:rsidRPr="00DF1884">
        <w:rPr>
          <w:szCs w:val="20"/>
        </w:rPr>
        <w:t xml:space="preserve"> </w:t>
      </w:r>
      <w:r w:rsidRPr="00DF1884">
        <w:rPr>
          <w:szCs w:val="20"/>
        </w:rPr>
        <w:t>63(25</w:t>
      </w:r>
      <w:r w:rsidR="00DF1884" w:rsidRPr="00DF1884">
        <w:rPr>
          <w:szCs w:val="20"/>
        </w:rPr>
        <w:t xml:space="preserve"> </w:t>
      </w:r>
      <w:r w:rsidRPr="00DF1884">
        <w:rPr>
          <w:szCs w:val="20"/>
        </w:rPr>
        <w:t>Pt</w:t>
      </w:r>
      <w:r w:rsidR="00DF1884" w:rsidRPr="00DF1884">
        <w:rPr>
          <w:szCs w:val="20"/>
        </w:rPr>
        <w:t xml:space="preserve"> </w:t>
      </w:r>
      <w:r w:rsidRPr="00DF1884">
        <w:rPr>
          <w:szCs w:val="20"/>
        </w:rPr>
        <w:t>B):2889</w:t>
      </w:r>
      <w:r w:rsidR="002E4322" w:rsidRPr="00DF1884">
        <w:rPr>
          <w:szCs w:val="20"/>
        </w:rPr>
        <w:t>–</w:t>
      </w:r>
      <w:r w:rsidRPr="00DF1884">
        <w:rPr>
          <w:szCs w:val="20"/>
        </w:rPr>
        <w:t>934.</w:t>
      </w:r>
      <w:r w:rsidR="00DF1884" w:rsidRPr="00DF1884">
        <w:rPr>
          <w:szCs w:val="20"/>
        </w:rPr>
        <w:t xml:space="preserve"> </w:t>
      </w:r>
      <w:r w:rsidRPr="00DF1884">
        <w:rPr>
          <w:szCs w:val="20"/>
        </w:rPr>
        <w:t>doi:</w:t>
      </w:r>
      <w:r w:rsidR="00DF1884" w:rsidRPr="00DF1884">
        <w:rPr>
          <w:szCs w:val="20"/>
        </w:rPr>
        <w:t xml:space="preserve"> </w:t>
      </w:r>
      <w:r w:rsidRPr="00DF1884">
        <w:rPr>
          <w:szCs w:val="20"/>
        </w:rPr>
        <w:t>10.1016/j.jacc.2013.11.002.</w:t>
      </w:r>
      <w:r w:rsidR="00DF1884" w:rsidRPr="00DF1884">
        <w:rPr>
          <w:szCs w:val="20"/>
        </w:rPr>
        <w:t xml:space="preserve"> </w:t>
      </w:r>
      <w:r w:rsidRPr="00DF1884">
        <w:rPr>
          <w:szCs w:val="20"/>
        </w:rPr>
        <w:t>Epub</w:t>
      </w:r>
      <w:r w:rsidR="00DF1884" w:rsidRPr="00DF1884">
        <w:rPr>
          <w:szCs w:val="20"/>
        </w:rPr>
        <w:t xml:space="preserve"> </w:t>
      </w:r>
      <w:r w:rsidRPr="00DF1884">
        <w:rPr>
          <w:szCs w:val="20"/>
        </w:rPr>
        <w:t>2013</w:t>
      </w:r>
      <w:r w:rsidR="00DF1884" w:rsidRPr="00DF1884">
        <w:rPr>
          <w:szCs w:val="20"/>
        </w:rPr>
        <w:t xml:space="preserve"> </w:t>
      </w:r>
      <w:r w:rsidRPr="00DF1884">
        <w:rPr>
          <w:szCs w:val="20"/>
        </w:rPr>
        <w:t>Nov</w:t>
      </w:r>
      <w:r w:rsidR="00DF1884" w:rsidRPr="00DF1884">
        <w:rPr>
          <w:szCs w:val="20"/>
        </w:rPr>
        <w:t xml:space="preserve"> </w:t>
      </w:r>
      <w:r w:rsidRPr="00DF1884">
        <w:rPr>
          <w:szCs w:val="20"/>
        </w:rPr>
        <w:t>12.</w:t>
      </w:r>
    </w:p>
    <w:p w14:paraId="6850D044" w14:textId="5D107FB9" w:rsidR="005B5649" w:rsidRPr="00DF1884" w:rsidRDefault="005B5649" w:rsidP="005B5649">
      <w:pPr>
        <w:ind w:left="216" w:hanging="216"/>
        <w:rPr>
          <w:b/>
          <w:szCs w:val="20"/>
        </w:rPr>
      </w:pPr>
      <w:r w:rsidRPr="00DF1884">
        <w:rPr>
          <w:szCs w:val="20"/>
        </w:rPr>
        <w:t>Tandra,</w:t>
      </w:r>
      <w:r w:rsidR="00DF1884" w:rsidRPr="00DF1884">
        <w:rPr>
          <w:szCs w:val="20"/>
        </w:rPr>
        <w:t xml:space="preserve"> </w:t>
      </w:r>
      <w:r w:rsidRPr="00DF1884">
        <w:rPr>
          <w:szCs w:val="20"/>
        </w:rPr>
        <w:t>S.</w:t>
      </w:r>
      <w:r w:rsidR="00DF1884" w:rsidRPr="00DF1884">
        <w:rPr>
          <w:szCs w:val="20"/>
        </w:rPr>
        <w:t xml:space="preserve"> </w:t>
      </w:r>
      <w:r w:rsidRPr="00DF1884">
        <w:rPr>
          <w:szCs w:val="20"/>
        </w:rPr>
        <w:t>and</w:t>
      </w:r>
      <w:r w:rsidR="00DF1884" w:rsidRPr="00DF1884">
        <w:rPr>
          <w:szCs w:val="20"/>
        </w:rPr>
        <w:t xml:space="preserve"> </w:t>
      </w:r>
      <w:r w:rsidRPr="00DF1884">
        <w:rPr>
          <w:szCs w:val="20"/>
        </w:rPr>
        <w:t>R.</w:t>
      </w:r>
      <w:r w:rsidR="00DF1884" w:rsidRPr="00DF1884">
        <w:rPr>
          <w:szCs w:val="20"/>
        </w:rPr>
        <w:t xml:space="preserve"> </w:t>
      </w:r>
      <w:r w:rsidRPr="00DF1884">
        <w:rPr>
          <w:szCs w:val="20"/>
        </w:rPr>
        <w:t>Vuppalanchi.</w:t>
      </w:r>
      <w:r w:rsidR="00DF1884" w:rsidRPr="00DF1884">
        <w:rPr>
          <w:szCs w:val="20"/>
        </w:rPr>
        <w:t xml:space="preserve"> </w:t>
      </w:r>
      <w:r w:rsidRPr="00DF1884">
        <w:rPr>
          <w:szCs w:val="20"/>
        </w:rPr>
        <w:t>2009.</w:t>
      </w:r>
      <w:r w:rsidR="00DF1884" w:rsidRPr="00DF1884">
        <w:rPr>
          <w:szCs w:val="20"/>
        </w:rPr>
        <w:t xml:space="preserve"> </w:t>
      </w:r>
      <w:r w:rsidRPr="00DF1884">
        <w:rPr>
          <w:szCs w:val="20"/>
        </w:rPr>
        <w:t>“Use</w:t>
      </w:r>
      <w:r w:rsidR="00DF1884" w:rsidRPr="00DF1884">
        <w:rPr>
          <w:szCs w:val="20"/>
        </w:rPr>
        <w:t xml:space="preserve"> </w:t>
      </w:r>
      <w:r w:rsidRPr="00DF1884">
        <w:rPr>
          <w:szCs w:val="20"/>
        </w:rPr>
        <w:t>of</w:t>
      </w:r>
      <w:r w:rsidR="00DF1884" w:rsidRPr="00DF1884">
        <w:rPr>
          <w:szCs w:val="20"/>
        </w:rPr>
        <w:t xml:space="preserve"> </w:t>
      </w:r>
      <w:r w:rsidRPr="00DF1884">
        <w:rPr>
          <w:szCs w:val="20"/>
        </w:rPr>
        <w:t>statins</w:t>
      </w:r>
      <w:r w:rsidR="00DF1884" w:rsidRPr="00DF1884">
        <w:rPr>
          <w:szCs w:val="20"/>
        </w:rPr>
        <w:t xml:space="preserve"> </w:t>
      </w:r>
      <w:r w:rsidRPr="00DF1884">
        <w:rPr>
          <w:szCs w:val="20"/>
        </w:rPr>
        <w:t>in</w:t>
      </w:r>
      <w:r w:rsidR="00DF1884" w:rsidRPr="00DF1884">
        <w:rPr>
          <w:szCs w:val="20"/>
        </w:rPr>
        <w:t xml:space="preserve"> </w:t>
      </w:r>
      <w:r w:rsidRPr="00DF1884">
        <w:rPr>
          <w:szCs w:val="20"/>
        </w:rPr>
        <w:t>patients</w:t>
      </w:r>
      <w:r w:rsidR="00DF1884" w:rsidRPr="00DF1884">
        <w:rPr>
          <w:szCs w:val="20"/>
        </w:rPr>
        <w:t xml:space="preserve"> </w:t>
      </w:r>
      <w:r w:rsidRPr="00DF1884">
        <w:rPr>
          <w:szCs w:val="20"/>
        </w:rPr>
        <w:t>with</w:t>
      </w:r>
      <w:r w:rsidR="00DF1884" w:rsidRPr="00DF1884">
        <w:rPr>
          <w:szCs w:val="20"/>
        </w:rPr>
        <w:t xml:space="preserve"> </w:t>
      </w:r>
      <w:r w:rsidRPr="00DF1884">
        <w:rPr>
          <w:szCs w:val="20"/>
        </w:rPr>
        <w:t>liver</w:t>
      </w:r>
      <w:r w:rsidR="00DF1884" w:rsidRPr="00DF1884">
        <w:rPr>
          <w:szCs w:val="20"/>
        </w:rPr>
        <w:t xml:space="preserve"> </w:t>
      </w:r>
      <w:r w:rsidRPr="00DF1884">
        <w:rPr>
          <w:szCs w:val="20"/>
        </w:rPr>
        <w:t>disease.”</w:t>
      </w:r>
      <w:r w:rsidR="00DF1884" w:rsidRPr="00DF1884">
        <w:rPr>
          <w:szCs w:val="20"/>
        </w:rPr>
        <w:t xml:space="preserve"> </w:t>
      </w:r>
      <w:r w:rsidRPr="00DF1884">
        <w:rPr>
          <w:i/>
          <w:szCs w:val="20"/>
        </w:rPr>
        <w:t>Current</w:t>
      </w:r>
      <w:r w:rsidR="00DF1884" w:rsidRPr="00DF1884">
        <w:rPr>
          <w:i/>
          <w:szCs w:val="20"/>
        </w:rPr>
        <w:t xml:space="preserve"> </w:t>
      </w:r>
      <w:r w:rsidRPr="00DF1884">
        <w:rPr>
          <w:i/>
          <w:szCs w:val="20"/>
        </w:rPr>
        <w:t>Treatment</w:t>
      </w:r>
      <w:r w:rsidR="00DF1884" w:rsidRPr="00DF1884">
        <w:rPr>
          <w:i/>
          <w:szCs w:val="20"/>
        </w:rPr>
        <w:t xml:space="preserve"> </w:t>
      </w:r>
      <w:r w:rsidRPr="00DF1884">
        <w:rPr>
          <w:i/>
          <w:szCs w:val="20"/>
        </w:rPr>
        <w:t>Options</w:t>
      </w:r>
      <w:r w:rsidR="00DF1884" w:rsidRPr="00DF1884">
        <w:rPr>
          <w:i/>
          <w:szCs w:val="20"/>
        </w:rPr>
        <w:t xml:space="preserve"> </w:t>
      </w:r>
      <w:r w:rsidRPr="00DF1884">
        <w:rPr>
          <w:i/>
          <w:szCs w:val="20"/>
        </w:rPr>
        <w:t>in</w:t>
      </w:r>
      <w:r w:rsidR="00DF1884" w:rsidRPr="00DF1884">
        <w:rPr>
          <w:i/>
          <w:szCs w:val="20"/>
        </w:rPr>
        <w:t xml:space="preserve"> </w:t>
      </w:r>
      <w:r w:rsidRPr="00DF1884">
        <w:rPr>
          <w:i/>
          <w:szCs w:val="20"/>
        </w:rPr>
        <w:t>Cardiovascular</w:t>
      </w:r>
      <w:r w:rsidR="00DF1884" w:rsidRPr="00DF1884">
        <w:rPr>
          <w:i/>
          <w:szCs w:val="20"/>
        </w:rPr>
        <w:t xml:space="preserve"> </w:t>
      </w:r>
      <w:r w:rsidRPr="00DF1884">
        <w:rPr>
          <w:i/>
          <w:szCs w:val="20"/>
        </w:rPr>
        <w:t>Medicine</w:t>
      </w:r>
      <w:r w:rsidR="002E4322" w:rsidRPr="00DF1884">
        <w:rPr>
          <w:szCs w:val="20"/>
        </w:rPr>
        <w:t>.</w:t>
      </w:r>
      <w:r w:rsidR="00DF1884" w:rsidRPr="00DF1884">
        <w:rPr>
          <w:szCs w:val="20"/>
        </w:rPr>
        <w:t xml:space="preserve"> </w:t>
      </w:r>
      <w:r w:rsidRPr="00DF1884">
        <w:rPr>
          <w:szCs w:val="20"/>
        </w:rPr>
        <w:t>11(4):272</w:t>
      </w:r>
      <w:r w:rsidR="002E4322" w:rsidRPr="00DF1884">
        <w:rPr>
          <w:szCs w:val="20"/>
        </w:rPr>
        <w:t>–</w:t>
      </w:r>
      <w:r w:rsidRPr="00DF1884">
        <w:rPr>
          <w:szCs w:val="20"/>
        </w:rPr>
        <w:t>8.</w:t>
      </w:r>
    </w:p>
    <w:p w14:paraId="7F52BBF5" w14:textId="131545C6" w:rsidR="005B5649" w:rsidRPr="00DF1884" w:rsidRDefault="005B5649" w:rsidP="005B5649">
      <w:pPr>
        <w:ind w:left="216" w:hanging="216"/>
        <w:rPr>
          <w:b/>
        </w:rPr>
      </w:pPr>
      <w:r w:rsidRPr="00DF1884">
        <w:rPr>
          <w:szCs w:val="20"/>
        </w:rPr>
        <w:t>Thompson,</w:t>
      </w:r>
      <w:r w:rsidR="00DF1884" w:rsidRPr="00DF1884">
        <w:rPr>
          <w:szCs w:val="20"/>
        </w:rPr>
        <w:t xml:space="preserve"> </w:t>
      </w:r>
      <w:r w:rsidRPr="00DF1884">
        <w:rPr>
          <w:szCs w:val="20"/>
        </w:rPr>
        <w:t>P.D.,</w:t>
      </w:r>
      <w:r w:rsidR="00DF1884" w:rsidRPr="00DF1884">
        <w:rPr>
          <w:szCs w:val="20"/>
        </w:rPr>
        <w:t xml:space="preserve"> </w:t>
      </w:r>
      <w:r w:rsidRPr="00DF1884">
        <w:rPr>
          <w:szCs w:val="20"/>
        </w:rPr>
        <w:t>P.</w:t>
      </w:r>
      <w:r w:rsidR="00DF1884" w:rsidRPr="00DF1884">
        <w:rPr>
          <w:szCs w:val="20"/>
        </w:rPr>
        <w:t xml:space="preserve"> </w:t>
      </w:r>
      <w:r w:rsidRPr="00DF1884">
        <w:rPr>
          <w:szCs w:val="20"/>
        </w:rPr>
        <w:t>Clarkson,</w:t>
      </w:r>
      <w:r w:rsidR="00DF1884" w:rsidRPr="00DF1884">
        <w:rPr>
          <w:szCs w:val="20"/>
        </w:rPr>
        <w:t xml:space="preserve"> </w:t>
      </w:r>
      <w:r w:rsidRPr="00DF1884">
        <w:rPr>
          <w:szCs w:val="20"/>
        </w:rPr>
        <w:t>R.H.</w:t>
      </w:r>
      <w:r w:rsidR="00DF1884" w:rsidRPr="00DF1884">
        <w:rPr>
          <w:szCs w:val="20"/>
        </w:rPr>
        <w:t xml:space="preserve"> </w:t>
      </w:r>
      <w:r w:rsidRPr="00DF1884">
        <w:rPr>
          <w:szCs w:val="20"/>
        </w:rPr>
        <w:t>Karas.</w:t>
      </w:r>
      <w:r w:rsidR="00DF1884" w:rsidRPr="00DF1884">
        <w:rPr>
          <w:szCs w:val="20"/>
        </w:rPr>
        <w:t xml:space="preserve"> </w:t>
      </w:r>
      <w:r w:rsidRPr="00DF1884">
        <w:rPr>
          <w:szCs w:val="20"/>
        </w:rPr>
        <w:t>2003.</w:t>
      </w:r>
      <w:r w:rsidR="00DF1884" w:rsidRPr="00DF1884">
        <w:rPr>
          <w:szCs w:val="20"/>
        </w:rPr>
        <w:t xml:space="preserve"> </w:t>
      </w:r>
      <w:r w:rsidRPr="00DF1884">
        <w:rPr>
          <w:szCs w:val="20"/>
        </w:rPr>
        <w:t>“Statin-associated</w:t>
      </w:r>
      <w:r w:rsidR="00DF1884" w:rsidRPr="00DF1884">
        <w:rPr>
          <w:szCs w:val="20"/>
        </w:rPr>
        <w:t xml:space="preserve"> </w:t>
      </w:r>
      <w:r w:rsidRPr="00DF1884">
        <w:rPr>
          <w:szCs w:val="20"/>
        </w:rPr>
        <w:t>myopathy.”</w:t>
      </w:r>
      <w:r w:rsidR="002E4322" w:rsidRPr="00DF1884">
        <w:rPr>
          <w:i/>
          <w:szCs w:val="20"/>
        </w:rPr>
        <w:t>JAMA.</w:t>
      </w:r>
      <w:r w:rsidR="00DF1884" w:rsidRPr="00DF1884">
        <w:rPr>
          <w:i/>
          <w:szCs w:val="20"/>
        </w:rPr>
        <w:t xml:space="preserve"> </w:t>
      </w:r>
      <w:r w:rsidRPr="00DF1884">
        <w:t>289(13):1681</w:t>
      </w:r>
      <w:r w:rsidR="002E4322" w:rsidRPr="00DF1884">
        <w:t>–</w:t>
      </w:r>
      <w:r w:rsidRPr="00DF1884">
        <w:t>90.</w:t>
      </w:r>
      <w:r w:rsidR="00DF1884" w:rsidRPr="00DF1884">
        <w:t xml:space="preserve"> </w:t>
      </w:r>
    </w:p>
    <w:p w14:paraId="24019E7E" w14:textId="651A89DE" w:rsidR="005B5649" w:rsidRPr="00DF1884" w:rsidRDefault="005B5649" w:rsidP="005B5649">
      <w:pPr>
        <w:ind w:left="216" w:hanging="216"/>
        <w:rPr>
          <w:b/>
        </w:rPr>
      </w:pPr>
      <w:r w:rsidRPr="00DF1884">
        <w:t>Vimalananda,</w:t>
      </w:r>
      <w:r w:rsidR="00DF1884" w:rsidRPr="00DF1884">
        <w:t xml:space="preserve"> </w:t>
      </w:r>
      <w:r w:rsidRPr="00DF1884">
        <w:t>V.G.,</w:t>
      </w:r>
      <w:r w:rsidR="00DF1884" w:rsidRPr="00DF1884">
        <w:t xml:space="preserve"> </w:t>
      </w:r>
      <w:r w:rsidRPr="00DF1884">
        <w:t>D.R.</w:t>
      </w:r>
      <w:r w:rsidR="00DF1884" w:rsidRPr="00DF1884">
        <w:t xml:space="preserve"> </w:t>
      </w:r>
      <w:r w:rsidRPr="00DF1884">
        <w:t>Miller,</w:t>
      </w:r>
      <w:r w:rsidR="00DF1884" w:rsidRPr="00DF1884">
        <w:t xml:space="preserve"> </w:t>
      </w:r>
      <w:r w:rsidRPr="00DF1884">
        <w:t>M.</w:t>
      </w:r>
      <w:r w:rsidR="00DF1884" w:rsidRPr="00DF1884">
        <w:t xml:space="preserve"> </w:t>
      </w:r>
      <w:r w:rsidRPr="00DF1884">
        <w:t>Palnati,</w:t>
      </w:r>
      <w:r w:rsidR="00DF1884" w:rsidRPr="00DF1884">
        <w:t xml:space="preserve"> </w:t>
      </w:r>
      <w:r w:rsidRPr="00DF1884">
        <w:t>et</w:t>
      </w:r>
      <w:r w:rsidR="00DF1884" w:rsidRPr="00DF1884">
        <w:t xml:space="preserve"> </w:t>
      </w:r>
      <w:r w:rsidRPr="00DF1884">
        <w:t>al.</w:t>
      </w:r>
      <w:r w:rsidR="00DF1884" w:rsidRPr="00DF1884">
        <w:t xml:space="preserve"> </w:t>
      </w:r>
      <w:r w:rsidRPr="00DF1884">
        <w:t>2011.</w:t>
      </w:r>
      <w:r w:rsidR="00DF1884" w:rsidRPr="00DF1884">
        <w:t xml:space="preserve"> </w:t>
      </w:r>
      <w:r w:rsidRPr="00DF1884">
        <w:t>“Gender</w:t>
      </w:r>
      <w:r w:rsidR="00DF1884" w:rsidRPr="00DF1884">
        <w:t xml:space="preserve"> </w:t>
      </w:r>
      <w:r w:rsidRPr="00DF1884">
        <w:t>Disparities</w:t>
      </w:r>
      <w:r w:rsidR="00DF1884" w:rsidRPr="00DF1884">
        <w:t xml:space="preserve"> </w:t>
      </w:r>
      <w:r w:rsidRPr="00DF1884">
        <w:t>in</w:t>
      </w:r>
      <w:r w:rsidR="00DF1884" w:rsidRPr="00DF1884">
        <w:t xml:space="preserve"> </w:t>
      </w:r>
      <w:r w:rsidRPr="00DF1884">
        <w:t>Lipid-Lowering</w:t>
      </w:r>
      <w:r w:rsidR="00DF1884" w:rsidRPr="00DF1884">
        <w:t xml:space="preserve"> </w:t>
      </w:r>
      <w:r w:rsidRPr="00DF1884">
        <w:t>Therapy</w:t>
      </w:r>
      <w:r w:rsidR="00DF1884" w:rsidRPr="00DF1884">
        <w:t xml:space="preserve"> </w:t>
      </w:r>
      <w:r w:rsidRPr="00DF1884">
        <w:t>Among</w:t>
      </w:r>
      <w:r w:rsidR="00DF1884" w:rsidRPr="00DF1884">
        <w:t xml:space="preserve"> </w:t>
      </w:r>
      <w:r w:rsidRPr="00DF1884">
        <w:t>Veterans</w:t>
      </w:r>
      <w:r w:rsidR="00DF1884" w:rsidRPr="00DF1884">
        <w:t xml:space="preserve"> </w:t>
      </w:r>
      <w:r w:rsidRPr="00DF1884">
        <w:t>with</w:t>
      </w:r>
      <w:r w:rsidR="00DF1884" w:rsidRPr="00DF1884">
        <w:t xml:space="preserve"> </w:t>
      </w:r>
      <w:r w:rsidRPr="00DF1884">
        <w:t>Diabetes.”</w:t>
      </w:r>
      <w:r w:rsidR="00DF1884" w:rsidRPr="00DF1884">
        <w:t xml:space="preserve"> </w:t>
      </w:r>
      <w:r w:rsidRPr="00DF1884">
        <w:rPr>
          <w:i/>
        </w:rPr>
        <w:t>Women</w:t>
      </w:r>
      <w:r w:rsidR="00887F28" w:rsidRPr="00DF1884">
        <w:rPr>
          <w:i/>
        </w:rPr>
        <w:t>’</w:t>
      </w:r>
      <w:r w:rsidRPr="00DF1884">
        <w:rPr>
          <w:i/>
        </w:rPr>
        <w:t>s</w:t>
      </w:r>
      <w:r w:rsidR="00DF1884" w:rsidRPr="00DF1884">
        <w:rPr>
          <w:i/>
        </w:rPr>
        <w:t xml:space="preserve"> </w:t>
      </w:r>
      <w:r w:rsidRPr="00DF1884">
        <w:rPr>
          <w:i/>
        </w:rPr>
        <w:t>Health</w:t>
      </w:r>
      <w:r w:rsidR="00DF1884" w:rsidRPr="00DF1884">
        <w:rPr>
          <w:i/>
        </w:rPr>
        <w:t xml:space="preserve"> </w:t>
      </w:r>
      <w:r w:rsidRPr="00DF1884">
        <w:rPr>
          <w:i/>
        </w:rPr>
        <w:t>Issues.</w:t>
      </w:r>
      <w:r w:rsidR="00DF1884" w:rsidRPr="00DF1884">
        <w:t xml:space="preserve"> </w:t>
      </w:r>
      <w:r w:rsidRPr="00DF1884">
        <w:t>21(4):S176-S181.</w:t>
      </w:r>
      <w:r w:rsidR="00DF1884" w:rsidRPr="00DF1884">
        <w:t xml:space="preserve"> </w:t>
      </w:r>
      <w:r w:rsidRPr="00DF1884">
        <w:t>doi:10.1016/j.whi.2011.04.009</w:t>
      </w:r>
    </w:p>
    <w:p w14:paraId="6D29FE3E" w14:textId="77777777" w:rsidR="005B5649" w:rsidRPr="00DF1884" w:rsidRDefault="005B5649" w:rsidP="00887F28"/>
    <w:p w14:paraId="4E7855D0" w14:textId="77777777" w:rsidR="00887F28" w:rsidRPr="00DF1884" w:rsidRDefault="00887F28" w:rsidP="00887F28">
      <w:pPr>
        <w:sectPr w:rsidR="00887F28" w:rsidRPr="00DF1884" w:rsidSect="0039781B">
          <w:headerReference w:type="even" r:id="rId74"/>
          <w:pgSz w:w="12240" w:h="15840" w:code="1"/>
          <w:pgMar w:top="1080" w:right="1080" w:bottom="1080" w:left="1440" w:header="720" w:footer="720" w:gutter="0"/>
          <w:cols w:space="720"/>
        </w:sectPr>
      </w:pPr>
    </w:p>
    <w:p w14:paraId="7C4FF5E9" w14:textId="1E6A1513" w:rsidR="00DF0A7F" w:rsidRPr="00DF1884" w:rsidRDefault="00DF0A7F" w:rsidP="00DF0A7F">
      <w:pPr>
        <w:pStyle w:val="Heading2"/>
        <w:spacing w:after="0"/>
        <w:ind w:left="360"/>
      </w:pPr>
      <w:r w:rsidRPr="00DF1884">
        <w:lastRenderedPageBreak/>
        <w:t>Inpatient</w:t>
      </w:r>
      <w:r w:rsidR="00DF1884" w:rsidRPr="00DF1884">
        <w:t xml:space="preserve"> </w:t>
      </w:r>
      <w:r w:rsidRPr="00DF1884">
        <w:t>Hospital</w:t>
      </w:r>
      <w:r w:rsidR="00DF1884" w:rsidRPr="00DF1884">
        <w:t xml:space="preserve"> </w:t>
      </w:r>
      <w:r w:rsidRPr="00DF1884">
        <w:t>Utilization</w:t>
      </w:r>
      <w:r w:rsidR="00DF1884" w:rsidRPr="00DF1884">
        <w:t xml:space="preserve"> </w:t>
      </w:r>
      <w:r w:rsidRPr="00DF1884">
        <w:t>(IHU)</w:t>
      </w:r>
    </w:p>
    <w:p w14:paraId="2299E57B" w14:textId="77777777" w:rsidR="00DF0A7F" w:rsidRPr="00DF1884" w:rsidRDefault="00DF0A7F" w:rsidP="00887F28">
      <w:pPr>
        <w:pStyle w:val="StdHead"/>
      </w:pPr>
      <w:r w:rsidRPr="00DF1884">
        <w:t>Description</w:t>
      </w:r>
    </w:p>
    <w:p w14:paraId="46BD28F6" w14:textId="77777777" w:rsidR="002978B6" w:rsidRDefault="002978B6" w:rsidP="002978B6">
      <w:pPr>
        <w:pStyle w:val="Body"/>
      </w:pPr>
      <w:r>
        <w:t xml:space="preserve">For members 18 years of age and older, the risk-adjusted ratio of observed to expected acute inpatient discharges during the measurement year reported by Surgery, Medicine and Total. </w:t>
      </w:r>
    </w:p>
    <w:p w14:paraId="548F3CED" w14:textId="77777777" w:rsidR="00DF0A7F" w:rsidRPr="00DF1884" w:rsidRDefault="00DF0A7F" w:rsidP="00DF0A7F">
      <w:pPr>
        <w:pStyle w:val="StdHead"/>
      </w:pPr>
      <w:r w:rsidRPr="00DF1884">
        <w:t>Background</w:t>
      </w:r>
      <w:r w:rsidRPr="00DF1884">
        <w:tab/>
      </w:r>
    </w:p>
    <w:p w14:paraId="16213CD2" w14:textId="2CB1EE5A" w:rsidR="00DF0A7F" w:rsidRPr="00DF1884" w:rsidRDefault="00DF0A7F" w:rsidP="00DF0A7F">
      <w:pPr>
        <w:spacing w:before="180"/>
      </w:pPr>
      <w:r w:rsidRPr="00DF1884">
        <w:rPr>
          <w:szCs w:val="20"/>
        </w:rPr>
        <w:t>NCQA</w:t>
      </w:r>
      <w:r w:rsidR="00DF1884" w:rsidRPr="00DF1884">
        <w:rPr>
          <w:szCs w:val="20"/>
        </w:rPr>
        <w:t xml:space="preserve"> </w:t>
      </w:r>
      <w:r w:rsidRPr="00DF1884">
        <w:rPr>
          <w:szCs w:val="20"/>
        </w:rPr>
        <w:t>investigated</w:t>
      </w:r>
      <w:r w:rsidR="00DF1884" w:rsidRPr="00DF1884">
        <w:rPr>
          <w:szCs w:val="20"/>
        </w:rPr>
        <w:t xml:space="preserve"> </w:t>
      </w:r>
      <w:r w:rsidRPr="00DF1884">
        <w:rPr>
          <w:szCs w:val="20"/>
        </w:rPr>
        <w:t>the</w:t>
      </w:r>
      <w:r w:rsidR="00DF1884" w:rsidRPr="00DF1884">
        <w:rPr>
          <w:szCs w:val="20"/>
        </w:rPr>
        <w:t xml:space="preserve"> </w:t>
      </w:r>
      <w:r w:rsidRPr="00DF1884">
        <w:rPr>
          <w:szCs w:val="20"/>
        </w:rPr>
        <w:t>appropriateness</w:t>
      </w:r>
      <w:r w:rsidR="00DF1884" w:rsidRPr="00DF1884">
        <w:rPr>
          <w:szCs w:val="20"/>
        </w:rPr>
        <w:t xml:space="preserve"> </w:t>
      </w:r>
      <w:r w:rsidRPr="00DF1884">
        <w:rPr>
          <w:szCs w:val="20"/>
        </w:rPr>
        <w:t>of</w:t>
      </w:r>
      <w:r w:rsidR="00DF1884" w:rsidRPr="00DF1884">
        <w:rPr>
          <w:szCs w:val="20"/>
        </w:rPr>
        <w:t xml:space="preserve"> </w:t>
      </w:r>
      <w:r w:rsidRPr="00DF1884">
        <w:rPr>
          <w:szCs w:val="20"/>
        </w:rPr>
        <w:t>developing</w:t>
      </w:r>
      <w:r w:rsidR="00DF1884" w:rsidRPr="00DF1884">
        <w:rPr>
          <w:szCs w:val="20"/>
        </w:rPr>
        <w:t xml:space="preserve"> </w:t>
      </w:r>
      <w:r w:rsidRPr="00DF1884">
        <w:rPr>
          <w:szCs w:val="20"/>
        </w:rPr>
        <w:t>this</w:t>
      </w:r>
      <w:r w:rsidR="00DF1884" w:rsidRPr="00DF1884">
        <w:rPr>
          <w:szCs w:val="20"/>
        </w:rPr>
        <w:t xml:space="preserve"> </w:t>
      </w:r>
      <w:r w:rsidRPr="00DF1884">
        <w:rPr>
          <w:szCs w:val="20"/>
        </w:rPr>
        <w:t>risk</w:t>
      </w:r>
      <w:r w:rsidR="00DF1884" w:rsidRPr="00DF1884">
        <w:rPr>
          <w:szCs w:val="20"/>
        </w:rPr>
        <w:t xml:space="preserve"> </w:t>
      </w:r>
      <w:r w:rsidRPr="00DF1884">
        <w:rPr>
          <w:szCs w:val="20"/>
        </w:rPr>
        <w:t>adjusted</w:t>
      </w:r>
      <w:r w:rsidR="00DF1884" w:rsidRPr="00DF1884">
        <w:rPr>
          <w:szCs w:val="20"/>
        </w:rPr>
        <w:t xml:space="preserve"> </w:t>
      </w:r>
      <w:r w:rsidRPr="00DF1884">
        <w:rPr>
          <w:szCs w:val="20"/>
        </w:rPr>
        <w:t>HEDIS</w:t>
      </w:r>
      <w:r w:rsidR="00DF1884" w:rsidRPr="00DF1884">
        <w:rPr>
          <w:szCs w:val="20"/>
        </w:rPr>
        <w:t xml:space="preserve"> </w:t>
      </w:r>
      <w:r w:rsidRPr="00DF1884">
        <w:rPr>
          <w:szCs w:val="20"/>
        </w:rPr>
        <w:t>measure</w:t>
      </w:r>
      <w:r w:rsidR="00DF1884" w:rsidRPr="00DF1884">
        <w:rPr>
          <w:szCs w:val="20"/>
        </w:rPr>
        <w:t xml:space="preserve"> </w:t>
      </w:r>
      <w:r w:rsidRPr="00DF1884">
        <w:rPr>
          <w:szCs w:val="20"/>
        </w:rPr>
        <w:t>by</w:t>
      </w:r>
      <w:r w:rsidR="00DF1884" w:rsidRPr="00DF1884">
        <w:rPr>
          <w:szCs w:val="20"/>
        </w:rPr>
        <w:t xml:space="preserve"> </w:t>
      </w:r>
      <w:r w:rsidRPr="00DF1884">
        <w:rPr>
          <w:szCs w:val="20"/>
        </w:rPr>
        <w:t>building</w:t>
      </w:r>
      <w:r w:rsidR="00DF1884" w:rsidRPr="00DF1884">
        <w:rPr>
          <w:szCs w:val="20"/>
        </w:rPr>
        <w:t xml:space="preserve"> </w:t>
      </w:r>
      <w:r w:rsidRPr="00DF1884">
        <w:rPr>
          <w:szCs w:val="20"/>
        </w:rPr>
        <w:t>on</w:t>
      </w:r>
      <w:r w:rsidR="00DF1884" w:rsidRPr="00DF1884">
        <w:rPr>
          <w:szCs w:val="20"/>
        </w:rPr>
        <w:t xml:space="preserve"> </w:t>
      </w:r>
      <w:r w:rsidRPr="00DF1884">
        <w:rPr>
          <w:szCs w:val="20"/>
        </w:rPr>
        <w:t>the</w:t>
      </w:r>
      <w:r w:rsidR="00DF1884" w:rsidRPr="00DF1884">
        <w:rPr>
          <w:szCs w:val="20"/>
        </w:rPr>
        <w:t xml:space="preserve"> </w:t>
      </w:r>
      <w:r w:rsidRPr="00DF1884">
        <w:rPr>
          <w:szCs w:val="20"/>
        </w:rPr>
        <w:t>existing</w:t>
      </w:r>
      <w:r w:rsidR="00DF1884" w:rsidRPr="00DF1884">
        <w:rPr>
          <w:szCs w:val="20"/>
        </w:rPr>
        <w:t xml:space="preserve"> </w:t>
      </w:r>
      <w:r w:rsidRPr="00DF1884">
        <w:rPr>
          <w:szCs w:val="20"/>
        </w:rPr>
        <w:t>unadjusted</w:t>
      </w:r>
      <w:r w:rsidR="00DF1884" w:rsidRPr="00DF1884">
        <w:rPr>
          <w:szCs w:val="20"/>
        </w:rPr>
        <w:t xml:space="preserve"> </w:t>
      </w:r>
      <w:r w:rsidRPr="00DF1884">
        <w:rPr>
          <w:szCs w:val="20"/>
        </w:rPr>
        <w:t>measure:</w:t>
      </w:r>
      <w:r w:rsidR="00DF1884" w:rsidRPr="00DF1884">
        <w:rPr>
          <w:szCs w:val="20"/>
        </w:rPr>
        <w:t xml:space="preserve"> </w:t>
      </w:r>
      <w:r w:rsidRPr="00DF1884">
        <w:rPr>
          <w:i/>
          <w:iCs/>
          <w:szCs w:val="20"/>
        </w:rPr>
        <w:t>Inpatient</w:t>
      </w:r>
      <w:r w:rsidR="00DF1884" w:rsidRPr="00DF1884">
        <w:rPr>
          <w:i/>
          <w:iCs/>
          <w:szCs w:val="20"/>
        </w:rPr>
        <w:t xml:space="preserve"> </w:t>
      </w:r>
      <w:r w:rsidRPr="00DF1884">
        <w:rPr>
          <w:i/>
          <w:iCs/>
          <w:szCs w:val="20"/>
        </w:rPr>
        <w:t>Utilization—General</w:t>
      </w:r>
      <w:r w:rsidR="00DF1884" w:rsidRPr="00DF1884">
        <w:rPr>
          <w:i/>
          <w:iCs/>
          <w:szCs w:val="20"/>
        </w:rPr>
        <w:t xml:space="preserve"> </w:t>
      </w:r>
      <w:r w:rsidRPr="00DF1884">
        <w:rPr>
          <w:i/>
          <w:iCs/>
          <w:szCs w:val="20"/>
        </w:rPr>
        <w:t>Hospital/Acute</w:t>
      </w:r>
      <w:r w:rsidR="00DF1884" w:rsidRPr="00DF1884">
        <w:rPr>
          <w:i/>
          <w:iCs/>
          <w:szCs w:val="20"/>
        </w:rPr>
        <w:t xml:space="preserve"> </w:t>
      </w:r>
      <w:r w:rsidRPr="00DF1884">
        <w:rPr>
          <w:i/>
          <w:iCs/>
          <w:szCs w:val="20"/>
        </w:rPr>
        <w:t>Care</w:t>
      </w:r>
      <w:r w:rsidR="00DF1884" w:rsidRPr="00DF1884">
        <w:rPr>
          <w:i/>
          <w:iCs/>
          <w:szCs w:val="20"/>
        </w:rPr>
        <w:t xml:space="preserve"> </w:t>
      </w:r>
      <w:r w:rsidRPr="00DF1884">
        <w:rPr>
          <w:i/>
          <w:iCs/>
          <w:szCs w:val="20"/>
        </w:rPr>
        <w:t>(IPU)</w:t>
      </w:r>
      <w:r w:rsidRPr="00DF1884">
        <w:rPr>
          <w:szCs w:val="20"/>
        </w:rPr>
        <w:t>.</w:t>
      </w:r>
      <w:r w:rsidR="00DF1884" w:rsidRPr="00DF1884">
        <w:rPr>
          <w:szCs w:val="20"/>
        </w:rPr>
        <w:t xml:space="preserve"> </w:t>
      </w:r>
      <w:r w:rsidRPr="00DF1884">
        <w:rPr>
          <w:szCs w:val="20"/>
        </w:rPr>
        <w:t>Since</w:t>
      </w:r>
      <w:r w:rsidR="00DF1884" w:rsidRPr="00DF1884">
        <w:rPr>
          <w:szCs w:val="20"/>
        </w:rPr>
        <w:t xml:space="preserve"> </w:t>
      </w:r>
      <w:r w:rsidRPr="00DF1884">
        <w:rPr>
          <w:szCs w:val="20"/>
        </w:rPr>
        <w:t>1993,</w:t>
      </w:r>
      <w:r w:rsidR="00DF1884" w:rsidRPr="00DF1884">
        <w:rPr>
          <w:szCs w:val="20"/>
        </w:rPr>
        <w:t xml:space="preserve"> </w:t>
      </w:r>
      <w:r w:rsidRPr="00DF1884">
        <w:rPr>
          <w:szCs w:val="20"/>
        </w:rPr>
        <w:t>the</w:t>
      </w:r>
      <w:r w:rsidR="00DF1884" w:rsidRPr="00DF1884">
        <w:rPr>
          <w:szCs w:val="20"/>
        </w:rPr>
        <w:t xml:space="preserve"> </w:t>
      </w:r>
      <w:r w:rsidRPr="00DF1884">
        <w:rPr>
          <w:szCs w:val="20"/>
        </w:rPr>
        <w:t>IPU</w:t>
      </w:r>
      <w:r w:rsidR="00DF1884" w:rsidRPr="00DF1884">
        <w:rPr>
          <w:szCs w:val="20"/>
        </w:rPr>
        <w:t xml:space="preserve"> </w:t>
      </w:r>
      <w:r w:rsidRPr="00DF1884">
        <w:rPr>
          <w:szCs w:val="20"/>
        </w:rPr>
        <w:t>measure</w:t>
      </w:r>
      <w:r w:rsidR="00DF1884" w:rsidRPr="00DF1884">
        <w:rPr>
          <w:szCs w:val="20"/>
        </w:rPr>
        <w:t xml:space="preserve"> </w:t>
      </w:r>
      <w:r w:rsidRPr="00DF1884">
        <w:rPr>
          <w:szCs w:val="20"/>
        </w:rPr>
        <w:t>has</w:t>
      </w:r>
      <w:r w:rsidR="00DF1884" w:rsidRPr="00DF1884">
        <w:rPr>
          <w:szCs w:val="20"/>
        </w:rPr>
        <w:t xml:space="preserve"> </w:t>
      </w:r>
      <w:r w:rsidRPr="00DF1884">
        <w:rPr>
          <w:szCs w:val="20"/>
        </w:rPr>
        <w:t>reported</w:t>
      </w:r>
      <w:r w:rsidR="00DF1884" w:rsidRPr="00DF1884">
        <w:rPr>
          <w:szCs w:val="20"/>
        </w:rPr>
        <w:t xml:space="preserve"> </w:t>
      </w:r>
      <w:r w:rsidRPr="00DF1884">
        <w:rPr>
          <w:szCs w:val="20"/>
        </w:rPr>
        <w:t>the</w:t>
      </w:r>
      <w:r w:rsidR="00DF1884" w:rsidRPr="00DF1884">
        <w:rPr>
          <w:szCs w:val="20"/>
        </w:rPr>
        <w:t xml:space="preserve"> </w:t>
      </w:r>
      <w:r w:rsidRPr="00DF1884">
        <w:rPr>
          <w:szCs w:val="20"/>
        </w:rPr>
        <w:t>unadjusted</w:t>
      </w:r>
      <w:r w:rsidR="00DF1884" w:rsidRPr="00DF1884">
        <w:rPr>
          <w:szCs w:val="20"/>
        </w:rPr>
        <w:t xml:space="preserve"> </w:t>
      </w:r>
      <w:r w:rsidRPr="00DF1884">
        <w:rPr>
          <w:szCs w:val="20"/>
        </w:rPr>
        <w:t>total</w:t>
      </w:r>
      <w:r w:rsidR="00DF1884" w:rsidRPr="00DF1884">
        <w:rPr>
          <w:szCs w:val="20"/>
        </w:rPr>
        <w:t xml:space="preserve"> </w:t>
      </w:r>
      <w:r w:rsidRPr="00DF1884">
        <w:rPr>
          <w:szCs w:val="20"/>
        </w:rPr>
        <w:t>discharges</w:t>
      </w:r>
      <w:r w:rsidR="00DF1884" w:rsidRPr="00DF1884">
        <w:rPr>
          <w:szCs w:val="20"/>
        </w:rPr>
        <w:t xml:space="preserve"> </w:t>
      </w:r>
      <w:r w:rsidRPr="00DF1884">
        <w:rPr>
          <w:szCs w:val="20"/>
        </w:rPr>
        <w:t>per</w:t>
      </w:r>
      <w:r w:rsidR="00DF1884" w:rsidRPr="00DF1884">
        <w:rPr>
          <w:szCs w:val="20"/>
        </w:rPr>
        <w:t xml:space="preserve"> </w:t>
      </w:r>
      <w:r w:rsidRPr="00DF1884">
        <w:rPr>
          <w:szCs w:val="20"/>
        </w:rPr>
        <w:t>member</w:t>
      </w:r>
      <w:r w:rsidR="00DF1884" w:rsidRPr="00DF1884">
        <w:rPr>
          <w:szCs w:val="20"/>
        </w:rPr>
        <w:t xml:space="preserve"> </w:t>
      </w:r>
      <w:r w:rsidRPr="00DF1884">
        <w:rPr>
          <w:szCs w:val="20"/>
        </w:rPr>
        <w:t>month/year</w:t>
      </w:r>
      <w:r w:rsidR="00DF1884" w:rsidRPr="00DF1884">
        <w:rPr>
          <w:szCs w:val="20"/>
        </w:rPr>
        <w:t xml:space="preserve"> </w:t>
      </w:r>
      <w:r w:rsidRPr="00DF1884">
        <w:rPr>
          <w:szCs w:val="20"/>
        </w:rPr>
        <w:t>from</w:t>
      </w:r>
      <w:r w:rsidR="00DF1884" w:rsidRPr="00DF1884">
        <w:rPr>
          <w:szCs w:val="20"/>
        </w:rPr>
        <w:t xml:space="preserve"> </w:t>
      </w:r>
      <w:r w:rsidRPr="00DF1884">
        <w:rPr>
          <w:szCs w:val="20"/>
        </w:rPr>
        <w:t>acute</w:t>
      </w:r>
      <w:r w:rsidR="00DF1884" w:rsidRPr="00DF1884">
        <w:rPr>
          <w:szCs w:val="20"/>
        </w:rPr>
        <w:t xml:space="preserve"> </w:t>
      </w:r>
      <w:r w:rsidRPr="00DF1884">
        <w:rPr>
          <w:szCs w:val="20"/>
        </w:rPr>
        <w:t>inpatient</w:t>
      </w:r>
      <w:r w:rsidR="00DF1884" w:rsidRPr="00DF1884">
        <w:rPr>
          <w:szCs w:val="20"/>
        </w:rPr>
        <w:t xml:space="preserve"> </w:t>
      </w:r>
      <w:r w:rsidRPr="00DF1884">
        <w:rPr>
          <w:szCs w:val="20"/>
        </w:rPr>
        <w:t>care.</w:t>
      </w:r>
    </w:p>
    <w:p w14:paraId="14270D46" w14:textId="54F4402E" w:rsidR="00DF0A7F" w:rsidRPr="00DF1884" w:rsidRDefault="00DF1884" w:rsidP="00DF0A7F">
      <w:pPr>
        <w:pStyle w:val="StdHead"/>
      </w:pPr>
      <w:r w:rsidRPr="00DF1884">
        <w:t xml:space="preserve"> </w:t>
      </w:r>
      <w:r w:rsidR="00DF0A7F" w:rsidRPr="00DF1884">
        <w:t>Relevance</w:t>
      </w:r>
    </w:p>
    <w:tbl>
      <w:tblPr>
        <w:tblW w:w="9941" w:type="dxa"/>
        <w:tblInd w:w="-41" w:type="dxa"/>
        <w:tblLayout w:type="fixed"/>
        <w:tblCellMar>
          <w:left w:w="180" w:type="dxa"/>
          <w:right w:w="180" w:type="dxa"/>
        </w:tblCellMar>
        <w:tblLook w:val="0000" w:firstRow="0" w:lastRow="0" w:firstColumn="0" w:lastColumn="0" w:noHBand="0" w:noVBand="0"/>
      </w:tblPr>
      <w:tblGrid>
        <w:gridCol w:w="1866"/>
        <w:gridCol w:w="6"/>
        <w:gridCol w:w="8069"/>
      </w:tblGrid>
      <w:tr w:rsidR="00DF1884" w:rsidRPr="00DF1884" w14:paraId="7940479A" w14:textId="77777777" w:rsidTr="00AA4CD6">
        <w:tc>
          <w:tcPr>
            <w:tcW w:w="1872" w:type="dxa"/>
            <w:gridSpan w:val="2"/>
            <w:tcMar>
              <w:left w:w="115" w:type="dxa"/>
              <w:right w:w="115" w:type="dxa"/>
            </w:tcMar>
          </w:tcPr>
          <w:p w14:paraId="3934E6C2" w14:textId="29DDF27D" w:rsidR="00DF0A7F" w:rsidRPr="00DF1884" w:rsidRDefault="00DF0A7F" w:rsidP="00AA4CD6">
            <w:pPr>
              <w:pStyle w:val="MarginSubhead"/>
            </w:pPr>
            <w:r w:rsidRPr="00DF1884">
              <w:t>Health</w:t>
            </w:r>
            <w:r w:rsidR="00DF1884" w:rsidRPr="00DF1884">
              <w:t xml:space="preserve"> </w:t>
            </w:r>
            <w:r w:rsidRPr="00DF1884">
              <w:t>importance</w:t>
            </w:r>
          </w:p>
        </w:tc>
        <w:tc>
          <w:tcPr>
            <w:tcW w:w="8069" w:type="dxa"/>
            <w:tcMar>
              <w:left w:w="115" w:type="dxa"/>
              <w:right w:w="115" w:type="dxa"/>
            </w:tcMar>
          </w:tcPr>
          <w:p w14:paraId="3D858063" w14:textId="6B9F3509" w:rsidR="00DF0A7F" w:rsidRPr="00DF1884" w:rsidRDefault="00DF0A7F" w:rsidP="00AA4CD6">
            <w:pPr>
              <w:pStyle w:val="Default"/>
              <w:spacing w:before="180"/>
              <w:rPr>
                <w:color w:val="auto"/>
                <w:sz w:val="20"/>
                <w:szCs w:val="20"/>
              </w:rPr>
            </w:pPr>
            <w:r w:rsidRPr="00DF1884">
              <w:rPr>
                <w:color w:val="auto"/>
                <w:sz w:val="20"/>
                <w:szCs w:val="20"/>
              </w:rPr>
              <w:t>Risk</w:t>
            </w:r>
            <w:r w:rsidR="00DF1884" w:rsidRPr="00DF1884">
              <w:rPr>
                <w:color w:val="auto"/>
                <w:sz w:val="20"/>
                <w:szCs w:val="20"/>
              </w:rPr>
              <w:t xml:space="preserve"> </w:t>
            </w:r>
            <w:r w:rsidRPr="00DF1884">
              <w:rPr>
                <w:color w:val="auto"/>
                <w:sz w:val="20"/>
                <w:szCs w:val="20"/>
              </w:rPr>
              <w:t>modeling</w:t>
            </w:r>
            <w:r w:rsidR="00DF1884" w:rsidRPr="00DF1884">
              <w:rPr>
                <w:color w:val="auto"/>
                <w:sz w:val="20"/>
                <w:szCs w:val="20"/>
              </w:rPr>
              <w:t xml:space="preserve"> </w:t>
            </w:r>
            <w:r w:rsidRPr="00DF1884">
              <w:rPr>
                <w:color w:val="auto"/>
                <w:sz w:val="20"/>
                <w:szCs w:val="20"/>
              </w:rPr>
              <w:t>and</w:t>
            </w:r>
            <w:r w:rsidR="00DF1884" w:rsidRPr="00DF1884">
              <w:rPr>
                <w:color w:val="auto"/>
                <w:sz w:val="20"/>
                <w:szCs w:val="20"/>
              </w:rPr>
              <w:t xml:space="preserve"> </w:t>
            </w:r>
            <w:r w:rsidRPr="00DF1884">
              <w:rPr>
                <w:color w:val="auto"/>
                <w:sz w:val="20"/>
                <w:szCs w:val="20"/>
              </w:rPr>
              <w:t>testing</w:t>
            </w:r>
            <w:r w:rsidR="00DF1884" w:rsidRPr="00DF1884">
              <w:rPr>
                <w:color w:val="auto"/>
                <w:sz w:val="20"/>
                <w:szCs w:val="20"/>
              </w:rPr>
              <w:t xml:space="preserve"> </w:t>
            </w:r>
            <w:r w:rsidRPr="00DF1884">
              <w:rPr>
                <w:color w:val="auto"/>
                <w:sz w:val="20"/>
                <w:szCs w:val="20"/>
              </w:rPr>
              <w:t>were</w:t>
            </w:r>
            <w:r w:rsidR="00DF1884" w:rsidRPr="00DF1884">
              <w:rPr>
                <w:color w:val="auto"/>
                <w:sz w:val="20"/>
                <w:szCs w:val="20"/>
              </w:rPr>
              <w:t xml:space="preserve"> </w:t>
            </w:r>
            <w:r w:rsidRPr="00DF1884">
              <w:rPr>
                <w:color w:val="auto"/>
                <w:sz w:val="20"/>
                <w:szCs w:val="20"/>
              </w:rPr>
              <w:t>undertaken</w:t>
            </w:r>
            <w:r w:rsidR="00DF1884" w:rsidRPr="00DF1884">
              <w:rPr>
                <w:color w:val="auto"/>
                <w:sz w:val="20"/>
                <w:szCs w:val="20"/>
              </w:rPr>
              <w:t xml:space="preserve"> </w:t>
            </w:r>
            <w:r w:rsidRPr="00DF1884">
              <w:rPr>
                <w:color w:val="auto"/>
                <w:sz w:val="20"/>
                <w:szCs w:val="20"/>
              </w:rPr>
              <w:t>to</w:t>
            </w:r>
            <w:r w:rsidR="00DF1884" w:rsidRPr="00DF1884">
              <w:rPr>
                <w:color w:val="auto"/>
                <w:sz w:val="20"/>
                <w:szCs w:val="20"/>
              </w:rPr>
              <w:t xml:space="preserve"> </w:t>
            </w:r>
            <w:r w:rsidRPr="00DF1884">
              <w:rPr>
                <w:color w:val="auto"/>
                <w:sz w:val="20"/>
                <w:szCs w:val="20"/>
              </w:rPr>
              <w:t>assess</w:t>
            </w:r>
            <w:r w:rsidR="00DF1884" w:rsidRPr="00DF1884">
              <w:rPr>
                <w:color w:val="auto"/>
                <w:sz w:val="20"/>
                <w:szCs w:val="20"/>
              </w:rPr>
              <w:t xml:space="preserve"> </w:t>
            </w:r>
            <w:r w:rsidRPr="00DF1884">
              <w:rPr>
                <w:color w:val="auto"/>
                <w:sz w:val="20"/>
                <w:szCs w:val="20"/>
              </w:rPr>
              <w:t>whether</w:t>
            </w:r>
            <w:r w:rsidR="00DF1884" w:rsidRPr="00DF1884">
              <w:rPr>
                <w:color w:val="auto"/>
                <w:sz w:val="20"/>
                <w:szCs w:val="20"/>
              </w:rPr>
              <w:t xml:space="preserve"> </w:t>
            </w:r>
            <w:r w:rsidRPr="00DF1884">
              <w:rPr>
                <w:color w:val="auto"/>
                <w:sz w:val="20"/>
                <w:szCs w:val="20"/>
              </w:rPr>
              <w:t>risk</w:t>
            </w:r>
            <w:r w:rsidR="00DF1884" w:rsidRPr="00DF1884">
              <w:rPr>
                <w:color w:val="auto"/>
                <w:sz w:val="20"/>
                <w:szCs w:val="20"/>
              </w:rPr>
              <w:t xml:space="preserve"> </w:t>
            </w:r>
            <w:r w:rsidRPr="00DF1884">
              <w:rPr>
                <w:color w:val="auto"/>
                <w:sz w:val="20"/>
                <w:szCs w:val="20"/>
              </w:rPr>
              <w:t>adjustment</w:t>
            </w:r>
            <w:r w:rsidR="00DF1884" w:rsidRPr="00DF1884">
              <w:rPr>
                <w:color w:val="auto"/>
                <w:sz w:val="20"/>
                <w:szCs w:val="20"/>
              </w:rPr>
              <w:t xml:space="preserve"> </w:t>
            </w:r>
            <w:r w:rsidRPr="00DF1884">
              <w:rPr>
                <w:color w:val="auto"/>
                <w:sz w:val="20"/>
                <w:szCs w:val="20"/>
              </w:rPr>
              <w:t>might</w:t>
            </w:r>
            <w:r w:rsidR="00DF1884" w:rsidRPr="00DF1884">
              <w:rPr>
                <w:color w:val="auto"/>
                <w:sz w:val="20"/>
                <w:szCs w:val="20"/>
              </w:rPr>
              <w:t xml:space="preserve"> </w:t>
            </w:r>
            <w:r w:rsidRPr="00DF1884">
              <w:rPr>
                <w:color w:val="auto"/>
                <w:sz w:val="20"/>
                <w:szCs w:val="20"/>
              </w:rPr>
              <w:t>improve</w:t>
            </w:r>
            <w:r w:rsidR="00DF1884" w:rsidRPr="00DF1884">
              <w:rPr>
                <w:color w:val="auto"/>
                <w:sz w:val="20"/>
                <w:szCs w:val="20"/>
              </w:rPr>
              <w:t xml:space="preserve"> </w:t>
            </w:r>
            <w:r w:rsidRPr="00DF1884">
              <w:rPr>
                <w:color w:val="auto"/>
                <w:sz w:val="20"/>
                <w:szCs w:val="20"/>
              </w:rPr>
              <w:t>the</w:t>
            </w:r>
            <w:r w:rsidR="00DF1884" w:rsidRPr="00DF1884">
              <w:rPr>
                <w:color w:val="auto"/>
                <w:sz w:val="20"/>
                <w:szCs w:val="20"/>
              </w:rPr>
              <w:t xml:space="preserve"> </w:t>
            </w:r>
            <w:r w:rsidRPr="00DF1884">
              <w:rPr>
                <w:color w:val="auto"/>
                <w:sz w:val="20"/>
                <w:szCs w:val="20"/>
              </w:rPr>
              <w:t>measure</w:t>
            </w:r>
            <w:r w:rsidR="00887F28" w:rsidRPr="00DF1884">
              <w:rPr>
                <w:color w:val="auto"/>
                <w:sz w:val="20"/>
                <w:szCs w:val="20"/>
              </w:rPr>
              <w:t>’</w:t>
            </w:r>
            <w:r w:rsidRPr="00DF1884">
              <w:rPr>
                <w:color w:val="auto"/>
                <w:sz w:val="20"/>
                <w:szCs w:val="20"/>
              </w:rPr>
              <w:t>s</w:t>
            </w:r>
            <w:r w:rsidR="00DF1884" w:rsidRPr="00DF1884">
              <w:rPr>
                <w:color w:val="auto"/>
                <w:sz w:val="20"/>
                <w:szCs w:val="20"/>
              </w:rPr>
              <w:t xml:space="preserve"> </w:t>
            </w:r>
            <w:r w:rsidRPr="00DF1884">
              <w:rPr>
                <w:color w:val="auto"/>
                <w:sz w:val="20"/>
                <w:szCs w:val="20"/>
              </w:rPr>
              <w:t>ability</w:t>
            </w:r>
            <w:r w:rsidR="00DF1884" w:rsidRPr="00DF1884">
              <w:rPr>
                <w:color w:val="auto"/>
                <w:sz w:val="20"/>
                <w:szCs w:val="20"/>
              </w:rPr>
              <w:t xml:space="preserve"> </w:t>
            </w:r>
            <w:r w:rsidRPr="00DF1884">
              <w:rPr>
                <w:color w:val="auto"/>
                <w:sz w:val="20"/>
                <w:szCs w:val="20"/>
              </w:rPr>
              <w:t>to</w:t>
            </w:r>
            <w:r w:rsidR="00DF1884" w:rsidRPr="00DF1884">
              <w:rPr>
                <w:color w:val="auto"/>
                <w:sz w:val="20"/>
                <w:szCs w:val="20"/>
              </w:rPr>
              <w:t xml:space="preserve"> </w:t>
            </w:r>
            <w:r w:rsidRPr="00DF1884">
              <w:rPr>
                <w:color w:val="auto"/>
                <w:sz w:val="20"/>
                <w:szCs w:val="20"/>
              </w:rPr>
              <w:t>highlight</w:t>
            </w:r>
            <w:r w:rsidR="00DF1884" w:rsidRPr="00DF1884">
              <w:rPr>
                <w:color w:val="auto"/>
                <w:sz w:val="20"/>
                <w:szCs w:val="20"/>
              </w:rPr>
              <w:t xml:space="preserve"> </w:t>
            </w:r>
            <w:r w:rsidRPr="00DF1884">
              <w:rPr>
                <w:color w:val="auto"/>
                <w:sz w:val="20"/>
                <w:szCs w:val="20"/>
              </w:rPr>
              <w:t>quality</w:t>
            </w:r>
            <w:r w:rsidR="00DF1884" w:rsidRPr="00DF1884">
              <w:rPr>
                <w:color w:val="auto"/>
                <w:sz w:val="20"/>
                <w:szCs w:val="20"/>
              </w:rPr>
              <w:t xml:space="preserve"> </w:t>
            </w:r>
            <w:r w:rsidRPr="00DF1884">
              <w:rPr>
                <w:color w:val="auto"/>
                <w:sz w:val="20"/>
                <w:szCs w:val="20"/>
              </w:rPr>
              <w:t>differences,</w:t>
            </w:r>
            <w:r w:rsidR="00DF1884" w:rsidRPr="00DF1884">
              <w:rPr>
                <w:color w:val="auto"/>
                <w:sz w:val="20"/>
                <w:szCs w:val="20"/>
              </w:rPr>
              <w:t xml:space="preserve"> </w:t>
            </w:r>
            <w:r w:rsidRPr="00DF1884">
              <w:rPr>
                <w:color w:val="auto"/>
                <w:sz w:val="20"/>
                <w:szCs w:val="20"/>
              </w:rPr>
              <w:t>such</w:t>
            </w:r>
            <w:r w:rsidR="00DF1884" w:rsidRPr="00DF1884">
              <w:rPr>
                <w:color w:val="auto"/>
                <w:sz w:val="20"/>
                <w:szCs w:val="20"/>
              </w:rPr>
              <w:t xml:space="preserve"> </w:t>
            </w:r>
            <w:r w:rsidRPr="00DF1884">
              <w:rPr>
                <w:color w:val="auto"/>
                <w:sz w:val="20"/>
                <w:szCs w:val="20"/>
              </w:rPr>
              <w:t>as</w:t>
            </w:r>
            <w:r w:rsidR="00DF1884" w:rsidRPr="00DF1884">
              <w:rPr>
                <w:color w:val="auto"/>
                <w:sz w:val="20"/>
                <w:szCs w:val="20"/>
              </w:rPr>
              <w:t xml:space="preserve"> </w:t>
            </w:r>
            <w:r w:rsidRPr="00DF1884">
              <w:rPr>
                <w:color w:val="auto"/>
                <w:sz w:val="20"/>
                <w:szCs w:val="20"/>
              </w:rPr>
              <w:t>the</w:t>
            </w:r>
            <w:r w:rsidR="00DF1884" w:rsidRPr="00DF1884">
              <w:rPr>
                <w:color w:val="auto"/>
                <w:sz w:val="20"/>
                <w:szCs w:val="20"/>
              </w:rPr>
              <w:t xml:space="preserve"> </w:t>
            </w:r>
            <w:r w:rsidRPr="00DF1884">
              <w:rPr>
                <w:color w:val="auto"/>
                <w:sz w:val="20"/>
                <w:szCs w:val="20"/>
              </w:rPr>
              <w:t>impact</w:t>
            </w:r>
            <w:r w:rsidR="00DF1884" w:rsidRPr="00DF1884">
              <w:rPr>
                <w:color w:val="auto"/>
                <w:sz w:val="20"/>
                <w:szCs w:val="20"/>
              </w:rPr>
              <w:t xml:space="preserve"> </w:t>
            </w:r>
            <w:r w:rsidRPr="00DF1884">
              <w:rPr>
                <w:color w:val="auto"/>
                <w:sz w:val="20"/>
                <w:szCs w:val="20"/>
              </w:rPr>
              <w:t>of</w:t>
            </w:r>
            <w:r w:rsidR="00DF1884" w:rsidRPr="00DF1884">
              <w:rPr>
                <w:color w:val="auto"/>
                <w:sz w:val="20"/>
                <w:szCs w:val="20"/>
              </w:rPr>
              <w:t xml:space="preserve"> </w:t>
            </w:r>
            <w:r w:rsidRPr="00DF1884">
              <w:rPr>
                <w:color w:val="auto"/>
                <w:sz w:val="20"/>
                <w:szCs w:val="20"/>
              </w:rPr>
              <w:t>effective</w:t>
            </w:r>
            <w:r w:rsidR="00DF1884" w:rsidRPr="00DF1884">
              <w:rPr>
                <w:color w:val="auto"/>
                <w:sz w:val="20"/>
                <w:szCs w:val="20"/>
              </w:rPr>
              <w:t xml:space="preserve"> </w:t>
            </w:r>
            <w:r w:rsidRPr="00DF1884">
              <w:rPr>
                <w:color w:val="auto"/>
                <w:sz w:val="20"/>
                <w:szCs w:val="20"/>
              </w:rPr>
              <w:t>care</w:t>
            </w:r>
            <w:r w:rsidR="00DF1884" w:rsidRPr="00DF1884">
              <w:rPr>
                <w:color w:val="auto"/>
                <w:sz w:val="20"/>
                <w:szCs w:val="20"/>
              </w:rPr>
              <w:t xml:space="preserve"> </w:t>
            </w:r>
            <w:r w:rsidRPr="00DF1884">
              <w:rPr>
                <w:color w:val="auto"/>
                <w:sz w:val="20"/>
                <w:szCs w:val="20"/>
              </w:rPr>
              <w:t>coordination</w:t>
            </w:r>
            <w:r w:rsidR="00DF1884" w:rsidRPr="00DF1884">
              <w:rPr>
                <w:color w:val="auto"/>
                <w:sz w:val="20"/>
                <w:szCs w:val="20"/>
              </w:rPr>
              <w:t xml:space="preserve"> </w:t>
            </w:r>
            <w:r w:rsidRPr="00DF1884">
              <w:rPr>
                <w:color w:val="auto"/>
                <w:sz w:val="20"/>
                <w:szCs w:val="20"/>
              </w:rPr>
              <w:t>and</w:t>
            </w:r>
            <w:r w:rsidR="00DF1884" w:rsidRPr="00DF1884">
              <w:rPr>
                <w:color w:val="auto"/>
                <w:sz w:val="20"/>
                <w:szCs w:val="20"/>
              </w:rPr>
              <w:t xml:space="preserve"> </w:t>
            </w:r>
            <w:r w:rsidRPr="00DF1884">
              <w:rPr>
                <w:color w:val="auto"/>
                <w:sz w:val="20"/>
                <w:szCs w:val="20"/>
              </w:rPr>
              <w:t>other</w:t>
            </w:r>
            <w:r w:rsidR="00DF1884" w:rsidRPr="00DF1884">
              <w:rPr>
                <w:color w:val="auto"/>
                <w:sz w:val="20"/>
                <w:szCs w:val="20"/>
              </w:rPr>
              <w:t xml:space="preserve"> </w:t>
            </w:r>
            <w:r w:rsidRPr="00DF1884">
              <w:rPr>
                <w:color w:val="auto"/>
                <w:sz w:val="20"/>
                <w:szCs w:val="20"/>
              </w:rPr>
              <w:t>system</w:t>
            </w:r>
            <w:r w:rsidR="00DF1884" w:rsidRPr="00DF1884">
              <w:rPr>
                <w:color w:val="auto"/>
                <w:sz w:val="20"/>
                <w:szCs w:val="20"/>
              </w:rPr>
              <w:t xml:space="preserve"> </w:t>
            </w:r>
            <w:r w:rsidRPr="00DF1884">
              <w:rPr>
                <w:color w:val="auto"/>
                <w:sz w:val="20"/>
                <w:szCs w:val="20"/>
              </w:rPr>
              <w:t>interventions,</w:t>
            </w:r>
            <w:r w:rsidR="00DF1884" w:rsidRPr="00DF1884">
              <w:rPr>
                <w:color w:val="auto"/>
                <w:sz w:val="20"/>
                <w:szCs w:val="20"/>
              </w:rPr>
              <w:t xml:space="preserve"> </w:t>
            </w:r>
            <w:r w:rsidRPr="00DF1884">
              <w:rPr>
                <w:color w:val="auto"/>
                <w:sz w:val="20"/>
                <w:szCs w:val="20"/>
              </w:rPr>
              <w:t>in</w:t>
            </w:r>
            <w:r w:rsidR="00DF1884" w:rsidRPr="00DF1884">
              <w:rPr>
                <w:color w:val="auto"/>
                <w:sz w:val="20"/>
                <w:szCs w:val="20"/>
              </w:rPr>
              <w:t xml:space="preserve"> </w:t>
            </w:r>
            <w:r w:rsidRPr="00DF1884">
              <w:rPr>
                <w:color w:val="auto"/>
                <w:sz w:val="20"/>
                <w:szCs w:val="20"/>
              </w:rPr>
              <w:t>reducing</w:t>
            </w:r>
            <w:r w:rsidR="00DF1884" w:rsidRPr="00DF1884">
              <w:rPr>
                <w:color w:val="auto"/>
                <w:sz w:val="20"/>
                <w:szCs w:val="20"/>
              </w:rPr>
              <w:t xml:space="preserve"> </w:t>
            </w:r>
            <w:r w:rsidRPr="00DF1884">
              <w:rPr>
                <w:color w:val="auto"/>
                <w:sz w:val="20"/>
                <w:szCs w:val="20"/>
              </w:rPr>
              <w:t>inpatient</w:t>
            </w:r>
            <w:r w:rsidR="00DF1884" w:rsidRPr="00DF1884">
              <w:rPr>
                <w:color w:val="auto"/>
                <w:sz w:val="20"/>
                <w:szCs w:val="20"/>
              </w:rPr>
              <w:t xml:space="preserve"> </w:t>
            </w:r>
            <w:r w:rsidRPr="00DF1884">
              <w:rPr>
                <w:color w:val="auto"/>
                <w:sz w:val="20"/>
                <w:szCs w:val="20"/>
              </w:rPr>
              <w:t>admissions</w:t>
            </w:r>
            <w:r w:rsidR="00DF1884" w:rsidRPr="00DF1884">
              <w:rPr>
                <w:color w:val="auto"/>
                <w:sz w:val="20"/>
                <w:szCs w:val="20"/>
              </w:rPr>
              <w:t xml:space="preserve"> </w:t>
            </w:r>
            <w:r w:rsidRPr="00DF1884">
              <w:rPr>
                <w:color w:val="auto"/>
                <w:sz w:val="20"/>
                <w:szCs w:val="20"/>
              </w:rPr>
              <w:t>and</w:t>
            </w:r>
            <w:r w:rsidR="00DF1884" w:rsidRPr="00DF1884">
              <w:rPr>
                <w:color w:val="auto"/>
                <w:sz w:val="20"/>
                <w:szCs w:val="20"/>
              </w:rPr>
              <w:t xml:space="preserve"> </w:t>
            </w:r>
            <w:r w:rsidRPr="00DF1884">
              <w:rPr>
                <w:color w:val="auto"/>
                <w:sz w:val="20"/>
                <w:szCs w:val="20"/>
              </w:rPr>
              <w:t>ED</w:t>
            </w:r>
            <w:r w:rsidR="00DF1884" w:rsidRPr="00DF1884">
              <w:rPr>
                <w:color w:val="auto"/>
                <w:sz w:val="20"/>
                <w:szCs w:val="20"/>
              </w:rPr>
              <w:t xml:space="preserve"> </w:t>
            </w:r>
            <w:r w:rsidRPr="00DF1884">
              <w:rPr>
                <w:color w:val="auto"/>
                <w:sz w:val="20"/>
                <w:szCs w:val="20"/>
              </w:rPr>
              <w:t>overutilization.</w:t>
            </w:r>
            <w:r w:rsidR="00DF1884" w:rsidRPr="00DF1884">
              <w:rPr>
                <w:color w:val="auto"/>
                <w:sz w:val="20"/>
                <w:szCs w:val="20"/>
              </w:rPr>
              <w:t xml:space="preserve"> </w:t>
            </w:r>
            <w:r w:rsidRPr="00DF1884">
              <w:rPr>
                <w:color w:val="auto"/>
                <w:sz w:val="20"/>
                <w:szCs w:val="20"/>
              </w:rPr>
              <w:t>The</w:t>
            </w:r>
            <w:r w:rsidR="00DF1884" w:rsidRPr="00DF1884">
              <w:rPr>
                <w:color w:val="auto"/>
                <w:sz w:val="20"/>
                <w:szCs w:val="20"/>
              </w:rPr>
              <w:t xml:space="preserve"> </w:t>
            </w:r>
            <w:r w:rsidRPr="00DF1884">
              <w:rPr>
                <w:color w:val="auto"/>
                <w:sz w:val="20"/>
                <w:szCs w:val="20"/>
              </w:rPr>
              <w:t>proposed</w:t>
            </w:r>
            <w:r w:rsidR="00DF1884" w:rsidRPr="00DF1884">
              <w:rPr>
                <w:color w:val="auto"/>
                <w:sz w:val="20"/>
                <w:szCs w:val="20"/>
              </w:rPr>
              <w:t xml:space="preserve"> </w:t>
            </w:r>
            <w:r w:rsidRPr="00DF1884">
              <w:rPr>
                <w:color w:val="auto"/>
                <w:sz w:val="20"/>
                <w:szCs w:val="20"/>
              </w:rPr>
              <w:t>risk</w:t>
            </w:r>
            <w:r w:rsidR="00DF1884" w:rsidRPr="00DF1884">
              <w:rPr>
                <w:color w:val="auto"/>
                <w:sz w:val="20"/>
                <w:szCs w:val="20"/>
              </w:rPr>
              <w:t xml:space="preserve"> </w:t>
            </w:r>
            <w:r w:rsidRPr="00DF1884">
              <w:rPr>
                <w:color w:val="auto"/>
                <w:sz w:val="20"/>
                <w:szCs w:val="20"/>
              </w:rPr>
              <w:t>adjusted</w:t>
            </w:r>
            <w:r w:rsidR="00DF1884" w:rsidRPr="00DF1884">
              <w:rPr>
                <w:color w:val="auto"/>
                <w:sz w:val="20"/>
                <w:szCs w:val="20"/>
              </w:rPr>
              <w:t xml:space="preserve"> </w:t>
            </w:r>
            <w:r w:rsidRPr="00DF1884">
              <w:rPr>
                <w:color w:val="auto"/>
                <w:sz w:val="20"/>
                <w:szCs w:val="20"/>
              </w:rPr>
              <w:t>specifications</w:t>
            </w:r>
            <w:r w:rsidR="00DF1884" w:rsidRPr="00DF1884">
              <w:rPr>
                <w:color w:val="auto"/>
                <w:sz w:val="20"/>
                <w:szCs w:val="20"/>
              </w:rPr>
              <w:t xml:space="preserve"> </w:t>
            </w:r>
            <w:r w:rsidRPr="00DF1884">
              <w:rPr>
                <w:color w:val="auto"/>
                <w:sz w:val="20"/>
                <w:szCs w:val="20"/>
              </w:rPr>
              <w:t>are</w:t>
            </w:r>
            <w:r w:rsidR="00DF1884" w:rsidRPr="00DF1884">
              <w:rPr>
                <w:color w:val="auto"/>
                <w:sz w:val="20"/>
                <w:szCs w:val="20"/>
              </w:rPr>
              <w:t xml:space="preserve"> </w:t>
            </w:r>
            <w:r w:rsidRPr="00DF1884">
              <w:rPr>
                <w:color w:val="auto"/>
                <w:sz w:val="20"/>
                <w:szCs w:val="20"/>
              </w:rPr>
              <w:t>intended</w:t>
            </w:r>
            <w:r w:rsidR="00DF1884" w:rsidRPr="00DF1884">
              <w:rPr>
                <w:color w:val="auto"/>
                <w:sz w:val="20"/>
                <w:szCs w:val="20"/>
              </w:rPr>
              <w:t xml:space="preserve"> </w:t>
            </w:r>
            <w:r w:rsidRPr="00DF1884">
              <w:rPr>
                <w:color w:val="auto"/>
                <w:sz w:val="20"/>
                <w:szCs w:val="20"/>
              </w:rPr>
              <w:t>to</w:t>
            </w:r>
            <w:r w:rsidR="00DF1884" w:rsidRPr="00DF1884">
              <w:rPr>
                <w:color w:val="auto"/>
                <w:sz w:val="20"/>
                <w:szCs w:val="20"/>
              </w:rPr>
              <w:t xml:space="preserve"> </w:t>
            </w:r>
            <w:r w:rsidRPr="00DF1884">
              <w:rPr>
                <w:color w:val="auto"/>
                <w:sz w:val="20"/>
                <w:szCs w:val="20"/>
              </w:rPr>
              <w:t>enhance</w:t>
            </w:r>
            <w:r w:rsidR="00DF1884" w:rsidRPr="00DF1884">
              <w:rPr>
                <w:color w:val="auto"/>
                <w:sz w:val="20"/>
                <w:szCs w:val="20"/>
              </w:rPr>
              <w:t xml:space="preserve"> </w:t>
            </w:r>
            <w:r w:rsidRPr="00DF1884">
              <w:rPr>
                <w:color w:val="auto"/>
                <w:sz w:val="20"/>
                <w:szCs w:val="20"/>
              </w:rPr>
              <w:t>our</w:t>
            </w:r>
            <w:r w:rsidR="00DF1884" w:rsidRPr="00DF1884">
              <w:rPr>
                <w:color w:val="auto"/>
                <w:sz w:val="20"/>
                <w:szCs w:val="20"/>
              </w:rPr>
              <w:t xml:space="preserve"> </w:t>
            </w:r>
            <w:r w:rsidRPr="00DF1884">
              <w:rPr>
                <w:color w:val="auto"/>
                <w:sz w:val="20"/>
                <w:szCs w:val="20"/>
              </w:rPr>
              <w:t>understanding</w:t>
            </w:r>
            <w:r w:rsidR="00DF1884" w:rsidRPr="00DF1884">
              <w:rPr>
                <w:color w:val="auto"/>
                <w:sz w:val="20"/>
                <w:szCs w:val="20"/>
              </w:rPr>
              <w:t xml:space="preserve"> </w:t>
            </w:r>
            <w:r w:rsidRPr="00DF1884">
              <w:rPr>
                <w:color w:val="auto"/>
                <w:sz w:val="20"/>
                <w:szCs w:val="20"/>
              </w:rPr>
              <w:t>of</w:t>
            </w:r>
            <w:r w:rsidR="00DF1884" w:rsidRPr="00DF1884">
              <w:rPr>
                <w:color w:val="auto"/>
                <w:sz w:val="20"/>
                <w:szCs w:val="20"/>
              </w:rPr>
              <w:t xml:space="preserve"> </w:t>
            </w:r>
            <w:r w:rsidRPr="00DF1884">
              <w:rPr>
                <w:color w:val="auto"/>
                <w:sz w:val="20"/>
                <w:szCs w:val="20"/>
              </w:rPr>
              <w:t>variation</w:t>
            </w:r>
            <w:r w:rsidR="00DF1884" w:rsidRPr="00DF1884">
              <w:rPr>
                <w:color w:val="auto"/>
                <w:sz w:val="20"/>
                <w:szCs w:val="20"/>
              </w:rPr>
              <w:t xml:space="preserve"> </w:t>
            </w:r>
            <w:r w:rsidRPr="00DF1884">
              <w:rPr>
                <w:color w:val="auto"/>
                <w:sz w:val="20"/>
                <w:szCs w:val="20"/>
              </w:rPr>
              <w:t>in</w:t>
            </w:r>
            <w:r w:rsidR="00DF1884" w:rsidRPr="00DF1884">
              <w:rPr>
                <w:color w:val="auto"/>
                <w:sz w:val="20"/>
                <w:szCs w:val="20"/>
              </w:rPr>
              <w:t xml:space="preserve"> </w:t>
            </w:r>
            <w:r w:rsidRPr="00DF1884">
              <w:rPr>
                <w:color w:val="auto"/>
                <w:sz w:val="20"/>
                <w:szCs w:val="20"/>
              </w:rPr>
              <w:t>utilization</w:t>
            </w:r>
            <w:r w:rsidR="00DF1884" w:rsidRPr="00DF1884">
              <w:rPr>
                <w:color w:val="auto"/>
                <w:sz w:val="20"/>
                <w:szCs w:val="20"/>
              </w:rPr>
              <w:t xml:space="preserve"> </w:t>
            </w:r>
            <w:r w:rsidRPr="00DF1884">
              <w:rPr>
                <w:color w:val="auto"/>
                <w:sz w:val="20"/>
                <w:szCs w:val="20"/>
              </w:rPr>
              <w:t>and</w:t>
            </w:r>
            <w:r w:rsidR="00DF1884" w:rsidRPr="00DF1884">
              <w:rPr>
                <w:color w:val="auto"/>
                <w:sz w:val="20"/>
                <w:szCs w:val="20"/>
              </w:rPr>
              <w:t xml:space="preserve"> </w:t>
            </w:r>
            <w:r w:rsidRPr="00DF1884">
              <w:rPr>
                <w:color w:val="auto"/>
                <w:sz w:val="20"/>
                <w:szCs w:val="20"/>
              </w:rPr>
              <w:t>comparability</w:t>
            </w:r>
            <w:r w:rsidR="00DF1884" w:rsidRPr="00DF1884">
              <w:rPr>
                <w:color w:val="auto"/>
                <w:sz w:val="20"/>
                <w:szCs w:val="20"/>
              </w:rPr>
              <w:t xml:space="preserve"> </w:t>
            </w:r>
            <w:r w:rsidRPr="00DF1884">
              <w:rPr>
                <w:color w:val="auto"/>
                <w:sz w:val="20"/>
                <w:szCs w:val="20"/>
              </w:rPr>
              <w:t>of</w:t>
            </w:r>
            <w:r w:rsidR="00DF1884" w:rsidRPr="00DF1884">
              <w:rPr>
                <w:color w:val="auto"/>
                <w:sz w:val="20"/>
                <w:szCs w:val="20"/>
              </w:rPr>
              <w:t xml:space="preserve"> </w:t>
            </w:r>
            <w:r w:rsidRPr="00DF1884">
              <w:rPr>
                <w:color w:val="auto"/>
                <w:sz w:val="20"/>
                <w:szCs w:val="20"/>
              </w:rPr>
              <w:t>inpatient</w:t>
            </w:r>
            <w:r w:rsidR="00DF1884" w:rsidRPr="00DF1884">
              <w:rPr>
                <w:color w:val="auto"/>
                <w:sz w:val="20"/>
                <w:szCs w:val="20"/>
              </w:rPr>
              <w:t xml:space="preserve"> </w:t>
            </w:r>
            <w:r w:rsidRPr="00DF1884">
              <w:rPr>
                <w:color w:val="auto"/>
                <w:sz w:val="20"/>
                <w:szCs w:val="20"/>
              </w:rPr>
              <w:t>and</w:t>
            </w:r>
            <w:r w:rsidR="00DF1884" w:rsidRPr="00DF1884">
              <w:rPr>
                <w:color w:val="auto"/>
                <w:sz w:val="20"/>
                <w:szCs w:val="20"/>
              </w:rPr>
              <w:t xml:space="preserve"> </w:t>
            </w:r>
            <w:r w:rsidRPr="00DF1884">
              <w:rPr>
                <w:color w:val="auto"/>
                <w:sz w:val="20"/>
                <w:szCs w:val="20"/>
              </w:rPr>
              <w:t>ED</w:t>
            </w:r>
            <w:r w:rsidR="00DF1884" w:rsidRPr="00DF1884">
              <w:rPr>
                <w:color w:val="auto"/>
                <w:sz w:val="20"/>
                <w:szCs w:val="20"/>
              </w:rPr>
              <w:t xml:space="preserve"> </w:t>
            </w:r>
            <w:r w:rsidRPr="00DF1884">
              <w:rPr>
                <w:color w:val="auto"/>
                <w:sz w:val="20"/>
                <w:szCs w:val="20"/>
              </w:rPr>
              <w:t>utilization</w:t>
            </w:r>
            <w:r w:rsidR="00DF1884" w:rsidRPr="00DF1884">
              <w:rPr>
                <w:color w:val="auto"/>
                <w:sz w:val="20"/>
                <w:szCs w:val="20"/>
              </w:rPr>
              <w:t xml:space="preserve"> </w:t>
            </w:r>
            <w:r w:rsidRPr="00DF1884">
              <w:rPr>
                <w:color w:val="auto"/>
                <w:sz w:val="20"/>
                <w:szCs w:val="20"/>
              </w:rPr>
              <w:t>among</w:t>
            </w:r>
            <w:r w:rsidR="00DF1884" w:rsidRPr="00DF1884">
              <w:rPr>
                <w:color w:val="auto"/>
                <w:sz w:val="20"/>
                <w:szCs w:val="20"/>
              </w:rPr>
              <w:t xml:space="preserve"> </w:t>
            </w:r>
            <w:r w:rsidRPr="00DF1884">
              <w:rPr>
                <w:color w:val="auto"/>
                <w:sz w:val="20"/>
                <w:szCs w:val="20"/>
              </w:rPr>
              <w:t>plans.</w:t>
            </w:r>
            <w:r w:rsidR="00DF1884" w:rsidRPr="00DF1884">
              <w:rPr>
                <w:color w:val="auto"/>
                <w:sz w:val="20"/>
                <w:szCs w:val="20"/>
              </w:rPr>
              <w:t xml:space="preserve"> </w:t>
            </w:r>
          </w:p>
          <w:p w14:paraId="459B1C9F" w14:textId="7314A768" w:rsidR="00DF0A7F" w:rsidRPr="00DF1884" w:rsidRDefault="00DF0A7F" w:rsidP="00AA4CD6">
            <w:pPr>
              <w:pStyle w:val="Default"/>
              <w:spacing w:before="180"/>
              <w:rPr>
                <w:color w:val="auto"/>
                <w:sz w:val="20"/>
                <w:szCs w:val="20"/>
              </w:rPr>
            </w:pPr>
            <w:r w:rsidRPr="00DF1884">
              <w:rPr>
                <w:color w:val="auto"/>
                <w:sz w:val="20"/>
                <w:szCs w:val="20"/>
              </w:rPr>
              <w:t>NCQA</w:t>
            </w:r>
            <w:r w:rsidR="00DF1884" w:rsidRPr="00DF1884">
              <w:rPr>
                <w:color w:val="auto"/>
                <w:sz w:val="20"/>
                <w:szCs w:val="20"/>
              </w:rPr>
              <w:t xml:space="preserve"> </w:t>
            </w:r>
            <w:r w:rsidRPr="00DF1884">
              <w:rPr>
                <w:color w:val="auto"/>
                <w:sz w:val="20"/>
                <w:szCs w:val="20"/>
              </w:rPr>
              <w:t>used</w:t>
            </w:r>
            <w:r w:rsidR="00DF1884" w:rsidRPr="00DF1884">
              <w:rPr>
                <w:color w:val="auto"/>
                <w:sz w:val="20"/>
                <w:szCs w:val="20"/>
              </w:rPr>
              <w:t xml:space="preserve"> </w:t>
            </w:r>
            <w:r w:rsidRPr="00DF1884">
              <w:rPr>
                <w:color w:val="auto"/>
                <w:sz w:val="20"/>
                <w:szCs w:val="20"/>
              </w:rPr>
              <w:t>a</w:t>
            </w:r>
            <w:r w:rsidR="00DF1884" w:rsidRPr="00DF1884">
              <w:rPr>
                <w:color w:val="auto"/>
                <w:sz w:val="20"/>
                <w:szCs w:val="20"/>
              </w:rPr>
              <w:t xml:space="preserve"> </w:t>
            </w:r>
            <w:r w:rsidRPr="00DF1884">
              <w:rPr>
                <w:color w:val="auto"/>
                <w:sz w:val="20"/>
                <w:szCs w:val="20"/>
              </w:rPr>
              <w:t>comprehensive</w:t>
            </w:r>
            <w:r w:rsidR="00DF1884" w:rsidRPr="00DF1884">
              <w:rPr>
                <w:color w:val="auto"/>
                <w:sz w:val="20"/>
                <w:szCs w:val="20"/>
              </w:rPr>
              <w:t xml:space="preserve"> </w:t>
            </w:r>
            <w:r w:rsidRPr="00DF1884">
              <w:rPr>
                <w:color w:val="auto"/>
                <w:sz w:val="20"/>
                <w:szCs w:val="20"/>
              </w:rPr>
              <w:t>approach</w:t>
            </w:r>
            <w:r w:rsidR="00DF1884" w:rsidRPr="00DF1884">
              <w:rPr>
                <w:color w:val="auto"/>
                <w:sz w:val="20"/>
                <w:szCs w:val="20"/>
              </w:rPr>
              <w:t xml:space="preserve"> </w:t>
            </w:r>
            <w:r w:rsidRPr="00DF1884">
              <w:rPr>
                <w:color w:val="auto"/>
                <w:sz w:val="20"/>
                <w:szCs w:val="20"/>
              </w:rPr>
              <w:t>when</w:t>
            </w:r>
            <w:r w:rsidR="00DF1884" w:rsidRPr="00DF1884">
              <w:rPr>
                <w:color w:val="auto"/>
                <w:sz w:val="20"/>
                <w:szCs w:val="20"/>
              </w:rPr>
              <w:t xml:space="preserve"> </w:t>
            </w:r>
            <w:r w:rsidRPr="00DF1884">
              <w:rPr>
                <w:color w:val="auto"/>
                <w:sz w:val="20"/>
                <w:szCs w:val="20"/>
              </w:rPr>
              <w:t>assessing</w:t>
            </w:r>
            <w:r w:rsidR="00DF1884" w:rsidRPr="00DF1884">
              <w:rPr>
                <w:color w:val="auto"/>
                <w:sz w:val="20"/>
                <w:szCs w:val="20"/>
              </w:rPr>
              <w:t xml:space="preserve"> </w:t>
            </w:r>
            <w:r w:rsidRPr="00DF1884">
              <w:rPr>
                <w:color w:val="auto"/>
                <w:sz w:val="20"/>
                <w:szCs w:val="20"/>
              </w:rPr>
              <w:t>appropriate</w:t>
            </w:r>
            <w:r w:rsidR="00DF1884" w:rsidRPr="00DF1884">
              <w:rPr>
                <w:color w:val="auto"/>
                <w:sz w:val="20"/>
                <w:szCs w:val="20"/>
              </w:rPr>
              <w:t xml:space="preserve"> </w:t>
            </w:r>
            <w:r w:rsidRPr="00DF1884">
              <w:rPr>
                <w:color w:val="auto"/>
                <w:sz w:val="20"/>
                <w:szCs w:val="20"/>
              </w:rPr>
              <w:t>strategies</w:t>
            </w:r>
            <w:r w:rsidR="00DF1884" w:rsidRPr="00DF1884">
              <w:rPr>
                <w:color w:val="auto"/>
                <w:sz w:val="20"/>
                <w:szCs w:val="20"/>
              </w:rPr>
              <w:t xml:space="preserve"> </w:t>
            </w:r>
            <w:r w:rsidRPr="00DF1884">
              <w:rPr>
                <w:color w:val="auto"/>
                <w:sz w:val="20"/>
                <w:szCs w:val="20"/>
              </w:rPr>
              <w:t>for</w:t>
            </w:r>
            <w:r w:rsidR="00DF1884" w:rsidRPr="00DF1884">
              <w:rPr>
                <w:color w:val="auto"/>
                <w:sz w:val="20"/>
                <w:szCs w:val="20"/>
              </w:rPr>
              <w:t xml:space="preserve"> </w:t>
            </w:r>
            <w:r w:rsidRPr="00DF1884">
              <w:rPr>
                <w:color w:val="auto"/>
                <w:sz w:val="20"/>
                <w:szCs w:val="20"/>
              </w:rPr>
              <w:t>reporting</w:t>
            </w:r>
            <w:r w:rsidR="00DF1884" w:rsidRPr="00DF1884">
              <w:rPr>
                <w:color w:val="auto"/>
                <w:sz w:val="20"/>
                <w:szCs w:val="20"/>
              </w:rPr>
              <w:t xml:space="preserve"> </w:t>
            </w:r>
            <w:r w:rsidRPr="00DF1884">
              <w:rPr>
                <w:color w:val="auto"/>
                <w:sz w:val="20"/>
                <w:szCs w:val="20"/>
              </w:rPr>
              <w:t>adjusted</w:t>
            </w:r>
            <w:r w:rsidR="00DF1884" w:rsidRPr="00DF1884">
              <w:rPr>
                <w:color w:val="auto"/>
                <w:sz w:val="20"/>
                <w:szCs w:val="20"/>
              </w:rPr>
              <w:t xml:space="preserve"> </w:t>
            </w:r>
            <w:r w:rsidRPr="00DF1884">
              <w:rPr>
                <w:color w:val="auto"/>
                <w:sz w:val="20"/>
                <w:szCs w:val="20"/>
              </w:rPr>
              <w:t>utilization</w:t>
            </w:r>
            <w:r w:rsidR="00DF1884" w:rsidRPr="00DF1884">
              <w:rPr>
                <w:color w:val="auto"/>
                <w:sz w:val="20"/>
                <w:szCs w:val="20"/>
              </w:rPr>
              <w:t xml:space="preserve"> </w:t>
            </w:r>
            <w:r w:rsidRPr="00DF1884">
              <w:rPr>
                <w:color w:val="auto"/>
                <w:sz w:val="20"/>
                <w:szCs w:val="20"/>
              </w:rPr>
              <w:t>in</w:t>
            </w:r>
            <w:r w:rsidR="00DF1884" w:rsidRPr="00DF1884">
              <w:rPr>
                <w:color w:val="auto"/>
                <w:sz w:val="20"/>
                <w:szCs w:val="20"/>
              </w:rPr>
              <w:t xml:space="preserve"> </w:t>
            </w:r>
            <w:r w:rsidRPr="00DF1884">
              <w:rPr>
                <w:color w:val="auto"/>
                <w:sz w:val="20"/>
                <w:szCs w:val="20"/>
              </w:rPr>
              <w:t>HEDIS.</w:t>
            </w:r>
            <w:r w:rsidR="00DF1884" w:rsidRPr="00DF1884">
              <w:rPr>
                <w:color w:val="auto"/>
                <w:sz w:val="20"/>
                <w:szCs w:val="20"/>
              </w:rPr>
              <w:t xml:space="preserve"> </w:t>
            </w:r>
            <w:r w:rsidRPr="00DF1884">
              <w:rPr>
                <w:color w:val="auto"/>
                <w:sz w:val="20"/>
                <w:szCs w:val="20"/>
              </w:rPr>
              <w:t>We</w:t>
            </w:r>
            <w:r w:rsidR="00DF1884" w:rsidRPr="00DF1884">
              <w:rPr>
                <w:color w:val="auto"/>
                <w:sz w:val="20"/>
                <w:szCs w:val="20"/>
              </w:rPr>
              <w:t xml:space="preserve"> </w:t>
            </w:r>
            <w:r w:rsidRPr="00DF1884">
              <w:rPr>
                <w:color w:val="auto"/>
                <w:sz w:val="20"/>
                <w:szCs w:val="20"/>
              </w:rPr>
              <w:t>conducted</w:t>
            </w:r>
            <w:r w:rsidR="00DF1884" w:rsidRPr="00DF1884">
              <w:rPr>
                <w:color w:val="auto"/>
                <w:sz w:val="20"/>
                <w:szCs w:val="20"/>
              </w:rPr>
              <w:t xml:space="preserve"> </w:t>
            </w:r>
            <w:r w:rsidRPr="00DF1884">
              <w:rPr>
                <w:color w:val="auto"/>
                <w:sz w:val="20"/>
                <w:szCs w:val="20"/>
              </w:rPr>
              <w:t>a</w:t>
            </w:r>
            <w:r w:rsidR="00DF1884" w:rsidRPr="00DF1884">
              <w:rPr>
                <w:color w:val="auto"/>
                <w:sz w:val="20"/>
                <w:szCs w:val="20"/>
              </w:rPr>
              <w:t xml:space="preserve"> </w:t>
            </w:r>
            <w:r w:rsidRPr="00DF1884">
              <w:rPr>
                <w:color w:val="auto"/>
                <w:sz w:val="20"/>
                <w:szCs w:val="20"/>
              </w:rPr>
              <w:t>number</w:t>
            </w:r>
            <w:r w:rsidR="00DF1884" w:rsidRPr="00DF1884">
              <w:rPr>
                <w:color w:val="auto"/>
                <w:sz w:val="20"/>
                <w:szCs w:val="20"/>
              </w:rPr>
              <w:t xml:space="preserve"> </w:t>
            </w:r>
            <w:r w:rsidRPr="00DF1884">
              <w:rPr>
                <w:color w:val="auto"/>
                <w:sz w:val="20"/>
                <w:szCs w:val="20"/>
              </w:rPr>
              <w:t>of</w:t>
            </w:r>
            <w:r w:rsidR="00DF1884" w:rsidRPr="00DF1884">
              <w:rPr>
                <w:color w:val="auto"/>
                <w:sz w:val="20"/>
                <w:szCs w:val="20"/>
              </w:rPr>
              <w:t xml:space="preserve"> </w:t>
            </w:r>
            <w:r w:rsidRPr="00DF1884">
              <w:rPr>
                <w:color w:val="auto"/>
                <w:sz w:val="20"/>
                <w:szCs w:val="20"/>
              </w:rPr>
              <w:t>stakeholder</w:t>
            </w:r>
            <w:r w:rsidR="00DF1884" w:rsidRPr="00DF1884">
              <w:rPr>
                <w:color w:val="auto"/>
                <w:sz w:val="20"/>
                <w:szCs w:val="20"/>
              </w:rPr>
              <w:t xml:space="preserve"> </w:t>
            </w:r>
            <w:r w:rsidRPr="00DF1884">
              <w:rPr>
                <w:color w:val="auto"/>
                <w:sz w:val="20"/>
                <w:szCs w:val="20"/>
              </w:rPr>
              <w:t>interviews</w:t>
            </w:r>
            <w:r w:rsidR="00DF1884" w:rsidRPr="00DF1884">
              <w:rPr>
                <w:color w:val="auto"/>
                <w:sz w:val="20"/>
                <w:szCs w:val="20"/>
              </w:rPr>
              <w:t xml:space="preserve"> </w:t>
            </w:r>
            <w:r w:rsidRPr="00DF1884">
              <w:rPr>
                <w:color w:val="auto"/>
                <w:sz w:val="20"/>
                <w:szCs w:val="20"/>
              </w:rPr>
              <w:t>with</w:t>
            </w:r>
            <w:r w:rsidR="00DF1884" w:rsidRPr="00DF1884">
              <w:rPr>
                <w:color w:val="auto"/>
                <w:sz w:val="20"/>
                <w:szCs w:val="20"/>
              </w:rPr>
              <w:t xml:space="preserve"> </w:t>
            </w:r>
            <w:r w:rsidRPr="00DF1884">
              <w:rPr>
                <w:color w:val="auto"/>
                <w:sz w:val="20"/>
                <w:szCs w:val="20"/>
              </w:rPr>
              <w:t>health</w:t>
            </w:r>
            <w:r w:rsidR="00DF1884" w:rsidRPr="00DF1884">
              <w:rPr>
                <w:color w:val="auto"/>
                <w:sz w:val="20"/>
                <w:szCs w:val="20"/>
              </w:rPr>
              <w:t xml:space="preserve"> </w:t>
            </w:r>
            <w:r w:rsidRPr="00DF1884">
              <w:rPr>
                <w:color w:val="auto"/>
                <w:sz w:val="20"/>
                <w:szCs w:val="20"/>
              </w:rPr>
              <w:t>plans</w:t>
            </w:r>
            <w:r w:rsidR="00DF1884" w:rsidRPr="00DF1884">
              <w:rPr>
                <w:color w:val="auto"/>
                <w:sz w:val="20"/>
                <w:szCs w:val="20"/>
              </w:rPr>
              <w:t xml:space="preserve"> </w:t>
            </w:r>
            <w:r w:rsidRPr="00DF1884">
              <w:rPr>
                <w:color w:val="auto"/>
                <w:sz w:val="20"/>
                <w:szCs w:val="20"/>
              </w:rPr>
              <w:t>and</w:t>
            </w:r>
            <w:r w:rsidR="00DF1884" w:rsidRPr="00DF1884">
              <w:rPr>
                <w:color w:val="auto"/>
                <w:sz w:val="20"/>
                <w:szCs w:val="20"/>
              </w:rPr>
              <w:t xml:space="preserve"> </w:t>
            </w:r>
            <w:r w:rsidRPr="00DF1884">
              <w:rPr>
                <w:color w:val="auto"/>
                <w:sz w:val="20"/>
                <w:szCs w:val="20"/>
              </w:rPr>
              <w:t>risk</w:t>
            </w:r>
            <w:r w:rsidR="00DF1884" w:rsidRPr="00DF1884">
              <w:rPr>
                <w:color w:val="auto"/>
                <w:sz w:val="20"/>
                <w:szCs w:val="20"/>
              </w:rPr>
              <w:t xml:space="preserve"> </w:t>
            </w:r>
            <w:r w:rsidRPr="00DF1884">
              <w:rPr>
                <w:color w:val="auto"/>
                <w:sz w:val="20"/>
                <w:szCs w:val="20"/>
              </w:rPr>
              <w:t>adjustment</w:t>
            </w:r>
            <w:r w:rsidR="00DF1884" w:rsidRPr="00DF1884">
              <w:rPr>
                <w:color w:val="auto"/>
                <w:sz w:val="20"/>
                <w:szCs w:val="20"/>
              </w:rPr>
              <w:t xml:space="preserve"> </w:t>
            </w:r>
            <w:r w:rsidRPr="00DF1884">
              <w:rPr>
                <w:color w:val="auto"/>
                <w:sz w:val="20"/>
                <w:szCs w:val="20"/>
              </w:rPr>
              <w:t>experts,</w:t>
            </w:r>
            <w:r w:rsidR="00DF1884" w:rsidRPr="00DF1884">
              <w:rPr>
                <w:color w:val="auto"/>
                <w:sz w:val="20"/>
                <w:szCs w:val="20"/>
              </w:rPr>
              <w:t xml:space="preserve"> </w:t>
            </w:r>
            <w:r w:rsidRPr="00DF1884">
              <w:rPr>
                <w:color w:val="auto"/>
                <w:sz w:val="20"/>
                <w:szCs w:val="20"/>
              </w:rPr>
              <w:t>most</w:t>
            </w:r>
            <w:r w:rsidR="00DF1884" w:rsidRPr="00DF1884">
              <w:rPr>
                <w:color w:val="auto"/>
                <w:sz w:val="20"/>
                <w:szCs w:val="20"/>
              </w:rPr>
              <w:t xml:space="preserve"> </w:t>
            </w:r>
            <w:r w:rsidRPr="00DF1884">
              <w:rPr>
                <w:color w:val="auto"/>
                <w:sz w:val="20"/>
                <w:szCs w:val="20"/>
              </w:rPr>
              <w:t>of</w:t>
            </w:r>
            <w:r w:rsidR="00DF1884" w:rsidRPr="00DF1884">
              <w:rPr>
                <w:color w:val="auto"/>
                <w:sz w:val="20"/>
                <w:szCs w:val="20"/>
              </w:rPr>
              <w:t xml:space="preserve"> </w:t>
            </w:r>
            <w:r w:rsidRPr="00DF1884">
              <w:rPr>
                <w:color w:val="auto"/>
                <w:sz w:val="20"/>
                <w:szCs w:val="20"/>
              </w:rPr>
              <w:t>whom</w:t>
            </w:r>
            <w:r w:rsidR="00DF1884" w:rsidRPr="00DF1884">
              <w:rPr>
                <w:color w:val="auto"/>
                <w:sz w:val="20"/>
                <w:szCs w:val="20"/>
              </w:rPr>
              <w:t xml:space="preserve"> </w:t>
            </w:r>
            <w:r w:rsidRPr="00DF1884">
              <w:rPr>
                <w:color w:val="auto"/>
                <w:sz w:val="20"/>
                <w:szCs w:val="20"/>
              </w:rPr>
              <w:t>support</w:t>
            </w:r>
            <w:r w:rsidR="00DF1884" w:rsidRPr="00DF1884">
              <w:rPr>
                <w:color w:val="auto"/>
                <w:sz w:val="20"/>
                <w:szCs w:val="20"/>
              </w:rPr>
              <w:t xml:space="preserve"> </w:t>
            </w:r>
            <w:r w:rsidRPr="00DF1884">
              <w:rPr>
                <w:color w:val="auto"/>
                <w:sz w:val="20"/>
                <w:szCs w:val="20"/>
              </w:rPr>
              <w:t>application</w:t>
            </w:r>
            <w:r w:rsidR="00DF1884" w:rsidRPr="00DF1884">
              <w:rPr>
                <w:color w:val="auto"/>
                <w:sz w:val="20"/>
                <w:szCs w:val="20"/>
              </w:rPr>
              <w:t xml:space="preserve"> </w:t>
            </w:r>
            <w:r w:rsidRPr="00DF1884">
              <w:rPr>
                <w:color w:val="auto"/>
                <w:sz w:val="20"/>
                <w:szCs w:val="20"/>
              </w:rPr>
              <w:t>of</w:t>
            </w:r>
            <w:r w:rsidR="00DF1884" w:rsidRPr="00DF1884">
              <w:rPr>
                <w:color w:val="auto"/>
                <w:sz w:val="20"/>
                <w:szCs w:val="20"/>
              </w:rPr>
              <w:t xml:space="preserve"> </w:t>
            </w:r>
            <w:r w:rsidRPr="00DF1884">
              <w:rPr>
                <w:color w:val="auto"/>
                <w:sz w:val="20"/>
                <w:szCs w:val="20"/>
              </w:rPr>
              <w:t>a</w:t>
            </w:r>
            <w:r w:rsidR="00DF1884" w:rsidRPr="00DF1884">
              <w:rPr>
                <w:color w:val="auto"/>
                <w:sz w:val="20"/>
                <w:szCs w:val="20"/>
              </w:rPr>
              <w:t xml:space="preserve"> </w:t>
            </w:r>
            <w:r w:rsidRPr="00DF1884">
              <w:rPr>
                <w:color w:val="auto"/>
                <w:sz w:val="20"/>
                <w:szCs w:val="20"/>
              </w:rPr>
              <w:t>risk</w:t>
            </w:r>
            <w:r w:rsidR="00DF1884" w:rsidRPr="00DF1884">
              <w:rPr>
                <w:color w:val="auto"/>
                <w:sz w:val="20"/>
                <w:szCs w:val="20"/>
              </w:rPr>
              <w:t xml:space="preserve"> </w:t>
            </w:r>
            <w:r w:rsidRPr="00DF1884">
              <w:rPr>
                <w:color w:val="auto"/>
                <w:sz w:val="20"/>
                <w:szCs w:val="20"/>
              </w:rPr>
              <w:t>adjustment</w:t>
            </w:r>
            <w:r w:rsidR="00DF1884" w:rsidRPr="00DF1884">
              <w:rPr>
                <w:color w:val="auto"/>
                <w:sz w:val="20"/>
                <w:szCs w:val="20"/>
              </w:rPr>
              <w:t xml:space="preserve"> </w:t>
            </w:r>
            <w:r w:rsidRPr="00DF1884">
              <w:rPr>
                <w:color w:val="auto"/>
                <w:sz w:val="20"/>
                <w:szCs w:val="20"/>
              </w:rPr>
              <w:t>strategy</w:t>
            </w:r>
            <w:r w:rsidR="00DF1884" w:rsidRPr="00DF1884">
              <w:rPr>
                <w:color w:val="auto"/>
                <w:sz w:val="20"/>
                <w:szCs w:val="20"/>
              </w:rPr>
              <w:t xml:space="preserve"> </w:t>
            </w:r>
            <w:r w:rsidRPr="00DF1884">
              <w:rPr>
                <w:color w:val="auto"/>
                <w:sz w:val="20"/>
                <w:szCs w:val="20"/>
              </w:rPr>
              <w:t>to</w:t>
            </w:r>
            <w:r w:rsidR="00DF1884" w:rsidRPr="00DF1884">
              <w:rPr>
                <w:color w:val="auto"/>
                <w:sz w:val="20"/>
                <w:szCs w:val="20"/>
              </w:rPr>
              <w:t xml:space="preserve"> </w:t>
            </w:r>
            <w:r w:rsidRPr="00DF1884">
              <w:rPr>
                <w:color w:val="auto"/>
                <w:sz w:val="20"/>
                <w:szCs w:val="20"/>
              </w:rPr>
              <w:t>HEDIS</w:t>
            </w:r>
            <w:r w:rsidR="00DF1884" w:rsidRPr="00DF1884">
              <w:rPr>
                <w:color w:val="auto"/>
                <w:sz w:val="20"/>
                <w:szCs w:val="20"/>
              </w:rPr>
              <w:t xml:space="preserve"> </w:t>
            </w:r>
            <w:r w:rsidRPr="00DF1884">
              <w:rPr>
                <w:color w:val="auto"/>
                <w:sz w:val="20"/>
                <w:szCs w:val="20"/>
              </w:rPr>
              <w:t>utilization</w:t>
            </w:r>
            <w:r w:rsidR="00DF1884" w:rsidRPr="00DF1884">
              <w:rPr>
                <w:color w:val="auto"/>
                <w:sz w:val="20"/>
                <w:szCs w:val="20"/>
              </w:rPr>
              <w:t xml:space="preserve"> </w:t>
            </w:r>
            <w:r w:rsidRPr="00DF1884">
              <w:rPr>
                <w:color w:val="auto"/>
                <w:sz w:val="20"/>
                <w:szCs w:val="20"/>
              </w:rPr>
              <w:t>measures.</w:t>
            </w:r>
            <w:r w:rsidR="00DF1884" w:rsidRPr="00DF1884">
              <w:rPr>
                <w:color w:val="auto"/>
                <w:sz w:val="20"/>
                <w:szCs w:val="20"/>
              </w:rPr>
              <w:t xml:space="preserve"> </w:t>
            </w:r>
            <w:r w:rsidRPr="00DF1884">
              <w:rPr>
                <w:color w:val="auto"/>
                <w:sz w:val="20"/>
                <w:szCs w:val="20"/>
              </w:rPr>
              <w:t>We</w:t>
            </w:r>
            <w:r w:rsidR="00DF1884" w:rsidRPr="00DF1884">
              <w:rPr>
                <w:color w:val="auto"/>
                <w:sz w:val="20"/>
                <w:szCs w:val="20"/>
              </w:rPr>
              <w:t xml:space="preserve"> </w:t>
            </w:r>
            <w:r w:rsidRPr="00DF1884">
              <w:rPr>
                <w:color w:val="auto"/>
                <w:sz w:val="20"/>
                <w:szCs w:val="20"/>
              </w:rPr>
              <w:t>then</w:t>
            </w:r>
            <w:r w:rsidR="00DF1884" w:rsidRPr="00DF1884">
              <w:rPr>
                <w:color w:val="auto"/>
                <w:sz w:val="20"/>
                <w:szCs w:val="20"/>
              </w:rPr>
              <w:t xml:space="preserve"> </w:t>
            </w:r>
            <w:r w:rsidRPr="00DF1884">
              <w:rPr>
                <w:color w:val="auto"/>
                <w:sz w:val="20"/>
                <w:szCs w:val="20"/>
              </w:rPr>
              <w:t>employed</w:t>
            </w:r>
            <w:r w:rsidR="00DF1884" w:rsidRPr="00DF1884">
              <w:rPr>
                <w:color w:val="auto"/>
                <w:sz w:val="20"/>
                <w:szCs w:val="20"/>
              </w:rPr>
              <w:t xml:space="preserve"> </w:t>
            </w:r>
            <w:r w:rsidRPr="00DF1884">
              <w:rPr>
                <w:color w:val="auto"/>
                <w:sz w:val="20"/>
                <w:szCs w:val="20"/>
              </w:rPr>
              <w:t>a</w:t>
            </w:r>
            <w:r w:rsidR="00DF1884" w:rsidRPr="00DF1884">
              <w:rPr>
                <w:color w:val="auto"/>
                <w:sz w:val="20"/>
                <w:szCs w:val="20"/>
              </w:rPr>
              <w:t xml:space="preserve"> </w:t>
            </w:r>
            <w:r w:rsidRPr="00DF1884">
              <w:rPr>
                <w:color w:val="auto"/>
                <w:sz w:val="20"/>
                <w:szCs w:val="20"/>
              </w:rPr>
              <w:t>large</w:t>
            </w:r>
            <w:r w:rsidR="00DF1884" w:rsidRPr="00DF1884">
              <w:rPr>
                <w:color w:val="auto"/>
                <w:sz w:val="20"/>
                <w:szCs w:val="20"/>
              </w:rPr>
              <w:t xml:space="preserve"> </w:t>
            </w:r>
            <w:r w:rsidRPr="00DF1884">
              <w:rPr>
                <w:color w:val="auto"/>
                <w:sz w:val="20"/>
                <w:szCs w:val="20"/>
              </w:rPr>
              <w:t>research</w:t>
            </w:r>
            <w:r w:rsidR="00DF1884" w:rsidRPr="00DF1884">
              <w:rPr>
                <w:color w:val="auto"/>
                <w:sz w:val="20"/>
                <w:szCs w:val="20"/>
              </w:rPr>
              <w:t xml:space="preserve"> </w:t>
            </w:r>
            <w:r w:rsidRPr="00DF1884">
              <w:rPr>
                <w:color w:val="auto"/>
                <w:sz w:val="20"/>
                <w:szCs w:val="20"/>
              </w:rPr>
              <w:t>database</w:t>
            </w:r>
            <w:r w:rsidR="00DF1884" w:rsidRPr="00DF1884">
              <w:rPr>
                <w:color w:val="auto"/>
                <w:sz w:val="20"/>
                <w:szCs w:val="20"/>
              </w:rPr>
              <w:t xml:space="preserve"> </w:t>
            </w:r>
            <w:r w:rsidRPr="00DF1884">
              <w:rPr>
                <w:color w:val="auto"/>
                <w:sz w:val="20"/>
                <w:szCs w:val="20"/>
              </w:rPr>
              <w:t>of</w:t>
            </w:r>
            <w:r w:rsidR="00DF1884" w:rsidRPr="00DF1884">
              <w:rPr>
                <w:color w:val="auto"/>
                <w:sz w:val="20"/>
                <w:szCs w:val="20"/>
              </w:rPr>
              <w:t xml:space="preserve"> </w:t>
            </w:r>
            <w:r w:rsidRPr="00DF1884">
              <w:rPr>
                <w:color w:val="auto"/>
                <w:sz w:val="20"/>
                <w:szCs w:val="20"/>
              </w:rPr>
              <w:t>Medicare</w:t>
            </w:r>
            <w:r w:rsidR="00DF1884" w:rsidRPr="00DF1884">
              <w:rPr>
                <w:color w:val="auto"/>
                <w:sz w:val="20"/>
                <w:szCs w:val="20"/>
              </w:rPr>
              <w:t xml:space="preserve"> </w:t>
            </w:r>
            <w:r w:rsidRPr="00DF1884">
              <w:rPr>
                <w:color w:val="auto"/>
                <w:sz w:val="20"/>
                <w:szCs w:val="20"/>
              </w:rPr>
              <w:t>Advantage</w:t>
            </w:r>
            <w:r w:rsidR="00DF1884" w:rsidRPr="00DF1884">
              <w:rPr>
                <w:color w:val="auto"/>
                <w:sz w:val="20"/>
                <w:szCs w:val="20"/>
              </w:rPr>
              <w:t xml:space="preserve"> </w:t>
            </w:r>
            <w:r w:rsidRPr="00DF1884">
              <w:rPr>
                <w:color w:val="auto"/>
                <w:sz w:val="20"/>
                <w:szCs w:val="20"/>
              </w:rPr>
              <w:t>and</w:t>
            </w:r>
            <w:r w:rsidR="00DF1884" w:rsidRPr="00DF1884">
              <w:rPr>
                <w:color w:val="auto"/>
                <w:sz w:val="20"/>
                <w:szCs w:val="20"/>
              </w:rPr>
              <w:t xml:space="preserve"> </w:t>
            </w:r>
            <w:r w:rsidRPr="00DF1884">
              <w:rPr>
                <w:color w:val="auto"/>
                <w:sz w:val="20"/>
                <w:szCs w:val="20"/>
              </w:rPr>
              <w:t>commercial</w:t>
            </w:r>
            <w:r w:rsidR="00DF1884" w:rsidRPr="00DF1884">
              <w:rPr>
                <w:color w:val="auto"/>
                <w:sz w:val="20"/>
                <w:szCs w:val="20"/>
              </w:rPr>
              <w:t xml:space="preserve"> </w:t>
            </w:r>
            <w:r w:rsidRPr="00DF1884">
              <w:rPr>
                <w:color w:val="auto"/>
                <w:sz w:val="20"/>
                <w:szCs w:val="20"/>
              </w:rPr>
              <w:t>plan</w:t>
            </w:r>
            <w:r w:rsidR="00DF1884" w:rsidRPr="00DF1884">
              <w:rPr>
                <w:color w:val="auto"/>
                <w:sz w:val="20"/>
                <w:szCs w:val="20"/>
              </w:rPr>
              <w:t xml:space="preserve"> </w:t>
            </w:r>
            <w:r w:rsidRPr="00DF1884">
              <w:rPr>
                <w:color w:val="auto"/>
                <w:sz w:val="20"/>
                <w:szCs w:val="20"/>
              </w:rPr>
              <w:t>members</w:t>
            </w:r>
            <w:r w:rsidR="00DF1884" w:rsidRPr="00DF1884">
              <w:rPr>
                <w:color w:val="auto"/>
                <w:sz w:val="20"/>
                <w:szCs w:val="20"/>
              </w:rPr>
              <w:t xml:space="preserve"> </w:t>
            </w:r>
            <w:r w:rsidRPr="00DF1884">
              <w:rPr>
                <w:color w:val="auto"/>
                <w:sz w:val="20"/>
                <w:szCs w:val="20"/>
              </w:rPr>
              <w:t>to</w:t>
            </w:r>
            <w:r w:rsidR="00DF1884" w:rsidRPr="00DF1884">
              <w:rPr>
                <w:color w:val="auto"/>
                <w:sz w:val="20"/>
                <w:szCs w:val="20"/>
              </w:rPr>
              <w:t xml:space="preserve"> </w:t>
            </w:r>
            <w:r w:rsidRPr="00DF1884">
              <w:rPr>
                <w:color w:val="auto"/>
                <w:sz w:val="20"/>
                <w:szCs w:val="20"/>
              </w:rPr>
              <w:t>model</w:t>
            </w:r>
            <w:r w:rsidR="00DF1884" w:rsidRPr="00DF1884">
              <w:rPr>
                <w:color w:val="auto"/>
                <w:sz w:val="20"/>
                <w:szCs w:val="20"/>
              </w:rPr>
              <w:t xml:space="preserve"> </w:t>
            </w:r>
            <w:r w:rsidRPr="00DF1884">
              <w:rPr>
                <w:color w:val="auto"/>
                <w:sz w:val="20"/>
                <w:szCs w:val="20"/>
              </w:rPr>
              <w:t>several</w:t>
            </w:r>
            <w:r w:rsidR="00DF1884" w:rsidRPr="00DF1884">
              <w:rPr>
                <w:color w:val="auto"/>
                <w:sz w:val="20"/>
                <w:szCs w:val="20"/>
              </w:rPr>
              <w:t xml:space="preserve"> </w:t>
            </w:r>
            <w:r w:rsidRPr="00DF1884">
              <w:rPr>
                <w:color w:val="auto"/>
                <w:sz w:val="20"/>
                <w:szCs w:val="20"/>
              </w:rPr>
              <w:t>variations</w:t>
            </w:r>
            <w:r w:rsidR="00DF1884" w:rsidRPr="00DF1884">
              <w:rPr>
                <w:color w:val="auto"/>
                <w:sz w:val="20"/>
                <w:szCs w:val="20"/>
              </w:rPr>
              <w:t xml:space="preserve"> </w:t>
            </w:r>
            <w:r w:rsidRPr="00DF1884">
              <w:rPr>
                <w:color w:val="auto"/>
                <w:sz w:val="20"/>
                <w:szCs w:val="20"/>
              </w:rPr>
              <w:t>of</w:t>
            </w:r>
            <w:r w:rsidR="00DF1884" w:rsidRPr="00DF1884">
              <w:rPr>
                <w:color w:val="auto"/>
                <w:sz w:val="20"/>
                <w:szCs w:val="20"/>
              </w:rPr>
              <w:t xml:space="preserve"> </w:t>
            </w:r>
            <w:r w:rsidRPr="00DF1884">
              <w:rPr>
                <w:color w:val="auto"/>
                <w:sz w:val="20"/>
                <w:szCs w:val="20"/>
              </w:rPr>
              <w:t>risk</w:t>
            </w:r>
            <w:r w:rsidR="00DF1884" w:rsidRPr="00DF1884">
              <w:rPr>
                <w:color w:val="auto"/>
                <w:sz w:val="20"/>
                <w:szCs w:val="20"/>
              </w:rPr>
              <w:t xml:space="preserve"> </w:t>
            </w:r>
            <w:r w:rsidRPr="00DF1884">
              <w:rPr>
                <w:color w:val="auto"/>
                <w:sz w:val="20"/>
                <w:szCs w:val="20"/>
              </w:rPr>
              <w:t>adjustment.</w:t>
            </w:r>
            <w:r w:rsidR="00DF1884" w:rsidRPr="00DF1884">
              <w:rPr>
                <w:color w:val="auto"/>
                <w:sz w:val="20"/>
                <w:szCs w:val="20"/>
              </w:rPr>
              <w:t xml:space="preserve"> </w:t>
            </w:r>
          </w:p>
          <w:p w14:paraId="6AA5E49D" w14:textId="2AB56C38" w:rsidR="00DF0A7F" w:rsidRPr="00DF1884" w:rsidRDefault="00DF0A7F" w:rsidP="00AA4CD6">
            <w:pPr>
              <w:spacing w:before="180"/>
            </w:pPr>
            <w:r w:rsidRPr="00DF1884">
              <w:rPr>
                <w:szCs w:val="20"/>
              </w:rPr>
              <w:t>Test</w:t>
            </w:r>
            <w:r w:rsidR="00DF1884" w:rsidRPr="00DF1884">
              <w:rPr>
                <w:szCs w:val="20"/>
              </w:rPr>
              <w:t xml:space="preserve"> </w:t>
            </w:r>
            <w:r w:rsidRPr="00DF1884">
              <w:rPr>
                <w:szCs w:val="20"/>
              </w:rPr>
              <w:t>results</w:t>
            </w:r>
            <w:r w:rsidR="00DF1884" w:rsidRPr="00DF1884">
              <w:rPr>
                <w:szCs w:val="20"/>
              </w:rPr>
              <w:t xml:space="preserve"> </w:t>
            </w:r>
            <w:r w:rsidRPr="00DF1884">
              <w:rPr>
                <w:szCs w:val="20"/>
              </w:rPr>
              <w:t>reveal</w:t>
            </w:r>
            <w:r w:rsidR="00DF1884" w:rsidRPr="00DF1884">
              <w:rPr>
                <w:szCs w:val="20"/>
              </w:rPr>
              <w:t xml:space="preserve"> </w:t>
            </w:r>
            <w:r w:rsidRPr="00DF1884">
              <w:rPr>
                <w:szCs w:val="20"/>
              </w:rPr>
              <w:t>that</w:t>
            </w:r>
            <w:r w:rsidR="00DF1884" w:rsidRPr="00DF1884">
              <w:rPr>
                <w:szCs w:val="20"/>
              </w:rPr>
              <w:t xml:space="preserve"> </w:t>
            </w:r>
            <w:r w:rsidRPr="00DF1884">
              <w:rPr>
                <w:szCs w:val="20"/>
              </w:rPr>
              <w:t>risk</w:t>
            </w:r>
            <w:r w:rsidR="00DF1884" w:rsidRPr="00DF1884">
              <w:rPr>
                <w:szCs w:val="20"/>
              </w:rPr>
              <w:t xml:space="preserve"> </w:t>
            </w:r>
            <w:r w:rsidRPr="00DF1884">
              <w:rPr>
                <w:szCs w:val="20"/>
              </w:rPr>
              <w:t>adjustment</w:t>
            </w:r>
            <w:r w:rsidR="00DF1884" w:rsidRPr="00DF1884">
              <w:rPr>
                <w:szCs w:val="20"/>
              </w:rPr>
              <w:t xml:space="preserve"> </w:t>
            </w:r>
            <w:r w:rsidRPr="00DF1884">
              <w:rPr>
                <w:szCs w:val="20"/>
              </w:rPr>
              <w:t>is</w:t>
            </w:r>
            <w:r w:rsidR="00DF1884" w:rsidRPr="00DF1884">
              <w:rPr>
                <w:szCs w:val="20"/>
              </w:rPr>
              <w:t xml:space="preserve"> </w:t>
            </w:r>
            <w:r w:rsidRPr="00DF1884">
              <w:rPr>
                <w:szCs w:val="20"/>
              </w:rPr>
              <w:t>a</w:t>
            </w:r>
            <w:r w:rsidR="00DF1884" w:rsidRPr="00DF1884">
              <w:rPr>
                <w:szCs w:val="20"/>
              </w:rPr>
              <w:t xml:space="preserve"> </w:t>
            </w:r>
            <w:r w:rsidRPr="00DF1884">
              <w:rPr>
                <w:szCs w:val="20"/>
              </w:rPr>
              <w:t>desirable</w:t>
            </w:r>
            <w:r w:rsidR="00DF1884" w:rsidRPr="00DF1884">
              <w:rPr>
                <w:szCs w:val="20"/>
              </w:rPr>
              <w:t xml:space="preserve"> </w:t>
            </w:r>
            <w:r w:rsidRPr="00DF1884">
              <w:rPr>
                <w:szCs w:val="20"/>
              </w:rPr>
              <w:t>refinement</w:t>
            </w:r>
            <w:r w:rsidR="00DF1884" w:rsidRPr="00DF1884">
              <w:rPr>
                <w:szCs w:val="20"/>
              </w:rPr>
              <w:t xml:space="preserve"> </w:t>
            </w:r>
            <w:r w:rsidRPr="00DF1884">
              <w:rPr>
                <w:szCs w:val="20"/>
              </w:rPr>
              <w:t>and</w:t>
            </w:r>
            <w:r w:rsidR="00DF1884" w:rsidRPr="00DF1884">
              <w:rPr>
                <w:szCs w:val="20"/>
              </w:rPr>
              <w:t xml:space="preserve"> </w:t>
            </w:r>
            <w:r w:rsidRPr="00DF1884">
              <w:rPr>
                <w:szCs w:val="20"/>
              </w:rPr>
              <w:t>demonstrate</w:t>
            </w:r>
            <w:r w:rsidR="00DF1884" w:rsidRPr="00DF1884">
              <w:rPr>
                <w:szCs w:val="20"/>
              </w:rPr>
              <w:t xml:space="preserve"> </w:t>
            </w:r>
            <w:r w:rsidRPr="00DF1884">
              <w:rPr>
                <w:szCs w:val="20"/>
              </w:rPr>
              <w:t>that</w:t>
            </w:r>
            <w:r w:rsidR="00DF1884" w:rsidRPr="00DF1884">
              <w:rPr>
                <w:szCs w:val="20"/>
              </w:rPr>
              <w:t xml:space="preserve"> </w:t>
            </w:r>
            <w:r w:rsidRPr="00DF1884">
              <w:rPr>
                <w:szCs w:val="20"/>
              </w:rPr>
              <w:t>the</w:t>
            </w:r>
            <w:r w:rsidR="00DF1884" w:rsidRPr="00DF1884">
              <w:rPr>
                <w:szCs w:val="20"/>
              </w:rPr>
              <w:t xml:space="preserve"> </w:t>
            </w:r>
            <w:r w:rsidRPr="00DF1884">
              <w:rPr>
                <w:szCs w:val="20"/>
              </w:rPr>
              <w:t>proposed</w:t>
            </w:r>
            <w:r w:rsidR="00DF1884" w:rsidRPr="00DF1884">
              <w:rPr>
                <w:szCs w:val="20"/>
              </w:rPr>
              <w:t xml:space="preserve"> </w:t>
            </w:r>
            <w:r w:rsidRPr="00DF1884">
              <w:rPr>
                <w:szCs w:val="20"/>
              </w:rPr>
              <w:t>risk</w:t>
            </w:r>
            <w:r w:rsidR="00DF1884" w:rsidRPr="00DF1884">
              <w:rPr>
                <w:szCs w:val="20"/>
              </w:rPr>
              <w:t xml:space="preserve"> </w:t>
            </w:r>
            <w:r w:rsidRPr="00DF1884">
              <w:rPr>
                <w:szCs w:val="20"/>
              </w:rPr>
              <w:t>adjustment</w:t>
            </w:r>
            <w:r w:rsidR="00DF1884" w:rsidRPr="00DF1884">
              <w:rPr>
                <w:szCs w:val="20"/>
              </w:rPr>
              <w:t xml:space="preserve"> </w:t>
            </w:r>
            <w:r w:rsidRPr="00DF1884">
              <w:rPr>
                <w:szCs w:val="20"/>
              </w:rPr>
              <w:t>strategy</w:t>
            </w:r>
            <w:r w:rsidR="00DF1884" w:rsidRPr="00DF1884">
              <w:rPr>
                <w:szCs w:val="20"/>
              </w:rPr>
              <w:t xml:space="preserve"> </w:t>
            </w:r>
            <w:r w:rsidRPr="00DF1884">
              <w:rPr>
                <w:szCs w:val="20"/>
              </w:rPr>
              <w:t>is</w:t>
            </w:r>
            <w:r w:rsidR="00DF1884" w:rsidRPr="00DF1884">
              <w:rPr>
                <w:szCs w:val="20"/>
              </w:rPr>
              <w:t xml:space="preserve"> </w:t>
            </w:r>
            <w:r w:rsidRPr="00DF1884">
              <w:rPr>
                <w:szCs w:val="20"/>
              </w:rPr>
              <w:t>both</w:t>
            </w:r>
            <w:r w:rsidR="00DF1884" w:rsidRPr="00DF1884">
              <w:rPr>
                <w:szCs w:val="20"/>
              </w:rPr>
              <w:t xml:space="preserve"> </w:t>
            </w:r>
            <w:r w:rsidRPr="00DF1884">
              <w:rPr>
                <w:szCs w:val="20"/>
              </w:rPr>
              <w:t>accurate</w:t>
            </w:r>
            <w:r w:rsidR="00DF1884" w:rsidRPr="00DF1884">
              <w:rPr>
                <w:szCs w:val="20"/>
              </w:rPr>
              <w:t xml:space="preserve"> </w:t>
            </w:r>
            <w:r w:rsidRPr="00DF1884">
              <w:rPr>
                <w:szCs w:val="20"/>
              </w:rPr>
              <w:t>and</w:t>
            </w:r>
            <w:r w:rsidR="00DF1884" w:rsidRPr="00DF1884">
              <w:rPr>
                <w:szCs w:val="20"/>
              </w:rPr>
              <w:t xml:space="preserve"> </w:t>
            </w:r>
            <w:r w:rsidRPr="00DF1884">
              <w:rPr>
                <w:szCs w:val="20"/>
              </w:rPr>
              <w:t>reliable.</w:t>
            </w:r>
            <w:r w:rsidR="00DF1884" w:rsidRPr="00DF1884">
              <w:rPr>
                <w:szCs w:val="20"/>
              </w:rPr>
              <w:t xml:space="preserve"> </w:t>
            </w:r>
            <w:r w:rsidRPr="00DF1884">
              <w:rPr>
                <w:szCs w:val="20"/>
              </w:rPr>
              <w:t>NCQA’s</w:t>
            </w:r>
            <w:r w:rsidR="00DF1884" w:rsidRPr="00DF1884">
              <w:rPr>
                <w:szCs w:val="20"/>
              </w:rPr>
              <w:t xml:space="preserve"> </w:t>
            </w:r>
            <w:r w:rsidRPr="00DF1884">
              <w:rPr>
                <w:szCs w:val="20"/>
              </w:rPr>
              <w:t>advisory</w:t>
            </w:r>
            <w:r w:rsidR="00DF1884" w:rsidRPr="00DF1884">
              <w:rPr>
                <w:szCs w:val="20"/>
              </w:rPr>
              <w:t xml:space="preserve"> </w:t>
            </w:r>
            <w:r w:rsidRPr="00DF1884">
              <w:rPr>
                <w:szCs w:val="20"/>
              </w:rPr>
              <w:t>panels</w:t>
            </w:r>
            <w:r w:rsidR="00DF1884" w:rsidRPr="00DF1884">
              <w:rPr>
                <w:szCs w:val="20"/>
              </w:rPr>
              <w:t xml:space="preserve"> </w:t>
            </w:r>
            <w:r w:rsidRPr="00DF1884">
              <w:rPr>
                <w:szCs w:val="20"/>
              </w:rPr>
              <w:t>agree</w:t>
            </w:r>
            <w:r w:rsidR="00DF1884" w:rsidRPr="00DF1884">
              <w:rPr>
                <w:szCs w:val="20"/>
              </w:rPr>
              <w:t xml:space="preserve"> </w:t>
            </w:r>
            <w:r w:rsidRPr="00DF1884">
              <w:rPr>
                <w:szCs w:val="20"/>
              </w:rPr>
              <w:t>that</w:t>
            </w:r>
            <w:r w:rsidR="00DF1884" w:rsidRPr="00DF1884">
              <w:rPr>
                <w:szCs w:val="20"/>
              </w:rPr>
              <w:t xml:space="preserve"> </w:t>
            </w:r>
            <w:r w:rsidRPr="00DF1884">
              <w:rPr>
                <w:szCs w:val="20"/>
              </w:rPr>
              <w:t>the</w:t>
            </w:r>
            <w:r w:rsidR="00DF1884" w:rsidRPr="00DF1884">
              <w:rPr>
                <w:szCs w:val="20"/>
              </w:rPr>
              <w:t xml:space="preserve"> </w:t>
            </w:r>
            <w:r w:rsidRPr="00DF1884">
              <w:rPr>
                <w:szCs w:val="20"/>
              </w:rPr>
              <w:t>results</w:t>
            </w:r>
            <w:r w:rsidR="00DF1884" w:rsidRPr="00DF1884">
              <w:rPr>
                <w:szCs w:val="20"/>
              </w:rPr>
              <w:t xml:space="preserve"> </w:t>
            </w:r>
            <w:r w:rsidRPr="00DF1884">
              <w:rPr>
                <w:szCs w:val="20"/>
              </w:rPr>
              <w:t>support</w:t>
            </w:r>
            <w:r w:rsidR="00DF1884" w:rsidRPr="00DF1884">
              <w:rPr>
                <w:szCs w:val="20"/>
              </w:rPr>
              <w:t xml:space="preserve"> </w:t>
            </w:r>
            <w:r w:rsidRPr="00DF1884">
              <w:rPr>
                <w:szCs w:val="20"/>
              </w:rPr>
              <w:t>the</w:t>
            </w:r>
            <w:r w:rsidR="00DF1884" w:rsidRPr="00DF1884">
              <w:rPr>
                <w:szCs w:val="20"/>
              </w:rPr>
              <w:t xml:space="preserve"> </w:t>
            </w:r>
            <w:r w:rsidRPr="00DF1884">
              <w:rPr>
                <w:szCs w:val="20"/>
              </w:rPr>
              <w:t>reliability</w:t>
            </w:r>
            <w:r w:rsidR="00DF1884" w:rsidRPr="00DF1884">
              <w:rPr>
                <w:szCs w:val="20"/>
              </w:rPr>
              <w:t xml:space="preserve"> </w:t>
            </w:r>
            <w:r w:rsidRPr="00DF1884">
              <w:rPr>
                <w:szCs w:val="20"/>
              </w:rPr>
              <w:t>of</w:t>
            </w:r>
            <w:r w:rsidR="00DF1884" w:rsidRPr="00DF1884">
              <w:rPr>
                <w:szCs w:val="20"/>
              </w:rPr>
              <w:t xml:space="preserve"> </w:t>
            </w:r>
            <w:r w:rsidRPr="00DF1884">
              <w:rPr>
                <w:szCs w:val="20"/>
              </w:rPr>
              <w:t>the</w:t>
            </w:r>
            <w:r w:rsidR="00DF1884" w:rsidRPr="00DF1884">
              <w:rPr>
                <w:szCs w:val="20"/>
              </w:rPr>
              <w:t xml:space="preserve"> </w:t>
            </w:r>
            <w:r w:rsidRPr="00DF1884">
              <w:rPr>
                <w:szCs w:val="20"/>
              </w:rPr>
              <w:t>risk</w:t>
            </w:r>
            <w:r w:rsidR="00DF1884" w:rsidRPr="00DF1884">
              <w:rPr>
                <w:szCs w:val="20"/>
              </w:rPr>
              <w:t xml:space="preserve"> </w:t>
            </w:r>
            <w:r w:rsidRPr="00DF1884">
              <w:rPr>
                <w:szCs w:val="20"/>
              </w:rPr>
              <w:t>adjustment</w:t>
            </w:r>
            <w:r w:rsidR="00DF1884" w:rsidRPr="00DF1884">
              <w:rPr>
                <w:szCs w:val="20"/>
              </w:rPr>
              <w:t xml:space="preserve"> </w:t>
            </w:r>
            <w:r w:rsidRPr="00DF1884">
              <w:rPr>
                <w:szCs w:val="20"/>
              </w:rPr>
              <w:t>model</w:t>
            </w:r>
            <w:r w:rsidR="00DF1884" w:rsidRPr="00DF1884">
              <w:rPr>
                <w:szCs w:val="20"/>
              </w:rPr>
              <w:t xml:space="preserve"> </w:t>
            </w:r>
            <w:r w:rsidRPr="00DF1884">
              <w:rPr>
                <w:szCs w:val="20"/>
              </w:rPr>
              <w:t>and</w:t>
            </w:r>
            <w:r w:rsidR="00DF1884" w:rsidRPr="00DF1884">
              <w:rPr>
                <w:szCs w:val="20"/>
              </w:rPr>
              <w:t xml:space="preserve"> </w:t>
            </w:r>
            <w:r w:rsidRPr="00DF1884">
              <w:rPr>
                <w:szCs w:val="20"/>
              </w:rPr>
              <w:t>that</w:t>
            </w:r>
            <w:r w:rsidR="00DF1884" w:rsidRPr="00DF1884">
              <w:rPr>
                <w:szCs w:val="20"/>
              </w:rPr>
              <w:t xml:space="preserve"> </w:t>
            </w:r>
            <w:r w:rsidRPr="00DF1884">
              <w:rPr>
                <w:szCs w:val="20"/>
              </w:rPr>
              <w:t>the</w:t>
            </w:r>
            <w:r w:rsidR="00DF1884" w:rsidRPr="00DF1884">
              <w:rPr>
                <w:szCs w:val="20"/>
              </w:rPr>
              <w:t xml:space="preserve"> </w:t>
            </w:r>
            <w:r w:rsidRPr="00DF1884">
              <w:rPr>
                <w:szCs w:val="20"/>
              </w:rPr>
              <w:t>measures</w:t>
            </w:r>
            <w:r w:rsidR="00DF1884" w:rsidRPr="00DF1884">
              <w:rPr>
                <w:szCs w:val="20"/>
              </w:rPr>
              <w:t xml:space="preserve"> </w:t>
            </w:r>
            <w:r w:rsidRPr="00DF1884">
              <w:rPr>
                <w:szCs w:val="20"/>
              </w:rPr>
              <w:t>can</w:t>
            </w:r>
            <w:r w:rsidR="00DF1884" w:rsidRPr="00DF1884">
              <w:rPr>
                <w:szCs w:val="20"/>
              </w:rPr>
              <w:t xml:space="preserve"> </w:t>
            </w:r>
            <w:r w:rsidRPr="00DF1884">
              <w:rPr>
                <w:szCs w:val="20"/>
              </w:rPr>
              <w:t>help</w:t>
            </w:r>
            <w:r w:rsidR="00DF1884" w:rsidRPr="00DF1884">
              <w:rPr>
                <w:szCs w:val="20"/>
              </w:rPr>
              <w:t xml:space="preserve"> </w:t>
            </w:r>
            <w:r w:rsidRPr="00DF1884">
              <w:rPr>
                <w:szCs w:val="20"/>
              </w:rPr>
              <w:t>identify</w:t>
            </w:r>
            <w:r w:rsidR="00DF1884" w:rsidRPr="00DF1884">
              <w:rPr>
                <w:szCs w:val="20"/>
              </w:rPr>
              <w:t xml:space="preserve"> </w:t>
            </w:r>
            <w:r w:rsidRPr="00DF1884">
              <w:rPr>
                <w:szCs w:val="20"/>
              </w:rPr>
              <w:t>opportunities</w:t>
            </w:r>
            <w:r w:rsidR="00DF1884" w:rsidRPr="00DF1884">
              <w:rPr>
                <w:szCs w:val="20"/>
              </w:rPr>
              <w:t xml:space="preserve"> </w:t>
            </w:r>
            <w:r w:rsidRPr="00DF1884">
              <w:rPr>
                <w:szCs w:val="20"/>
              </w:rPr>
              <w:t>for</w:t>
            </w:r>
            <w:r w:rsidR="00DF1884" w:rsidRPr="00DF1884">
              <w:rPr>
                <w:szCs w:val="20"/>
              </w:rPr>
              <w:t xml:space="preserve"> </w:t>
            </w:r>
            <w:r w:rsidRPr="00DF1884">
              <w:rPr>
                <w:szCs w:val="20"/>
              </w:rPr>
              <w:t>quality</w:t>
            </w:r>
            <w:r w:rsidR="00DF1884" w:rsidRPr="00DF1884">
              <w:rPr>
                <w:szCs w:val="20"/>
              </w:rPr>
              <w:t xml:space="preserve"> </w:t>
            </w:r>
            <w:r w:rsidRPr="00DF1884">
              <w:rPr>
                <w:szCs w:val="20"/>
              </w:rPr>
              <w:t>improvement.</w:t>
            </w:r>
          </w:p>
        </w:tc>
      </w:tr>
      <w:tr w:rsidR="00DF1884" w:rsidRPr="00DF1884" w14:paraId="353EACAB" w14:textId="77777777" w:rsidTr="00AA4CD6">
        <w:trPr>
          <w:trHeight w:val="648"/>
        </w:trPr>
        <w:tc>
          <w:tcPr>
            <w:tcW w:w="1866" w:type="dxa"/>
            <w:tcMar>
              <w:left w:w="115" w:type="dxa"/>
              <w:right w:w="115" w:type="dxa"/>
            </w:tcMar>
          </w:tcPr>
          <w:p w14:paraId="7817EBF8" w14:textId="253EC4AD" w:rsidR="00DF0A7F" w:rsidRPr="00DF1884" w:rsidRDefault="00DF0A7F" w:rsidP="00AA4CD6">
            <w:pPr>
              <w:pStyle w:val="MarginSubhead"/>
            </w:pPr>
            <w:r w:rsidRPr="00DF1884">
              <w:t>Potential</w:t>
            </w:r>
            <w:r w:rsidR="00DF1884" w:rsidRPr="00DF1884">
              <w:t xml:space="preserve"> </w:t>
            </w:r>
            <w:r w:rsidRPr="00DF1884">
              <w:t>for</w:t>
            </w:r>
            <w:r w:rsidR="00DF1884" w:rsidRPr="00DF1884">
              <w:t xml:space="preserve"> </w:t>
            </w:r>
            <w:r w:rsidRPr="00DF1884">
              <w:t>improvement</w:t>
            </w:r>
          </w:p>
        </w:tc>
        <w:tc>
          <w:tcPr>
            <w:tcW w:w="8075" w:type="dxa"/>
            <w:gridSpan w:val="2"/>
            <w:tcMar>
              <w:left w:w="115" w:type="dxa"/>
              <w:right w:w="115" w:type="dxa"/>
            </w:tcMar>
          </w:tcPr>
          <w:p w14:paraId="48C47EBB" w14:textId="4F3237FF" w:rsidR="00DF0A7F" w:rsidRPr="00DF1884" w:rsidRDefault="00DF0A7F" w:rsidP="00AA4CD6">
            <w:pPr>
              <w:pStyle w:val="Body"/>
            </w:pPr>
            <w:r w:rsidRPr="00DF1884">
              <w:rPr>
                <w:szCs w:val="20"/>
              </w:rPr>
              <w:t>The</w:t>
            </w:r>
            <w:r w:rsidR="00DF1884" w:rsidRPr="00DF1884">
              <w:rPr>
                <w:szCs w:val="20"/>
              </w:rPr>
              <w:t xml:space="preserve"> </w:t>
            </w:r>
            <w:r w:rsidRPr="00DF1884">
              <w:rPr>
                <w:szCs w:val="20"/>
              </w:rPr>
              <w:t>aim</w:t>
            </w:r>
            <w:r w:rsidR="00DF1884" w:rsidRPr="00DF1884">
              <w:rPr>
                <w:szCs w:val="20"/>
              </w:rPr>
              <w:t xml:space="preserve"> </w:t>
            </w:r>
            <w:r w:rsidRPr="00DF1884">
              <w:rPr>
                <w:szCs w:val="20"/>
              </w:rPr>
              <w:t>of</w:t>
            </w:r>
            <w:r w:rsidR="00DF1884" w:rsidRPr="00DF1884">
              <w:rPr>
                <w:szCs w:val="20"/>
              </w:rPr>
              <w:t xml:space="preserve"> </w:t>
            </w:r>
            <w:r w:rsidRPr="00DF1884">
              <w:rPr>
                <w:szCs w:val="20"/>
              </w:rPr>
              <w:t>applying</w:t>
            </w:r>
            <w:r w:rsidR="00DF1884" w:rsidRPr="00DF1884">
              <w:rPr>
                <w:szCs w:val="20"/>
              </w:rPr>
              <w:t xml:space="preserve"> </w:t>
            </w:r>
            <w:r w:rsidRPr="00DF1884">
              <w:rPr>
                <w:szCs w:val="20"/>
              </w:rPr>
              <w:t>a</w:t>
            </w:r>
            <w:r w:rsidR="00DF1884" w:rsidRPr="00DF1884">
              <w:rPr>
                <w:szCs w:val="20"/>
              </w:rPr>
              <w:t xml:space="preserve"> </w:t>
            </w:r>
            <w:r w:rsidRPr="00DF1884">
              <w:rPr>
                <w:szCs w:val="20"/>
              </w:rPr>
              <w:t>risk</w:t>
            </w:r>
            <w:r w:rsidR="00DF1884" w:rsidRPr="00DF1884">
              <w:rPr>
                <w:szCs w:val="20"/>
              </w:rPr>
              <w:t xml:space="preserve"> </w:t>
            </w:r>
            <w:r w:rsidRPr="00DF1884">
              <w:rPr>
                <w:szCs w:val="20"/>
              </w:rPr>
              <w:t>adjustment</w:t>
            </w:r>
            <w:r w:rsidR="00DF1884" w:rsidRPr="00DF1884">
              <w:rPr>
                <w:szCs w:val="20"/>
              </w:rPr>
              <w:t xml:space="preserve"> </w:t>
            </w:r>
            <w:r w:rsidRPr="00DF1884">
              <w:rPr>
                <w:szCs w:val="20"/>
              </w:rPr>
              <w:t>strategy</w:t>
            </w:r>
            <w:r w:rsidR="00DF1884" w:rsidRPr="00DF1884">
              <w:rPr>
                <w:szCs w:val="20"/>
              </w:rPr>
              <w:t xml:space="preserve"> </w:t>
            </w:r>
            <w:r w:rsidRPr="00DF1884">
              <w:rPr>
                <w:szCs w:val="20"/>
              </w:rPr>
              <w:t>to</w:t>
            </w:r>
            <w:r w:rsidR="00DF1884" w:rsidRPr="00DF1884">
              <w:rPr>
                <w:szCs w:val="20"/>
              </w:rPr>
              <w:t xml:space="preserve"> </w:t>
            </w:r>
            <w:r w:rsidRPr="00DF1884">
              <w:rPr>
                <w:szCs w:val="20"/>
              </w:rPr>
              <w:t>this</w:t>
            </w:r>
            <w:r w:rsidR="00DF1884" w:rsidRPr="00DF1884">
              <w:rPr>
                <w:szCs w:val="20"/>
              </w:rPr>
              <w:t xml:space="preserve"> </w:t>
            </w:r>
            <w:r w:rsidRPr="00DF1884">
              <w:rPr>
                <w:szCs w:val="20"/>
              </w:rPr>
              <w:t>utilization</w:t>
            </w:r>
            <w:r w:rsidR="00DF1884" w:rsidRPr="00DF1884">
              <w:rPr>
                <w:szCs w:val="20"/>
              </w:rPr>
              <w:t xml:space="preserve"> </w:t>
            </w:r>
            <w:r w:rsidRPr="00DF1884">
              <w:rPr>
                <w:szCs w:val="20"/>
              </w:rPr>
              <w:t>measures</w:t>
            </w:r>
            <w:r w:rsidR="00DF1884" w:rsidRPr="00DF1884">
              <w:rPr>
                <w:szCs w:val="20"/>
              </w:rPr>
              <w:t xml:space="preserve"> </w:t>
            </w:r>
            <w:r w:rsidRPr="00DF1884">
              <w:rPr>
                <w:szCs w:val="20"/>
              </w:rPr>
              <w:t>is</w:t>
            </w:r>
            <w:r w:rsidR="00DF1884" w:rsidRPr="00DF1884">
              <w:rPr>
                <w:szCs w:val="20"/>
              </w:rPr>
              <w:t xml:space="preserve"> </w:t>
            </w:r>
            <w:r w:rsidRPr="00DF1884">
              <w:rPr>
                <w:szCs w:val="20"/>
              </w:rPr>
              <w:t>to</w:t>
            </w:r>
            <w:r w:rsidR="00DF1884" w:rsidRPr="00DF1884">
              <w:rPr>
                <w:szCs w:val="20"/>
              </w:rPr>
              <w:t xml:space="preserve"> </w:t>
            </w:r>
            <w:r w:rsidRPr="00DF1884">
              <w:rPr>
                <w:szCs w:val="20"/>
              </w:rPr>
              <w:t>allow</w:t>
            </w:r>
            <w:r w:rsidR="00DF1884" w:rsidRPr="00DF1884">
              <w:rPr>
                <w:szCs w:val="20"/>
              </w:rPr>
              <w:t xml:space="preserve"> </w:t>
            </w:r>
            <w:r w:rsidRPr="00DF1884">
              <w:rPr>
                <w:szCs w:val="20"/>
              </w:rPr>
              <w:t>better</w:t>
            </w:r>
            <w:r w:rsidR="00DF1884" w:rsidRPr="00DF1884">
              <w:rPr>
                <w:szCs w:val="20"/>
              </w:rPr>
              <w:t xml:space="preserve"> </w:t>
            </w:r>
            <w:r w:rsidRPr="00DF1884">
              <w:rPr>
                <w:szCs w:val="20"/>
              </w:rPr>
              <w:t>comparison</w:t>
            </w:r>
            <w:r w:rsidR="00DF1884" w:rsidRPr="00DF1884">
              <w:rPr>
                <w:szCs w:val="20"/>
              </w:rPr>
              <w:t xml:space="preserve"> </w:t>
            </w:r>
            <w:r w:rsidRPr="00DF1884">
              <w:rPr>
                <w:szCs w:val="20"/>
              </w:rPr>
              <w:t>of</w:t>
            </w:r>
            <w:r w:rsidR="00DF1884" w:rsidRPr="00DF1884">
              <w:rPr>
                <w:szCs w:val="20"/>
              </w:rPr>
              <w:t xml:space="preserve"> </w:t>
            </w:r>
            <w:r w:rsidRPr="00DF1884">
              <w:rPr>
                <w:szCs w:val="20"/>
              </w:rPr>
              <w:t>inpatient</w:t>
            </w:r>
            <w:r w:rsidR="00DF1884" w:rsidRPr="00DF1884">
              <w:rPr>
                <w:szCs w:val="20"/>
              </w:rPr>
              <w:t xml:space="preserve"> </w:t>
            </w:r>
            <w:r w:rsidRPr="00DF1884">
              <w:rPr>
                <w:szCs w:val="20"/>
              </w:rPr>
              <w:t>use</w:t>
            </w:r>
            <w:r w:rsidR="00DF1884" w:rsidRPr="00DF1884">
              <w:rPr>
                <w:szCs w:val="20"/>
              </w:rPr>
              <w:t xml:space="preserve"> </w:t>
            </w:r>
            <w:r w:rsidRPr="00DF1884">
              <w:rPr>
                <w:szCs w:val="20"/>
              </w:rPr>
              <w:t>across</w:t>
            </w:r>
            <w:r w:rsidR="00DF1884" w:rsidRPr="00DF1884">
              <w:rPr>
                <w:szCs w:val="20"/>
              </w:rPr>
              <w:t xml:space="preserve"> </w:t>
            </w:r>
            <w:r w:rsidRPr="00DF1884">
              <w:rPr>
                <w:szCs w:val="20"/>
              </w:rPr>
              <w:t>health</w:t>
            </w:r>
            <w:r w:rsidR="00DF1884" w:rsidRPr="00DF1884">
              <w:rPr>
                <w:szCs w:val="20"/>
              </w:rPr>
              <w:t xml:space="preserve"> </w:t>
            </w:r>
            <w:r w:rsidRPr="00DF1884">
              <w:rPr>
                <w:szCs w:val="20"/>
              </w:rPr>
              <w:t>plans</w:t>
            </w:r>
            <w:r w:rsidR="00DF1884" w:rsidRPr="00DF1884">
              <w:rPr>
                <w:szCs w:val="20"/>
              </w:rPr>
              <w:t xml:space="preserve"> </w:t>
            </w:r>
            <w:r w:rsidRPr="00DF1884">
              <w:rPr>
                <w:szCs w:val="20"/>
              </w:rPr>
              <w:t>and</w:t>
            </w:r>
            <w:r w:rsidR="00DF1884" w:rsidRPr="00DF1884">
              <w:rPr>
                <w:szCs w:val="20"/>
              </w:rPr>
              <w:t xml:space="preserve"> </w:t>
            </w:r>
            <w:r w:rsidRPr="00DF1884">
              <w:rPr>
                <w:szCs w:val="20"/>
              </w:rPr>
              <w:t>to</w:t>
            </w:r>
            <w:r w:rsidR="00DF1884" w:rsidRPr="00DF1884">
              <w:rPr>
                <w:szCs w:val="20"/>
              </w:rPr>
              <w:t xml:space="preserve"> </w:t>
            </w:r>
            <w:r w:rsidRPr="00DF1884">
              <w:rPr>
                <w:szCs w:val="20"/>
              </w:rPr>
              <w:t>create</w:t>
            </w:r>
            <w:r w:rsidR="00DF1884" w:rsidRPr="00DF1884">
              <w:rPr>
                <w:szCs w:val="20"/>
              </w:rPr>
              <w:t xml:space="preserve"> </w:t>
            </w:r>
            <w:r w:rsidRPr="00DF1884">
              <w:rPr>
                <w:szCs w:val="20"/>
              </w:rPr>
              <w:t>an</w:t>
            </w:r>
            <w:r w:rsidR="00DF1884" w:rsidRPr="00DF1884">
              <w:rPr>
                <w:szCs w:val="20"/>
              </w:rPr>
              <w:t xml:space="preserve"> </w:t>
            </w:r>
            <w:r w:rsidRPr="00DF1884">
              <w:rPr>
                <w:szCs w:val="20"/>
              </w:rPr>
              <w:t>“even</w:t>
            </w:r>
            <w:r w:rsidR="00DF1884" w:rsidRPr="00DF1884">
              <w:rPr>
                <w:szCs w:val="20"/>
              </w:rPr>
              <w:t xml:space="preserve"> </w:t>
            </w:r>
            <w:r w:rsidRPr="00DF1884">
              <w:rPr>
                <w:szCs w:val="20"/>
              </w:rPr>
              <w:t>playing</w:t>
            </w:r>
            <w:r w:rsidR="00DF1884" w:rsidRPr="00DF1884">
              <w:rPr>
                <w:szCs w:val="20"/>
              </w:rPr>
              <w:t xml:space="preserve"> </w:t>
            </w:r>
            <w:r w:rsidRPr="00DF1884">
              <w:rPr>
                <w:szCs w:val="20"/>
              </w:rPr>
              <w:t>field”</w:t>
            </w:r>
            <w:r w:rsidR="00DF1884" w:rsidRPr="00DF1884">
              <w:rPr>
                <w:szCs w:val="20"/>
              </w:rPr>
              <w:t xml:space="preserve"> </w:t>
            </w:r>
            <w:r w:rsidRPr="00DF1884">
              <w:rPr>
                <w:szCs w:val="20"/>
              </w:rPr>
              <w:t>by</w:t>
            </w:r>
            <w:r w:rsidR="00DF1884" w:rsidRPr="00DF1884">
              <w:rPr>
                <w:szCs w:val="20"/>
              </w:rPr>
              <w:t xml:space="preserve"> </w:t>
            </w:r>
            <w:r w:rsidRPr="00DF1884">
              <w:rPr>
                <w:szCs w:val="20"/>
              </w:rPr>
              <w:t>removing</w:t>
            </w:r>
            <w:r w:rsidR="00DF1884" w:rsidRPr="00DF1884">
              <w:rPr>
                <w:szCs w:val="20"/>
              </w:rPr>
              <w:t xml:space="preserve"> </w:t>
            </w:r>
            <w:r w:rsidRPr="00DF1884">
              <w:rPr>
                <w:szCs w:val="20"/>
              </w:rPr>
              <w:t>the</w:t>
            </w:r>
            <w:r w:rsidR="00DF1884" w:rsidRPr="00DF1884">
              <w:rPr>
                <w:szCs w:val="20"/>
              </w:rPr>
              <w:t xml:space="preserve"> </w:t>
            </w:r>
            <w:r w:rsidRPr="00DF1884">
              <w:rPr>
                <w:szCs w:val="20"/>
              </w:rPr>
              <w:t>effect</w:t>
            </w:r>
            <w:r w:rsidR="00DF1884" w:rsidRPr="00DF1884">
              <w:rPr>
                <w:szCs w:val="20"/>
              </w:rPr>
              <w:t xml:space="preserve"> </w:t>
            </w:r>
            <w:r w:rsidRPr="00DF1884">
              <w:rPr>
                <w:szCs w:val="20"/>
              </w:rPr>
              <w:t>of</w:t>
            </w:r>
            <w:r w:rsidR="00DF1884" w:rsidRPr="00DF1884">
              <w:rPr>
                <w:szCs w:val="20"/>
              </w:rPr>
              <w:t xml:space="preserve"> </w:t>
            </w:r>
            <w:r w:rsidRPr="00DF1884">
              <w:rPr>
                <w:szCs w:val="20"/>
              </w:rPr>
              <w:t>select</w:t>
            </w:r>
            <w:r w:rsidR="00DF1884" w:rsidRPr="00DF1884">
              <w:rPr>
                <w:szCs w:val="20"/>
              </w:rPr>
              <w:t xml:space="preserve"> </w:t>
            </w:r>
            <w:r w:rsidRPr="00DF1884">
              <w:rPr>
                <w:szCs w:val="20"/>
              </w:rPr>
              <w:t>patient</w:t>
            </w:r>
            <w:r w:rsidR="00DF1884" w:rsidRPr="00DF1884">
              <w:rPr>
                <w:szCs w:val="20"/>
              </w:rPr>
              <w:t xml:space="preserve"> </w:t>
            </w:r>
            <w:r w:rsidRPr="00DF1884">
              <w:rPr>
                <w:szCs w:val="20"/>
              </w:rPr>
              <w:t>characteristics</w:t>
            </w:r>
            <w:r w:rsidR="00DF1884" w:rsidRPr="00DF1884">
              <w:rPr>
                <w:szCs w:val="20"/>
              </w:rPr>
              <w:t xml:space="preserve"> </w:t>
            </w:r>
            <w:r w:rsidRPr="00DF1884">
              <w:rPr>
                <w:szCs w:val="20"/>
              </w:rPr>
              <w:t>and</w:t>
            </w:r>
            <w:r w:rsidR="00DF1884" w:rsidRPr="00DF1884">
              <w:rPr>
                <w:szCs w:val="20"/>
              </w:rPr>
              <w:t xml:space="preserve"> </w:t>
            </w:r>
            <w:r w:rsidRPr="00DF1884">
              <w:rPr>
                <w:szCs w:val="20"/>
              </w:rPr>
              <w:t>health</w:t>
            </w:r>
            <w:r w:rsidR="00DF1884" w:rsidRPr="00DF1884">
              <w:rPr>
                <w:szCs w:val="20"/>
              </w:rPr>
              <w:t xml:space="preserve"> </w:t>
            </w:r>
            <w:r w:rsidRPr="00DF1884">
              <w:rPr>
                <w:szCs w:val="20"/>
              </w:rPr>
              <w:t>status</w:t>
            </w:r>
            <w:r w:rsidR="00DF1884" w:rsidRPr="00DF1884">
              <w:rPr>
                <w:szCs w:val="20"/>
              </w:rPr>
              <w:t xml:space="preserve"> </w:t>
            </w:r>
            <w:r w:rsidRPr="00DF1884">
              <w:rPr>
                <w:szCs w:val="20"/>
              </w:rPr>
              <w:t>differences</w:t>
            </w:r>
            <w:r w:rsidR="00DF1884" w:rsidRPr="00DF1884">
              <w:rPr>
                <w:szCs w:val="20"/>
              </w:rPr>
              <w:t xml:space="preserve"> </w:t>
            </w:r>
            <w:r w:rsidRPr="00DF1884">
              <w:rPr>
                <w:szCs w:val="20"/>
              </w:rPr>
              <w:t>on</w:t>
            </w:r>
            <w:r w:rsidR="00DF1884" w:rsidRPr="00DF1884">
              <w:rPr>
                <w:szCs w:val="20"/>
              </w:rPr>
              <w:t xml:space="preserve"> </w:t>
            </w:r>
            <w:r w:rsidRPr="00DF1884">
              <w:rPr>
                <w:szCs w:val="20"/>
              </w:rPr>
              <w:t>the</w:t>
            </w:r>
            <w:r w:rsidR="00DF1884" w:rsidRPr="00DF1884">
              <w:rPr>
                <w:szCs w:val="20"/>
              </w:rPr>
              <w:t xml:space="preserve"> </w:t>
            </w:r>
            <w:r w:rsidRPr="00DF1884">
              <w:rPr>
                <w:szCs w:val="20"/>
              </w:rPr>
              <w:t>reported</w:t>
            </w:r>
            <w:r w:rsidR="00DF1884" w:rsidRPr="00DF1884">
              <w:rPr>
                <w:szCs w:val="20"/>
              </w:rPr>
              <w:t xml:space="preserve"> </w:t>
            </w:r>
            <w:r w:rsidRPr="00DF1884">
              <w:rPr>
                <w:szCs w:val="20"/>
              </w:rPr>
              <w:t>results.</w:t>
            </w:r>
            <w:r w:rsidR="00DF1884" w:rsidRPr="00DF1884">
              <w:rPr>
                <w:szCs w:val="20"/>
              </w:rPr>
              <w:t xml:space="preserve"> </w:t>
            </w:r>
          </w:p>
        </w:tc>
      </w:tr>
    </w:tbl>
    <w:p w14:paraId="5BD6A940" w14:textId="77777777" w:rsidR="00887F28" w:rsidRPr="00DF1884" w:rsidRDefault="00887F28">
      <w:pPr>
        <w:sectPr w:rsidR="00887F28" w:rsidRPr="00DF1884" w:rsidSect="0039781B">
          <w:pgSz w:w="12240" w:h="15840" w:code="1"/>
          <w:pgMar w:top="1080" w:right="1080" w:bottom="1080" w:left="1440" w:header="720" w:footer="720" w:gutter="0"/>
          <w:cols w:space="720"/>
        </w:sectPr>
      </w:pPr>
    </w:p>
    <w:p w14:paraId="4072E2B4" w14:textId="59568D09" w:rsidR="00DF0A7F" w:rsidRPr="00DF1884" w:rsidRDefault="00DF0A7F" w:rsidP="00887F28">
      <w:pPr>
        <w:pStyle w:val="StdHead"/>
        <w:spacing w:before="0"/>
      </w:pPr>
      <w:r w:rsidRPr="00DF1884">
        <w:lastRenderedPageBreak/>
        <w:t>Scientific</w:t>
      </w:r>
      <w:r w:rsidR="00DF1884" w:rsidRPr="00DF1884">
        <w:t xml:space="preserve"> </w:t>
      </w:r>
      <w:r w:rsidRPr="00DF1884">
        <w:t>Soundness</w:t>
      </w:r>
    </w:p>
    <w:tbl>
      <w:tblPr>
        <w:tblW w:w="9851" w:type="dxa"/>
        <w:tblInd w:w="-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1956"/>
        <w:gridCol w:w="7895"/>
      </w:tblGrid>
      <w:tr w:rsidR="00DF1884" w:rsidRPr="00DF1884" w14:paraId="5AB9B54B" w14:textId="77777777" w:rsidTr="00887F28">
        <w:tc>
          <w:tcPr>
            <w:tcW w:w="1956" w:type="dxa"/>
            <w:tcBorders>
              <w:top w:val="nil"/>
              <w:left w:val="nil"/>
              <w:bottom w:val="nil"/>
              <w:right w:val="nil"/>
            </w:tcBorders>
            <w:tcMar>
              <w:left w:w="115" w:type="dxa"/>
              <w:right w:w="115" w:type="dxa"/>
            </w:tcMar>
          </w:tcPr>
          <w:p w14:paraId="126FF147" w14:textId="77B5117B" w:rsidR="00DF0A7F" w:rsidRPr="00DF1884" w:rsidRDefault="00DF0A7F" w:rsidP="00AA4CD6">
            <w:pPr>
              <w:pStyle w:val="MarginSubhead"/>
            </w:pPr>
            <w:r w:rsidRPr="00DF1884">
              <w:t>Clinical</w:t>
            </w:r>
            <w:r w:rsidR="00DF1884" w:rsidRPr="00DF1884">
              <w:t xml:space="preserve"> </w:t>
            </w:r>
            <w:r w:rsidRPr="00DF1884">
              <w:t>importance</w:t>
            </w:r>
            <w:r w:rsidR="00DF1884" w:rsidRPr="00DF1884">
              <w:t xml:space="preserve"> </w:t>
            </w:r>
            <w:r w:rsidRPr="00DF1884">
              <w:br/>
              <w:t>and</w:t>
            </w:r>
            <w:r w:rsidR="00DF1884" w:rsidRPr="00DF1884">
              <w:t xml:space="preserve"> </w:t>
            </w:r>
            <w:r w:rsidRPr="00DF1884">
              <w:t>evidence</w:t>
            </w:r>
          </w:p>
        </w:tc>
        <w:tc>
          <w:tcPr>
            <w:tcW w:w="7895" w:type="dxa"/>
            <w:tcBorders>
              <w:top w:val="nil"/>
              <w:left w:val="nil"/>
              <w:bottom w:val="nil"/>
              <w:right w:val="nil"/>
            </w:tcBorders>
            <w:tcMar>
              <w:left w:w="115" w:type="dxa"/>
              <w:right w:w="115" w:type="dxa"/>
            </w:tcMar>
          </w:tcPr>
          <w:p w14:paraId="6B87FB1F" w14:textId="77777777" w:rsidR="00DF0A7F" w:rsidRPr="00DF1884" w:rsidRDefault="00DF0A7F" w:rsidP="00AA4CD6">
            <w:pPr>
              <w:pStyle w:val="Body"/>
              <w:rPr>
                <w:b/>
                <w:bCs/>
                <w:i/>
              </w:rPr>
            </w:pPr>
          </w:p>
        </w:tc>
      </w:tr>
      <w:tr w:rsidR="00DF1884" w:rsidRPr="00DF1884" w14:paraId="0E246F78" w14:textId="77777777" w:rsidTr="00887F28">
        <w:tc>
          <w:tcPr>
            <w:tcW w:w="1956" w:type="dxa"/>
            <w:tcBorders>
              <w:top w:val="nil"/>
              <w:left w:val="nil"/>
              <w:bottom w:val="nil"/>
              <w:right w:val="nil"/>
            </w:tcBorders>
            <w:tcMar>
              <w:left w:w="115" w:type="dxa"/>
              <w:right w:w="115" w:type="dxa"/>
            </w:tcMar>
          </w:tcPr>
          <w:p w14:paraId="216CE0C7" w14:textId="76D9657C" w:rsidR="00DF0A7F" w:rsidRPr="00DF1884" w:rsidRDefault="00DF0A7F" w:rsidP="00AA4CD6">
            <w:pPr>
              <w:pStyle w:val="MarginSubhead"/>
              <w:ind w:left="0"/>
              <w:jc w:val="right"/>
              <w:rPr>
                <w:i/>
                <w:highlight w:val="yellow"/>
              </w:rPr>
            </w:pPr>
            <w:r w:rsidRPr="00DF1884">
              <w:rPr>
                <w:i/>
              </w:rPr>
              <w:t>Guideline</w:t>
            </w:r>
            <w:r w:rsidR="00DF1884" w:rsidRPr="00DF1884">
              <w:rPr>
                <w:i/>
              </w:rPr>
              <w:t xml:space="preserve"> </w:t>
            </w:r>
            <w:r w:rsidRPr="00DF1884">
              <w:rPr>
                <w:i/>
              </w:rPr>
              <w:t>recommendations</w:t>
            </w:r>
          </w:p>
        </w:tc>
        <w:tc>
          <w:tcPr>
            <w:tcW w:w="7895" w:type="dxa"/>
            <w:tcBorders>
              <w:top w:val="nil"/>
              <w:left w:val="nil"/>
              <w:bottom w:val="nil"/>
              <w:right w:val="nil"/>
            </w:tcBorders>
            <w:tcMar>
              <w:left w:w="115" w:type="dxa"/>
              <w:right w:w="115" w:type="dxa"/>
            </w:tcMar>
          </w:tcPr>
          <w:p w14:paraId="68F806A9" w14:textId="4ABEF6B7" w:rsidR="00DF0A7F" w:rsidRPr="00DF1884" w:rsidRDefault="00DF0A7F" w:rsidP="00AA4CD6">
            <w:pPr>
              <w:pStyle w:val="Body"/>
              <w:rPr>
                <w:i/>
              </w:rPr>
            </w:pPr>
            <w:r w:rsidRPr="00DF1884">
              <w:rPr>
                <w:rFonts w:eastAsiaTheme="minorHAnsi" w:cs="Arial"/>
                <w:szCs w:val="20"/>
              </w:rPr>
              <w:t>It</w:t>
            </w:r>
            <w:r w:rsidR="00DF1884" w:rsidRPr="00DF1884">
              <w:rPr>
                <w:rFonts w:eastAsiaTheme="minorHAnsi" w:cs="Arial"/>
                <w:szCs w:val="20"/>
              </w:rPr>
              <w:t xml:space="preserve"> </w:t>
            </w:r>
            <w:r w:rsidRPr="00DF1884">
              <w:rPr>
                <w:rFonts w:eastAsiaTheme="minorHAnsi" w:cs="Arial"/>
                <w:szCs w:val="20"/>
              </w:rPr>
              <w:t>is</w:t>
            </w:r>
            <w:r w:rsidR="00DF1884" w:rsidRPr="00DF1884">
              <w:rPr>
                <w:rFonts w:eastAsiaTheme="minorHAnsi" w:cs="Arial"/>
                <w:szCs w:val="20"/>
              </w:rPr>
              <w:t xml:space="preserve"> </w:t>
            </w:r>
            <w:r w:rsidRPr="00DF1884">
              <w:rPr>
                <w:rFonts w:eastAsiaTheme="minorHAnsi" w:cs="Arial"/>
                <w:szCs w:val="20"/>
              </w:rPr>
              <w:t>NCQA</w:t>
            </w:r>
            <w:r w:rsidR="00DF1884" w:rsidRPr="00DF1884">
              <w:rPr>
                <w:rFonts w:eastAsiaTheme="minorHAnsi" w:cs="Arial"/>
                <w:szCs w:val="20"/>
              </w:rPr>
              <w:t xml:space="preserve"> </w:t>
            </w:r>
            <w:r w:rsidRPr="00DF1884">
              <w:rPr>
                <w:rFonts w:eastAsiaTheme="minorHAnsi" w:cs="Arial"/>
                <w:szCs w:val="20"/>
              </w:rPr>
              <w:t>policy</w:t>
            </w:r>
            <w:r w:rsidR="00DF1884" w:rsidRPr="00DF1884">
              <w:rPr>
                <w:rFonts w:eastAsiaTheme="minorHAnsi" w:cs="Arial"/>
                <w:szCs w:val="20"/>
              </w:rPr>
              <w:t xml:space="preserve"> </w:t>
            </w:r>
            <w:r w:rsidRPr="00DF1884">
              <w:rPr>
                <w:rFonts w:eastAsiaTheme="minorHAnsi" w:cs="Arial"/>
                <w:szCs w:val="20"/>
              </w:rPr>
              <w:t>to</w:t>
            </w:r>
            <w:r w:rsidR="00DF1884" w:rsidRPr="00DF1884">
              <w:rPr>
                <w:rFonts w:eastAsiaTheme="minorHAnsi" w:cs="Arial"/>
                <w:szCs w:val="20"/>
              </w:rPr>
              <w:t xml:space="preserve"> </w:t>
            </w:r>
            <w:r w:rsidRPr="00DF1884">
              <w:rPr>
                <w:rFonts w:eastAsiaTheme="minorHAnsi" w:cs="Arial"/>
                <w:szCs w:val="20"/>
              </w:rPr>
              <w:t>use</w:t>
            </w:r>
            <w:r w:rsidR="00DF1884" w:rsidRPr="00DF1884">
              <w:rPr>
                <w:rFonts w:eastAsiaTheme="minorHAnsi" w:cs="Arial"/>
                <w:szCs w:val="20"/>
              </w:rPr>
              <w:t xml:space="preserve"> </w:t>
            </w:r>
            <w:r w:rsidRPr="00DF1884">
              <w:rPr>
                <w:rFonts w:eastAsiaTheme="minorHAnsi" w:cs="Arial"/>
                <w:szCs w:val="20"/>
              </w:rPr>
              <w:t>guidelines</w:t>
            </w:r>
            <w:r w:rsidR="00DF1884" w:rsidRPr="00DF1884">
              <w:rPr>
                <w:rFonts w:eastAsiaTheme="minorHAnsi" w:cs="Arial"/>
                <w:szCs w:val="20"/>
              </w:rPr>
              <w:t xml:space="preserve"> </w:t>
            </w:r>
            <w:r w:rsidRPr="00DF1884">
              <w:rPr>
                <w:rFonts w:eastAsiaTheme="minorHAnsi" w:cs="Arial"/>
                <w:szCs w:val="20"/>
              </w:rPr>
              <w:t>which</w:t>
            </w:r>
            <w:r w:rsidR="00DF1884" w:rsidRPr="00DF1884">
              <w:rPr>
                <w:rFonts w:eastAsiaTheme="minorHAnsi" w:cs="Arial"/>
                <w:szCs w:val="20"/>
              </w:rPr>
              <w:t xml:space="preserve"> </w:t>
            </w:r>
            <w:r w:rsidRPr="00DF1884">
              <w:rPr>
                <w:rFonts w:eastAsiaTheme="minorHAnsi" w:cs="Arial"/>
                <w:szCs w:val="20"/>
              </w:rPr>
              <w:t>are</w:t>
            </w:r>
            <w:r w:rsidR="00DF1884" w:rsidRPr="00DF1884">
              <w:rPr>
                <w:rFonts w:eastAsiaTheme="minorHAnsi" w:cs="Arial"/>
                <w:szCs w:val="20"/>
              </w:rPr>
              <w:t xml:space="preserve"> </w:t>
            </w:r>
            <w:r w:rsidRPr="00DF1884">
              <w:rPr>
                <w:rFonts w:eastAsiaTheme="minorHAnsi" w:cs="Arial"/>
                <w:szCs w:val="20"/>
              </w:rPr>
              <w:t>evidence-based,</w:t>
            </w:r>
            <w:r w:rsidR="00DF1884" w:rsidRPr="00DF1884">
              <w:rPr>
                <w:rFonts w:eastAsiaTheme="minorHAnsi" w:cs="Arial"/>
                <w:szCs w:val="20"/>
              </w:rPr>
              <w:t xml:space="preserve"> </w:t>
            </w:r>
            <w:r w:rsidRPr="00DF1884">
              <w:rPr>
                <w:rFonts w:eastAsiaTheme="minorHAnsi" w:cs="Arial"/>
                <w:szCs w:val="20"/>
              </w:rPr>
              <w:t>applicable</w:t>
            </w:r>
            <w:r w:rsidR="00DF1884" w:rsidRPr="00DF1884">
              <w:rPr>
                <w:rFonts w:eastAsiaTheme="minorHAnsi" w:cs="Arial"/>
                <w:szCs w:val="20"/>
              </w:rPr>
              <w:t xml:space="preserve"> </w:t>
            </w:r>
            <w:r w:rsidRPr="00DF1884">
              <w:rPr>
                <w:rFonts w:eastAsiaTheme="minorHAnsi" w:cs="Arial"/>
                <w:szCs w:val="20"/>
              </w:rPr>
              <w:t>to</w:t>
            </w:r>
            <w:r w:rsidR="00DF1884" w:rsidRPr="00DF1884">
              <w:rPr>
                <w:rFonts w:eastAsiaTheme="minorHAnsi" w:cs="Arial"/>
                <w:szCs w:val="20"/>
              </w:rPr>
              <w:t xml:space="preserve"> </w:t>
            </w:r>
            <w:r w:rsidRPr="00DF1884">
              <w:rPr>
                <w:rFonts w:eastAsiaTheme="minorHAnsi" w:cs="Arial"/>
                <w:szCs w:val="20"/>
              </w:rPr>
              <w:t>physicians</w:t>
            </w:r>
            <w:r w:rsidR="00DF1884" w:rsidRPr="00DF1884">
              <w:rPr>
                <w:rFonts w:eastAsiaTheme="minorHAnsi" w:cs="Arial"/>
                <w:szCs w:val="20"/>
              </w:rPr>
              <w:t xml:space="preserve"> </w:t>
            </w:r>
            <w:r w:rsidRPr="00DF1884">
              <w:rPr>
                <w:rFonts w:eastAsiaTheme="minorHAnsi" w:cs="Arial"/>
                <w:szCs w:val="20"/>
              </w:rPr>
              <w:t>and</w:t>
            </w:r>
            <w:r w:rsidR="00DF1884" w:rsidRPr="00DF1884">
              <w:rPr>
                <w:rFonts w:eastAsiaTheme="minorHAnsi" w:cs="Arial"/>
                <w:szCs w:val="20"/>
              </w:rPr>
              <w:t xml:space="preserve"> </w:t>
            </w:r>
            <w:r w:rsidRPr="00DF1884">
              <w:rPr>
                <w:rFonts w:eastAsiaTheme="minorHAnsi" w:cs="Arial"/>
                <w:szCs w:val="20"/>
              </w:rPr>
              <w:t>other</w:t>
            </w:r>
            <w:r w:rsidR="00DF1884" w:rsidRPr="00DF1884">
              <w:rPr>
                <w:rFonts w:eastAsiaTheme="minorHAnsi" w:cs="Arial"/>
                <w:szCs w:val="20"/>
              </w:rPr>
              <w:t xml:space="preserve"> </w:t>
            </w:r>
            <w:r w:rsidRPr="00DF1884">
              <w:rPr>
                <w:rFonts w:eastAsiaTheme="minorHAnsi" w:cs="Arial"/>
                <w:szCs w:val="20"/>
              </w:rPr>
              <w:t>healthcare</w:t>
            </w:r>
            <w:r w:rsidR="00DF1884" w:rsidRPr="00DF1884">
              <w:rPr>
                <w:rFonts w:eastAsiaTheme="minorHAnsi" w:cs="Arial"/>
                <w:szCs w:val="20"/>
              </w:rPr>
              <w:t xml:space="preserve"> </w:t>
            </w:r>
            <w:r w:rsidRPr="00DF1884">
              <w:rPr>
                <w:rFonts w:eastAsiaTheme="minorHAnsi" w:cs="Arial"/>
                <w:szCs w:val="20"/>
              </w:rPr>
              <w:t>providers,</w:t>
            </w:r>
            <w:r w:rsidR="00DF1884" w:rsidRPr="00DF1884">
              <w:rPr>
                <w:rFonts w:eastAsiaTheme="minorHAnsi" w:cs="Arial"/>
                <w:szCs w:val="20"/>
              </w:rPr>
              <w:t xml:space="preserve"> </w:t>
            </w:r>
            <w:r w:rsidRPr="00DF1884">
              <w:rPr>
                <w:rFonts w:eastAsiaTheme="minorHAnsi" w:cs="Arial"/>
                <w:szCs w:val="20"/>
              </w:rPr>
              <w:t>and</w:t>
            </w:r>
            <w:r w:rsidR="00DF1884" w:rsidRPr="00DF1884">
              <w:rPr>
                <w:rFonts w:eastAsiaTheme="minorHAnsi" w:cs="Arial"/>
                <w:szCs w:val="20"/>
              </w:rPr>
              <w:t xml:space="preserve"> </w:t>
            </w:r>
            <w:r w:rsidRPr="00DF1884">
              <w:rPr>
                <w:rFonts w:eastAsiaTheme="minorHAnsi" w:cs="Arial"/>
                <w:szCs w:val="20"/>
              </w:rPr>
              <w:t>developed</w:t>
            </w:r>
            <w:r w:rsidR="00DF1884" w:rsidRPr="00DF1884">
              <w:rPr>
                <w:rFonts w:eastAsiaTheme="minorHAnsi" w:cs="Arial"/>
                <w:szCs w:val="20"/>
              </w:rPr>
              <w:t xml:space="preserve"> </w:t>
            </w:r>
            <w:r w:rsidRPr="00DF1884">
              <w:rPr>
                <w:rFonts w:eastAsiaTheme="minorHAnsi" w:cs="Arial"/>
                <w:szCs w:val="20"/>
              </w:rPr>
              <w:t>by</w:t>
            </w:r>
            <w:r w:rsidR="00DF1884" w:rsidRPr="00DF1884">
              <w:rPr>
                <w:rFonts w:eastAsiaTheme="minorHAnsi" w:cs="Arial"/>
                <w:szCs w:val="20"/>
              </w:rPr>
              <w:t xml:space="preserve"> </w:t>
            </w:r>
            <w:r w:rsidRPr="00DF1884">
              <w:rPr>
                <w:rFonts w:eastAsiaTheme="minorHAnsi" w:cs="Arial"/>
                <w:szCs w:val="20"/>
              </w:rPr>
              <w:t>a</w:t>
            </w:r>
            <w:r w:rsidR="00DF1884" w:rsidRPr="00DF1884">
              <w:rPr>
                <w:rFonts w:eastAsiaTheme="minorHAnsi" w:cs="Arial"/>
                <w:szCs w:val="20"/>
              </w:rPr>
              <w:t xml:space="preserve"> </w:t>
            </w:r>
            <w:r w:rsidRPr="00DF1884">
              <w:rPr>
                <w:rFonts w:eastAsiaTheme="minorHAnsi" w:cs="Arial"/>
                <w:szCs w:val="20"/>
              </w:rPr>
              <w:t>national</w:t>
            </w:r>
            <w:r w:rsidR="00DF1884" w:rsidRPr="00DF1884">
              <w:rPr>
                <w:rFonts w:eastAsiaTheme="minorHAnsi" w:cs="Arial"/>
                <w:szCs w:val="20"/>
              </w:rPr>
              <w:t xml:space="preserve"> </w:t>
            </w:r>
            <w:r w:rsidRPr="00DF1884">
              <w:rPr>
                <w:rFonts w:eastAsiaTheme="minorHAnsi" w:cs="Arial"/>
                <w:szCs w:val="20"/>
              </w:rPr>
              <w:t>specialty</w:t>
            </w:r>
            <w:r w:rsidR="00DF1884" w:rsidRPr="00DF1884">
              <w:rPr>
                <w:rFonts w:eastAsiaTheme="minorHAnsi" w:cs="Arial"/>
                <w:szCs w:val="20"/>
              </w:rPr>
              <w:t xml:space="preserve"> </w:t>
            </w:r>
            <w:r w:rsidRPr="00DF1884">
              <w:rPr>
                <w:rFonts w:eastAsiaTheme="minorHAnsi" w:cs="Arial"/>
                <w:szCs w:val="20"/>
              </w:rPr>
              <w:t>organization</w:t>
            </w:r>
            <w:r w:rsidR="00DF1884" w:rsidRPr="00DF1884">
              <w:rPr>
                <w:rFonts w:eastAsiaTheme="minorHAnsi" w:cs="Arial"/>
                <w:szCs w:val="20"/>
              </w:rPr>
              <w:t xml:space="preserve"> </w:t>
            </w:r>
            <w:r w:rsidRPr="00DF1884">
              <w:rPr>
                <w:rFonts w:eastAsiaTheme="minorHAnsi" w:cs="Arial"/>
                <w:szCs w:val="20"/>
              </w:rPr>
              <w:t>or</w:t>
            </w:r>
            <w:r w:rsidR="00DF1884" w:rsidRPr="00DF1884">
              <w:rPr>
                <w:rFonts w:eastAsiaTheme="minorHAnsi" w:cs="Arial"/>
                <w:szCs w:val="20"/>
              </w:rPr>
              <w:t xml:space="preserve"> </w:t>
            </w:r>
            <w:r w:rsidRPr="00DF1884">
              <w:rPr>
                <w:rFonts w:eastAsiaTheme="minorHAnsi" w:cs="Arial"/>
                <w:szCs w:val="20"/>
              </w:rPr>
              <w:t>government</w:t>
            </w:r>
            <w:r w:rsidR="00DF1884" w:rsidRPr="00DF1884">
              <w:rPr>
                <w:rFonts w:eastAsiaTheme="minorHAnsi" w:cs="Arial"/>
                <w:szCs w:val="20"/>
              </w:rPr>
              <w:t xml:space="preserve"> </w:t>
            </w:r>
            <w:r w:rsidRPr="00DF1884">
              <w:rPr>
                <w:rFonts w:eastAsiaTheme="minorHAnsi" w:cs="Arial"/>
                <w:szCs w:val="20"/>
              </w:rPr>
              <w:t>agency.</w:t>
            </w:r>
            <w:r w:rsidR="00DF1884" w:rsidRPr="00DF1884">
              <w:rPr>
                <w:rFonts w:eastAsiaTheme="minorHAnsi" w:cs="Arial"/>
                <w:szCs w:val="20"/>
              </w:rPr>
              <w:t xml:space="preserve"> </w:t>
            </w:r>
            <w:r w:rsidRPr="00DF1884">
              <w:rPr>
                <w:rFonts w:eastAsiaTheme="minorHAnsi" w:cs="Arial"/>
                <w:szCs w:val="20"/>
              </w:rPr>
              <w:t>This</w:t>
            </w:r>
            <w:r w:rsidR="00DF1884" w:rsidRPr="00DF1884">
              <w:rPr>
                <w:rFonts w:eastAsiaTheme="minorHAnsi" w:cs="Arial"/>
                <w:szCs w:val="20"/>
              </w:rPr>
              <w:t xml:space="preserve"> </w:t>
            </w:r>
            <w:r w:rsidRPr="00DF1884">
              <w:rPr>
                <w:rFonts w:eastAsiaTheme="minorHAnsi" w:cs="Arial"/>
                <w:szCs w:val="20"/>
              </w:rPr>
              <w:t>measure</w:t>
            </w:r>
            <w:r w:rsidR="00DF1884" w:rsidRPr="00DF1884">
              <w:rPr>
                <w:rFonts w:eastAsiaTheme="minorHAnsi" w:cs="Arial"/>
                <w:szCs w:val="20"/>
              </w:rPr>
              <w:t xml:space="preserve"> </w:t>
            </w:r>
            <w:r w:rsidRPr="00DF1884">
              <w:rPr>
                <w:rFonts w:eastAsiaTheme="minorHAnsi" w:cs="Arial"/>
                <w:szCs w:val="20"/>
              </w:rPr>
              <w:t>of</w:t>
            </w:r>
            <w:r w:rsidR="00DF1884" w:rsidRPr="00DF1884">
              <w:rPr>
                <w:rFonts w:eastAsiaTheme="minorHAnsi" w:cs="Arial"/>
                <w:szCs w:val="20"/>
              </w:rPr>
              <w:t xml:space="preserve"> </w:t>
            </w:r>
            <w:r w:rsidRPr="00DF1884">
              <w:rPr>
                <w:rFonts w:eastAsiaTheme="minorHAnsi" w:cs="Arial"/>
                <w:szCs w:val="20"/>
              </w:rPr>
              <w:t>utilization</w:t>
            </w:r>
            <w:r w:rsidR="00DF1884" w:rsidRPr="00DF1884">
              <w:rPr>
                <w:rFonts w:eastAsiaTheme="minorHAnsi" w:cs="Arial"/>
                <w:szCs w:val="20"/>
              </w:rPr>
              <w:t xml:space="preserve"> </w:t>
            </w:r>
            <w:r w:rsidRPr="00DF1884">
              <w:rPr>
                <w:rFonts w:eastAsiaTheme="minorHAnsi" w:cs="Arial"/>
                <w:szCs w:val="20"/>
              </w:rPr>
              <w:t>is</w:t>
            </w:r>
            <w:r w:rsidR="00DF1884" w:rsidRPr="00DF1884">
              <w:rPr>
                <w:rFonts w:eastAsiaTheme="minorHAnsi" w:cs="Arial"/>
                <w:szCs w:val="20"/>
              </w:rPr>
              <w:t xml:space="preserve"> </w:t>
            </w:r>
            <w:r w:rsidRPr="00DF1884">
              <w:rPr>
                <w:rFonts w:eastAsiaTheme="minorHAnsi" w:cs="Arial"/>
                <w:szCs w:val="20"/>
              </w:rPr>
              <w:t>not</w:t>
            </w:r>
            <w:r w:rsidR="00DF1884" w:rsidRPr="00DF1884">
              <w:rPr>
                <w:rFonts w:eastAsiaTheme="minorHAnsi" w:cs="Arial"/>
                <w:szCs w:val="20"/>
              </w:rPr>
              <w:t xml:space="preserve"> </w:t>
            </w:r>
            <w:r w:rsidRPr="00DF1884">
              <w:rPr>
                <w:rFonts w:eastAsiaTheme="minorHAnsi" w:cs="Arial"/>
                <w:szCs w:val="20"/>
              </w:rPr>
              <w:t>based</w:t>
            </w:r>
            <w:r w:rsidR="00DF1884" w:rsidRPr="00DF1884">
              <w:rPr>
                <w:rFonts w:eastAsiaTheme="minorHAnsi" w:cs="Arial"/>
                <w:szCs w:val="20"/>
              </w:rPr>
              <w:t xml:space="preserve"> </w:t>
            </w:r>
            <w:r w:rsidRPr="00DF1884">
              <w:rPr>
                <w:rFonts w:eastAsiaTheme="minorHAnsi" w:cs="Arial"/>
                <w:szCs w:val="20"/>
              </w:rPr>
              <w:t>on</w:t>
            </w:r>
            <w:r w:rsidR="00DF1884" w:rsidRPr="00DF1884">
              <w:rPr>
                <w:rFonts w:eastAsiaTheme="minorHAnsi" w:cs="Arial"/>
                <w:szCs w:val="20"/>
              </w:rPr>
              <w:t xml:space="preserve"> </w:t>
            </w:r>
            <w:r w:rsidRPr="00DF1884">
              <w:rPr>
                <w:rFonts w:eastAsiaTheme="minorHAnsi" w:cs="Arial"/>
                <w:szCs w:val="20"/>
              </w:rPr>
              <w:t>clinical</w:t>
            </w:r>
            <w:r w:rsidR="00DF1884" w:rsidRPr="00DF1884">
              <w:rPr>
                <w:rFonts w:eastAsiaTheme="minorHAnsi" w:cs="Arial"/>
                <w:szCs w:val="20"/>
              </w:rPr>
              <w:t xml:space="preserve"> </w:t>
            </w:r>
            <w:r w:rsidR="00651186" w:rsidRPr="00DF1884">
              <w:rPr>
                <w:rFonts w:eastAsiaTheme="minorHAnsi" w:cs="Arial"/>
                <w:szCs w:val="20"/>
              </w:rPr>
              <w:t>guidelines.</w:t>
            </w:r>
            <w:r w:rsidR="00DF1884" w:rsidRPr="00DF1884">
              <w:rPr>
                <w:rFonts w:eastAsiaTheme="minorHAnsi" w:cs="Arial"/>
                <w:szCs w:val="20"/>
              </w:rPr>
              <w:t xml:space="preserve"> </w:t>
            </w:r>
            <w:r w:rsidR="00651186" w:rsidRPr="00DF1884">
              <w:rPr>
                <w:rFonts w:eastAsiaTheme="minorHAnsi" w:cs="Arial"/>
                <w:szCs w:val="20"/>
              </w:rPr>
              <w:t>The</w:t>
            </w:r>
            <w:r w:rsidR="00DF1884" w:rsidRPr="00DF1884">
              <w:rPr>
                <w:rFonts w:eastAsiaTheme="minorHAnsi" w:cs="Arial"/>
                <w:szCs w:val="20"/>
              </w:rPr>
              <w:t xml:space="preserve"> </w:t>
            </w:r>
            <w:r w:rsidRPr="00DF1884">
              <w:rPr>
                <w:rFonts w:eastAsiaTheme="minorHAnsi" w:cs="Arial"/>
                <w:szCs w:val="20"/>
              </w:rPr>
              <w:t>results</w:t>
            </w:r>
            <w:r w:rsidR="00DF1884" w:rsidRPr="00DF1884">
              <w:rPr>
                <w:rFonts w:eastAsiaTheme="minorHAnsi" w:cs="Arial"/>
                <w:szCs w:val="20"/>
              </w:rPr>
              <w:t xml:space="preserve"> </w:t>
            </w:r>
            <w:r w:rsidRPr="00DF1884">
              <w:rPr>
                <w:rFonts w:eastAsiaTheme="minorHAnsi" w:cs="Arial"/>
                <w:szCs w:val="20"/>
              </w:rPr>
              <w:t>should</w:t>
            </w:r>
            <w:r w:rsidR="00DF1884" w:rsidRPr="00DF1884">
              <w:rPr>
                <w:rFonts w:eastAsiaTheme="minorHAnsi" w:cs="Arial"/>
                <w:szCs w:val="20"/>
              </w:rPr>
              <w:t xml:space="preserve"> </w:t>
            </w:r>
            <w:r w:rsidRPr="00DF1884">
              <w:rPr>
                <w:rFonts w:eastAsiaTheme="minorHAnsi" w:cs="Arial"/>
                <w:szCs w:val="20"/>
              </w:rPr>
              <w:t>be</w:t>
            </w:r>
            <w:r w:rsidR="00DF1884" w:rsidRPr="00DF1884">
              <w:rPr>
                <w:rFonts w:eastAsiaTheme="minorHAnsi" w:cs="Arial"/>
                <w:szCs w:val="20"/>
              </w:rPr>
              <w:t xml:space="preserve"> </w:t>
            </w:r>
            <w:r w:rsidRPr="00DF1884">
              <w:rPr>
                <w:rFonts w:eastAsiaTheme="minorHAnsi" w:cs="Arial"/>
                <w:szCs w:val="20"/>
              </w:rPr>
              <w:t>used</w:t>
            </w:r>
            <w:r w:rsidR="00DF1884" w:rsidRPr="00DF1884">
              <w:rPr>
                <w:rFonts w:eastAsiaTheme="minorHAnsi" w:cs="Arial"/>
                <w:szCs w:val="20"/>
              </w:rPr>
              <w:t xml:space="preserve"> </w:t>
            </w:r>
            <w:r w:rsidRPr="00DF1884">
              <w:rPr>
                <w:rFonts w:eastAsiaTheme="minorHAnsi" w:cs="Arial"/>
                <w:szCs w:val="20"/>
              </w:rPr>
              <w:t>by</w:t>
            </w:r>
            <w:r w:rsidR="00DF1884" w:rsidRPr="00DF1884">
              <w:rPr>
                <w:rFonts w:eastAsiaTheme="minorHAnsi" w:cs="Arial"/>
                <w:szCs w:val="20"/>
              </w:rPr>
              <w:t xml:space="preserve"> </w:t>
            </w:r>
            <w:r w:rsidRPr="00DF1884">
              <w:rPr>
                <w:rFonts w:eastAsiaTheme="minorHAnsi" w:cs="Arial"/>
                <w:szCs w:val="20"/>
              </w:rPr>
              <w:t>plans</w:t>
            </w:r>
            <w:r w:rsidR="00DF1884" w:rsidRPr="00DF1884">
              <w:rPr>
                <w:rFonts w:eastAsiaTheme="minorHAnsi" w:cs="Arial"/>
                <w:szCs w:val="20"/>
              </w:rPr>
              <w:t xml:space="preserve"> </w:t>
            </w:r>
            <w:r w:rsidRPr="00DF1884">
              <w:rPr>
                <w:rFonts w:eastAsiaTheme="minorHAnsi" w:cs="Arial"/>
                <w:szCs w:val="20"/>
              </w:rPr>
              <w:t>in</w:t>
            </w:r>
            <w:r w:rsidR="00DF1884" w:rsidRPr="00DF1884">
              <w:rPr>
                <w:rFonts w:eastAsiaTheme="minorHAnsi" w:cs="Arial"/>
                <w:szCs w:val="20"/>
              </w:rPr>
              <w:t xml:space="preserve"> </w:t>
            </w:r>
            <w:r w:rsidRPr="00DF1884">
              <w:rPr>
                <w:rFonts w:eastAsiaTheme="minorHAnsi" w:cs="Arial"/>
                <w:szCs w:val="20"/>
              </w:rPr>
              <w:t>conjunction</w:t>
            </w:r>
            <w:r w:rsidR="00DF1884" w:rsidRPr="00DF1884">
              <w:rPr>
                <w:rFonts w:eastAsiaTheme="minorHAnsi" w:cs="Arial"/>
                <w:szCs w:val="20"/>
              </w:rPr>
              <w:t xml:space="preserve"> </w:t>
            </w:r>
            <w:r w:rsidRPr="00DF1884">
              <w:rPr>
                <w:rFonts w:eastAsiaTheme="minorHAnsi" w:cs="Arial"/>
                <w:szCs w:val="20"/>
              </w:rPr>
              <w:t>with</w:t>
            </w:r>
            <w:r w:rsidR="00DF1884" w:rsidRPr="00DF1884">
              <w:rPr>
                <w:rFonts w:eastAsiaTheme="minorHAnsi" w:cs="Arial"/>
                <w:szCs w:val="20"/>
              </w:rPr>
              <w:t xml:space="preserve"> </w:t>
            </w:r>
            <w:r w:rsidRPr="00DF1884">
              <w:rPr>
                <w:rFonts w:eastAsiaTheme="minorHAnsi" w:cs="Arial"/>
                <w:szCs w:val="20"/>
              </w:rPr>
              <w:t>other</w:t>
            </w:r>
            <w:r w:rsidR="00DF1884" w:rsidRPr="00DF1884">
              <w:rPr>
                <w:rFonts w:eastAsiaTheme="minorHAnsi" w:cs="Arial"/>
                <w:szCs w:val="20"/>
              </w:rPr>
              <w:t xml:space="preserve"> </w:t>
            </w:r>
            <w:r w:rsidRPr="00DF1884">
              <w:rPr>
                <w:rFonts w:eastAsiaTheme="minorHAnsi" w:cs="Arial"/>
                <w:szCs w:val="20"/>
              </w:rPr>
              <w:t>use</w:t>
            </w:r>
            <w:r w:rsidR="00DF1884" w:rsidRPr="00DF1884">
              <w:rPr>
                <w:rFonts w:eastAsiaTheme="minorHAnsi" w:cs="Arial"/>
                <w:szCs w:val="20"/>
              </w:rPr>
              <w:t xml:space="preserve"> </w:t>
            </w:r>
            <w:r w:rsidRPr="00DF1884">
              <w:rPr>
                <w:rFonts w:eastAsiaTheme="minorHAnsi" w:cs="Arial"/>
                <w:szCs w:val="20"/>
              </w:rPr>
              <w:t>of</w:t>
            </w:r>
            <w:r w:rsidR="00DF1884" w:rsidRPr="00DF1884">
              <w:rPr>
                <w:rFonts w:eastAsiaTheme="minorHAnsi" w:cs="Arial"/>
                <w:szCs w:val="20"/>
              </w:rPr>
              <w:t xml:space="preserve"> </w:t>
            </w:r>
            <w:r w:rsidRPr="00DF1884">
              <w:rPr>
                <w:rFonts w:eastAsiaTheme="minorHAnsi" w:cs="Arial"/>
                <w:szCs w:val="20"/>
              </w:rPr>
              <w:t>service</w:t>
            </w:r>
            <w:r w:rsidR="00DF1884" w:rsidRPr="00DF1884">
              <w:rPr>
                <w:rFonts w:eastAsiaTheme="minorHAnsi" w:cs="Arial"/>
                <w:szCs w:val="20"/>
              </w:rPr>
              <w:t xml:space="preserve"> </w:t>
            </w:r>
            <w:r w:rsidRPr="00DF1884">
              <w:rPr>
                <w:rFonts w:eastAsiaTheme="minorHAnsi" w:cs="Arial"/>
                <w:szCs w:val="20"/>
              </w:rPr>
              <w:t>data</w:t>
            </w:r>
            <w:r w:rsidR="00DF1884" w:rsidRPr="00DF1884">
              <w:rPr>
                <w:rFonts w:eastAsiaTheme="minorHAnsi" w:cs="Arial"/>
                <w:szCs w:val="20"/>
              </w:rPr>
              <w:t xml:space="preserve"> </w:t>
            </w:r>
            <w:r w:rsidRPr="00DF1884">
              <w:rPr>
                <w:rFonts w:eastAsiaTheme="minorHAnsi" w:cs="Arial"/>
                <w:szCs w:val="20"/>
              </w:rPr>
              <w:t>and</w:t>
            </w:r>
            <w:r w:rsidR="00DF1884" w:rsidRPr="00DF1884">
              <w:rPr>
                <w:rFonts w:eastAsiaTheme="minorHAnsi" w:cs="Arial"/>
                <w:szCs w:val="20"/>
              </w:rPr>
              <w:t xml:space="preserve"> </w:t>
            </w:r>
            <w:r w:rsidRPr="00DF1884">
              <w:rPr>
                <w:rFonts w:eastAsiaTheme="minorHAnsi" w:cs="Arial"/>
                <w:szCs w:val="20"/>
              </w:rPr>
              <w:t>clinical</w:t>
            </w:r>
            <w:r w:rsidR="00DF1884" w:rsidRPr="00DF1884">
              <w:rPr>
                <w:rFonts w:eastAsiaTheme="minorHAnsi" w:cs="Arial"/>
                <w:szCs w:val="20"/>
              </w:rPr>
              <w:t xml:space="preserve"> </w:t>
            </w:r>
            <w:r w:rsidRPr="00DF1884">
              <w:rPr>
                <w:rFonts w:eastAsiaTheme="minorHAnsi" w:cs="Arial"/>
                <w:szCs w:val="20"/>
              </w:rPr>
              <w:t>quality</w:t>
            </w:r>
            <w:r w:rsidR="00DF1884" w:rsidRPr="00DF1884">
              <w:rPr>
                <w:rFonts w:eastAsiaTheme="minorHAnsi" w:cs="Arial"/>
                <w:szCs w:val="20"/>
              </w:rPr>
              <w:t xml:space="preserve"> </w:t>
            </w:r>
            <w:r w:rsidRPr="00DF1884">
              <w:rPr>
                <w:rFonts w:eastAsiaTheme="minorHAnsi" w:cs="Arial"/>
                <w:szCs w:val="20"/>
              </w:rPr>
              <w:t>of</w:t>
            </w:r>
            <w:r w:rsidR="00DF1884" w:rsidRPr="00DF1884">
              <w:rPr>
                <w:rFonts w:eastAsiaTheme="minorHAnsi" w:cs="Arial"/>
                <w:szCs w:val="20"/>
              </w:rPr>
              <w:t xml:space="preserve"> </w:t>
            </w:r>
            <w:r w:rsidRPr="00DF1884">
              <w:rPr>
                <w:rFonts w:eastAsiaTheme="minorHAnsi" w:cs="Arial"/>
                <w:szCs w:val="20"/>
              </w:rPr>
              <w:t>care</w:t>
            </w:r>
            <w:r w:rsidR="00DF1884" w:rsidRPr="00DF1884">
              <w:rPr>
                <w:rFonts w:eastAsiaTheme="minorHAnsi" w:cs="Arial"/>
                <w:szCs w:val="20"/>
              </w:rPr>
              <w:t xml:space="preserve"> </w:t>
            </w:r>
            <w:r w:rsidRPr="00DF1884">
              <w:rPr>
                <w:rFonts w:eastAsiaTheme="minorHAnsi" w:cs="Arial"/>
                <w:szCs w:val="20"/>
              </w:rPr>
              <w:t>data</w:t>
            </w:r>
            <w:r w:rsidR="00DF1884" w:rsidRPr="00DF1884">
              <w:rPr>
                <w:rFonts w:eastAsiaTheme="minorHAnsi" w:cs="Arial"/>
                <w:szCs w:val="20"/>
              </w:rPr>
              <w:t xml:space="preserve"> </w:t>
            </w:r>
            <w:r w:rsidRPr="00DF1884">
              <w:rPr>
                <w:rFonts w:eastAsiaTheme="minorHAnsi" w:cs="Arial"/>
                <w:szCs w:val="20"/>
              </w:rPr>
              <w:t>to</w:t>
            </w:r>
            <w:r w:rsidR="00DF1884" w:rsidRPr="00DF1884">
              <w:rPr>
                <w:rFonts w:eastAsiaTheme="minorHAnsi" w:cs="Arial"/>
                <w:szCs w:val="20"/>
              </w:rPr>
              <w:t xml:space="preserve"> </w:t>
            </w:r>
            <w:r w:rsidRPr="00DF1884">
              <w:rPr>
                <w:rFonts w:eastAsiaTheme="minorHAnsi" w:cs="Arial"/>
                <w:szCs w:val="20"/>
              </w:rPr>
              <w:t>evaluate</w:t>
            </w:r>
            <w:r w:rsidR="00DF1884" w:rsidRPr="00DF1884">
              <w:rPr>
                <w:rFonts w:eastAsiaTheme="minorHAnsi" w:cs="Arial"/>
                <w:szCs w:val="20"/>
              </w:rPr>
              <w:t xml:space="preserve"> </w:t>
            </w:r>
            <w:r w:rsidRPr="00DF1884">
              <w:rPr>
                <w:rFonts w:eastAsiaTheme="minorHAnsi" w:cs="Arial"/>
                <w:szCs w:val="20"/>
              </w:rPr>
              <w:t>trends</w:t>
            </w:r>
            <w:r w:rsidR="00DF1884" w:rsidRPr="00DF1884">
              <w:rPr>
                <w:rFonts w:eastAsiaTheme="minorHAnsi" w:cs="Arial"/>
                <w:szCs w:val="20"/>
              </w:rPr>
              <w:t xml:space="preserve"> </w:t>
            </w:r>
            <w:r w:rsidRPr="00DF1884">
              <w:rPr>
                <w:rFonts w:eastAsiaTheme="minorHAnsi" w:cs="Arial"/>
                <w:szCs w:val="20"/>
              </w:rPr>
              <w:t>in</w:t>
            </w:r>
            <w:r w:rsidR="00DF1884" w:rsidRPr="00DF1884">
              <w:rPr>
                <w:rFonts w:eastAsiaTheme="minorHAnsi" w:cs="Arial"/>
                <w:szCs w:val="20"/>
              </w:rPr>
              <w:t xml:space="preserve"> </w:t>
            </w:r>
            <w:r w:rsidRPr="00DF1884">
              <w:rPr>
                <w:rFonts w:eastAsiaTheme="minorHAnsi" w:cs="Arial"/>
                <w:szCs w:val="20"/>
              </w:rPr>
              <w:t>patient</w:t>
            </w:r>
            <w:r w:rsidR="00DF1884" w:rsidRPr="00DF1884">
              <w:rPr>
                <w:rFonts w:eastAsiaTheme="minorHAnsi" w:cs="Arial"/>
                <w:szCs w:val="20"/>
              </w:rPr>
              <w:t xml:space="preserve"> </w:t>
            </w:r>
            <w:r w:rsidRPr="00DF1884">
              <w:rPr>
                <w:rFonts w:eastAsiaTheme="minorHAnsi" w:cs="Arial"/>
                <w:szCs w:val="20"/>
              </w:rPr>
              <w:t>care</w:t>
            </w:r>
            <w:r w:rsidR="00DF1884" w:rsidRPr="00DF1884">
              <w:rPr>
                <w:rFonts w:eastAsiaTheme="minorHAnsi" w:cs="Arial"/>
                <w:szCs w:val="20"/>
              </w:rPr>
              <w:t xml:space="preserve"> </w:t>
            </w:r>
            <w:r w:rsidRPr="00DF1884">
              <w:rPr>
                <w:rFonts w:eastAsiaTheme="minorHAnsi" w:cs="Arial"/>
                <w:szCs w:val="20"/>
              </w:rPr>
              <w:t>settings.</w:t>
            </w:r>
            <w:r w:rsidR="00DF1884" w:rsidRPr="00DF1884">
              <w:rPr>
                <w:rFonts w:eastAsiaTheme="minorHAnsi" w:cs="Arial"/>
                <w:szCs w:val="20"/>
              </w:rPr>
              <w:t xml:space="preserve"> </w:t>
            </w:r>
            <w:r w:rsidRPr="00DF1884">
              <w:rPr>
                <w:rFonts w:eastAsiaTheme="minorHAnsi" w:cs="Arial"/>
                <w:szCs w:val="20"/>
              </w:rPr>
              <w:t>Year</w:t>
            </w:r>
            <w:r w:rsidR="00DF1884" w:rsidRPr="00DF1884">
              <w:rPr>
                <w:rFonts w:eastAsiaTheme="minorHAnsi" w:cs="Arial"/>
                <w:szCs w:val="20"/>
              </w:rPr>
              <w:t xml:space="preserve"> </w:t>
            </w:r>
            <w:r w:rsidRPr="00DF1884">
              <w:rPr>
                <w:rFonts w:eastAsiaTheme="minorHAnsi" w:cs="Arial"/>
                <w:szCs w:val="20"/>
              </w:rPr>
              <w:t>to</w:t>
            </w:r>
            <w:r w:rsidR="00DF1884" w:rsidRPr="00DF1884">
              <w:rPr>
                <w:rFonts w:eastAsiaTheme="minorHAnsi" w:cs="Arial"/>
                <w:szCs w:val="20"/>
              </w:rPr>
              <w:t xml:space="preserve"> </w:t>
            </w:r>
            <w:r w:rsidRPr="00DF1884">
              <w:rPr>
                <w:rFonts w:eastAsiaTheme="minorHAnsi" w:cs="Arial"/>
                <w:szCs w:val="20"/>
              </w:rPr>
              <w:t>year</w:t>
            </w:r>
            <w:r w:rsidR="00DF1884" w:rsidRPr="00DF1884">
              <w:rPr>
                <w:rFonts w:eastAsiaTheme="minorHAnsi" w:cs="Arial"/>
                <w:szCs w:val="20"/>
              </w:rPr>
              <w:t xml:space="preserve"> </w:t>
            </w:r>
            <w:r w:rsidRPr="00DF1884">
              <w:rPr>
                <w:rFonts w:eastAsiaTheme="minorHAnsi" w:cs="Arial"/>
                <w:szCs w:val="20"/>
              </w:rPr>
              <w:t>trends</w:t>
            </w:r>
            <w:r w:rsidR="00DF1884" w:rsidRPr="00DF1884">
              <w:rPr>
                <w:rFonts w:eastAsiaTheme="minorHAnsi" w:cs="Arial"/>
                <w:szCs w:val="20"/>
              </w:rPr>
              <w:t xml:space="preserve"> </w:t>
            </w:r>
            <w:r w:rsidRPr="00DF1884">
              <w:rPr>
                <w:rFonts w:eastAsiaTheme="minorHAnsi" w:cs="Arial"/>
                <w:szCs w:val="20"/>
              </w:rPr>
              <w:t>and</w:t>
            </w:r>
            <w:r w:rsidR="00DF1884" w:rsidRPr="00DF1884">
              <w:rPr>
                <w:rFonts w:eastAsiaTheme="minorHAnsi" w:cs="Arial"/>
                <w:szCs w:val="20"/>
              </w:rPr>
              <w:t xml:space="preserve"> </w:t>
            </w:r>
            <w:r w:rsidRPr="00DF1884">
              <w:rPr>
                <w:rFonts w:eastAsiaTheme="minorHAnsi" w:cs="Arial"/>
                <w:szCs w:val="20"/>
              </w:rPr>
              <w:t>risk-adjusted</w:t>
            </w:r>
            <w:r w:rsidR="00DF1884" w:rsidRPr="00DF1884">
              <w:rPr>
                <w:rFonts w:eastAsiaTheme="minorHAnsi" w:cs="Arial"/>
                <w:szCs w:val="20"/>
              </w:rPr>
              <w:t xml:space="preserve"> </w:t>
            </w:r>
            <w:r w:rsidRPr="00DF1884">
              <w:rPr>
                <w:rFonts w:eastAsiaTheme="minorHAnsi" w:cs="Arial"/>
                <w:szCs w:val="20"/>
              </w:rPr>
              <w:t>comparisons</w:t>
            </w:r>
            <w:r w:rsidR="00DF1884" w:rsidRPr="00DF1884">
              <w:rPr>
                <w:rFonts w:eastAsiaTheme="minorHAnsi" w:cs="Arial"/>
                <w:szCs w:val="20"/>
              </w:rPr>
              <w:t xml:space="preserve"> </w:t>
            </w:r>
            <w:r w:rsidRPr="00DF1884">
              <w:rPr>
                <w:rFonts w:eastAsiaTheme="minorHAnsi" w:cs="Arial"/>
                <w:szCs w:val="20"/>
              </w:rPr>
              <w:t>between</w:t>
            </w:r>
            <w:r w:rsidR="00DF1884" w:rsidRPr="00DF1884">
              <w:rPr>
                <w:rFonts w:eastAsiaTheme="minorHAnsi" w:cs="Arial"/>
                <w:szCs w:val="20"/>
              </w:rPr>
              <w:t xml:space="preserve"> </w:t>
            </w:r>
            <w:r w:rsidRPr="00DF1884">
              <w:rPr>
                <w:rFonts w:eastAsiaTheme="minorHAnsi" w:cs="Arial"/>
                <w:szCs w:val="20"/>
              </w:rPr>
              <w:t>plans</w:t>
            </w:r>
            <w:r w:rsidR="00DF1884" w:rsidRPr="00DF1884">
              <w:rPr>
                <w:rFonts w:eastAsiaTheme="minorHAnsi" w:cs="Arial"/>
                <w:szCs w:val="20"/>
              </w:rPr>
              <w:t xml:space="preserve"> </w:t>
            </w:r>
            <w:r w:rsidRPr="00DF1884">
              <w:rPr>
                <w:rFonts w:eastAsiaTheme="minorHAnsi" w:cs="Arial"/>
                <w:szCs w:val="20"/>
              </w:rPr>
              <w:t>should</w:t>
            </w:r>
            <w:r w:rsidR="00DF1884" w:rsidRPr="00DF1884">
              <w:rPr>
                <w:rFonts w:eastAsiaTheme="minorHAnsi" w:cs="Arial"/>
                <w:szCs w:val="20"/>
              </w:rPr>
              <w:t xml:space="preserve"> </w:t>
            </w:r>
            <w:r w:rsidRPr="00DF1884">
              <w:rPr>
                <w:rFonts w:eastAsiaTheme="minorHAnsi" w:cs="Arial"/>
                <w:szCs w:val="20"/>
              </w:rPr>
              <w:t>be</w:t>
            </w:r>
            <w:r w:rsidR="00DF1884" w:rsidRPr="00DF1884">
              <w:rPr>
                <w:rFonts w:eastAsiaTheme="minorHAnsi" w:cs="Arial"/>
                <w:szCs w:val="20"/>
              </w:rPr>
              <w:t xml:space="preserve"> </w:t>
            </w:r>
            <w:r w:rsidRPr="00DF1884">
              <w:rPr>
                <w:rFonts w:eastAsiaTheme="minorHAnsi" w:cs="Arial"/>
                <w:szCs w:val="20"/>
              </w:rPr>
              <w:t>evaluated</w:t>
            </w:r>
            <w:r w:rsidR="00DF1884" w:rsidRPr="00DF1884">
              <w:rPr>
                <w:rFonts w:eastAsiaTheme="minorHAnsi" w:cs="Arial"/>
                <w:szCs w:val="20"/>
              </w:rPr>
              <w:t xml:space="preserve"> </w:t>
            </w:r>
            <w:r w:rsidRPr="00DF1884">
              <w:rPr>
                <w:rFonts w:eastAsiaTheme="minorHAnsi" w:cs="Arial"/>
                <w:szCs w:val="20"/>
              </w:rPr>
              <w:t>rather</w:t>
            </w:r>
            <w:r w:rsidR="00DF1884" w:rsidRPr="00DF1884">
              <w:rPr>
                <w:rFonts w:eastAsiaTheme="minorHAnsi" w:cs="Arial"/>
                <w:szCs w:val="20"/>
              </w:rPr>
              <w:t xml:space="preserve"> </w:t>
            </w:r>
            <w:r w:rsidRPr="00DF1884">
              <w:rPr>
                <w:rFonts w:eastAsiaTheme="minorHAnsi" w:cs="Arial"/>
                <w:szCs w:val="20"/>
              </w:rPr>
              <w:t>than</w:t>
            </w:r>
            <w:r w:rsidR="00DF1884" w:rsidRPr="00DF1884">
              <w:rPr>
                <w:rFonts w:eastAsiaTheme="minorHAnsi" w:cs="Arial"/>
                <w:szCs w:val="20"/>
              </w:rPr>
              <w:t xml:space="preserve"> </w:t>
            </w:r>
            <w:r w:rsidRPr="00DF1884">
              <w:rPr>
                <w:rFonts w:eastAsiaTheme="minorHAnsi" w:cs="Arial"/>
                <w:szCs w:val="20"/>
              </w:rPr>
              <w:t>a</w:t>
            </w:r>
            <w:r w:rsidR="00DF1884" w:rsidRPr="00DF1884">
              <w:rPr>
                <w:rFonts w:eastAsiaTheme="minorHAnsi" w:cs="Arial"/>
                <w:szCs w:val="20"/>
              </w:rPr>
              <w:t xml:space="preserve"> </w:t>
            </w:r>
            <w:r w:rsidRPr="00DF1884">
              <w:rPr>
                <w:rFonts w:eastAsiaTheme="minorHAnsi" w:cs="Arial"/>
                <w:szCs w:val="20"/>
              </w:rPr>
              <w:t>cross-sectional</w:t>
            </w:r>
            <w:r w:rsidR="00DF1884" w:rsidRPr="00DF1884">
              <w:rPr>
                <w:rFonts w:eastAsiaTheme="minorHAnsi" w:cs="Arial"/>
                <w:szCs w:val="20"/>
              </w:rPr>
              <w:t xml:space="preserve"> </w:t>
            </w:r>
            <w:r w:rsidRPr="00DF1884">
              <w:rPr>
                <w:rFonts w:eastAsiaTheme="minorHAnsi" w:cs="Arial"/>
                <w:szCs w:val="20"/>
              </w:rPr>
              <w:t>observed</w:t>
            </w:r>
            <w:r w:rsidR="00DF1884" w:rsidRPr="00DF1884">
              <w:rPr>
                <w:rFonts w:eastAsiaTheme="minorHAnsi" w:cs="Arial"/>
                <w:szCs w:val="20"/>
              </w:rPr>
              <w:t xml:space="preserve"> </w:t>
            </w:r>
            <w:r w:rsidRPr="00DF1884">
              <w:rPr>
                <w:rFonts w:eastAsiaTheme="minorHAnsi" w:cs="Arial"/>
                <w:szCs w:val="20"/>
              </w:rPr>
              <w:t>rate.</w:t>
            </w:r>
          </w:p>
        </w:tc>
      </w:tr>
      <w:tr w:rsidR="00DF1884" w:rsidRPr="00DF1884" w14:paraId="011A7A86" w14:textId="77777777" w:rsidTr="00887F28">
        <w:tc>
          <w:tcPr>
            <w:tcW w:w="1956" w:type="dxa"/>
            <w:tcBorders>
              <w:top w:val="nil"/>
              <w:left w:val="nil"/>
              <w:bottom w:val="nil"/>
              <w:right w:val="nil"/>
            </w:tcBorders>
            <w:tcMar>
              <w:left w:w="115" w:type="dxa"/>
              <w:right w:w="115" w:type="dxa"/>
            </w:tcMar>
          </w:tcPr>
          <w:p w14:paraId="26D4FB8D" w14:textId="77777777" w:rsidR="00DF0A7F" w:rsidRPr="00DF1884" w:rsidRDefault="00DF0A7F" w:rsidP="00AA4CD6">
            <w:pPr>
              <w:pStyle w:val="MarginSubhead"/>
            </w:pPr>
            <w:r w:rsidRPr="00DF1884">
              <w:t>Validity</w:t>
            </w:r>
          </w:p>
        </w:tc>
        <w:tc>
          <w:tcPr>
            <w:tcW w:w="7895" w:type="dxa"/>
            <w:tcBorders>
              <w:top w:val="nil"/>
              <w:left w:val="nil"/>
              <w:bottom w:val="nil"/>
              <w:right w:val="nil"/>
            </w:tcBorders>
            <w:tcMar>
              <w:left w:w="115" w:type="dxa"/>
              <w:right w:w="115" w:type="dxa"/>
            </w:tcMar>
          </w:tcPr>
          <w:p w14:paraId="53C32976" w14:textId="208D713B" w:rsidR="00DF0A7F" w:rsidRPr="00DF1884" w:rsidRDefault="00DF0A7F" w:rsidP="00AA4CD6">
            <w:pPr>
              <w:pStyle w:val="Body"/>
            </w:pPr>
            <w:r w:rsidRPr="00DF1884">
              <w:t>This</w:t>
            </w:r>
            <w:r w:rsidR="00DF1884" w:rsidRPr="00DF1884">
              <w:t xml:space="preserve"> </w:t>
            </w:r>
            <w:r w:rsidRPr="00DF1884">
              <w:t>measure</w:t>
            </w:r>
            <w:r w:rsidR="00DF1884" w:rsidRPr="00DF1884">
              <w:t xml:space="preserve"> </w:t>
            </w:r>
            <w:r w:rsidRPr="00DF1884">
              <w:t>has</w:t>
            </w:r>
            <w:r w:rsidR="00DF1884" w:rsidRPr="00DF1884">
              <w:t xml:space="preserve"> </w:t>
            </w:r>
            <w:r w:rsidRPr="00DF1884">
              <w:t>detailed,</w:t>
            </w:r>
            <w:r w:rsidR="00DF1884" w:rsidRPr="00DF1884">
              <w:t xml:space="preserve"> </w:t>
            </w:r>
            <w:r w:rsidRPr="00DF1884">
              <w:t>precise</w:t>
            </w:r>
            <w:r w:rsidR="00DF1884" w:rsidRPr="00DF1884">
              <w:t xml:space="preserve"> </w:t>
            </w:r>
            <w:r w:rsidRPr="00DF1884">
              <w:t>specifications</w:t>
            </w:r>
            <w:r w:rsidR="00DF1884" w:rsidRPr="00DF1884">
              <w:t xml:space="preserve"> </w:t>
            </w:r>
            <w:r w:rsidRPr="00DF1884">
              <w:t>that</w:t>
            </w:r>
            <w:r w:rsidR="00DF1884" w:rsidRPr="00DF1884">
              <w:t xml:space="preserve"> </w:t>
            </w:r>
            <w:r w:rsidRPr="00DF1884">
              <w:t>clearly</w:t>
            </w:r>
            <w:r w:rsidR="00DF1884" w:rsidRPr="00DF1884">
              <w:t xml:space="preserve"> </w:t>
            </w:r>
            <w:r w:rsidRPr="00DF1884">
              <w:t>define</w:t>
            </w:r>
            <w:r w:rsidR="00DF1884" w:rsidRPr="00DF1884">
              <w:t xml:space="preserve"> </w:t>
            </w:r>
            <w:r w:rsidRPr="00DF1884">
              <w:t>the</w:t>
            </w:r>
            <w:r w:rsidR="00DF1884" w:rsidRPr="00DF1884">
              <w:t xml:space="preserve"> </w:t>
            </w:r>
            <w:r w:rsidRPr="00DF1884">
              <w:t>numerator,</w:t>
            </w:r>
            <w:r w:rsidR="00DF1884" w:rsidRPr="00DF1884">
              <w:t xml:space="preserve"> </w:t>
            </w:r>
            <w:r w:rsidRPr="00DF1884">
              <w:t>denominator,</w:t>
            </w:r>
            <w:r w:rsidR="00DF1884" w:rsidRPr="00DF1884">
              <w:t xml:space="preserve"> </w:t>
            </w:r>
            <w:r w:rsidRPr="00DF1884">
              <w:t>data</w:t>
            </w:r>
            <w:r w:rsidR="00DF1884" w:rsidRPr="00DF1884">
              <w:t xml:space="preserve"> </w:t>
            </w:r>
            <w:r w:rsidRPr="00DF1884">
              <w:t>sources,</w:t>
            </w:r>
            <w:r w:rsidR="00DF1884" w:rsidRPr="00DF1884">
              <w:t xml:space="preserve"> </w:t>
            </w:r>
            <w:r w:rsidRPr="00DF1884">
              <w:t>allowable</w:t>
            </w:r>
            <w:r w:rsidR="00DF1884" w:rsidRPr="00DF1884">
              <w:t xml:space="preserve"> </w:t>
            </w:r>
            <w:r w:rsidRPr="00DF1884">
              <w:t>values,</w:t>
            </w:r>
            <w:r w:rsidR="00DF1884" w:rsidRPr="00DF1884">
              <w:t xml:space="preserve"> </w:t>
            </w:r>
            <w:r w:rsidRPr="00DF1884">
              <w:t>methods</w:t>
            </w:r>
            <w:r w:rsidR="00DF1884" w:rsidRPr="00DF1884">
              <w:t xml:space="preserve"> </w:t>
            </w:r>
            <w:r w:rsidRPr="00DF1884">
              <w:t>of</w:t>
            </w:r>
            <w:r w:rsidR="00DF1884" w:rsidRPr="00DF1884">
              <w:t xml:space="preserve"> </w:t>
            </w:r>
            <w:r w:rsidRPr="00DF1884">
              <w:t>measurement</w:t>
            </w:r>
            <w:r w:rsidR="00DF1884" w:rsidRPr="00DF1884">
              <w:t xml:space="preserve"> </w:t>
            </w:r>
            <w:r w:rsidRPr="00DF1884">
              <w:t>and</w:t>
            </w:r>
            <w:r w:rsidR="00DF1884" w:rsidRPr="00DF1884">
              <w:t xml:space="preserve"> </w:t>
            </w:r>
            <w:r w:rsidRPr="00DF1884">
              <w:t>method</w:t>
            </w:r>
            <w:r w:rsidR="00DF1884" w:rsidRPr="00DF1884">
              <w:t xml:space="preserve"> </w:t>
            </w:r>
            <w:r w:rsidRPr="00DF1884">
              <w:t>of</w:t>
            </w:r>
            <w:r w:rsidR="00DF1884" w:rsidRPr="00DF1884">
              <w:t xml:space="preserve"> </w:t>
            </w:r>
            <w:r w:rsidRPr="00DF1884">
              <w:t>reporting.</w:t>
            </w:r>
          </w:p>
        </w:tc>
      </w:tr>
    </w:tbl>
    <w:p w14:paraId="6FDB144F" w14:textId="77777777" w:rsidR="00DF0A7F" w:rsidRPr="00DF1884" w:rsidRDefault="00DF0A7F" w:rsidP="00DF0A7F">
      <w:pPr>
        <w:pStyle w:val="StdHead"/>
      </w:pPr>
      <w:r w:rsidRPr="00DF1884">
        <w:t>Feasibility</w:t>
      </w:r>
    </w:p>
    <w:tbl>
      <w:tblPr>
        <w:tblW w:w="0" w:type="auto"/>
        <w:tblInd w:w="-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1956"/>
        <w:gridCol w:w="7985"/>
      </w:tblGrid>
      <w:tr w:rsidR="00DF0A7F" w:rsidRPr="00DF1884" w14:paraId="21563AA7" w14:textId="77777777" w:rsidTr="00AA4CD6">
        <w:tc>
          <w:tcPr>
            <w:tcW w:w="1956" w:type="dxa"/>
            <w:tcBorders>
              <w:top w:val="nil"/>
              <w:left w:val="nil"/>
              <w:bottom w:val="nil"/>
              <w:right w:val="nil"/>
            </w:tcBorders>
            <w:tcMar>
              <w:left w:w="115" w:type="dxa"/>
              <w:right w:w="115" w:type="dxa"/>
            </w:tcMar>
          </w:tcPr>
          <w:p w14:paraId="42A70C4B" w14:textId="70E24154" w:rsidR="00DF0A7F" w:rsidRPr="00DF1884" w:rsidRDefault="00DF0A7F" w:rsidP="00AA4CD6">
            <w:pPr>
              <w:pStyle w:val="MarginSubhead"/>
            </w:pPr>
            <w:r w:rsidRPr="00DF1884">
              <w:t>Logistically</w:t>
            </w:r>
            <w:r w:rsidR="00DF1884" w:rsidRPr="00DF1884">
              <w:t xml:space="preserve"> </w:t>
            </w:r>
            <w:r w:rsidRPr="00DF1884">
              <w:t>feasible</w:t>
            </w:r>
          </w:p>
        </w:tc>
        <w:tc>
          <w:tcPr>
            <w:tcW w:w="7985" w:type="dxa"/>
            <w:tcBorders>
              <w:top w:val="nil"/>
              <w:left w:val="nil"/>
              <w:bottom w:val="nil"/>
              <w:right w:val="nil"/>
            </w:tcBorders>
            <w:tcMar>
              <w:left w:w="115" w:type="dxa"/>
              <w:right w:w="115" w:type="dxa"/>
            </w:tcMar>
          </w:tcPr>
          <w:p w14:paraId="1D8F665A" w14:textId="7C7227B3" w:rsidR="00DF0A7F" w:rsidRPr="00DF1884" w:rsidRDefault="00DF0A7F" w:rsidP="00AA4CD6">
            <w:pPr>
              <w:pStyle w:val="Body"/>
            </w:pPr>
            <w:r w:rsidRPr="00DF1884">
              <w:t>Feedback</w:t>
            </w:r>
            <w:r w:rsidR="00DF1884" w:rsidRPr="00DF1884">
              <w:t xml:space="preserve"> </w:t>
            </w:r>
            <w:r w:rsidRPr="00DF1884">
              <w:t>from</w:t>
            </w:r>
            <w:r w:rsidR="00DF1884" w:rsidRPr="00DF1884">
              <w:t xml:space="preserve"> </w:t>
            </w:r>
            <w:r w:rsidRPr="00DF1884">
              <w:t>plans</w:t>
            </w:r>
            <w:r w:rsidR="00DF1884" w:rsidRPr="00DF1884">
              <w:t xml:space="preserve"> </w:t>
            </w:r>
            <w:r w:rsidRPr="00DF1884">
              <w:t>and</w:t>
            </w:r>
            <w:r w:rsidR="00DF1884" w:rsidRPr="00DF1884">
              <w:t xml:space="preserve"> </w:t>
            </w:r>
            <w:r w:rsidRPr="00DF1884">
              <w:t>NCQA</w:t>
            </w:r>
            <w:r w:rsidR="00DF1884" w:rsidRPr="00DF1884">
              <w:t xml:space="preserve"> </w:t>
            </w:r>
            <w:r w:rsidRPr="00DF1884">
              <w:t>panels</w:t>
            </w:r>
            <w:r w:rsidR="00DF1884" w:rsidRPr="00DF1884">
              <w:t xml:space="preserve"> </w:t>
            </w:r>
            <w:r w:rsidRPr="00DF1884">
              <w:t>support</w:t>
            </w:r>
            <w:r w:rsidR="00DF1884" w:rsidRPr="00DF1884">
              <w:t xml:space="preserve"> </w:t>
            </w:r>
            <w:r w:rsidRPr="00DF1884">
              <w:t>the</w:t>
            </w:r>
            <w:r w:rsidR="00DF1884" w:rsidRPr="00DF1884">
              <w:t xml:space="preserve"> </w:t>
            </w:r>
            <w:r w:rsidRPr="00DF1884">
              <w:t>logistic</w:t>
            </w:r>
            <w:r w:rsidR="00DF1884" w:rsidRPr="00DF1884">
              <w:t xml:space="preserve"> </w:t>
            </w:r>
            <w:r w:rsidRPr="00DF1884">
              <w:t>feasibility</w:t>
            </w:r>
            <w:r w:rsidR="00DF1884" w:rsidRPr="00DF1884">
              <w:t xml:space="preserve"> </w:t>
            </w:r>
            <w:r w:rsidRPr="00DF1884">
              <w:t>of</w:t>
            </w:r>
            <w:r w:rsidR="00DF1884" w:rsidRPr="00DF1884">
              <w:t xml:space="preserve"> </w:t>
            </w:r>
            <w:r w:rsidRPr="00DF1884">
              <w:t>this</w:t>
            </w:r>
            <w:r w:rsidR="00DF1884" w:rsidRPr="00DF1884">
              <w:t xml:space="preserve"> </w:t>
            </w:r>
            <w:r w:rsidRPr="00DF1884">
              <w:t>measure.</w:t>
            </w:r>
            <w:r w:rsidR="00DF1884" w:rsidRPr="00DF1884">
              <w:t xml:space="preserve"> </w:t>
            </w:r>
            <w:r w:rsidRPr="00DF1884">
              <w:t>In</w:t>
            </w:r>
            <w:r w:rsidR="00DF1884" w:rsidRPr="00DF1884">
              <w:t xml:space="preserve"> </w:t>
            </w:r>
            <w:r w:rsidRPr="00DF1884">
              <w:t>general,</w:t>
            </w:r>
            <w:r w:rsidR="00DF1884" w:rsidRPr="00DF1884">
              <w:t xml:space="preserve"> </w:t>
            </w:r>
            <w:r w:rsidRPr="00DF1884">
              <w:t>claims</w:t>
            </w:r>
            <w:r w:rsidR="00DF1884" w:rsidRPr="00DF1884">
              <w:t xml:space="preserve"> </w:t>
            </w:r>
            <w:r w:rsidRPr="00DF1884">
              <w:t>and</w:t>
            </w:r>
            <w:r w:rsidR="00DF1884" w:rsidRPr="00DF1884">
              <w:t xml:space="preserve"> </w:t>
            </w:r>
            <w:r w:rsidRPr="00DF1884">
              <w:t>encounter</w:t>
            </w:r>
            <w:r w:rsidR="00DF1884" w:rsidRPr="00DF1884">
              <w:t xml:space="preserve"> </w:t>
            </w:r>
            <w:r w:rsidRPr="00DF1884">
              <w:t>data</w:t>
            </w:r>
            <w:r w:rsidR="00DF1884" w:rsidRPr="00DF1884">
              <w:t xml:space="preserve"> </w:t>
            </w:r>
            <w:r w:rsidRPr="00DF1884">
              <w:t>required</w:t>
            </w:r>
            <w:r w:rsidR="00DF1884" w:rsidRPr="00DF1884">
              <w:t xml:space="preserve"> </w:t>
            </w:r>
            <w:r w:rsidRPr="00DF1884">
              <w:t>for</w:t>
            </w:r>
            <w:r w:rsidR="00DF1884" w:rsidRPr="00DF1884">
              <w:t xml:space="preserve"> </w:t>
            </w:r>
            <w:r w:rsidRPr="00DF1884">
              <w:t>this</w:t>
            </w:r>
            <w:r w:rsidR="00DF1884" w:rsidRPr="00DF1884">
              <w:t xml:space="preserve"> </w:t>
            </w:r>
            <w:r w:rsidRPr="00DF1884">
              <w:t>measure</w:t>
            </w:r>
            <w:r w:rsidR="00DF1884" w:rsidRPr="00DF1884">
              <w:t xml:space="preserve"> </w:t>
            </w:r>
            <w:r w:rsidRPr="00DF1884">
              <w:t>should</w:t>
            </w:r>
            <w:r w:rsidR="00DF1884" w:rsidRPr="00DF1884">
              <w:t xml:space="preserve"> </w:t>
            </w:r>
            <w:r w:rsidRPr="00DF1884">
              <w:t>be</w:t>
            </w:r>
            <w:r w:rsidR="00DF1884" w:rsidRPr="00DF1884">
              <w:t xml:space="preserve"> </w:t>
            </w:r>
            <w:r w:rsidRPr="00DF1884">
              <w:t>available</w:t>
            </w:r>
            <w:r w:rsidR="00DF1884" w:rsidRPr="00DF1884">
              <w:t xml:space="preserve"> </w:t>
            </w:r>
            <w:r w:rsidRPr="00DF1884">
              <w:t>to</w:t>
            </w:r>
            <w:r w:rsidR="00DF1884" w:rsidRPr="00DF1884">
              <w:t xml:space="preserve"> </w:t>
            </w:r>
            <w:r w:rsidRPr="00DF1884">
              <w:t>health</w:t>
            </w:r>
            <w:r w:rsidR="00DF1884" w:rsidRPr="00DF1884">
              <w:t xml:space="preserve"> </w:t>
            </w:r>
            <w:r w:rsidRPr="00DF1884">
              <w:t>plans.</w:t>
            </w:r>
          </w:p>
        </w:tc>
      </w:tr>
      <w:tr w:rsidR="00DF0A7F" w:rsidRPr="00DF1884" w14:paraId="10B018EF" w14:textId="77777777" w:rsidTr="00AA4CD6">
        <w:tc>
          <w:tcPr>
            <w:tcW w:w="1956" w:type="dxa"/>
            <w:tcBorders>
              <w:top w:val="nil"/>
              <w:left w:val="nil"/>
              <w:bottom w:val="nil"/>
              <w:right w:val="nil"/>
            </w:tcBorders>
            <w:tcMar>
              <w:left w:w="115" w:type="dxa"/>
              <w:right w:w="115" w:type="dxa"/>
            </w:tcMar>
          </w:tcPr>
          <w:p w14:paraId="0414D5BD" w14:textId="77777777" w:rsidR="00DF0A7F" w:rsidRPr="00DF1884" w:rsidRDefault="00DF0A7F" w:rsidP="00AA4CD6">
            <w:pPr>
              <w:pStyle w:val="MarginSubhead"/>
            </w:pPr>
            <w:r w:rsidRPr="00DF1884">
              <w:t>Auditable</w:t>
            </w:r>
          </w:p>
        </w:tc>
        <w:tc>
          <w:tcPr>
            <w:tcW w:w="7985" w:type="dxa"/>
            <w:tcBorders>
              <w:top w:val="nil"/>
              <w:left w:val="nil"/>
              <w:bottom w:val="nil"/>
              <w:right w:val="nil"/>
            </w:tcBorders>
            <w:tcMar>
              <w:left w:w="115" w:type="dxa"/>
              <w:right w:w="115" w:type="dxa"/>
            </w:tcMar>
          </w:tcPr>
          <w:p w14:paraId="2E586890" w14:textId="4955B294" w:rsidR="00DF0A7F" w:rsidRPr="00DF1884" w:rsidRDefault="00DF0A7F" w:rsidP="00AA4CD6">
            <w:pPr>
              <w:pStyle w:val="Body"/>
            </w:pPr>
            <w:r w:rsidRPr="00DF1884">
              <w:t>This</w:t>
            </w:r>
            <w:r w:rsidR="00DF1884" w:rsidRPr="00DF1884">
              <w:t xml:space="preserve"> </w:t>
            </w:r>
            <w:r w:rsidRPr="00DF1884">
              <w:t>measure</w:t>
            </w:r>
            <w:r w:rsidR="00DF1884" w:rsidRPr="00DF1884">
              <w:t xml:space="preserve"> </w:t>
            </w:r>
            <w:r w:rsidRPr="00DF1884">
              <w:t>has</w:t>
            </w:r>
            <w:r w:rsidR="00DF1884" w:rsidRPr="00DF1884">
              <w:t xml:space="preserve"> </w:t>
            </w:r>
            <w:r w:rsidRPr="00DF1884">
              <w:t>been</w:t>
            </w:r>
            <w:r w:rsidR="00DF1884" w:rsidRPr="00DF1884">
              <w:t xml:space="preserve"> </w:t>
            </w:r>
            <w:r w:rsidRPr="00DF1884">
              <w:t>reviewed</w:t>
            </w:r>
            <w:r w:rsidR="00DF1884" w:rsidRPr="00DF1884">
              <w:t xml:space="preserve"> </w:t>
            </w:r>
            <w:r w:rsidRPr="00DF1884">
              <w:t>by</w:t>
            </w:r>
            <w:r w:rsidR="00DF1884" w:rsidRPr="00DF1884">
              <w:t xml:space="preserve"> </w:t>
            </w:r>
            <w:r w:rsidRPr="00DF1884">
              <w:t>NCQA’s</w:t>
            </w:r>
            <w:r w:rsidR="00DF1884" w:rsidRPr="00DF1884">
              <w:t xml:space="preserve"> </w:t>
            </w:r>
            <w:r w:rsidRPr="00DF1884">
              <w:t>internal</w:t>
            </w:r>
            <w:r w:rsidR="00DF1884" w:rsidRPr="00DF1884">
              <w:t xml:space="preserve"> </w:t>
            </w:r>
            <w:r w:rsidRPr="00DF1884">
              <w:t>HEDIS</w:t>
            </w:r>
            <w:r w:rsidR="00DF1884" w:rsidRPr="00DF1884">
              <w:t xml:space="preserve"> </w:t>
            </w:r>
            <w:r w:rsidRPr="00DF1884">
              <w:t>Measure</w:t>
            </w:r>
            <w:r w:rsidR="00DF1884" w:rsidRPr="00DF1884">
              <w:t xml:space="preserve"> </w:t>
            </w:r>
            <w:r w:rsidRPr="00DF1884">
              <w:t>Validation</w:t>
            </w:r>
            <w:r w:rsidR="00DF1884" w:rsidRPr="00DF1884">
              <w:t xml:space="preserve"> </w:t>
            </w:r>
            <w:r w:rsidRPr="00DF1884">
              <w:t>staff</w:t>
            </w:r>
            <w:r w:rsidR="00DF1884" w:rsidRPr="00DF1884">
              <w:t xml:space="preserve"> </w:t>
            </w:r>
            <w:r w:rsidRPr="00DF1884">
              <w:t>and</w:t>
            </w:r>
            <w:r w:rsidR="00DF1884" w:rsidRPr="00DF1884">
              <w:t xml:space="preserve"> </w:t>
            </w:r>
            <w:r w:rsidRPr="00DF1884">
              <w:t>found</w:t>
            </w:r>
            <w:r w:rsidR="00DF1884" w:rsidRPr="00DF1884">
              <w:t xml:space="preserve"> </w:t>
            </w:r>
            <w:r w:rsidRPr="00DF1884">
              <w:t>to</w:t>
            </w:r>
            <w:r w:rsidR="00DF1884" w:rsidRPr="00DF1884">
              <w:t xml:space="preserve"> </w:t>
            </w:r>
            <w:r w:rsidRPr="00DF1884">
              <w:t>be</w:t>
            </w:r>
            <w:r w:rsidR="00DF1884" w:rsidRPr="00DF1884">
              <w:t xml:space="preserve"> </w:t>
            </w:r>
            <w:r w:rsidRPr="00DF1884">
              <w:t>auditable.</w:t>
            </w:r>
          </w:p>
        </w:tc>
      </w:tr>
    </w:tbl>
    <w:p w14:paraId="712F45C1" w14:textId="77777777" w:rsidR="00887F28" w:rsidRPr="00DF1884" w:rsidRDefault="00887F28" w:rsidP="00887F28">
      <w:pPr>
        <w:sectPr w:rsidR="00887F28" w:rsidRPr="00DF1884" w:rsidSect="0039781B">
          <w:pgSz w:w="12240" w:h="15840" w:code="1"/>
          <w:pgMar w:top="1080" w:right="1080" w:bottom="1080" w:left="1440" w:header="720" w:footer="720" w:gutter="0"/>
          <w:cols w:space="720"/>
        </w:sectPr>
      </w:pPr>
    </w:p>
    <w:p w14:paraId="43CF9348" w14:textId="649B17DA" w:rsidR="00DF0A7F" w:rsidRPr="00DF1884" w:rsidRDefault="00DF0A7F" w:rsidP="00DF0A7F">
      <w:pPr>
        <w:keepNext/>
        <w:spacing w:after="60"/>
        <w:jc w:val="center"/>
        <w:outlineLvl w:val="0"/>
        <w:rPr>
          <w:rFonts w:cs="Arial"/>
          <w:b/>
          <w:i/>
          <w:sz w:val="28"/>
          <w:szCs w:val="28"/>
        </w:rPr>
      </w:pPr>
      <w:r w:rsidRPr="00DF1884">
        <w:rPr>
          <w:rFonts w:cs="Arial"/>
          <w:b/>
          <w:i/>
          <w:sz w:val="28"/>
          <w:szCs w:val="28"/>
        </w:rPr>
        <w:lastRenderedPageBreak/>
        <w:t>Emergency</w:t>
      </w:r>
      <w:r w:rsidR="00DF1884" w:rsidRPr="00DF1884">
        <w:rPr>
          <w:rFonts w:cs="Arial"/>
          <w:b/>
          <w:i/>
          <w:sz w:val="28"/>
          <w:szCs w:val="28"/>
        </w:rPr>
        <w:t xml:space="preserve"> </w:t>
      </w:r>
      <w:r w:rsidRPr="00DF1884">
        <w:rPr>
          <w:rFonts w:cs="Arial"/>
          <w:b/>
          <w:i/>
          <w:sz w:val="28"/>
          <w:szCs w:val="28"/>
        </w:rPr>
        <w:t>Department</w:t>
      </w:r>
      <w:r w:rsidR="00DF1884" w:rsidRPr="00DF1884">
        <w:rPr>
          <w:rFonts w:cs="Arial"/>
          <w:b/>
          <w:i/>
          <w:sz w:val="28"/>
          <w:szCs w:val="28"/>
        </w:rPr>
        <w:t xml:space="preserve"> </w:t>
      </w:r>
      <w:r w:rsidRPr="00DF1884">
        <w:rPr>
          <w:rFonts w:cs="Arial"/>
          <w:b/>
          <w:i/>
          <w:sz w:val="28"/>
          <w:szCs w:val="28"/>
        </w:rPr>
        <w:t>Utilization</w:t>
      </w:r>
      <w:r w:rsidR="00DF1884" w:rsidRPr="00DF1884">
        <w:rPr>
          <w:rFonts w:cs="Arial"/>
          <w:b/>
          <w:i/>
          <w:sz w:val="28"/>
          <w:szCs w:val="28"/>
        </w:rPr>
        <w:t xml:space="preserve"> </w:t>
      </w:r>
      <w:r w:rsidRPr="00DF1884">
        <w:rPr>
          <w:rFonts w:cs="Arial"/>
          <w:b/>
          <w:i/>
          <w:sz w:val="28"/>
          <w:szCs w:val="28"/>
        </w:rPr>
        <w:t>(EDU)</w:t>
      </w:r>
    </w:p>
    <w:p w14:paraId="0D521BA2" w14:textId="77777777" w:rsidR="00DF0A7F" w:rsidRPr="00DF1884" w:rsidRDefault="00DF0A7F" w:rsidP="00DF0A7F">
      <w:pPr>
        <w:pStyle w:val="StdHead"/>
      </w:pPr>
      <w:r w:rsidRPr="00DF1884">
        <w:t>Description</w:t>
      </w:r>
    </w:p>
    <w:p w14:paraId="64FBF5B4" w14:textId="77777777" w:rsidR="002978B6" w:rsidRDefault="002978B6" w:rsidP="002978B6">
      <w:pPr>
        <w:pStyle w:val="Body"/>
      </w:pPr>
      <w:r>
        <w:t>For members 18 years of age and older, the risk-a</w:t>
      </w:r>
      <w:r w:rsidRPr="0043735A">
        <w:t>djusted ratio of observed to expected emergency department (ED) visits during the measurement year.</w:t>
      </w:r>
      <w:r>
        <w:t xml:space="preserve"> </w:t>
      </w:r>
    </w:p>
    <w:p w14:paraId="0996A5CD" w14:textId="77777777" w:rsidR="00DF0A7F" w:rsidRPr="00DF1884" w:rsidRDefault="00DF0A7F" w:rsidP="00DF0A7F">
      <w:pPr>
        <w:pStyle w:val="StdHead"/>
      </w:pPr>
      <w:r w:rsidRPr="00DF1884">
        <w:t>Background</w:t>
      </w:r>
      <w:r w:rsidRPr="00DF1884">
        <w:tab/>
      </w:r>
    </w:p>
    <w:p w14:paraId="73636C4E" w14:textId="28840A50" w:rsidR="00DF0A7F" w:rsidRPr="00DF1884" w:rsidRDefault="00DF0A7F" w:rsidP="00DF0A7F">
      <w:pPr>
        <w:pStyle w:val="Body"/>
        <w:rPr>
          <w:szCs w:val="20"/>
        </w:rPr>
      </w:pPr>
      <w:r w:rsidRPr="00DF1884">
        <w:rPr>
          <w:szCs w:val="20"/>
        </w:rPr>
        <w:t>NCQA</w:t>
      </w:r>
      <w:r w:rsidR="00DF1884" w:rsidRPr="00DF1884">
        <w:rPr>
          <w:szCs w:val="20"/>
        </w:rPr>
        <w:t xml:space="preserve"> </w:t>
      </w:r>
      <w:r w:rsidRPr="00DF1884">
        <w:rPr>
          <w:szCs w:val="20"/>
        </w:rPr>
        <w:t>investigated</w:t>
      </w:r>
      <w:r w:rsidR="00DF1884" w:rsidRPr="00DF1884">
        <w:rPr>
          <w:szCs w:val="20"/>
        </w:rPr>
        <w:t xml:space="preserve"> </w:t>
      </w:r>
      <w:r w:rsidRPr="00DF1884">
        <w:rPr>
          <w:szCs w:val="20"/>
        </w:rPr>
        <w:t>the</w:t>
      </w:r>
      <w:r w:rsidR="00DF1884" w:rsidRPr="00DF1884">
        <w:rPr>
          <w:szCs w:val="20"/>
        </w:rPr>
        <w:t xml:space="preserve"> </w:t>
      </w:r>
      <w:r w:rsidRPr="00DF1884">
        <w:rPr>
          <w:szCs w:val="20"/>
        </w:rPr>
        <w:t>appropriateness</w:t>
      </w:r>
      <w:r w:rsidR="00DF1884" w:rsidRPr="00DF1884">
        <w:rPr>
          <w:szCs w:val="20"/>
        </w:rPr>
        <w:t xml:space="preserve"> </w:t>
      </w:r>
      <w:r w:rsidRPr="00DF1884">
        <w:rPr>
          <w:szCs w:val="20"/>
        </w:rPr>
        <w:t>of</w:t>
      </w:r>
      <w:r w:rsidR="00DF1884" w:rsidRPr="00DF1884">
        <w:rPr>
          <w:szCs w:val="20"/>
        </w:rPr>
        <w:t xml:space="preserve"> </w:t>
      </w:r>
      <w:r w:rsidRPr="00DF1884">
        <w:rPr>
          <w:szCs w:val="20"/>
        </w:rPr>
        <w:t>developing</w:t>
      </w:r>
      <w:r w:rsidR="00DF1884" w:rsidRPr="00DF1884">
        <w:rPr>
          <w:szCs w:val="20"/>
        </w:rPr>
        <w:t xml:space="preserve"> </w:t>
      </w:r>
      <w:r w:rsidRPr="00DF1884">
        <w:rPr>
          <w:szCs w:val="20"/>
        </w:rPr>
        <w:t>this</w:t>
      </w:r>
      <w:r w:rsidR="00DF1884" w:rsidRPr="00DF1884">
        <w:rPr>
          <w:szCs w:val="20"/>
        </w:rPr>
        <w:t xml:space="preserve"> </w:t>
      </w:r>
      <w:r w:rsidRPr="00DF1884">
        <w:rPr>
          <w:szCs w:val="20"/>
        </w:rPr>
        <w:t>risk</w:t>
      </w:r>
      <w:r w:rsidR="00DF1884" w:rsidRPr="00DF1884">
        <w:rPr>
          <w:szCs w:val="20"/>
        </w:rPr>
        <w:t xml:space="preserve"> </w:t>
      </w:r>
      <w:r w:rsidRPr="00DF1884">
        <w:rPr>
          <w:szCs w:val="20"/>
        </w:rPr>
        <w:t>adjusted</w:t>
      </w:r>
      <w:r w:rsidR="00DF1884" w:rsidRPr="00DF1884">
        <w:rPr>
          <w:szCs w:val="20"/>
        </w:rPr>
        <w:t xml:space="preserve"> </w:t>
      </w:r>
      <w:r w:rsidRPr="00DF1884">
        <w:rPr>
          <w:szCs w:val="20"/>
        </w:rPr>
        <w:t>HEDIS</w:t>
      </w:r>
      <w:r w:rsidR="00DF1884" w:rsidRPr="00DF1884">
        <w:rPr>
          <w:szCs w:val="20"/>
        </w:rPr>
        <w:t xml:space="preserve"> </w:t>
      </w:r>
      <w:r w:rsidRPr="00DF1884">
        <w:rPr>
          <w:szCs w:val="20"/>
        </w:rPr>
        <w:t>measure</w:t>
      </w:r>
      <w:r w:rsidR="00DF1884" w:rsidRPr="00DF1884">
        <w:rPr>
          <w:szCs w:val="20"/>
        </w:rPr>
        <w:t xml:space="preserve"> </w:t>
      </w:r>
      <w:r w:rsidRPr="00DF1884">
        <w:rPr>
          <w:szCs w:val="20"/>
        </w:rPr>
        <w:t>by</w:t>
      </w:r>
      <w:r w:rsidR="00DF1884" w:rsidRPr="00DF1884">
        <w:rPr>
          <w:szCs w:val="20"/>
        </w:rPr>
        <w:t xml:space="preserve"> </w:t>
      </w:r>
      <w:r w:rsidRPr="00DF1884">
        <w:rPr>
          <w:szCs w:val="20"/>
        </w:rPr>
        <w:t>building</w:t>
      </w:r>
      <w:r w:rsidR="00DF1884" w:rsidRPr="00DF1884">
        <w:rPr>
          <w:szCs w:val="20"/>
        </w:rPr>
        <w:t xml:space="preserve"> </w:t>
      </w:r>
      <w:r w:rsidRPr="00DF1884">
        <w:rPr>
          <w:szCs w:val="20"/>
        </w:rPr>
        <w:t>on</w:t>
      </w:r>
      <w:r w:rsidR="00DF1884" w:rsidRPr="00DF1884">
        <w:rPr>
          <w:szCs w:val="20"/>
        </w:rPr>
        <w:t xml:space="preserve"> </w:t>
      </w:r>
      <w:r w:rsidRPr="00DF1884">
        <w:rPr>
          <w:szCs w:val="20"/>
        </w:rPr>
        <w:t>the</w:t>
      </w:r>
      <w:r w:rsidR="00DF1884" w:rsidRPr="00DF1884">
        <w:rPr>
          <w:szCs w:val="20"/>
        </w:rPr>
        <w:t xml:space="preserve"> </w:t>
      </w:r>
      <w:r w:rsidRPr="00DF1884">
        <w:rPr>
          <w:szCs w:val="20"/>
        </w:rPr>
        <w:t>existing,</w:t>
      </w:r>
      <w:r w:rsidR="00DF1884" w:rsidRPr="00DF1884">
        <w:rPr>
          <w:szCs w:val="20"/>
        </w:rPr>
        <w:t xml:space="preserve"> </w:t>
      </w:r>
      <w:r w:rsidRPr="00DF1884">
        <w:rPr>
          <w:szCs w:val="20"/>
        </w:rPr>
        <w:t>unadjusted</w:t>
      </w:r>
      <w:r w:rsidR="00DF1884" w:rsidRPr="00DF1884">
        <w:rPr>
          <w:szCs w:val="20"/>
        </w:rPr>
        <w:t xml:space="preserve"> </w:t>
      </w:r>
      <w:r w:rsidRPr="00DF1884">
        <w:rPr>
          <w:szCs w:val="20"/>
        </w:rPr>
        <w:t>measure:</w:t>
      </w:r>
      <w:r w:rsidR="00DF1884" w:rsidRPr="00DF1884">
        <w:rPr>
          <w:szCs w:val="20"/>
        </w:rPr>
        <w:t xml:space="preserve"> </w:t>
      </w:r>
      <w:r w:rsidRPr="00DF1884">
        <w:rPr>
          <w:i/>
          <w:iCs/>
          <w:szCs w:val="20"/>
        </w:rPr>
        <w:t>Ambulatory</w:t>
      </w:r>
      <w:r w:rsidR="00DF1884" w:rsidRPr="00DF1884">
        <w:rPr>
          <w:i/>
          <w:iCs/>
          <w:szCs w:val="20"/>
        </w:rPr>
        <w:t xml:space="preserve"> </w:t>
      </w:r>
      <w:r w:rsidRPr="00DF1884">
        <w:rPr>
          <w:i/>
          <w:iCs/>
          <w:szCs w:val="20"/>
        </w:rPr>
        <w:t>Care</w:t>
      </w:r>
      <w:r w:rsidR="00DF1884" w:rsidRPr="00DF1884">
        <w:rPr>
          <w:i/>
          <w:iCs/>
          <w:szCs w:val="20"/>
        </w:rPr>
        <w:t xml:space="preserve"> </w:t>
      </w:r>
      <w:r w:rsidRPr="00DF1884">
        <w:rPr>
          <w:i/>
          <w:iCs/>
          <w:szCs w:val="20"/>
        </w:rPr>
        <w:t>(AMB).</w:t>
      </w:r>
      <w:r w:rsidR="00DF1884" w:rsidRPr="00DF1884">
        <w:rPr>
          <w:szCs w:val="20"/>
        </w:rPr>
        <w:t xml:space="preserve"> </w:t>
      </w:r>
      <w:r w:rsidRPr="00DF1884">
        <w:rPr>
          <w:szCs w:val="20"/>
        </w:rPr>
        <w:t>Since</w:t>
      </w:r>
      <w:r w:rsidR="00DF1884" w:rsidRPr="00DF1884">
        <w:rPr>
          <w:szCs w:val="20"/>
        </w:rPr>
        <w:t xml:space="preserve"> </w:t>
      </w:r>
      <w:r w:rsidRPr="00DF1884">
        <w:rPr>
          <w:szCs w:val="20"/>
        </w:rPr>
        <w:t>1993,</w:t>
      </w:r>
      <w:r w:rsidR="00DF1884" w:rsidRPr="00DF1884">
        <w:rPr>
          <w:szCs w:val="20"/>
        </w:rPr>
        <w:t xml:space="preserve"> </w:t>
      </w:r>
      <w:r w:rsidRPr="00DF1884">
        <w:rPr>
          <w:szCs w:val="20"/>
        </w:rPr>
        <w:t>the</w:t>
      </w:r>
      <w:r w:rsidR="00DF1884" w:rsidRPr="00DF1884">
        <w:rPr>
          <w:szCs w:val="20"/>
        </w:rPr>
        <w:t xml:space="preserve"> </w:t>
      </w:r>
      <w:r w:rsidRPr="00DF1884">
        <w:rPr>
          <w:szCs w:val="20"/>
        </w:rPr>
        <w:t>AMB</w:t>
      </w:r>
      <w:r w:rsidR="00DF1884" w:rsidRPr="00DF1884">
        <w:rPr>
          <w:szCs w:val="20"/>
        </w:rPr>
        <w:t xml:space="preserve"> </w:t>
      </w:r>
      <w:r w:rsidRPr="00DF1884">
        <w:rPr>
          <w:szCs w:val="20"/>
        </w:rPr>
        <w:t>measure</w:t>
      </w:r>
      <w:r w:rsidR="00DF1884" w:rsidRPr="00DF1884">
        <w:rPr>
          <w:szCs w:val="20"/>
        </w:rPr>
        <w:t xml:space="preserve"> </w:t>
      </w:r>
      <w:r w:rsidRPr="00DF1884">
        <w:rPr>
          <w:szCs w:val="20"/>
        </w:rPr>
        <w:t>has</w:t>
      </w:r>
      <w:r w:rsidR="00DF1884" w:rsidRPr="00DF1884">
        <w:rPr>
          <w:szCs w:val="20"/>
        </w:rPr>
        <w:t xml:space="preserve"> </w:t>
      </w:r>
      <w:r w:rsidRPr="00DF1884">
        <w:rPr>
          <w:szCs w:val="20"/>
        </w:rPr>
        <w:t>reported</w:t>
      </w:r>
      <w:r w:rsidR="00DF1884" w:rsidRPr="00DF1884">
        <w:rPr>
          <w:szCs w:val="20"/>
        </w:rPr>
        <w:t xml:space="preserve"> </w:t>
      </w:r>
      <w:r w:rsidRPr="00DF1884">
        <w:rPr>
          <w:szCs w:val="20"/>
        </w:rPr>
        <w:t>the</w:t>
      </w:r>
      <w:r w:rsidR="00DF1884" w:rsidRPr="00DF1884">
        <w:rPr>
          <w:szCs w:val="20"/>
        </w:rPr>
        <w:t xml:space="preserve"> </w:t>
      </w:r>
      <w:r w:rsidRPr="00DF1884">
        <w:rPr>
          <w:szCs w:val="20"/>
        </w:rPr>
        <w:t>unadjusted</w:t>
      </w:r>
      <w:r w:rsidR="00DF1884" w:rsidRPr="00DF1884">
        <w:rPr>
          <w:szCs w:val="20"/>
        </w:rPr>
        <w:t xml:space="preserve"> </w:t>
      </w:r>
      <w:r w:rsidRPr="00DF1884">
        <w:rPr>
          <w:szCs w:val="20"/>
        </w:rPr>
        <w:t>ED</w:t>
      </w:r>
      <w:r w:rsidR="00DF1884" w:rsidRPr="00DF1884">
        <w:rPr>
          <w:szCs w:val="20"/>
        </w:rPr>
        <w:t xml:space="preserve"> </w:t>
      </w:r>
      <w:r w:rsidRPr="00DF1884">
        <w:rPr>
          <w:szCs w:val="20"/>
        </w:rPr>
        <w:t>and</w:t>
      </w:r>
      <w:r w:rsidR="00DF1884" w:rsidRPr="00DF1884">
        <w:rPr>
          <w:szCs w:val="20"/>
        </w:rPr>
        <w:t xml:space="preserve"> </w:t>
      </w:r>
      <w:r w:rsidRPr="00DF1884">
        <w:rPr>
          <w:szCs w:val="20"/>
        </w:rPr>
        <w:t>outpatient</w:t>
      </w:r>
      <w:r w:rsidR="00DF1884" w:rsidRPr="00DF1884">
        <w:rPr>
          <w:szCs w:val="20"/>
        </w:rPr>
        <w:t xml:space="preserve"> </w:t>
      </w:r>
      <w:r w:rsidRPr="00DF1884">
        <w:rPr>
          <w:szCs w:val="20"/>
        </w:rPr>
        <w:t>services</w:t>
      </w:r>
      <w:r w:rsidR="00DF1884" w:rsidRPr="00DF1884">
        <w:rPr>
          <w:szCs w:val="20"/>
        </w:rPr>
        <w:t xml:space="preserve"> </w:t>
      </w:r>
      <w:r w:rsidRPr="00DF1884">
        <w:rPr>
          <w:szCs w:val="20"/>
        </w:rPr>
        <w:t>across</w:t>
      </w:r>
      <w:r w:rsidR="00DF1884" w:rsidRPr="00DF1884">
        <w:rPr>
          <w:szCs w:val="20"/>
        </w:rPr>
        <w:t xml:space="preserve"> </w:t>
      </w:r>
      <w:r w:rsidRPr="00DF1884">
        <w:rPr>
          <w:szCs w:val="20"/>
        </w:rPr>
        <w:t>health</w:t>
      </w:r>
      <w:r w:rsidR="00DF1884" w:rsidRPr="00DF1884">
        <w:rPr>
          <w:szCs w:val="20"/>
        </w:rPr>
        <w:t xml:space="preserve"> </w:t>
      </w:r>
      <w:r w:rsidRPr="00DF1884">
        <w:rPr>
          <w:szCs w:val="20"/>
        </w:rPr>
        <w:t>plan</w:t>
      </w:r>
      <w:r w:rsidR="00DF1884" w:rsidRPr="00DF1884">
        <w:rPr>
          <w:szCs w:val="20"/>
        </w:rPr>
        <w:t xml:space="preserve"> </w:t>
      </w:r>
      <w:r w:rsidRPr="00DF1884">
        <w:rPr>
          <w:szCs w:val="20"/>
        </w:rPr>
        <w:t>members</w:t>
      </w:r>
      <w:r w:rsidR="00DF1884" w:rsidRPr="00DF1884">
        <w:rPr>
          <w:szCs w:val="20"/>
        </w:rPr>
        <w:t xml:space="preserve"> </w:t>
      </w:r>
      <w:r w:rsidRPr="00DF1884">
        <w:rPr>
          <w:szCs w:val="20"/>
        </w:rPr>
        <w:t>of</w:t>
      </w:r>
      <w:r w:rsidR="00DF1884" w:rsidRPr="00DF1884">
        <w:rPr>
          <w:szCs w:val="20"/>
        </w:rPr>
        <w:t xml:space="preserve"> </w:t>
      </w:r>
      <w:r w:rsidRPr="00DF1884">
        <w:rPr>
          <w:szCs w:val="20"/>
        </w:rPr>
        <w:t>all</w:t>
      </w:r>
      <w:r w:rsidR="00DF1884" w:rsidRPr="00DF1884">
        <w:rPr>
          <w:szCs w:val="20"/>
        </w:rPr>
        <w:t xml:space="preserve"> </w:t>
      </w:r>
      <w:r w:rsidRPr="00DF1884">
        <w:rPr>
          <w:szCs w:val="20"/>
        </w:rPr>
        <w:t>ages.</w:t>
      </w:r>
      <w:r w:rsidR="00DF1884" w:rsidRPr="00DF1884">
        <w:rPr>
          <w:szCs w:val="20"/>
        </w:rPr>
        <w:t xml:space="preserve"> </w:t>
      </w:r>
    </w:p>
    <w:p w14:paraId="483EED70" w14:textId="2C22B267" w:rsidR="00DF0A7F" w:rsidRPr="00DF1884" w:rsidRDefault="00DF0A7F" w:rsidP="00DF0A7F">
      <w:pPr>
        <w:pStyle w:val="Body"/>
        <w:rPr>
          <w:i/>
        </w:rPr>
      </w:pPr>
      <w:r w:rsidRPr="00DF1884">
        <w:rPr>
          <w:b/>
          <w:i/>
          <w:szCs w:val="20"/>
        </w:rPr>
        <w:t>Note:</w:t>
      </w:r>
      <w:r w:rsidR="00DF1884" w:rsidRPr="00DF1884">
        <w:rPr>
          <w:i/>
          <w:szCs w:val="20"/>
        </w:rPr>
        <w:t xml:space="preserve"> </w:t>
      </w:r>
      <w:r w:rsidR="00887F28" w:rsidRPr="00DF1884">
        <w:rPr>
          <w:i/>
          <w:szCs w:val="20"/>
        </w:rPr>
        <w:t>T</w:t>
      </w:r>
      <w:r w:rsidRPr="00DF1884">
        <w:rPr>
          <w:i/>
          <w:szCs w:val="20"/>
        </w:rPr>
        <w:t>he</w:t>
      </w:r>
      <w:r w:rsidR="00DF1884" w:rsidRPr="00DF1884">
        <w:rPr>
          <w:i/>
          <w:szCs w:val="20"/>
        </w:rPr>
        <w:t xml:space="preserve"> </w:t>
      </w:r>
      <w:r w:rsidRPr="00DF1884">
        <w:rPr>
          <w:i/>
          <w:szCs w:val="20"/>
        </w:rPr>
        <w:t>new</w:t>
      </w:r>
      <w:r w:rsidR="00DF1884" w:rsidRPr="00DF1884">
        <w:rPr>
          <w:i/>
          <w:szCs w:val="20"/>
        </w:rPr>
        <w:t xml:space="preserve"> </w:t>
      </w:r>
      <w:r w:rsidRPr="00DF1884">
        <w:rPr>
          <w:i/>
          <w:szCs w:val="20"/>
        </w:rPr>
        <w:t>EDU</w:t>
      </w:r>
      <w:r w:rsidR="00DF1884" w:rsidRPr="00DF1884">
        <w:rPr>
          <w:i/>
          <w:szCs w:val="20"/>
        </w:rPr>
        <w:t xml:space="preserve"> </w:t>
      </w:r>
      <w:r w:rsidRPr="00DF1884">
        <w:rPr>
          <w:i/>
          <w:szCs w:val="20"/>
        </w:rPr>
        <w:t>measure</w:t>
      </w:r>
      <w:r w:rsidR="00DF1884" w:rsidRPr="00DF1884">
        <w:rPr>
          <w:i/>
          <w:szCs w:val="20"/>
        </w:rPr>
        <w:t xml:space="preserve"> </w:t>
      </w:r>
      <w:r w:rsidRPr="00DF1884">
        <w:rPr>
          <w:i/>
          <w:szCs w:val="20"/>
        </w:rPr>
        <w:t>assesses</w:t>
      </w:r>
      <w:r w:rsidR="00DF1884" w:rsidRPr="00DF1884">
        <w:rPr>
          <w:i/>
          <w:szCs w:val="20"/>
        </w:rPr>
        <w:t xml:space="preserve"> </w:t>
      </w:r>
      <w:r w:rsidRPr="00DF1884">
        <w:rPr>
          <w:i/>
          <w:szCs w:val="20"/>
        </w:rPr>
        <w:t>ED</w:t>
      </w:r>
      <w:r w:rsidR="00DF1884" w:rsidRPr="00DF1884">
        <w:rPr>
          <w:i/>
          <w:szCs w:val="20"/>
        </w:rPr>
        <w:t xml:space="preserve"> </w:t>
      </w:r>
      <w:r w:rsidRPr="00DF1884">
        <w:rPr>
          <w:i/>
          <w:szCs w:val="20"/>
        </w:rPr>
        <w:t>visits</w:t>
      </w:r>
      <w:r w:rsidR="00DF1884" w:rsidRPr="00DF1884">
        <w:rPr>
          <w:i/>
          <w:szCs w:val="20"/>
        </w:rPr>
        <w:t xml:space="preserve"> </w:t>
      </w:r>
      <w:r w:rsidR="00887F28" w:rsidRPr="00DF1884">
        <w:rPr>
          <w:i/>
          <w:szCs w:val="20"/>
        </w:rPr>
        <w:t>only</w:t>
      </w:r>
      <w:r w:rsidRPr="00DF1884">
        <w:rPr>
          <w:i/>
          <w:szCs w:val="20"/>
        </w:rPr>
        <w:t>.</w:t>
      </w:r>
    </w:p>
    <w:p w14:paraId="3127BA54" w14:textId="77777777" w:rsidR="00DF0A7F" w:rsidRPr="00DF1884" w:rsidRDefault="00DF0A7F" w:rsidP="00DF0A7F">
      <w:pPr>
        <w:pStyle w:val="StdHead"/>
      </w:pPr>
      <w:r w:rsidRPr="00DF1884">
        <w:t>Relevance</w:t>
      </w:r>
    </w:p>
    <w:tbl>
      <w:tblPr>
        <w:tblW w:w="9941" w:type="dxa"/>
        <w:tblInd w:w="-41" w:type="dxa"/>
        <w:tblLayout w:type="fixed"/>
        <w:tblCellMar>
          <w:left w:w="180" w:type="dxa"/>
          <w:right w:w="180" w:type="dxa"/>
        </w:tblCellMar>
        <w:tblLook w:val="0000" w:firstRow="0" w:lastRow="0" w:firstColumn="0" w:lastColumn="0" w:noHBand="0" w:noVBand="0"/>
      </w:tblPr>
      <w:tblGrid>
        <w:gridCol w:w="1866"/>
        <w:gridCol w:w="6"/>
        <w:gridCol w:w="8069"/>
      </w:tblGrid>
      <w:tr w:rsidR="00DF0A7F" w:rsidRPr="00DF1884" w14:paraId="4339867B" w14:textId="77777777" w:rsidTr="00AA4CD6">
        <w:tc>
          <w:tcPr>
            <w:tcW w:w="1872" w:type="dxa"/>
            <w:gridSpan w:val="2"/>
            <w:tcMar>
              <w:left w:w="115" w:type="dxa"/>
              <w:right w:w="115" w:type="dxa"/>
            </w:tcMar>
          </w:tcPr>
          <w:p w14:paraId="5C23FDC8" w14:textId="5974A10B" w:rsidR="00DF0A7F" w:rsidRPr="00DF1884" w:rsidRDefault="00DF0A7F" w:rsidP="00AA4CD6">
            <w:pPr>
              <w:pStyle w:val="MarginSubhead"/>
            </w:pPr>
            <w:r w:rsidRPr="00DF1884">
              <w:t>Health</w:t>
            </w:r>
            <w:r w:rsidR="00DF1884" w:rsidRPr="00DF1884">
              <w:t xml:space="preserve"> </w:t>
            </w:r>
            <w:r w:rsidRPr="00DF1884">
              <w:t>importance</w:t>
            </w:r>
          </w:p>
        </w:tc>
        <w:tc>
          <w:tcPr>
            <w:tcW w:w="8069" w:type="dxa"/>
            <w:tcMar>
              <w:left w:w="115" w:type="dxa"/>
              <w:right w:w="115" w:type="dxa"/>
            </w:tcMar>
          </w:tcPr>
          <w:p w14:paraId="6BCBD69E" w14:textId="00272DC2" w:rsidR="00DF0A7F" w:rsidRPr="00DF1884" w:rsidRDefault="00DF0A7F" w:rsidP="00AA4CD6">
            <w:pPr>
              <w:pStyle w:val="Body"/>
              <w:rPr>
                <w:rFonts w:cs="Arial"/>
                <w:szCs w:val="20"/>
              </w:rPr>
            </w:pPr>
            <w:r w:rsidRPr="00DF1884">
              <w:rPr>
                <w:rFonts w:cs="Arial"/>
                <w:szCs w:val="20"/>
              </w:rPr>
              <w:t>Risk</w:t>
            </w:r>
            <w:r w:rsidR="00DF1884" w:rsidRPr="00DF1884">
              <w:rPr>
                <w:rFonts w:cs="Arial"/>
                <w:szCs w:val="20"/>
              </w:rPr>
              <w:t xml:space="preserve"> </w:t>
            </w:r>
            <w:r w:rsidRPr="00DF1884">
              <w:rPr>
                <w:rFonts w:cs="Arial"/>
                <w:szCs w:val="20"/>
              </w:rPr>
              <w:t>modeling</w:t>
            </w:r>
            <w:r w:rsidR="00DF1884" w:rsidRPr="00DF1884">
              <w:rPr>
                <w:rFonts w:cs="Arial"/>
                <w:szCs w:val="20"/>
              </w:rPr>
              <w:t xml:space="preserve"> </w:t>
            </w:r>
            <w:r w:rsidRPr="00DF1884">
              <w:rPr>
                <w:rFonts w:cs="Arial"/>
                <w:szCs w:val="20"/>
              </w:rPr>
              <w:t>and</w:t>
            </w:r>
            <w:r w:rsidR="00DF1884" w:rsidRPr="00DF1884">
              <w:rPr>
                <w:rFonts w:cs="Arial"/>
                <w:szCs w:val="20"/>
              </w:rPr>
              <w:t xml:space="preserve"> </w:t>
            </w:r>
            <w:r w:rsidRPr="00DF1884">
              <w:rPr>
                <w:rFonts w:cs="Arial"/>
                <w:szCs w:val="20"/>
              </w:rPr>
              <w:t>testing</w:t>
            </w:r>
            <w:r w:rsidR="00DF1884" w:rsidRPr="00DF1884">
              <w:rPr>
                <w:rFonts w:cs="Arial"/>
                <w:szCs w:val="20"/>
              </w:rPr>
              <w:t xml:space="preserve"> </w:t>
            </w:r>
            <w:r w:rsidRPr="00DF1884">
              <w:rPr>
                <w:rFonts w:cs="Arial"/>
                <w:szCs w:val="20"/>
              </w:rPr>
              <w:t>were</w:t>
            </w:r>
            <w:r w:rsidR="00DF1884" w:rsidRPr="00DF1884">
              <w:rPr>
                <w:rFonts w:cs="Arial"/>
                <w:szCs w:val="20"/>
              </w:rPr>
              <w:t xml:space="preserve"> </w:t>
            </w:r>
            <w:r w:rsidRPr="00DF1884">
              <w:rPr>
                <w:rFonts w:cs="Arial"/>
                <w:szCs w:val="20"/>
              </w:rPr>
              <w:t>undertaken</w:t>
            </w:r>
            <w:r w:rsidR="00DF1884" w:rsidRPr="00DF1884">
              <w:rPr>
                <w:rFonts w:cs="Arial"/>
                <w:szCs w:val="20"/>
              </w:rPr>
              <w:t xml:space="preserve"> </w:t>
            </w:r>
            <w:r w:rsidRPr="00DF1884">
              <w:rPr>
                <w:rFonts w:cs="Arial"/>
                <w:szCs w:val="20"/>
              </w:rPr>
              <w:t>to</w:t>
            </w:r>
            <w:r w:rsidR="00DF1884" w:rsidRPr="00DF1884">
              <w:rPr>
                <w:rFonts w:cs="Arial"/>
                <w:szCs w:val="20"/>
              </w:rPr>
              <w:t xml:space="preserve"> </w:t>
            </w:r>
            <w:r w:rsidRPr="00DF1884">
              <w:rPr>
                <w:rFonts w:cs="Arial"/>
                <w:szCs w:val="20"/>
              </w:rPr>
              <w:t>assess</w:t>
            </w:r>
            <w:r w:rsidR="00DF1884" w:rsidRPr="00DF1884">
              <w:rPr>
                <w:rFonts w:cs="Arial"/>
                <w:szCs w:val="20"/>
              </w:rPr>
              <w:t xml:space="preserve"> </w:t>
            </w:r>
            <w:r w:rsidRPr="00DF1884">
              <w:rPr>
                <w:rFonts w:cs="Arial"/>
                <w:szCs w:val="20"/>
              </w:rPr>
              <w:t>whether</w:t>
            </w:r>
            <w:r w:rsidR="00DF1884" w:rsidRPr="00DF1884">
              <w:rPr>
                <w:rFonts w:cs="Arial"/>
                <w:szCs w:val="20"/>
              </w:rPr>
              <w:t xml:space="preserve"> </w:t>
            </w:r>
            <w:r w:rsidRPr="00DF1884">
              <w:rPr>
                <w:rFonts w:cs="Arial"/>
                <w:szCs w:val="20"/>
              </w:rPr>
              <w:t>risk</w:t>
            </w:r>
            <w:r w:rsidR="00DF1884" w:rsidRPr="00DF1884">
              <w:rPr>
                <w:rFonts w:cs="Arial"/>
                <w:szCs w:val="20"/>
              </w:rPr>
              <w:t xml:space="preserve"> </w:t>
            </w:r>
            <w:r w:rsidRPr="00DF1884">
              <w:rPr>
                <w:rFonts w:cs="Arial"/>
                <w:szCs w:val="20"/>
              </w:rPr>
              <w:t>adjustment</w:t>
            </w:r>
            <w:r w:rsidR="00DF1884" w:rsidRPr="00DF1884">
              <w:rPr>
                <w:rFonts w:cs="Arial"/>
                <w:szCs w:val="20"/>
              </w:rPr>
              <w:t xml:space="preserve"> </w:t>
            </w:r>
            <w:r w:rsidRPr="00DF1884">
              <w:rPr>
                <w:rFonts w:cs="Arial"/>
                <w:szCs w:val="20"/>
              </w:rPr>
              <w:t>might</w:t>
            </w:r>
            <w:r w:rsidR="00DF1884" w:rsidRPr="00DF1884">
              <w:rPr>
                <w:rFonts w:cs="Arial"/>
                <w:szCs w:val="20"/>
              </w:rPr>
              <w:t xml:space="preserve"> </w:t>
            </w:r>
            <w:r w:rsidRPr="00DF1884">
              <w:rPr>
                <w:rFonts w:cs="Arial"/>
                <w:szCs w:val="20"/>
              </w:rPr>
              <w:t>improve</w:t>
            </w:r>
            <w:r w:rsidR="00DF1884" w:rsidRPr="00DF1884">
              <w:rPr>
                <w:rFonts w:cs="Arial"/>
                <w:szCs w:val="20"/>
              </w:rPr>
              <w:t xml:space="preserve"> </w:t>
            </w:r>
            <w:r w:rsidRPr="00DF1884">
              <w:rPr>
                <w:rFonts w:cs="Arial"/>
                <w:szCs w:val="20"/>
              </w:rPr>
              <w:t>the</w:t>
            </w:r>
            <w:r w:rsidR="00DF1884" w:rsidRPr="00DF1884">
              <w:rPr>
                <w:rFonts w:cs="Arial"/>
                <w:szCs w:val="20"/>
              </w:rPr>
              <w:t xml:space="preserve"> </w:t>
            </w:r>
            <w:r w:rsidRPr="00DF1884">
              <w:rPr>
                <w:rFonts w:cs="Arial"/>
                <w:szCs w:val="20"/>
              </w:rPr>
              <w:t>measure</w:t>
            </w:r>
            <w:r w:rsidR="00887F28" w:rsidRPr="00DF1884">
              <w:rPr>
                <w:rFonts w:cs="Arial"/>
                <w:szCs w:val="20"/>
              </w:rPr>
              <w:t>’</w:t>
            </w:r>
            <w:r w:rsidRPr="00DF1884">
              <w:rPr>
                <w:rFonts w:cs="Arial"/>
                <w:szCs w:val="20"/>
              </w:rPr>
              <w:t>s</w:t>
            </w:r>
            <w:r w:rsidR="00DF1884" w:rsidRPr="00DF1884">
              <w:rPr>
                <w:rFonts w:cs="Arial"/>
                <w:szCs w:val="20"/>
              </w:rPr>
              <w:t xml:space="preserve"> </w:t>
            </w:r>
            <w:r w:rsidRPr="00DF1884">
              <w:rPr>
                <w:rFonts w:cs="Arial"/>
                <w:szCs w:val="20"/>
              </w:rPr>
              <w:t>ability</w:t>
            </w:r>
            <w:r w:rsidR="00DF1884" w:rsidRPr="00DF1884">
              <w:rPr>
                <w:rFonts w:cs="Arial"/>
                <w:szCs w:val="20"/>
              </w:rPr>
              <w:t xml:space="preserve"> </w:t>
            </w:r>
            <w:r w:rsidRPr="00DF1884">
              <w:rPr>
                <w:rFonts w:cs="Arial"/>
                <w:szCs w:val="20"/>
              </w:rPr>
              <w:t>to</w:t>
            </w:r>
            <w:r w:rsidR="00DF1884" w:rsidRPr="00DF1884">
              <w:rPr>
                <w:rFonts w:cs="Arial"/>
                <w:szCs w:val="20"/>
              </w:rPr>
              <w:t xml:space="preserve"> </w:t>
            </w:r>
            <w:r w:rsidRPr="00DF1884">
              <w:rPr>
                <w:rFonts w:cs="Arial"/>
                <w:szCs w:val="20"/>
              </w:rPr>
              <w:t>highlight</w:t>
            </w:r>
            <w:r w:rsidR="00DF1884" w:rsidRPr="00DF1884">
              <w:rPr>
                <w:rFonts w:cs="Arial"/>
                <w:szCs w:val="20"/>
              </w:rPr>
              <w:t xml:space="preserve"> </w:t>
            </w:r>
            <w:r w:rsidRPr="00DF1884">
              <w:rPr>
                <w:rFonts w:cs="Arial"/>
                <w:szCs w:val="20"/>
              </w:rPr>
              <w:t>quality</w:t>
            </w:r>
            <w:r w:rsidR="00DF1884" w:rsidRPr="00DF1884">
              <w:rPr>
                <w:rFonts w:cs="Arial"/>
                <w:szCs w:val="20"/>
              </w:rPr>
              <w:t xml:space="preserve"> </w:t>
            </w:r>
            <w:r w:rsidRPr="00DF1884">
              <w:rPr>
                <w:rFonts w:cs="Arial"/>
                <w:szCs w:val="20"/>
              </w:rPr>
              <w:t>differences,</w:t>
            </w:r>
            <w:r w:rsidR="00DF1884" w:rsidRPr="00DF1884">
              <w:rPr>
                <w:rFonts w:cs="Arial"/>
                <w:szCs w:val="20"/>
              </w:rPr>
              <w:t xml:space="preserve"> </w:t>
            </w:r>
            <w:r w:rsidRPr="00DF1884">
              <w:rPr>
                <w:rFonts w:cs="Arial"/>
                <w:szCs w:val="20"/>
              </w:rPr>
              <w:t>such</w:t>
            </w:r>
            <w:r w:rsidR="00DF1884" w:rsidRPr="00DF1884">
              <w:rPr>
                <w:rFonts w:cs="Arial"/>
                <w:szCs w:val="20"/>
              </w:rPr>
              <w:t xml:space="preserve"> </w:t>
            </w:r>
            <w:r w:rsidRPr="00DF1884">
              <w:rPr>
                <w:rFonts w:cs="Arial"/>
                <w:szCs w:val="20"/>
              </w:rPr>
              <w:t>as</w:t>
            </w:r>
            <w:r w:rsidR="00DF1884" w:rsidRPr="00DF1884">
              <w:rPr>
                <w:rFonts w:cs="Arial"/>
                <w:szCs w:val="20"/>
              </w:rPr>
              <w:t xml:space="preserve"> </w:t>
            </w:r>
            <w:r w:rsidRPr="00DF1884">
              <w:rPr>
                <w:rFonts w:cs="Arial"/>
                <w:szCs w:val="20"/>
              </w:rPr>
              <w:t>the</w:t>
            </w:r>
            <w:r w:rsidR="00DF1884" w:rsidRPr="00DF1884">
              <w:rPr>
                <w:rFonts w:cs="Arial"/>
                <w:szCs w:val="20"/>
              </w:rPr>
              <w:t xml:space="preserve"> </w:t>
            </w:r>
            <w:r w:rsidRPr="00DF1884">
              <w:rPr>
                <w:rFonts w:cs="Arial"/>
                <w:szCs w:val="20"/>
              </w:rPr>
              <w:t>impact</w:t>
            </w:r>
            <w:r w:rsidR="00DF1884" w:rsidRPr="00DF1884">
              <w:rPr>
                <w:rFonts w:cs="Arial"/>
                <w:szCs w:val="20"/>
              </w:rPr>
              <w:t xml:space="preserve"> </w:t>
            </w:r>
            <w:r w:rsidRPr="00DF1884">
              <w:rPr>
                <w:rFonts w:cs="Arial"/>
                <w:szCs w:val="20"/>
              </w:rPr>
              <w:t>of</w:t>
            </w:r>
            <w:r w:rsidR="00DF1884" w:rsidRPr="00DF1884">
              <w:rPr>
                <w:rFonts w:cs="Arial"/>
                <w:szCs w:val="20"/>
              </w:rPr>
              <w:t xml:space="preserve"> </w:t>
            </w:r>
            <w:r w:rsidRPr="00DF1884">
              <w:rPr>
                <w:rFonts w:cs="Arial"/>
                <w:szCs w:val="20"/>
              </w:rPr>
              <w:t>effective</w:t>
            </w:r>
            <w:r w:rsidR="00DF1884" w:rsidRPr="00DF1884">
              <w:rPr>
                <w:rFonts w:cs="Arial"/>
                <w:szCs w:val="20"/>
              </w:rPr>
              <w:t xml:space="preserve"> </w:t>
            </w:r>
            <w:r w:rsidRPr="00DF1884">
              <w:rPr>
                <w:rFonts w:cs="Arial"/>
                <w:szCs w:val="20"/>
              </w:rPr>
              <w:t>care</w:t>
            </w:r>
            <w:r w:rsidR="00DF1884" w:rsidRPr="00DF1884">
              <w:rPr>
                <w:rFonts w:cs="Arial"/>
                <w:szCs w:val="20"/>
              </w:rPr>
              <w:t xml:space="preserve"> </w:t>
            </w:r>
            <w:r w:rsidRPr="00DF1884">
              <w:rPr>
                <w:rFonts w:cs="Arial"/>
                <w:szCs w:val="20"/>
              </w:rPr>
              <w:t>coordination</w:t>
            </w:r>
            <w:r w:rsidR="00DF1884" w:rsidRPr="00DF1884">
              <w:rPr>
                <w:rFonts w:cs="Arial"/>
                <w:szCs w:val="20"/>
              </w:rPr>
              <w:t xml:space="preserve"> </w:t>
            </w:r>
            <w:r w:rsidRPr="00DF1884">
              <w:rPr>
                <w:rFonts w:cs="Arial"/>
                <w:szCs w:val="20"/>
              </w:rPr>
              <w:t>and</w:t>
            </w:r>
            <w:r w:rsidR="00DF1884" w:rsidRPr="00DF1884">
              <w:rPr>
                <w:rFonts w:cs="Arial"/>
                <w:szCs w:val="20"/>
              </w:rPr>
              <w:t xml:space="preserve"> </w:t>
            </w:r>
            <w:r w:rsidRPr="00DF1884">
              <w:rPr>
                <w:rFonts w:cs="Arial"/>
                <w:szCs w:val="20"/>
              </w:rPr>
              <w:t>other</w:t>
            </w:r>
            <w:r w:rsidR="00DF1884" w:rsidRPr="00DF1884">
              <w:rPr>
                <w:rFonts w:cs="Arial"/>
                <w:szCs w:val="20"/>
              </w:rPr>
              <w:t xml:space="preserve"> </w:t>
            </w:r>
            <w:r w:rsidRPr="00DF1884">
              <w:rPr>
                <w:rFonts w:cs="Arial"/>
                <w:szCs w:val="20"/>
              </w:rPr>
              <w:t>system</w:t>
            </w:r>
            <w:r w:rsidR="00DF1884" w:rsidRPr="00DF1884">
              <w:rPr>
                <w:rFonts w:cs="Arial"/>
                <w:szCs w:val="20"/>
              </w:rPr>
              <w:t xml:space="preserve"> </w:t>
            </w:r>
            <w:r w:rsidRPr="00DF1884">
              <w:rPr>
                <w:rFonts w:cs="Arial"/>
                <w:szCs w:val="20"/>
              </w:rPr>
              <w:t>interventions,</w:t>
            </w:r>
            <w:r w:rsidR="00DF1884" w:rsidRPr="00DF1884">
              <w:rPr>
                <w:rFonts w:cs="Arial"/>
                <w:szCs w:val="20"/>
              </w:rPr>
              <w:t xml:space="preserve"> </w:t>
            </w:r>
            <w:r w:rsidRPr="00DF1884">
              <w:rPr>
                <w:rFonts w:cs="Arial"/>
                <w:szCs w:val="20"/>
              </w:rPr>
              <w:t>in</w:t>
            </w:r>
            <w:r w:rsidR="00DF1884" w:rsidRPr="00DF1884">
              <w:rPr>
                <w:rFonts w:cs="Arial"/>
                <w:szCs w:val="20"/>
              </w:rPr>
              <w:t xml:space="preserve"> </w:t>
            </w:r>
            <w:r w:rsidRPr="00DF1884">
              <w:rPr>
                <w:rFonts w:cs="Arial"/>
                <w:szCs w:val="20"/>
              </w:rPr>
              <w:t>reducing</w:t>
            </w:r>
            <w:r w:rsidR="00DF1884" w:rsidRPr="00DF1884">
              <w:rPr>
                <w:rFonts w:cs="Arial"/>
                <w:szCs w:val="20"/>
              </w:rPr>
              <w:t xml:space="preserve"> </w:t>
            </w:r>
            <w:r w:rsidRPr="00DF1884">
              <w:rPr>
                <w:rFonts w:cs="Arial"/>
                <w:szCs w:val="20"/>
              </w:rPr>
              <w:t>inpatient</w:t>
            </w:r>
            <w:r w:rsidR="00DF1884" w:rsidRPr="00DF1884">
              <w:rPr>
                <w:rFonts w:cs="Arial"/>
                <w:szCs w:val="20"/>
              </w:rPr>
              <w:t xml:space="preserve"> </w:t>
            </w:r>
            <w:r w:rsidRPr="00DF1884">
              <w:rPr>
                <w:rFonts w:cs="Arial"/>
                <w:szCs w:val="20"/>
              </w:rPr>
              <w:t>admissions</w:t>
            </w:r>
            <w:r w:rsidR="00DF1884" w:rsidRPr="00DF1884">
              <w:rPr>
                <w:rFonts w:cs="Arial"/>
                <w:szCs w:val="20"/>
              </w:rPr>
              <w:t xml:space="preserve"> </w:t>
            </w:r>
            <w:r w:rsidRPr="00DF1884">
              <w:rPr>
                <w:rFonts w:cs="Arial"/>
                <w:szCs w:val="20"/>
              </w:rPr>
              <w:t>and</w:t>
            </w:r>
            <w:r w:rsidR="00DF1884" w:rsidRPr="00DF1884">
              <w:rPr>
                <w:rFonts w:cs="Arial"/>
                <w:szCs w:val="20"/>
              </w:rPr>
              <w:t xml:space="preserve"> </w:t>
            </w:r>
            <w:r w:rsidRPr="00DF1884">
              <w:rPr>
                <w:rFonts w:cs="Arial"/>
                <w:szCs w:val="20"/>
              </w:rPr>
              <w:t>ED</w:t>
            </w:r>
            <w:r w:rsidR="00DF1884" w:rsidRPr="00DF1884">
              <w:rPr>
                <w:rFonts w:cs="Arial"/>
                <w:szCs w:val="20"/>
              </w:rPr>
              <w:t xml:space="preserve"> </w:t>
            </w:r>
            <w:r w:rsidRPr="00DF1884">
              <w:rPr>
                <w:rFonts w:cs="Arial"/>
                <w:szCs w:val="20"/>
              </w:rPr>
              <w:t>overutilization.</w:t>
            </w:r>
            <w:r w:rsidR="00DF1884" w:rsidRPr="00DF1884">
              <w:rPr>
                <w:rFonts w:cs="Arial"/>
                <w:szCs w:val="20"/>
              </w:rPr>
              <w:t xml:space="preserve"> </w:t>
            </w:r>
            <w:r w:rsidRPr="00DF1884">
              <w:rPr>
                <w:rFonts w:cs="Arial"/>
                <w:szCs w:val="20"/>
              </w:rPr>
              <w:t>The</w:t>
            </w:r>
            <w:r w:rsidR="00DF1884" w:rsidRPr="00DF1884">
              <w:rPr>
                <w:rFonts w:cs="Arial"/>
                <w:szCs w:val="20"/>
              </w:rPr>
              <w:t xml:space="preserve"> </w:t>
            </w:r>
            <w:r w:rsidRPr="00DF1884">
              <w:rPr>
                <w:rFonts w:cs="Arial"/>
                <w:szCs w:val="20"/>
              </w:rPr>
              <w:t>proposed</w:t>
            </w:r>
            <w:r w:rsidR="00DF1884" w:rsidRPr="00DF1884">
              <w:rPr>
                <w:rFonts w:cs="Arial"/>
                <w:szCs w:val="20"/>
              </w:rPr>
              <w:t xml:space="preserve"> </w:t>
            </w:r>
            <w:r w:rsidRPr="00DF1884">
              <w:rPr>
                <w:rFonts w:cs="Arial"/>
                <w:szCs w:val="20"/>
              </w:rPr>
              <w:t>risk</w:t>
            </w:r>
            <w:r w:rsidR="00DF1884" w:rsidRPr="00DF1884">
              <w:rPr>
                <w:rFonts w:cs="Arial"/>
                <w:szCs w:val="20"/>
              </w:rPr>
              <w:t xml:space="preserve"> </w:t>
            </w:r>
            <w:r w:rsidRPr="00DF1884">
              <w:rPr>
                <w:rFonts w:cs="Arial"/>
                <w:szCs w:val="20"/>
              </w:rPr>
              <w:t>adjusted</w:t>
            </w:r>
            <w:r w:rsidR="00DF1884" w:rsidRPr="00DF1884">
              <w:rPr>
                <w:rFonts w:cs="Arial"/>
                <w:szCs w:val="20"/>
              </w:rPr>
              <w:t xml:space="preserve"> </w:t>
            </w:r>
            <w:r w:rsidRPr="00DF1884">
              <w:rPr>
                <w:rFonts w:cs="Arial"/>
                <w:szCs w:val="20"/>
              </w:rPr>
              <w:t>specifications</w:t>
            </w:r>
            <w:r w:rsidR="00DF1884" w:rsidRPr="00DF1884">
              <w:rPr>
                <w:rFonts w:cs="Arial"/>
                <w:szCs w:val="20"/>
              </w:rPr>
              <w:t xml:space="preserve"> </w:t>
            </w:r>
            <w:r w:rsidRPr="00DF1884">
              <w:rPr>
                <w:rFonts w:cs="Arial"/>
                <w:szCs w:val="20"/>
              </w:rPr>
              <w:t>are</w:t>
            </w:r>
            <w:r w:rsidR="00DF1884" w:rsidRPr="00DF1884">
              <w:rPr>
                <w:rFonts w:cs="Arial"/>
                <w:szCs w:val="20"/>
              </w:rPr>
              <w:t xml:space="preserve"> </w:t>
            </w:r>
            <w:r w:rsidRPr="00DF1884">
              <w:rPr>
                <w:rFonts w:cs="Arial"/>
                <w:szCs w:val="20"/>
              </w:rPr>
              <w:t>intended</w:t>
            </w:r>
            <w:r w:rsidR="00DF1884" w:rsidRPr="00DF1884">
              <w:rPr>
                <w:rFonts w:cs="Arial"/>
                <w:szCs w:val="20"/>
              </w:rPr>
              <w:t xml:space="preserve"> </w:t>
            </w:r>
            <w:r w:rsidRPr="00DF1884">
              <w:rPr>
                <w:rFonts w:cs="Arial"/>
                <w:szCs w:val="20"/>
              </w:rPr>
              <w:t>to</w:t>
            </w:r>
            <w:r w:rsidR="00DF1884" w:rsidRPr="00DF1884">
              <w:rPr>
                <w:rFonts w:cs="Arial"/>
                <w:szCs w:val="20"/>
              </w:rPr>
              <w:t xml:space="preserve"> </w:t>
            </w:r>
            <w:r w:rsidRPr="00DF1884">
              <w:rPr>
                <w:rFonts w:cs="Arial"/>
                <w:szCs w:val="20"/>
              </w:rPr>
              <w:t>enhance</w:t>
            </w:r>
            <w:r w:rsidR="00DF1884" w:rsidRPr="00DF1884">
              <w:rPr>
                <w:rFonts w:cs="Arial"/>
                <w:szCs w:val="20"/>
              </w:rPr>
              <w:t xml:space="preserve"> </w:t>
            </w:r>
            <w:r w:rsidRPr="00DF1884">
              <w:rPr>
                <w:rFonts w:cs="Arial"/>
                <w:szCs w:val="20"/>
              </w:rPr>
              <w:t>our</w:t>
            </w:r>
            <w:r w:rsidR="00DF1884" w:rsidRPr="00DF1884">
              <w:rPr>
                <w:rFonts w:cs="Arial"/>
                <w:szCs w:val="20"/>
              </w:rPr>
              <w:t xml:space="preserve"> </w:t>
            </w:r>
            <w:r w:rsidRPr="00DF1884">
              <w:rPr>
                <w:rFonts w:cs="Arial"/>
                <w:szCs w:val="20"/>
              </w:rPr>
              <w:t>understanding</w:t>
            </w:r>
            <w:r w:rsidR="00DF1884" w:rsidRPr="00DF1884">
              <w:rPr>
                <w:rFonts w:cs="Arial"/>
                <w:szCs w:val="20"/>
              </w:rPr>
              <w:t xml:space="preserve"> </w:t>
            </w:r>
            <w:r w:rsidRPr="00DF1884">
              <w:rPr>
                <w:rFonts w:cs="Arial"/>
                <w:szCs w:val="20"/>
              </w:rPr>
              <w:t>of</w:t>
            </w:r>
            <w:r w:rsidR="00DF1884" w:rsidRPr="00DF1884">
              <w:rPr>
                <w:rFonts w:cs="Arial"/>
                <w:szCs w:val="20"/>
              </w:rPr>
              <w:t xml:space="preserve"> </w:t>
            </w:r>
            <w:r w:rsidRPr="00DF1884">
              <w:rPr>
                <w:rFonts w:cs="Arial"/>
                <w:szCs w:val="20"/>
              </w:rPr>
              <w:t>variation</w:t>
            </w:r>
            <w:r w:rsidR="00DF1884" w:rsidRPr="00DF1884">
              <w:rPr>
                <w:rFonts w:cs="Arial"/>
                <w:szCs w:val="20"/>
              </w:rPr>
              <w:t xml:space="preserve"> </w:t>
            </w:r>
            <w:r w:rsidRPr="00DF1884">
              <w:rPr>
                <w:rFonts w:cs="Arial"/>
                <w:szCs w:val="20"/>
              </w:rPr>
              <w:t>in</w:t>
            </w:r>
            <w:r w:rsidR="00DF1884" w:rsidRPr="00DF1884">
              <w:rPr>
                <w:rFonts w:cs="Arial"/>
                <w:szCs w:val="20"/>
              </w:rPr>
              <w:t xml:space="preserve"> </w:t>
            </w:r>
            <w:r w:rsidRPr="00DF1884">
              <w:rPr>
                <w:rFonts w:cs="Arial"/>
                <w:szCs w:val="20"/>
              </w:rPr>
              <w:t>utilization</w:t>
            </w:r>
            <w:r w:rsidR="00DF1884" w:rsidRPr="00DF1884">
              <w:rPr>
                <w:rFonts w:cs="Arial"/>
                <w:szCs w:val="20"/>
              </w:rPr>
              <w:t xml:space="preserve"> </w:t>
            </w:r>
            <w:r w:rsidRPr="00DF1884">
              <w:rPr>
                <w:rFonts w:cs="Arial"/>
                <w:szCs w:val="20"/>
              </w:rPr>
              <w:t>and</w:t>
            </w:r>
            <w:r w:rsidR="00DF1884" w:rsidRPr="00DF1884">
              <w:rPr>
                <w:rFonts w:cs="Arial"/>
                <w:szCs w:val="20"/>
              </w:rPr>
              <w:t xml:space="preserve"> </w:t>
            </w:r>
            <w:r w:rsidRPr="00DF1884">
              <w:rPr>
                <w:rFonts w:cs="Arial"/>
                <w:szCs w:val="20"/>
              </w:rPr>
              <w:t>comparability</w:t>
            </w:r>
            <w:r w:rsidR="00DF1884" w:rsidRPr="00DF1884">
              <w:rPr>
                <w:rFonts w:cs="Arial"/>
                <w:szCs w:val="20"/>
              </w:rPr>
              <w:t xml:space="preserve"> </w:t>
            </w:r>
            <w:r w:rsidRPr="00DF1884">
              <w:rPr>
                <w:rFonts w:cs="Arial"/>
                <w:szCs w:val="20"/>
              </w:rPr>
              <w:t>of</w:t>
            </w:r>
            <w:r w:rsidR="00DF1884" w:rsidRPr="00DF1884">
              <w:rPr>
                <w:rFonts w:cs="Arial"/>
                <w:szCs w:val="20"/>
              </w:rPr>
              <w:t xml:space="preserve"> </w:t>
            </w:r>
            <w:r w:rsidRPr="00DF1884">
              <w:rPr>
                <w:rFonts w:cs="Arial"/>
                <w:szCs w:val="20"/>
              </w:rPr>
              <w:t>inpatient</w:t>
            </w:r>
            <w:r w:rsidR="00DF1884" w:rsidRPr="00DF1884">
              <w:rPr>
                <w:rFonts w:cs="Arial"/>
                <w:szCs w:val="20"/>
              </w:rPr>
              <w:t xml:space="preserve"> </w:t>
            </w:r>
            <w:r w:rsidRPr="00DF1884">
              <w:rPr>
                <w:rFonts w:cs="Arial"/>
                <w:szCs w:val="20"/>
              </w:rPr>
              <w:t>and</w:t>
            </w:r>
            <w:r w:rsidR="00DF1884" w:rsidRPr="00DF1884">
              <w:rPr>
                <w:rFonts w:cs="Arial"/>
                <w:szCs w:val="20"/>
              </w:rPr>
              <w:t xml:space="preserve"> </w:t>
            </w:r>
            <w:r w:rsidRPr="00DF1884">
              <w:rPr>
                <w:rFonts w:cs="Arial"/>
                <w:szCs w:val="20"/>
              </w:rPr>
              <w:t>ED</w:t>
            </w:r>
            <w:r w:rsidR="00DF1884" w:rsidRPr="00DF1884">
              <w:rPr>
                <w:rFonts w:cs="Arial"/>
                <w:szCs w:val="20"/>
              </w:rPr>
              <w:t xml:space="preserve"> </w:t>
            </w:r>
            <w:r w:rsidRPr="00DF1884">
              <w:rPr>
                <w:rFonts w:cs="Arial"/>
                <w:szCs w:val="20"/>
              </w:rPr>
              <w:t>utilization</w:t>
            </w:r>
            <w:r w:rsidR="00DF1884" w:rsidRPr="00DF1884">
              <w:rPr>
                <w:rFonts w:cs="Arial"/>
                <w:szCs w:val="20"/>
              </w:rPr>
              <w:t xml:space="preserve"> </w:t>
            </w:r>
            <w:r w:rsidRPr="00DF1884">
              <w:rPr>
                <w:rFonts w:cs="Arial"/>
                <w:szCs w:val="20"/>
              </w:rPr>
              <w:t>among</w:t>
            </w:r>
            <w:r w:rsidR="00DF1884" w:rsidRPr="00DF1884">
              <w:rPr>
                <w:rFonts w:cs="Arial"/>
                <w:szCs w:val="20"/>
              </w:rPr>
              <w:t xml:space="preserve"> </w:t>
            </w:r>
            <w:r w:rsidRPr="00DF1884">
              <w:rPr>
                <w:rFonts w:cs="Arial"/>
                <w:szCs w:val="20"/>
              </w:rPr>
              <w:t>plans.</w:t>
            </w:r>
          </w:p>
          <w:p w14:paraId="05F559FF" w14:textId="0E894D2A" w:rsidR="00DF0A7F" w:rsidRPr="00DF1884" w:rsidRDefault="00DF0A7F" w:rsidP="00AA4CD6">
            <w:pPr>
              <w:pStyle w:val="Body"/>
              <w:rPr>
                <w:rFonts w:cs="Arial"/>
                <w:szCs w:val="20"/>
              </w:rPr>
            </w:pPr>
            <w:r w:rsidRPr="00DF1884">
              <w:rPr>
                <w:rFonts w:cs="Arial"/>
                <w:szCs w:val="20"/>
              </w:rPr>
              <w:t>NCQA</w:t>
            </w:r>
            <w:r w:rsidR="00DF1884" w:rsidRPr="00DF1884">
              <w:rPr>
                <w:rFonts w:cs="Arial"/>
                <w:szCs w:val="20"/>
              </w:rPr>
              <w:t xml:space="preserve"> </w:t>
            </w:r>
            <w:r w:rsidRPr="00DF1884">
              <w:rPr>
                <w:rFonts w:cs="Arial"/>
                <w:szCs w:val="20"/>
              </w:rPr>
              <w:t>used</w:t>
            </w:r>
            <w:r w:rsidR="00DF1884" w:rsidRPr="00DF1884">
              <w:rPr>
                <w:rFonts w:cs="Arial"/>
                <w:szCs w:val="20"/>
              </w:rPr>
              <w:t xml:space="preserve"> </w:t>
            </w:r>
            <w:r w:rsidRPr="00DF1884">
              <w:rPr>
                <w:rFonts w:cs="Arial"/>
                <w:szCs w:val="20"/>
              </w:rPr>
              <w:t>a</w:t>
            </w:r>
            <w:r w:rsidR="00DF1884" w:rsidRPr="00DF1884">
              <w:rPr>
                <w:rFonts w:cs="Arial"/>
                <w:szCs w:val="20"/>
              </w:rPr>
              <w:t xml:space="preserve"> </w:t>
            </w:r>
            <w:r w:rsidRPr="00DF1884">
              <w:rPr>
                <w:rFonts w:cs="Arial"/>
                <w:szCs w:val="20"/>
              </w:rPr>
              <w:t>comprehensive</w:t>
            </w:r>
            <w:r w:rsidR="00DF1884" w:rsidRPr="00DF1884">
              <w:rPr>
                <w:rFonts w:cs="Arial"/>
                <w:szCs w:val="20"/>
              </w:rPr>
              <w:t xml:space="preserve"> </w:t>
            </w:r>
            <w:r w:rsidRPr="00DF1884">
              <w:rPr>
                <w:rFonts w:cs="Arial"/>
                <w:szCs w:val="20"/>
              </w:rPr>
              <w:t>approach</w:t>
            </w:r>
            <w:r w:rsidR="00DF1884" w:rsidRPr="00DF1884">
              <w:rPr>
                <w:rFonts w:cs="Arial"/>
                <w:szCs w:val="20"/>
              </w:rPr>
              <w:t xml:space="preserve"> </w:t>
            </w:r>
            <w:r w:rsidRPr="00DF1884">
              <w:rPr>
                <w:rFonts w:cs="Arial"/>
                <w:szCs w:val="20"/>
              </w:rPr>
              <w:t>when</w:t>
            </w:r>
            <w:r w:rsidR="00DF1884" w:rsidRPr="00DF1884">
              <w:rPr>
                <w:rFonts w:cs="Arial"/>
                <w:szCs w:val="20"/>
              </w:rPr>
              <w:t xml:space="preserve"> </w:t>
            </w:r>
            <w:r w:rsidRPr="00DF1884">
              <w:rPr>
                <w:rFonts w:cs="Arial"/>
                <w:szCs w:val="20"/>
              </w:rPr>
              <w:t>assessing</w:t>
            </w:r>
            <w:r w:rsidR="00DF1884" w:rsidRPr="00DF1884">
              <w:rPr>
                <w:rFonts w:cs="Arial"/>
                <w:szCs w:val="20"/>
              </w:rPr>
              <w:t xml:space="preserve"> </w:t>
            </w:r>
            <w:r w:rsidRPr="00DF1884">
              <w:rPr>
                <w:rFonts w:cs="Arial"/>
                <w:szCs w:val="20"/>
              </w:rPr>
              <w:t>appropriate</w:t>
            </w:r>
            <w:r w:rsidR="00DF1884" w:rsidRPr="00DF1884">
              <w:rPr>
                <w:rFonts w:cs="Arial"/>
                <w:szCs w:val="20"/>
              </w:rPr>
              <w:t xml:space="preserve"> </w:t>
            </w:r>
            <w:r w:rsidRPr="00DF1884">
              <w:rPr>
                <w:rFonts w:cs="Arial"/>
                <w:szCs w:val="20"/>
              </w:rPr>
              <w:t>strategies</w:t>
            </w:r>
            <w:r w:rsidR="00DF1884" w:rsidRPr="00DF1884">
              <w:rPr>
                <w:rFonts w:cs="Arial"/>
                <w:szCs w:val="20"/>
              </w:rPr>
              <w:t xml:space="preserve"> </w:t>
            </w:r>
            <w:r w:rsidRPr="00DF1884">
              <w:rPr>
                <w:rFonts w:cs="Arial"/>
                <w:szCs w:val="20"/>
              </w:rPr>
              <w:t>for</w:t>
            </w:r>
            <w:r w:rsidR="00DF1884" w:rsidRPr="00DF1884">
              <w:rPr>
                <w:rFonts w:cs="Arial"/>
                <w:szCs w:val="20"/>
              </w:rPr>
              <w:t xml:space="preserve"> </w:t>
            </w:r>
            <w:r w:rsidRPr="00DF1884">
              <w:rPr>
                <w:rFonts w:cs="Arial"/>
                <w:szCs w:val="20"/>
              </w:rPr>
              <w:t>reporting</w:t>
            </w:r>
            <w:r w:rsidR="00DF1884" w:rsidRPr="00DF1884">
              <w:rPr>
                <w:rFonts w:cs="Arial"/>
                <w:szCs w:val="20"/>
              </w:rPr>
              <w:t xml:space="preserve"> </w:t>
            </w:r>
            <w:r w:rsidRPr="00DF1884">
              <w:rPr>
                <w:rFonts w:cs="Arial"/>
                <w:szCs w:val="20"/>
              </w:rPr>
              <w:t>adjusted</w:t>
            </w:r>
            <w:r w:rsidR="00DF1884" w:rsidRPr="00DF1884">
              <w:rPr>
                <w:rFonts w:cs="Arial"/>
                <w:szCs w:val="20"/>
              </w:rPr>
              <w:t xml:space="preserve"> </w:t>
            </w:r>
            <w:r w:rsidRPr="00DF1884">
              <w:rPr>
                <w:rFonts w:cs="Arial"/>
                <w:szCs w:val="20"/>
              </w:rPr>
              <w:t>utilization</w:t>
            </w:r>
            <w:r w:rsidR="00DF1884" w:rsidRPr="00DF1884">
              <w:rPr>
                <w:rFonts w:cs="Arial"/>
                <w:szCs w:val="20"/>
              </w:rPr>
              <w:t xml:space="preserve"> </w:t>
            </w:r>
            <w:r w:rsidRPr="00DF1884">
              <w:rPr>
                <w:rFonts w:cs="Arial"/>
                <w:szCs w:val="20"/>
              </w:rPr>
              <w:t>in</w:t>
            </w:r>
            <w:r w:rsidR="00DF1884" w:rsidRPr="00DF1884">
              <w:rPr>
                <w:rFonts w:cs="Arial"/>
                <w:szCs w:val="20"/>
              </w:rPr>
              <w:t xml:space="preserve"> </w:t>
            </w:r>
            <w:r w:rsidRPr="00DF1884">
              <w:rPr>
                <w:rFonts w:cs="Arial"/>
                <w:szCs w:val="20"/>
              </w:rPr>
              <w:t>HEDIS.</w:t>
            </w:r>
            <w:r w:rsidR="00DF1884" w:rsidRPr="00DF1884">
              <w:rPr>
                <w:rFonts w:cs="Arial"/>
                <w:szCs w:val="20"/>
              </w:rPr>
              <w:t xml:space="preserve"> </w:t>
            </w:r>
            <w:r w:rsidRPr="00DF1884">
              <w:rPr>
                <w:rFonts w:cs="Arial"/>
                <w:szCs w:val="20"/>
              </w:rPr>
              <w:t>We</w:t>
            </w:r>
            <w:r w:rsidR="00DF1884" w:rsidRPr="00DF1884">
              <w:rPr>
                <w:rFonts w:cs="Arial"/>
                <w:szCs w:val="20"/>
              </w:rPr>
              <w:t xml:space="preserve"> </w:t>
            </w:r>
            <w:r w:rsidRPr="00DF1884">
              <w:rPr>
                <w:rFonts w:cs="Arial"/>
                <w:szCs w:val="20"/>
              </w:rPr>
              <w:t>conducted</w:t>
            </w:r>
            <w:r w:rsidR="00DF1884" w:rsidRPr="00DF1884">
              <w:rPr>
                <w:rFonts w:cs="Arial"/>
                <w:szCs w:val="20"/>
              </w:rPr>
              <w:t xml:space="preserve"> </w:t>
            </w:r>
            <w:r w:rsidRPr="00DF1884">
              <w:rPr>
                <w:rFonts w:cs="Arial"/>
                <w:szCs w:val="20"/>
              </w:rPr>
              <w:t>a</w:t>
            </w:r>
            <w:r w:rsidR="00DF1884" w:rsidRPr="00DF1884">
              <w:rPr>
                <w:rFonts w:cs="Arial"/>
                <w:szCs w:val="20"/>
              </w:rPr>
              <w:t xml:space="preserve"> </w:t>
            </w:r>
            <w:r w:rsidRPr="00DF1884">
              <w:rPr>
                <w:rFonts w:cs="Arial"/>
                <w:szCs w:val="20"/>
              </w:rPr>
              <w:t>number</w:t>
            </w:r>
            <w:r w:rsidR="00DF1884" w:rsidRPr="00DF1884">
              <w:rPr>
                <w:rFonts w:cs="Arial"/>
                <w:szCs w:val="20"/>
              </w:rPr>
              <w:t xml:space="preserve"> </w:t>
            </w:r>
            <w:r w:rsidRPr="00DF1884">
              <w:rPr>
                <w:rFonts w:cs="Arial"/>
                <w:szCs w:val="20"/>
              </w:rPr>
              <w:t>of</w:t>
            </w:r>
            <w:r w:rsidR="00DF1884" w:rsidRPr="00DF1884">
              <w:rPr>
                <w:rFonts w:cs="Arial"/>
                <w:szCs w:val="20"/>
              </w:rPr>
              <w:t xml:space="preserve"> </w:t>
            </w:r>
            <w:r w:rsidRPr="00DF1884">
              <w:rPr>
                <w:rFonts w:cs="Arial"/>
                <w:szCs w:val="20"/>
              </w:rPr>
              <w:t>stakeholder</w:t>
            </w:r>
            <w:r w:rsidR="00DF1884" w:rsidRPr="00DF1884">
              <w:rPr>
                <w:rFonts w:cs="Arial"/>
                <w:szCs w:val="20"/>
              </w:rPr>
              <w:t xml:space="preserve"> </w:t>
            </w:r>
            <w:r w:rsidRPr="00DF1884">
              <w:rPr>
                <w:rFonts w:cs="Arial"/>
                <w:szCs w:val="20"/>
              </w:rPr>
              <w:t>interviews</w:t>
            </w:r>
            <w:r w:rsidR="00DF1884" w:rsidRPr="00DF1884">
              <w:rPr>
                <w:rFonts w:cs="Arial"/>
                <w:szCs w:val="20"/>
              </w:rPr>
              <w:t xml:space="preserve"> </w:t>
            </w:r>
            <w:r w:rsidRPr="00DF1884">
              <w:rPr>
                <w:rFonts w:cs="Arial"/>
                <w:szCs w:val="20"/>
              </w:rPr>
              <w:t>with</w:t>
            </w:r>
            <w:r w:rsidR="00DF1884" w:rsidRPr="00DF1884">
              <w:rPr>
                <w:rFonts w:cs="Arial"/>
                <w:szCs w:val="20"/>
              </w:rPr>
              <w:t xml:space="preserve"> </w:t>
            </w:r>
            <w:r w:rsidRPr="00DF1884">
              <w:rPr>
                <w:rFonts w:cs="Arial"/>
                <w:szCs w:val="20"/>
              </w:rPr>
              <w:t>health</w:t>
            </w:r>
            <w:r w:rsidR="00DF1884" w:rsidRPr="00DF1884">
              <w:rPr>
                <w:rFonts w:cs="Arial"/>
                <w:szCs w:val="20"/>
              </w:rPr>
              <w:t xml:space="preserve"> </w:t>
            </w:r>
            <w:r w:rsidRPr="00DF1884">
              <w:rPr>
                <w:rFonts w:cs="Arial"/>
                <w:szCs w:val="20"/>
              </w:rPr>
              <w:t>plans</w:t>
            </w:r>
            <w:r w:rsidR="00DF1884" w:rsidRPr="00DF1884">
              <w:rPr>
                <w:rFonts w:cs="Arial"/>
                <w:szCs w:val="20"/>
              </w:rPr>
              <w:t xml:space="preserve"> </w:t>
            </w:r>
            <w:r w:rsidRPr="00DF1884">
              <w:rPr>
                <w:rFonts w:cs="Arial"/>
                <w:szCs w:val="20"/>
              </w:rPr>
              <w:t>and</w:t>
            </w:r>
            <w:r w:rsidR="00DF1884" w:rsidRPr="00DF1884">
              <w:rPr>
                <w:rFonts w:cs="Arial"/>
                <w:szCs w:val="20"/>
              </w:rPr>
              <w:t xml:space="preserve"> </w:t>
            </w:r>
            <w:r w:rsidRPr="00DF1884">
              <w:rPr>
                <w:rFonts w:cs="Arial"/>
                <w:szCs w:val="20"/>
              </w:rPr>
              <w:t>risk</w:t>
            </w:r>
            <w:r w:rsidR="00DF1884" w:rsidRPr="00DF1884">
              <w:rPr>
                <w:rFonts w:cs="Arial"/>
                <w:szCs w:val="20"/>
              </w:rPr>
              <w:t xml:space="preserve"> </w:t>
            </w:r>
            <w:r w:rsidRPr="00DF1884">
              <w:rPr>
                <w:rFonts w:cs="Arial"/>
                <w:szCs w:val="20"/>
              </w:rPr>
              <w:t>adjustment</w:t>
            </w:r>
            <w:r w:rsidR="00DF1884" w:rsidRPr="00DF1884">
              <w:rPr>
                <w:rFonts w:cs="Arial"/>
                <w:szCs w:val="20"/>
              </w:rPr>
              <w:t xml:space="preserve"> </w:t>
            </w:r>
            <w:r w:rsidRPr="00DF1884">
              <w:rPr>
                <w:rFonts w:cs="Arial"/>
                <w:szCs w:val="20"/>
              </w:rPr>
              <w:t>experts,</w:t>
            </w:r>
            <w:r w:rsidR="00DF1884" w:rsidRPr="00DF1884">
              <w:rPr>
                <w:rFonts w:cs="Arial"/>
                <w:szCs w:val="20"/>
              </w:rPr>
              <w:t xml:space="preserve"> </w:t>
            </w:r>
            <w:r w:rsidRPr="00DF1884">
              <w:rPr>
                <w:rFonts w:cs="Arial"/>
                <w:szCs w:val="20"/>
              </w:rPr>
              <w:t>most</w:t>
            </w:r>
            <w:r w:rsidR="00DF1884" w:rsidRPr="00DF1884">
              <w:rPr>
                <w:rFonts w:cs="Arial"/>
                <w:szCs w:val="20"/>
              </w:rPr>
              <w:t xml:space="preserve"> </w:t>
            </w:r>
            <w:r w:rsidRPr="00DF1884">
              <w:rPr>
                <w:rFonts w:cs="Arial"/>
                <w:szCs w:val="20"/>
              </w:rPr>
              <w:t>of</w:t>
            </w:r>
            <w:r w:rsidR="00DF1884" w:rsidRPr="00DF1884">
              <w:rPr>
                <w:rFonts w:cs="Arial"/>
                <w:szCs w:val="20"/>
              </w:rPr>
              <w:t xml:space="preserve"> </w:t>
            </w:r>
            <w:r w:rsidRPr="00DF1884">
              <w:rPr>
                <w:rFonts w:cs="Arial"/>
                <w:szCs w:val="20"/>
              </w:rPr>
              <w:t>whom</w:t>
            </w:r>
            <w:r w:rsidR="00DF1884" w:rsidRPr="00DF1884">
              <w:rPr>
                <w:rFonts w:cs="Arial"/>
                <w:szCs w:val="20"/>
              </w:rPr>
              <w:t xml:space="preserve"> </w:t>
            </w:r>
            <w:r w:rsidRPr="00DF1884">
              <w:rPr>
                <w:rFonts w:cs="Arial"/>
                <w:szCs w:val="20"/>
              </w:rPr>
              <w:t>support</w:t>
            </w:r>
            <w:r w:rsidR="00DF1884" w:rsidRPr="00DF1884">
              <w:rPr>
                <w:rFonts w:cs="Arial"/>
                <w:szCs w:val="20"/>
              </w:rPr>
              <w:t xml:space="preserve"> </w:t>
            </w:r>
            <w:r w:rsidRPr="00DF1884">
              <w:rPr>
                <w:rFonts w:cs="Arial"/>
                <w:szCs w:val="20"/>
              </w:rPr>
              <w:t>application</w:t>
            </w:r>
            <w:r w:rsidR="00DF1884" w:rsidRPr="00DF1884">
              <w:rPr>
                <w:rFonts w:cs="Arial"/>
                <w:szCs w:val="20"/>
              </w:rPr>
              <w:t xml:space="preserve"> </w:t>
            </w:r>
            <w:r w:rsidRPr="00DF1884">
              <w:rPr>
                <w:rFonts w:cs="Arial"/>
                <w:szCs w:val="20"/>
              </w:rPr>
              <w:t>of</w:t>
            </w:r>
            <w:r w:rsidR="00DF1884" w:rsidRPr="00DF1884">
              <w:rPr>
                <w:rFonts w:cs="Arial"/>
                <w:szCs w:val="20"/>
              </w:rPr>
              <w:t xml:space="preserve"> </w:t>
            </w:r>
            <w:r w:rsidRPr="00DF1884">
              <w:rPr>
                <w:rFonts w:cs="Arial"/>
                <w:szCs w:val="20"/>
              </w:rPr>
              <w:t>a</w:t>
            </w:r>
            <w:r w:rsidR="00DF1884" w:rsidRPr="00DF1884">
              <w:rPr>
                <w:rFonts w:cs="Arial"/>
                <w:szCs w:val="20"/>
              </w:rPr>
              <w:t xml:space="preserve"> </w:t>
            </w:r>
            <w:r w:rsidRPr="00DF1884">
              <w:rPr>
                <w:rFonts w:cs="Arial"/>
                <w:szCs w:val="20"/>
              </w:rPr>
              <w:t>risk</w:t>
            </w:r>
            <w:r w:rsidR="00DF1884" w:rsidRPr="00DF1884">
              <w:rPr>
                <w:rFonts w:cs="Arial"/>
                <w:szCs w:val="20"/>
              </w:rPr>
              <w:t xml:space="preserve"> </w:t>
            </w:r>
            <w:r w:rsidRPr="00DF1884">
              <w:rPr>
                <w:rFonts w:cs="Arial"/>
                <w:szCs w:val="20"/>
              </w:rPr>
              <w:t>adjustment</w:t>
            </w:r>
            <w:r w:rsidR="00DF1884" w:rsidRPr="00DF1884">
              <w:rPr>
                <w:rFonts w:cs="Arial"/>
                <w:szCs w:val="20"/>
              </w:rPr>
              <w:t xml:space="preserve"> </w:t>
            </w:r>
            <w:r w:rsidRPr="00DF1884">
              <w:rPr>
                <w:rFonts w:cs="Arial"/>
                <w:szCs w:val="20"/>
              </w:rPr>
              <w:t>strategy</w:t>
            </w:r>
            <w:r w:rsidR="00DF1884" w:rsidRPr="00DF1884">
              <w:rPr>
                <w:rFonts w:cs="Arial"/>
                <w:szCs w:val="20"/>
              </w:rPr>
              <w:t xml:space="preserve"> </w:t>
            </w:r>
            <w:r w:rsidRPr="00DF1884">
              <w:rPr>
                <w:rFonts w:cs="Arial"/>
                <w:szCs w:val="20"/>
              </w:rPr>
              <w:t>to</w:t>
            </w:r>
            <w:r w:rsidR="00DF1884" w:rsidRPr="00DF1884">
              <w:rPr>
                <w:rFonts w:cs="Arial"/>
                <w:szCs w:val="20"/>
              </w:rPr>
              <w:t xml:space="preserve"> </w:t>
            </w:r>
            <w:r w:rsidRPr="00DF1884">
              <w:rPr>
                <w:rFonts w:cs="Arial"/>
                <w:szCs w:val="20"/>
              </w:rPr>
              <w:t>HEDIS</w:t>
            </w:r>
            <w:r w:rsidR="00DF1884" w:rsidRPr="00DF1884">
              <w:rPr>
                <w:rFonts w:cs="Arial"/>
                <w:szCs w:val="20"/>
              </w:rPr>
              <w:t xml:space="preserve"> </w:t>
            </w:r>
            <w:r w:rsidRPr="00DF1884">
              <w:rPr>
                <w:rFonts w:cs="Arial"/>
                <w:szCs w:val="20"/>
              </w:rPr>
              <w:t>utilization</w:t>
            </w:r>
            <w:r w:rsidR="00DF1884" w:rsidRPr="00DF1884">
              <w:rPr>
                <w:rFonts w:cs="Arial"/>
                <w:szCs w:val="20"/>
              </w:rPr>
              <w:t xml:space="preserve"> </w:t>
            </w:r>
            <w:r w:rsidRPr="00DF1884">
              <w:rPr>
                <w:rFonts w:cs="Arial"/>
                <w:szCs w:val="20"/>
              </w:rPr>
              <w:t>measures.</w:t>
            </w:r>
            <w:r w:rsidR="00DF1884" w:rsidRPr="00DF1884">
              <w:rPr>
                <w:rFonts w:cs="Arial"/>
                <w:szCs w:val="20"/>
              </w:rPr>
              <w:t xml:space="preserve"> </w:t>
            </w:r>
            <w:r w:rsidRPr="00DF1884">
              <w:rPr>
                <w:rFonts w:cs="Arial"/>
                <w:szCs w:val="20"/>
              </w:rPr>
              <w:t>We</w:t>
            </w:r>
            <w:r w:rsidR="00DF1884" w:rsidRPr="00DF1884">
              <w:rPr>
                <w:rFonts w:cs="Arial"/>
                <w:szCs w:val="20"/>
              </w:rPr>
              <w:t xml:space="preserve"> </w:t>
            </w:r>
            <w:r w:rsidRPr="00DF1884">
              <w:rPr>
                <w:rFonts w:cs="Arial"/>
                <w:szCs w:val="20"/>
              </w:rPr>
              <w:t>then</w:t>
            </w:r>
            <w:r w:rsidR="00DF1884" w:rsidRPr="00DF1884">
              <w:rPr>
                <w:rFonts w:cs="Arial"/>
                <w:szCs w:val="20"/>
              </w:rPr>
              <w:t xml:space="preserve"> </w:t>
            </w:r>
            <w:r w:rsidRPr="00DF1884">
              <w:rPr>
                <w:rFonts w:cs="Arial"/>
                <w:szCs w:val="20"/>
              </w:rPr>
              <w:t>employed</w:t>
            </w:r>
            <w:r w:rsidR="00DF1884" w:rsidRPr="00DF1884">
              <w:rPr>
                <w:rFonts w:cs="Arial"/>
                <w:szCs w:val="20"/>
              </w:rPr>
              <w:t xml:space="preserve"> </w:t>
            </w:r>
            <w:r w:rsidRPr="00DF1884">
              <w:rPr>
                <w:rFonts w:cs="Arial"/>
                <w:szCs w:val="20"/>
              </w:rPr>
              <w:t>a</w:t>
            </w:r>
            <w:r w:rsidR="00DF1884" w:rsidRPr="00DF1884">
              <w:rPr>
                <w:rFonts w:cs="Arial"/>
                <w:szCs w:val="20"/>
              </w:rPr>
              <w:t xml:space="preserve"> </w:t>
            </w:r>
            <w:r w:rsidRPr="00DF1884">
              <w:rPr>
                <w:rFonts w:cs="Arial"/>
                <w:szCs w:val="20"/>
              </w:rPr>
              <w:t>large</w:t>
            </w:r>
            <w:r w:rsidR="00DF1884" w:rsidRPr="00DF1884">
              <w:rPr>
                <w:rFonts w:cs="Arial"/>
                <w:szCs w:val="20"/>
              </w:rPr>
              <w:t xml:space="preserve"> </w:t>
            </w:r>
            <w:r w:rsidRPr="00DF1884">
              <w:rPr>
                <w:rFonts w:cs="Arial"/>
                <w:szCs w:val="20"/>
              </w:rPr>
              <w:t>research</w:t>
            </w:r>
            <w:r w:rsidR="00DF1884" w:rsidRPr="00DF1884">
              <w:rPr>
                <w:rFonts w:cs="Arial"/>
                <w:szCs w:val="20"/>
              </w:rPr>
              <w:t xml:space="preserve"> </w:t>
            </w:r>
            <w:r w:rsidRPr="00DF1884">
              <w:rPr>
                <w:rFonts w:cs="Arial"/>
                <w:szCs w:val="20"/>
              </w:rPr>
              <w:t>database</w:t>
            </w:r>
            <w:r w:rsidR="00DF1884" w:rsidRPr="00DF1884">
              <w:rPr>
                <w:rFonts w:cs="Arial"/>
                <w:szCs w:val="20"/>
              </w:rPr>
              <w:t xml:space="preserve"> </w:t>
            </w:r>
            <w:r w:rsidRPr="00DF1884">
              <w:rPr>
                <w:rFonts w:cs="Arial"/>
                <w:szCs w:val="20"/>
              </w:rPr>
              <w:t>of</w:t>
            </w:r>
            <w:r w:rsidR="00DF1884" w:rsidRPr="00DF1884">
              <w:rPr>
                <w:rFonts w:cs="Arial"/>
                <w:szCs w:val="20"/>
              </w:rPr>
              <w:t xml:space="preserve"> </w:t>
            </w:r>
            <w:r w:rsidRPr="00DF1884">
              <w:rPr>
                <w:rFonts w:cs="Arial"/>
                <w:szCs w:val="20"/>
              </w:rPr>
              <w:t>Medicare</w:t>
            </w:r>
            <w:r w:rsidR="00DF1884" w:rsidRPr="00DF1884">
              <w:rPr>
                <w:rFonts w:cs="Arial"/>
                <w:szCs w:val="20"/>
              </w:rPr>
              <w:t xml:space="preserve"> </w:t>
            </w:r>
            <w:r w:rsidRPr="00DF1884">
              <w:rPr>
                <w:rFonts w:cs="Arial"/>
                <w:szCs w:val="20"/>
              </w:rPr>
              <w:t>Advantage</w:t>
            </w:r>
            <w:r w:rsidR="00DF1884" w:rsidRPr="00DF1884">
              <w:rPr>
                <w:rFonts w:cs="Arial"/>
                <w:szCs w:val="20"/>
              </w:rPr>
              <w:t xml:space="preserve"> </w:t>
            </w:r>
            <w:r w:rsidRPr="00DF1884">
              <w:rPr>
                <w:rFonts w:cs="Arial"/>
                <w:szCs w:val="20"/>
              </w:rPr>
              <w:t>and</w:t>
            </w:r>
            <w:r w:rsidR="00DF1884" w:rsidRPr="00DF1884">
              <w:rPr>
                <w:rFonts w:cs="Arial"/>
                <w:szCs w:val="20"/>
              </w:rPr>
              <w:t xml:space="preserve"> </w:t>
            </w:r>
            <w:r w:rsidRPr="00DF1884">
              <w:rPr>
                <w:rFonts w:cs="Arial"/>
                <w:szCs w:val="20"/>
              </w:rPr>
              <w:t>commercial</w:t>
            </w:r>
            <w:r w:rsidR="00DF1884" w:rsidRPr="00DF1884">
              <w:rPr>
                <w:rFonts w:cs="Arial"/>
                <w:szCs w:val="20"/>
              </w:rPr>
              <w:t xml:space="preserve"> </w:t>
            </w:r>
            <w:r w:rsidRPr="00DF1884">
              <w:rPr>
                <w:rFonts w:cs="Arial"/>
                <w:szCs w:val="20"/>
              </w:rPr>
              <w:t>plan</w:t>
            </w:r>
            <w:r w:rsidR="00DF1884" w:rsidRPr="00DF1884">
              <w:rPr>
                <w:rFonts w:cs="Arial"/>
                <w:szCs w:val="20"/>
              </w:rPr>
              <w:t xml:space="preserve"> </w:t>
            </w:r>
            <w:r w:rsidRPr="00DF1884">
              <w:rPr>
                <w:rFonts w:cs="Arial"/>
                <w:szCs w:val="20"/>
              </w:rPr>
              <w:t>members</w:t>
            </w:r>
            <w:r w:rsidR="00DF1884" w:rsidRPr="00DF1884">
              <w:rPr>
                <w:rFonts w:cs="Arial"/>
                <w:szCs w:val="20"/>
              </w:rPr>
              <w:t xml:space="preserve"> </w:t>
            </w:r>
            <w:r w:rsidRPr="00DF1884">
              <w:rPr>
                <w:rFonts w:cs="Arial"/>
                <w:szCs w:val="20"/>
              </w:rPr>
              <w:t>to</w:t>
            </w:r>
            <w:r w:rsidR="00DF1884" w:rsidRPr="00DF1884">
              <w:rPr>
                <w:rFonts w:cs="Arial"/>
                <w:szCs w:val="20"/>
              </w:rPr>
              <w:t xml:space="preserve"> </w:t>
            </w:r>
            <w:r w:rsidRPr="00DF1884">
              <w:rPr>
                <w:rFonts w:cs="Arial"/>
                <w:szCs w:val="20"/>
              </w:rPr>
              <w:t>model</w:t>
            </w:r>
            <w:r w:rsidR="00DF1884" w:rsidRPr="00DF1884">
              <w:rPr>
                <w:rFonts w:cs="Arial"/>
                <w:szCs w:val="20"/>
              </w:rPr>
              <w:t xml:space="preserve"> </w:t>
            </w:r>
            <w:r w:rsidRPr="00DF1884">
              <w:rPr>
                <w:rFonts w:cs="Arial"/>
                <w:szCs w:val="20"/>
              </w:rPr>
              <w:t>several</w:t>
            </w:r>
            <w:r w:rsidR="00DF1884" w:rsidRPr="00DF1884">
              <w:rPr>
                <w:rFonts w:cs="Arial"/>
                <w:szCs w:val="20"/>
              </w:rPr>
              <w:t xml:space="preserve"> </w:t>
            </w:r>
            <w:r w:rsidRPr="00DF1884">
              <w:rPr>
                <w:rFonts w:cs="Arial"/>
                <w:szCs w:val="20"/>
              </w:rPr>
              <w:t>variations</w:t>
            </w:r>
            <w:r w:rsidR="00DF1884" w:rsidRPr="00DF1884">
              <w:rPr>
                <w:rFonts w:cs="Arial"/>
                <w:szCs w:val="20"/>
              </w:rPr>
              <w:t xml:space="preserve"> </w:t>
            </w:r>
            <w:r w:rsidRPr="00DF1884">
              <w:rPr>
                <w:rFonts w:cs="Arial"/>
                <w:szCs w:val="20"/>
              </w:rPr>
              <w:t>of</w:t>
            </w:r>
            <w:r w:rsidR="00DF1884" w:rsidRPr="00DF1884">
              <w:rPr>
                <w:rFonts w:cs="Arial"/>
                <w:szCs w:val="20"/>
              </w:rPr>
              <w:t xml:space="preserve"> </w:t>
            </w:r>
            <w:r w:rsidRPr="00DF1884">
              <w:rPr>
                <w:rFonts w:cs="Arial"/>
                <w:szCs w:val="20"/>
              </w:rPr>
              <w:t>risk</w:t>
            </w:r>
            <w:r w:rsidR="00DF1884" w:rsidRPr="00DF1884">
              <w:rPr>
                <w:rFonts w:cs="Arial"/>
                <w:szCs w:val="20"/>
              </w:rPr>
              <w:t xml:space="preserve"> </w:t>
            </w:r>
            <w:r w:rsidRPr="00DF1884">
              <w:rPr>
                <w:rFonts w:cs="Arial"/>
                <w:szCs w:val="20"/>
              </w:rPr>
              <w:t>adjustment.</w:t>
            </w:r>
          </w:p>
          <w:p w14:paraId="308A4303" w14:textId="74F97450" w:rsidR="00DF0A7F" w:rsidRPr="00DF1884" w:rsidRDefault="00DF0A7F" w:rsidP="00AA4CD6">
            <w:pPr>
              <w:pStyle w:val="Body"/>
            </w:pPr>
            <w:r w:rsidRPr="00DF1884">
              <w:rPr>
                <w:rFonts w:cs="Arial"/>
                <w:szCs w:val="20"/>
              </w:rPr>
              <w:t>Test</w:t>
            </w:r>
            <w:r w:rsidR="00DF1884" w:rsidRPr="00DF1884">
              <w:rPr>
                <w:rFonts w:cs="Arial"/>
                <w:szCs w:val="20"/>
              </w:rPr>
              <w:t xml:space="preserve"> </w:t>
            </w:r>
            <w:r w:rsidRPr="00DF1884">
              <w:rPr>
                <w:rFonts w:cs="Arial"/>
                <w:szCs w:val="20"/>
              </w:rPr>
              <w:t>results</w:t>
            </w:r>
            <w:r w:rsidR="00DF1884" w:rsidRPr="00DF1884">
              <w:rPr>
                <w:rFonts w:cs="Arial"/>
                <w:szCs w:val="20"/>
              </w:rPr>
              <w:t xml:space="preserve"> </w:t>
            </w:r>
            <w:r w:rsidRPr="00DF1884">
              <w:rPr>
                <w:rFonts w:cs="Arial"/>
                <w:szCs w:val="20"/>
              </w:rPr>
              <w:t>reveal</w:t>
            </w:r>
            <w:r w:rsidR="00DF1884" w:rsidRPr="00DF1884">
              <w:rPr>
                <w:rFonts w:cs="Arial"/>
                <w:szCs w:val="20"/>
              </w:rPr>
              <w:t xml:space="preserve"> </w:t>
            </w:r>
            <w:r w:rsidRPr="00DF1884">
              <w:rPr>
                <w:rFonts w:cs="Arial"/>
                <w:szCs w:val="20"/>
              </w:rPr>
              <w:t>that</w:t>
            </w:r>
            <w:r w:rsidR="00DF1884" w:rsidRPr="00DF1884">
              <w:rPr>
                <w:rFonts w:cs="Arial"/>
                <w:szCs w:val="20"/>
              </w:rPr>
              <w:t xml:space="preserve"> </w:t>
            </w:r>
            <w:r w:rsidRPr="00DF1884">
              <w:rPr>
                <w:rFonts w:cs="Arial"/>
                <w:szCs w:val="20"/>
              </w:rPr>
              <w:t>risk</w:t>
            </w:r>
            <w:r w:rsidR="00DF1884" w:rsidRPr="00DF1884">
              <w:rPr>
                <w:rFonts w:cs="Arial"/>
                <w:szCs w:val="20"/>
              </w:rPr>
              <w:t xml:space="preserve"> </w:t>
            </w:r>
            <w:r w:rsidRPr="00DF1884">
              <w:rPr>
                <w:rFonts w:cs="Arial"/>
                <w:szCs w:val="20"/>
              </w:rPr>
              <w:t>adjustment</w:t>
            </w:r>
            <w:r w:rsidR="00DF1884" w:rsidRPr="00DF1884">
              <w:rPr>
                <w:rFonts w:cs="Arial"/>
                <w:szCs w:val="20"/>
              </w:rPr>
              <w:t xml:space="preserve"> </w:t>
            </w:r>
            <w:r w:rsidRPr="00DF1884">
              <w:rPr>
                <w:rFonts w:cs="Arial"/>
                <w:szCs w:val="20"/>
              </w:rPr>
              <w:t>is</w:t>
            </w:r>
            <w:r w:rsidR="00DF1884" w:rsidRPr="00DF1884">
              <w:rPr>
                <w:rFonts w:cs="Arial"/>
                <w:szCs w:val="20"/>
              </w:rPr>
              <w:t xml:space="preserve"> </w:t>
            </w:r>
            <w:r w:rsidRPr="00DF1884">
              <w:rPr>
                <w:rFonts w:cs="Arial"/>
                <w:szCs w:val="20"/>
              </w:rPr>
              <w:t>a</w:t>
            </w:r>
            <w:r w:rsidR="00DF1884" w:rsidRPr="00DF1884">
              <w:rPr>
                <w:rFonts w:cs="Arial"/>
                <w:szCs w:val="20"/>
              </w:rPr>
              <w:t xml:space="preserve"> </w:t>
            </w:r>
            <w:r w:rsidRPr="00DF1884">
              <w:rPr>
                <w:rFonts w:cs="Arial"/>
                <w:szCs w:val="20"/>
              </w:rPr>
              <w:t>desirable</w:t>
            </w:r>
            <w:r w:rsidR="00DF1884" w:rsidRPr="00DF1884">
              <w:rPr>
                <w:rFonts w:cs="Arial"/>
                <w:szCs w:val="20"/>
              </w:rPr>
              <w:t xml:space="preserve"> </w:t>
            </w:r>
            <w:r w:rsidRPr="00DF1884">
              <w:rPr>
                <w:rFonts w:cs="Arial"/>
                <w:szCs w:val="20"/>
              </w:rPr>
              <w:t>refinement</w:t>
            </w:r>
            <w:r w:rsidR="00DF1884" w:rsidRPr="00DF1884">
              <w:rPr>
                <w:rFonts w:cs="Arial"/>
                <w:szCs w:val="20"/>
              </w:rPr>
              <w:t xml:space="preserve"> </w:t>
            </w:r>
            <w:r w:rsidRPr="00DF1884">
              <w:rPr>
                <w:rFonts w:cs="Arial"/>
                <w:szCs w:val="20"/>
              </w:rPr>
              <w:t>and</w:t>
            </w:r>
            <w:r w:rsidR="00DF1884" w:rsidRPr="00DF1884">
              <w:rPr>
                <w:rFonts w:cs="Arial"/>
                <w:szCs w:val="20"/>
              </w:rPr>
              <w:t xml:space="preserve"> </w:t>
            </w:r>
            <w:r w:rsidRPr="00DF1884">
              <w:rPr>
                <w:rFonts w:cs="Arial"/>
                <w:szCs w:val="20"/>
              </w:rPr>
              <w:t>demonstrate</w:t>
            </w:r>
            <w:r w:rsidR="00DF1884" w:rsidRPr="00DF1884">
              <w:rPr>
                <w:rFonts w:cs="Arial"/>
                <w:szCs w:val="20"/>
              </w:rPr>
              <w:t xml:space="preserve"> </w:t>
            </w:r>
            <w:r w:rsidRPr="00DF1884">
              <w:rPr>
                <w:rFonts w:cs="Arial"/>
                <w:szCs w:val="20"/>
              </w:rPr>
              <w:t>that</w:t>
            </w:r>
            <w:r w:rsidR="00DF1884" w:rsidRPr="00DF1884">
              <w:rPr>
                <w:rFonts w:cs="Arial"/>
                <w:szCs w:val="20"/>
              </w:rPr>
              <w:t xml:space="preserve"> </w:t>
            </w:r>
            <w:r w:rsidRPr="00DF1884">
              <w:rPr>
                <w:rFonts w:cs="Arial"/>
                <w:szCs w:val="20"/>
              </w:rPr>
              <w:t>the</w:t>
            </w:r>
            <w:r w:rsidR="00DF1884" w:rsidRPr="00DF1884">
              <w:rPr>
                <w:rFonts w:cs="Arial"/>
                <w:szCs w:val="20"/>
              </w:rPr>
              <w:t xml:space="preserve"> </w:t>
            </w:r>
            <w:r w:rsidRPr="00DF1884">
              <w:rPr>
                <w:rFonts w:cs="Arial"/>
                <w:szCs w:val="20"/>
              </w:rPr>
              <w:t>proposed</w:t>
            </w:r>
            <w:r w:rsidR="00DF1884" w:rsidRPr="00DF1884">
              <w:rPr>
                <w:rFonts w:cs="Arial"/>
                <w:szCs w:val="20"/>
              </w:rPr>
              <w:t xml:space="preserve"> </w:t>
            </w:r>
            <w:r w:rsidRPr="00DF1884">
              <w:rPr>
                <w:rFonts w:cs="Arial"/>
                <w:szCs w:val="20"/>
              </w:rPr>
              <w:t>risk</w:t>
            </w:r>
            <w:r w:rsidR="00DF1884" w:rsidRPr="00DF1884">
              <w:rPr>
                <w:rFonts w:cs="Arial"/>
                <w:szCs w:val="20"/>
              </w:rPr>
              <w:t xml:space="preserve"> </w:t>
            </w:r>
            <w:r w:rsidRPr="00DF1884">
              <w:rPr>
                <w:rFonts w:cs="Arial"/>
                <w:szCs w:val="20"/>
              </w:rPr>
              <w:t>adjustment</w:t>
            </w:r>
            <w:r w:rsidR="00DF1884" w:rsidRPr="00DF1884">
              <w:rPr>
                <w:rFonts w:cs="Arial"/>
                <w:szCs w:val="20"/>
              </w:rPr>
              <w:t xml:space="preserve"> </w:t>
            </w:r>
            <w:r w:rsidRPr="00DF1884">
              <w:rPr>
                <w:rFonts w:cs="Arial"/>
                <w:szCs w:val="20"/>
              </w:rPr>
              <w:t>strategy</w:t>
            </w:r>
            <w:r w:rsidR="00DF1884" w:rsidRPr="00DF1884">
              <w:rPr>
                <w:rFonts w:cs="Arial"/>
                <w:szCs w:val="20"/>
              </w:rPr>
              <w:t xml:space="preserve"> </w:t>
            </w:r>
            <w:r w:rsidRPr="00DF1884">
              <w:rPr>
                <w:rFonts w:cs="Arial"/>
                <w:szCs w:val="20"/>
              </w:rPr>
              <w:t>is</w:t>
            </w:r>
            <w:r w:rsidR="00DF1884" w:rsidRPr="00DF1884">
              <w:rPr>
                <w:rFonts w:cs="Arial"/>
                <w:szCs w:val="20"/>
              </w:rPr>
              <w:t xml:space="preserve"> </w:t>
            </w:r>
            <w:r w:rsidRPr="00DF1884">
              <w:rPr>
                <w:rFonts w:cs="Arial"/>
                <w:szCs w:val="20"/>
              </w:rPr>
              <w:t>both</w:t>
            </w:r>
            <w:r w:rsidR="00DF1884" w:rsidRPr="00DF1884">
              <w:rPr>
                <w:rFonts w:cs="Arial"/>
                <w:szCs w:val="20"/>
              </w:rPr>
              <w:t xml:space="preserve"> </w:t>
            </w:r>
            <w:r w:rsidRPr="00DF1884">
              <w:rPr>
                <w:rFonts w:cs="Arial"/>
                <w:szCs w:val="20"/>
              </w:rPr>
              <w:t>accurate</w:t>
            </w:r>
            <w:r w:rsidR="00DF1884" w:rsidRPr="00DF1884">
              <w:rPr>
                <w:rFonts w:cs="Arial"/>
                <w:szCs w:val="20"/>
              </w:rPr>
              <w:t xml:space="preserve"> </w:t>
            </w:r>
            <w:r w:rsidRPr="00DF1884">
              <w:rPr>
                <w:rFonts w:cs="Arial"/>
                <w:szCs w:val="20"/>
              </w:rPr>
              <w:t>and</w:t>
            </w:r>
            <w:r w:rsidR="00DF1884" w:rsidRPr="00DF1884">
              <w:rPr>
                <w:rFonts w:cs="Arial"/>
                <w:szCs w:val="20"/>
              </w:rPr>
              <w:t xml:space="preserve"> </w:t>
            </w:r>
            <w:r w:rsidRPr="00DF1884">
              <w:rPr>
                <w:rFonts w:cs="Arial"/>
                <w:szCs w:val="20"/>
              </w:rPr>
              <w:t>reliable.</w:t>
            </w:r>
            <w:r w:rsidR="00DF1884" w:rsidRPr="00DF1884">
              <w:rPr>
                <w:rFonts w:cs="Arial"/>
                <w:szCs w:val="20"/>
              </w:rPr>
              <w:t xml:space="preserve"> </w:t>
            </w:r>
            <w:r w:rsidRPr="00DF1884">
              <w:rPr>
                <w:rFonts w:cs="Arial"/>
                <w:szCs w:val="20"/>
              </w:rPr>
              <w:t>NCQA’s</w:t>
            </w:r>
            <w:r w:rsidR="00DF1884" w:rsidRPr="00DF1884">
              <w:rPr>
                <w:rFonts w:cs="Arial"/>
                <w:szCs w:val="20"/>
              </w:rPr>
              <w:t xml:space="preserve"> </w:t>
            </w:r>
            <w:r w:rsidRPr="00DF1884">
              <w:rPr>
                <w:rFonts w:cs="Arial"/>
                <w:szCs w:val="20"/>
              </w:rPr>
              <w:t>advisory</w:t>
            </w:r>
            <w:r w:rsidR="00DF1884" w:rsidRPr="00DF1884">
              <w:rPr>
                <w:rFonts w:cs="Arial"/>
                <w:szCs w:val="20"/>
              </w:rPr>
              <w:t xml:space="preserve"> </w:t>
            </w:r>
            <w:r w:rsidRPr="00DF1884">
              <w:rPr>
                <w:rFonts w:cs="Arial"/>
                <w:szCs w:val="20"/>
              </w:rPr>
              <w:t>panels</w:t>
            </w:r>
            <w:r w:rsidR="00DF1884" w:rsidRPr="00DF1884">
              <w:rPr>
                <w:rFonts w:cs="Arial"/>
                <w:szCs w:val="20"/>
              </w:rPr>
              <w:t xml:space="preserve"> </w:t>
            </w:r>
            <w:r w:rsidRPr="00DF1884">
              <w:rPr>
                <w:rFonts w:cs="Arial"/>
                <w:szCs w:val="20"/>
              </w:rPr>
              <w:t>agree</w:t>
            </w:r>
            <w:r w:rsidR="00DF1884" w:rsidRPr="00DF1884">
              <w:rPr>
                <w:rFonts w:cs="Arial"/>
                <w:szCs w:val="20"/>
              </w:rPr>
              <w:t xml:space="preserve"> </w:t>
            </w:r>
            <w:r w:rsidRPr="00DF1884">
              <w:rPr>
                <w:rFonts w:cs="Arial"/>
                <w:szCs w:val="20"/>
              </w:rPr>
              <w:t>that</w:t>
            </w:r>
            <w:r w:rsidR="00DF1884" w:rsidRPr="00DF1884">
              <w:rPr>
                <w:rFonts w:cs="Arial"/>
                <w:szCs w:val="20"/>
              </w:rPr>
              <w:t xml:space="preserve"> </w:t>
            </w:r>
            <w:r w:rsidRPr="00DF1884">
              <w:rPr>
                <w:rFonts w:cs="Arial"/>
                <w:szCs w:val="20"/>
              </w:rPr>
              <w:t>the</w:t>
            </w:r>
            <w:r w:rsidR="00DF1884" w:rsidRPr="00DF1884">
              <w:rPr>
                <w:rFonts w:cs="Arial"/>
                <w:szCs w:val="20"/>
              </w:rPr>
              <w:t xml:space="preserve"> </w:t>
            </w:r>
            <w:r w:rsidRPr="00DF1884">
              <w:rPr>
                <w:rFonts w:cs="Arial"/>
                <w:szCs w:val="20"/>
              </w:rPr>
              <w:t>results</w:t>
            </w:r>
            <w:r w:rsidR="00DF1884" w:rsidRPr="00DF1884">
              <w:rPr>
                <w:rFonts w:cs="Arial"/>
                <w:szCs w:val="20"/>
              </w:rPr>
              <w:t xml:space="preserve"> </w:t>
            </w:r>
            <w:r w:rsidRPr="00DF1884">
              <w:rPr>
                <w:rFonts w:cs="Arial"/>
                <w:szCs w:val="20"/>
              </w:rPr>
              <w:t>support</w:t>
            </w:r>
            <w:r w:rsidR="00DF1884" w:rsidRPr="00DF1884">
              <w:rPr>
                <w:rFonts w:cs="Arial"/>
                <w:szCs w:val="20"/>
              </w:rPr>
              <w:t xml:space="preserve"> </w:t>
            </w:r>
            <w:r w:rsidRPr="00DF1884">
              <w:rPr>
                <w:rFonts w:cs="Arial"/>
                <w:szCs w:val="20"/>
              </w:rPr>
              <w:t>the</w:t>
            </w:r>
            <w:r w:rsidR="00DF1884" w:rsidRPr="00DF1884">
              <w:rPr>
                <w:rFonts w:cs="Arial"/>
                <w:szCs w:val="20"/>
              </w:rPr>
              <w:t xml:space="preserve"> </w:t>
            </w:r>
            <w:r w:rsidRPr="00DF1884">
              <w:rPr>
                <w:rFonts w:cs="Arial"/>
                <w:szCs w:val="20"/>
              </w:rPr>
              <w:t>reliability</w:t>
            </w:r>
            <w:r w:rsidR="00DF1884" w:rsidRPr="00DF1884">
              <w:rPr>
                <w:rFonts w:cs="Arial"/>
                <w:szCs w:val="20"/>
              </w:rPr>
              <w:t xml:space="preserve"> </w:t>
            </w:r>
            <w:r w:rsidRPr="00DF1884">
              <w:rPr>
                <w:rFonts w:cs="Arial"/>
                <w:szCs w:val="20"/>
              </w:rPr>
              <w:t>of</w:t>
            </w:r>
            <w:r w:rsidR="00DF1884" w:rsidRPr="00DF1884">
              <w:rPr>
                <w:rFonts w:cs="Arial"/>
                <w:szCs w:val="20"/>
              </w:rPr>
              <w:t xml:space="preserve"> </w:t>
            </w:r>
            <w:r w:rsidRPr="00DF1884">
              <w:rPr>
                <w:rFonts w:cs="Arial"/>
                <w:szCs w:val="20"/>
              </w:rPr>
              <w:t>the</w:t>
            </w:r>
            <w:r w:rsidR="00DF1884" w:rsidRPr="00DF1884">
              <w:rPr>
                <w:rFonts w:cs="Arial"/>
                <w:szCs w:val="20"/>
              </w:rPr>
              <w:t xml:space="preserve"> </w:t>
            </w:r>
            <w:r w:rsidRPr="00DF1884">
              <w:rPr>
                <w:rFonts w:cs="Arial"/>
                <w:szCs w:val="20"/>
              </w:rPr>
              <w:t>risk</w:t>
            </w:r>
            <w:r w:rsidR="00DF1884" w:rsidRPr="00DF1884">
              <w:rPr>
                <w:rFonts w:cs="Arial"/>
                <w:szCs w:val="20"/>
              </w:rPr>
              <w:t xml:space="preserve"> </w:t>
            </w:r>
            <w:r w:rsidRPr="00DF1884">
              <w:rPr>
                <w:rFonts w:cs="Arial"/>
                <w:szCs w:val="20"/>
              </w:rPr>
              <w:t>adjustment</w:t>
            </w:r>
            <w:r w:rsidR="00DF1884" w:rsidRPr="00DF1884">
              <w:rPr>
                <w:rFonts w:cs="Arial"/>
                <w:szCs w:val="20"/>
              </w:rPr>
              <w:t xml:space="preserve"> </w:t>
            </w:r>
            <w:r w:rsidRPr="00DF1884">
              <w:rPr>
                <w:rFonts w:cs="Arial"/>
                <w:szCs w:val="20"/>
              </w:rPr>
              <w:t>model</w:t>
            </w:r>
            <w:r w:rsidR="00DF1884" w:rsidRPr="00DF1884">
              <w:rPr>
                <w:rFonts w:cs="Arial"/>
                <w:szCs w:val="20"/>
              </w:rPr>
              <w:t xml:space="preserve"> </w:t>
            </w:r>
            <w:r w:rsidRPr="00DF1884">
              <w:rPr>
                <w:rFonts w:cs="Arial"/>
                <w:szCs w:val="20"/>
              </w:rPr>
              <w:t>and</w:t>
            </w:r>
            <w:r w:rsidR="00DF1884" w:rsidRPr="00DF1884">
              <w:rPr>
                <w:rFonts w:cs="Arial"/>
                <w:szCs w:val="20"/>
              </w:rPr>
              <w:t xml:space="preserve"> </w:t>
            </w:r>
            <w:r w:rsidRPr="00DF1884">
              <w:rPr>
                <w:rFonts w:cs="Arial"/>
                <w:szCs w:val="20"/>
              </w:rPr>
              <w:t>that</w:t>
            </w:r>
            <w:r w:rsidR="00DF1884" w:rsidRPr="00DF1884">
              <w:rPr>
                <w:rFonts w:cs="Arial"/>
                <w:szCs w:val="20"/>
              </w:rPr>
              <w:t xml:space="preserve"> </w:t>
            </w:r>
            <w:r w:rsidRPr="00DF1884">
              <w:rPr>
                <w:rFonts w:cs="Arial"/>
                <w:szCs w:val="20"/>
              </w:rPr>
              <w:t>the</w:t>
            </w:r>
            <w:r w:rsidR="00DF1884" w:rsidRPr="00DF1884">
              <w:rPr>
                <w:rFonts w:cs="Arial"/>
                <w:szCs w:val="20"/>
              </w:rPr>
              <w:t xml:space="preserve"> </w:t>
            </w:r>
            <w:r w:rsidRPr="00DF1884">
              <w:rPr>
                <w:rFonts w:cs="Arial"/>
                <w:szCs w:val="20"/>
              </w:rPr>
              <w:t>measures</w:t>
            </w:r>
            <w:r w:rsidR="00DF1884" w:rsidRPr="00DF1884">
              <w:rPr>
                <w:rFonts w:cs="Arial"/>
                <w:szCs w:val="20"/>
              </w:rPr>
              <w:t xml:space="preserve"> </w:t>
            </w:r>
            <w:r w:rsidRPr="00DF1884">
              <w:rPr>
                <w:rFonts w:cs="Arial"/>
                <w:szCs w:val="20"/>
              </w:rPr>
              <w:t>can</w:t>
            </w:r>
            <w:r w:rsidR="00DF1884" w:rsidRPr="00DF1884">
              <w:rPr>
                <w:rFonts w:cs="Arial"/>
                <w:szCs w:val="20"/>
              </w:rPr>
              <w:t xml:space="preserve"> </w:t>
            </w:r>
            <w:r w:rsidRPr="00DF1884">
              <w:rPr>
                <w:rFonts w:cs="Arial"/>
                <w:szCs w:val="20"/>
              </w:rPr>
              <w:t>help</w:t>
            </w:r>
            <w:r w:rsidR="00DF1884" w:rsidRPr="00DF1884">
              <w:rPr>
                <w:rFonts w:cs="Arial"/>
                <w:szCs w:val="20"/>
              </w:rPr>
              <w:t xml:space="preserve"> </w:t>
            </w:r>
            <w:r w:rsidRPr="00DF1884">
              <w:rPr>
                <w:rFonts w:cs="Arial"/>
                <w:szCs w:val="20"/>
              </w:rPr>
              <w:t>identify</w:t>
            </w:r>
            <w:r w:rsidR="00DF1884" w:rsidRPr="00DF1884">
              <w:rPr>
                <w:rFonts w:cs="Arial"/>
                <w:szCs w:val="20"/>
              </w:rPr>
              <w:t xml:space="preserve"> </w:t>
            </w:r>
            <w:r w:rsidRPr="00DF1884">
              <w:rPr>
                <w:rFonts w:cs="Arial"/>
                <w:szCs w:val="20"/>
              </w:rPr>
              <w:t>opportunities</w:t>
            </w:r>
            <w:r w:rsidR="00DF1884" w:rsidRPr="00DF1884">
              <w:rPr>
                <w:rFonts w:cs="Arial"/>
                <w:szCs w:val="20"/>
              </w:rPr>
              <w:t xml:space="preserve"> </w:t>
            </w:r>
            <w:r w:rsidRPr="00DF1884">
              <w:rPr>
                <w:rFonts w:cs="Arial"/>
                <w:szCs w:val="20"/>
              </w:rPr>
              <w:t>for</w:t>
            </w:r>
            <w:r w:rsidR="00DF1884" w:rsidRPr="00DF1884">
              <w:rPr>
                <w:rFonts w:cs="Arial"/>
                <w:szCs w:val="20"/>
              </w:rPr>
              <w:t xml:space="preserve"> </w:t>
            </w:r>
            <w:r w:rsidRPr="00DF1884">
              <w:rPr>
                <w:rFonts w:cs="Arial"/>
                <w:szCs w:val="20"/>
              </w:rPr>
              <w:t>quality</w:t>
            </w:r>
            <w:r w:rsidR="00DF1884" w:rsidRPr="00DF1884">
              <w:rPr>
                <w:rFonts w:cs="Arial"/>
                <w:szCs w:val="20"/>
              </w:rPr>
              <w:t xml:space="preserve"> </w:t>
            </w:r>
            <w:r w:rsidRPr="00DF1884">
              <w:rPr>
                <w:rFonts w:cs="Arial"/>
                <w:szCs w:val="20"/>
              </w:rPr>
              <w:t>improvement.</w:t>
            </w:r>
          </w:p>
        </w:tc>
      </w:tr>
      <w:tr w:rsidR="00DF0A7F" w:rsidRPr="00DF1884" w14:paraId="71706DC9" w14:textId="77777777" w:rsidTr="00AA4CD6">
        <w:tc>
          <w:tcPr>
            <w:tcW w:w="1866" w:type="dxa"/>
            <w:tcMar>
              <w:left w:w="115" w:type="dxa"/>
              <w:right w:w="115" w:type="dxa"/>
            </w:tcMar>
          </w:tcPr>
          <w:p w14:paraId="4B2D45FD" w14:textId="24ECDA2B" w:rsidR="00DF0A7F" w:rsidRPr="00DF1884" w:rsidRDefault="00DF0A7F" w:rsidP="00AA4CD6">
            <w:pPr>
              <w:pStyle w:val="MarginSubhead"/>
            </w:pPr>
            <w:r w:rsidRPr="00DF1884">
              <w:t>Potential</w:t>
            </w:r>
            <w:r w:rsidR="00DF1884" w:rsidRPr="00DF1884">
              <w:t xml:space="preserve"> </w:t>
            </w:r>
            <w:r w:rsidRPr="00DF1884">
              <w:t>for</w:t>
            </w:r>
            <w:r w:rsidR="00DF1884" w:rsidRPr="00DF1884">
              <w:t xml:space="preserve"> </w:t>
            </w:r>
            <w:r w:rsidRPr="00DF1884">
              <w:t>improvement</w:t>
            </w:r>
          </w:p>
        </w:tc>
        <w:tc>
          <w:tcPr>
            <w:tcW w:w="8075" w:type="dxa"/>
            <w:gridSpan w:val="2"/>
            <w:tcMar>
              <w:left w:w="115" w:type="dxa"/>
              <w:right w:w="115" w:type="dxa"/>
            </w:tcMar>
          </w:tcPr>
          <w:p w14:paraId="22E2CA1D" w14:textId="090D94D5" w:rsidR="00DF0A7F" w:rsidRPr="00DF1884" w:rsidRDefault="00DF0A7F" w:rsidP="00AA4CD6">
            <w:pPr>
              <w:pStyle w:val="Body"/>
            </w:pPr>
            <w:r w:rsidRPr="00DF1884">
              <w:rPr>
                <w:szCs w:val="20"/>
              </w:rPr>
              <w:t>The</w:t>
            </w:r>
            <w:r w:rsidR="00DF1884" w:rsidRPr="00DF1884">
              <w:rPr>
                <w:szCs w:val="20"/>
              </w:rPr>
              <w:t xml:space="preserve"> </w:t>
            </w:r>
            <w:r w:rsidRPr="00DF1884">
              <w:rPr>
                <w:szCs w:val="20"/>
              </w:rPr>
              <w:t>aim</w:t>
            </w:r>
            <w:r w:rsidR="00DF1884" w:rsidRPr="00DF1884">
              <w:rPr>
                <w:szCs w:val="20"/>
              </w:rPr>
              <w:t xml:space="preserve"> </w:t>
            </w:r>
            <w:r w:rsidRPr="00DF1884">
              <w:rPr>
                <w:szCs w:val="20"/>
              </w:rPr>
              <w:t>of</w:t>
            </w:r>
            <w:r w:rsidR="00DF1884" w:rsidRPr="00DF1884">
              <w:rPr>
                <w:szCs w:val="20"/>
              </w:rPr>
              <w:t xml:space="preserve"> </w:t>
            </w:r>
            <w:r w:rsidRPr="00DF1884">
              <w:rPr>
                <w:szCs w:val="20"/>
              </w:rPr>
              <w:t>applying</w:t>
            </w:r>
            <w:r w:rsidR="00DF1884" w:rsidRPr="00DF1884">
              <w:rPr>
                <w:szCs w:val="20"/>
              </w:rPr>
              <w:t xml:space="preserve"> </w:t>
            </w:r>
            <w:r w:rsidRPr="00DF1884">
              <w:rPr>
                <w:szCs w:val="20"/>
              </w:rPr>
              <w:t>a</w:t>
            </w:r>
            <w:r w:rsidR="00DF1884" w:rsidRPr="00DF1884">
              <w:rPr>
                <w:szCs w:val="20"/>
              </w:rPr>
              <w:t xml:space="preserve"> </w:t>
            </w:r>
            <w:r w:rsidRPr="00DF1884">
              <w:rPr>
                <w:szCs w:val="20"/>
              </w:rPr>
              <w:t>risk</w:t>
            </w:r>
            <w:r w:rsidR="00DF1884" w:rsidRPr="00DF1884">
              <w:rPr>
                <w:szCs w:val="20"/>
              </w:rPr>
              <w:t xml:space="preserve"> </w:t>
            </w:r>
            <w:r w:rsidRPr="00DF1884">
              <w:rPr>
                <w:szCs w:val="20"/>
              </w:rPr>
              <w:t>adjustment</w:t>
            </w:r>
            <w:r w:rsidR="00DF1884" w:rsidRPr="00DF1884">
              <w:rPr>
                <w:szCs w:val="20"/>
              </w:rPr>
              <w:t xml:space="preserve"> </w:t>
            </w:r>
            <w:r w:rsidRPr="00DF1884">
              <w:rPr>
                <w:szCs w:val="20"/>
              </w:rPr>
              <w:t>strategy</w:t>
            </w:r>
            <w:r w:rsidR="00DF1884" w:rsidRPr="00DF1884">
              <w:rPr>
                <w:szCs w:val="20"/>
              </w:rPr>
              <w:t xml:space="preserve"> </w:t>
            </w:r>
            <w:r w:rsidRPr="00DF1884">
              <w:rPr>
                <w:szCs w:val="20"/>
              </w:rPr>
              <w:t>to</w:t>
            </w:r>
            <w:r w:rsidR="00DF1884" w:rsidRPr="00DF1884">
              <w:rPr>
                <w:szCs w:val="20"/>
              </w:rPr>
              <w:t xml:space="preserve"> </w:t>
            </w:r>
            <w:r w:rsidRPr="00DF1884">
              <w:rPr>
                <w:szCs w:val="20"/>
              </w:rPr>
              <w:t>this</w:t>
            </w:r>
            <w:r w:rsidR="00DF1884" w:rsidRPr="00DF1884">
              <w:rPr>
                <w:szCs w:val="20"/>
              </w:rPr>
              <w:t xml:space="preserve"> </w:t>
            </w:r>
            <w:r w:rsidRPr="00DF1884">
              <w:rPr>
                <w:szCs w:val="20"/>
              </w:rPr>
              <w:t>utilization</w:t>
            </w:r>
            <w:r w:rsidR="00DF1884" w:rsidRPr="00DF1884">
              <w:rPr>
                <w:szCs w:val="20"/>
              </w:rPr>
              <w:t xml:space="preserve"> </w:t>
            </w:r>
            <w:r w:rsidRPr="00DF1884">
              <w:rPr>
                <w:szCs w:val="20"/>
              </w:rPr>
              <w:t>measure</w:t>
            </w:r>
            <w:r w:rsidR="00DF1884" w:rsidRPr="00DF1884">
              <w:rPr>
                <w:szCs w:val="20"/>
              </w:rPr>
              <w:t xml:space="preserve"> </w:t>
            </w:r>
            <w:r w:rsidRPr="00DF1884">
              <w:rPr>
                <w:szCs w:val="20"/>
              </w:rPr>
              <w:t>is</w:t>
            </w:r>
            <w:r w:rsidR="00DF1884" w:rsidRPr="00DF1884">
              <w:rPr>
                <w:szCs w:val="20"/>
              </w:rPr>
              <w:t xml:space="preserve"> </w:t>
            </w:r>
            <w:r w:rsidRPr="00DF1884">
              <w:rPr>
                <w:szCs w:val="20"/>
              </w:rPr>
              <w:t>to</w:t>
            </w:r>
            <w:r w:rsidR="00DF1884" w:rsidRPr="00DF1884">
              <w:rPr>
                <w:szCs w:val="20"/>
              </w:rPr>
              <w:t xml:space="preserve"> </w:t>
            </w:r>
            <w:r w:rsidRPr="00DF1884">
              <w:rPr>
                <w:szCs w:val="20"/>
              </w:rPr>
              <w:t>allow</w:t>
            </w:r>
            <w:r w:rsidR="00DF1884" w:rsidRPr="00DF1884">
              <w:rPr>
                <w:szCs w:val="20"/>
              </w:rPr>
              <w:t xml:space="preserve"> </w:t>
            </w:r>
            <w:r w:rsidRPr="00DF1884">
              <w:rPr>
                <w:szCs w:val="20"/>
              </w:rPr>
              <w:t>better</w:t>
            </w:r>
            <w:r w:rsidR="00DF1884" w:rsidRPr="00DF1884">
              <w:rPr>
                <w:szCs w:val="20"/>
              </w:rPr>
              <w:t xml:space="preserve"> </w:t>
            </w:r>
            <w:r w:rsidRPr="00DF1884">
              <w:rPr>
                <w:szCs w:val="20"/>
              </w:rPr>
              <w:t>comparison</w:t>
            </w:r>
            <w:r w:rsidR="00DF1884" w:rsidRPr="00DF1884">
              <w:rPr>
                <w:szCs w:val="20"/>
              </w:rPr>
              <w:t xml:space="preserve"> </w:t>
            </w:r>
            <w:r w:rsidRPr="00DF1884">
              <w:rPr>
                <w:szCs w:val="20"/>
              </w:rPr>
              <w:t>of</w:t>
            </w:r>
            <w:r w:rsidR="00DF1884" w:rsidRPr="00DF1884">
              <w:rPr>
                <w:szCs w:val="20"/>
              </w:rPr>
              <w:t xml:space="preserve"> </w:t>
            </w:r>
            <w:r w:rsidRPr="00DF1884">
              <w:rPr>
                <w:szCs w:val="20"/>
              </w:rPr>
              <w:t>ED</w:t>
            </w:r>
            <w:r w:rsidR="00DF1884" w:rsidRPr="00DF1884">
              <w:rPr>
                <w:szCs w:val="20"/>
              </w:rPr>
              <w:t xml:space="preserve"> </w:t>
            </w:r>
            <w:r w:rsidRPr="00DF1884">
              <w:rPr>
                <w:szCs w:val="20"/>
              </w:rPr>
              <w:t>use</w:t>
            </w:r>
            <w:r w:rsidR="00DF1884" w:rsidRPr="00DF1884">
              <w:rPr>
                <w:szCs w:val="20"/>
              </w:rPr>
              <w:t xml:space="preserve"> </w:t>
            </w:r>
            <w:r w:rsidRPr="00DF1884">
              <w:rPr>
                <w:szCs w:val="20"/>
              </w:rPr>
              <w:t>across</w:t>
            </w:r>
            <w:r w:rsidR="00DF1884" w:rsidRPr="00DF1884">
              <w:rPr>
                <w:szCs w:val="20"/>
              </w:rPr>
              <w:t xml:space="preserve"> </w:t>
            </w:r>
            <w:r w:rsidRPr="00DF1884">
              <w:rPr>
                <w:szCs w:val="20"/>
              </w:rPr>
              <w:t>health</w:t>
            </w:r>
            <w:r w:rsidR="00DF1884" w:rsidRPr="00DF1884">
              <w:rPr>
                <w:szCs w:val="20"/>
              </w:rPr>
              <w:t xml:space="preserve"> </w:t>
            </w:r>
            <w:r w:rsidRPr="00DF1884">
              <w:rPr>
                <w:szCs w:val="20"/>
              </w:rPr>
              <w:t>plans</w:t>
            </w:r>
            <w:r w:rsidR="00DF1884" w:rsidRPr="00DF1884">
              <w:rPr>
                <w:szCs w:val="20"/>
              </w:rPr>
              <w:t xml:space="preserve"> </w:t>
            </w:r>
            <w:r w:rsidRPr="00DF1884">
              <w:rPr>
                <w:szCs w:val="20"/>
              </w:rPr>
              <w:t>and</w:t>
            </w:r>
            <w:r w:rsidR="00DF1884" w:rsidRPr="00DF1884">
              <w:rPr>
                <w:szCs w:val="20"/>
              </w:rPr>
              <w:t xml:space="preserve"> </w:t>
            </w:r>
            <w:r w:rsidRPr="00DF1884">
              <w:rPr>
                <w:szCs w:val="20"/>
              </w:rPr>
              <w:t>to</w:t>
            </w:r>
            <w:r w:rsidR="00DF1884" w:rsidRPr="00DF1884">
              <w:rPr>
                <w:szCs w:val="20"/>
              </w:rPr>
              <w:t xml:space="preserve"> </w:t>
            </w:r>
            <w:r w:rsidRPr="00DF1884">
              <w:rPr>
                <w:szCs w:val="20"/>
              </w:rPr>
              <w:t>create</w:t>
            </w:r>
            <w:r w:rsidR="00DF1884" w:rsidRPr="00DF1884">
              <w:rPr>
                <w:szCs w:val="20"/>
              </w:rPr>
              <w:t xml:space="preserve"> </w:t>
            </w:r>
            <w:r w:rsidRPr="00DF1884">
              <w:rPr>
                <w:szCs w:val="20"/>
              </w:rPr>
              <w:t>an</w:t>
            </w:r>
            <w:r w:rsidR="00DF1884" w:rsidRPr="00DF1884">
              <w:rPr>
                <w:szCs w:val="20"/>
              </w:rPr>
              <w:t xml:space="preserve"> </w:t>
            </w:r>
            <w:r w:rsidRPr="00DF1884">
              <w:rPr>
                <w:szCs w:val="20"/>
              </w:rPr>
              <w:t>“even</w:t>
            </w:r>
            <w:r w:rsidR="00DF1884" w:rsidRPr="00DF1884">
              <w:rPr>
                <w:szCs w:val="20"/>
              </w:rPr>
              <w:t xml:space="preserve"> </w:t>
            </w:r>
            <w:r w:rsidRPr="00DF1884">
              <w:rPr>
                <w:szCs w:val="20"/>
              </w:rPr>
              <w:t>playing</w:t>
            </w:r>
            <w:r w:rsidR="00DF1884" w:rsidRPr="00DF1884">
              <w:rPr>
                <w:szCs w:val="20"/>
              </w:rPr>
              <w:t xml:space="preserve"> </w:t>
            </w:r>
            <w:r w:rsidRPr="00DF1884">
              <w:rPr>
                <w:szCs w:val="20"/>
              </w:rPr>
              <w:t>field”</w:t>
            </w:r>
            <w:r w:rsidR="00DF1884" w:rsidRPr="00DF1884">
              <w:rPr>
                <w:szCs w:val="20"/>
              </w:rPr>
              <w:t xml:space="preserve"> </w:t>
            </w:r>
            <w:r w:rsidRPr="00DF1884">
              <w:rPr>
                <w:szCs w:val="20"/>
              </w:rPr>
              <w:t>by</w:t>
            </w:r>
            <w:r w:rsidR="00DF1884" w:rsidRPr="00DF1884">
              <w:rPr>
                <w:szCs w:val="20"/>
              </w:rPr>
              <w:t xml:space="preserve"> </w:t>
            </w:r>
            <w:r w:rsidRPr="00DF1884">
              <w:rPr>
                <w:szCs w:val="20"/>
              </w:rPr>
              <w:t>removing</w:t>
            </w:r>
            <w:r w:rsidR="00DF1884" w:rsidRPr="00DF1884">
              <w:rPr>
                <w:szCs w:val="20"/>
              </w:rPr>
              <w:t xml:space="preserve"> </w:t>
            </w:r>
            <w:r w:rsidRPr="00DF1884">
              <w:rPr>
                <w:szCs w:val="20"/>
              </w:rPr>
              <w:t>the</w:t>
            </w:r>
            <w:r w:rsidR="00DF1884" w:rsidRPr="00DF1884">
              <w:rPr>
                <w:szCs w:val="20"/>
              </w:rPr>
              <w:t xml:space="preserve"> </w:t>
            </w:r>
            <w:r w:rsidRPr="00DF1884">
              <w:rPr>
                <w:szCs w:val="20"/>
              </w:rPr>
              <w:t>effect</w:t>
            </w:r>
            <w:r w:rsidR="00DF1884" w:rsidRPr="00DF1884">
              <w:rPr>
                <w:szCs w:val="20"/>
              </w:rPr>
              <w:t xml:space="preserve"> </w:t>
            </w:r>
            <w:r w:rsidRPr="00DF1884">
              <w:rPr>
                <w:szCs w:val="20"/>
              </w:rPr>
              <w:t>of</w:t>
            </w:r>
            <w:r w:rsidR="00DF1884" w:rsidRPr="00DF1884">
              <w:rPr>
                <w:szCs w:val="20"/>
              </w:rPr>
              <w:t xml:space="preserve"> </w:t>
            </w:r>
            <w:r w:rsidRPr="00DF1884">
              <w:rPr>
                <w:szCs w:val="20"/>
              </w:rPr>
              <w:t>select</w:t>
            </w:r>
            <w:r w:rsidR="00DF1884" w:rsidRPr="00DF1884">
              <w:rPr>
                <w:szCs w:val="20"/>
              </w:rPr>
              <w:t xml:space="preserve"> </w:t>
            </w:r>
            <w:r w:rsidRPr="00DF1884">
              <w:rPr>
                <w:szCs w:val="20"/>
              </w:rPr>
              <w:t>patient</w:t>
            </w:r>
            <w:r w:rsidR="00DF1884" w:rsidRPr="00DF1884">
              <w:rPr>
                <w:szCs w:val="20"/>
              </w:rPr>
              <w:t xml:space="preserve"> </w:t>
            </w:r>
            <w:r w:rsidRPr="00DF1884">
              <w:rPr>
                <w:szCs w:val="20"/>
              </w:rPr>
              <w:t>characteristics</w:t>
            </w:r>
            <w:r w:rsidR="00DF1884" w:rsidRPr="00DF1884">
              <w:rPr>
                <w:szCs w:val="20"/>
              </w:rPr>
              <w:t xml:space="preserve"> </w:t>
            </w:r>
            <w:r w:rsidRPr="00DF1884">
              <w:rPr>
                <w:szCs w:val="20"/>
              </w:rPr>
              <w:t>and</w:t>
            </w:r>
            <w:r w:rsidR="00DF1884" w:rsidRPr="00DF1884">
              <w:rPr>
                <w:szCs w:val="20"/>
              </w:rPr>
              <w:t xml:space="preserve"> </w:t>
            </w:r>
            <w:r w:rsidRPr="00DF1884">
              <w:rPr>
                <w:szCs w:val="20"/>
              </w:rPr>
              <w:t>health</w:t>
            </w:r>
            <w:r w:rsidR="00DF1884" w:rsidRPr="00DF1884">
              <w:rPr>
                <w:szCs w:val="20"/>
              </w:rPr>
              <w:t xml:space="preserve"> </w:t>
            </w:r>
            <w:r w:rsidRPr="00DF1884">
              <w:rPr>
                <w:szCs w:val="20"/>
              </w:rPr>
              <w:t>status</w:t>
            </w:r>
            <w:r w:rsidR="00DF1884" w:rsidRPr="00DF1884">
              <w:rPr>
                <w:szCs w:val="20"/>
              </w:rPr>
              <w:t xml:space="preserve"> </w:t>
            </w:r>
            <w:r w:rsidRPr="00DF1884">
              <w:rPr>
                <w:szCs w:val="20"/>
              </w:rPr>
              <w:t>differences</w:t>
            </w:r>
            <w:r w:rsidR="00DF1884" w:rsidRPr="00DF1884">
              <w:rPr>
                <w:szCs w:val="20"/>
              </w:rPr>
              <w:t xml:space="preserve"> </w:t>
            </w:r>
            <w:r w:rsidRPr="00DF1884">
              <w:rPr>
                <w:szCs w:val="20"/>
              </w:rPr>
              <w:t>on</w:t>
            </w:r>
            <w:r w:rsidR="00DF1884" w:rsidRPr="00DF1884">
              <w:rPr>
                <w:szCs w:val="20"/>
              </w:rPr>
              <w:t xml:space="preserve"> </w:t>
            </w:r>
            <w:r w:rsidRPr="00DF1884">
              <w:rPr>
                <w:szCs w:val="20"/>
              </w:rPr>
              <w:t>the</w:t>
            </w:r>
            <w:r w:rsidR="00DF1884" w:rsidRPr="00DF1884">
              <w:rPr>
                <w:szCs w:val="20"/>
              </w:rPr>
              <w:t xml:space="preserve"> </w:t>
            </w:r>
            <w:r w:rsidRPr="00DF1884">
              <w:rPr>
                <w:szCs w:val="20"/>
              </w:rPr>
              <w:t>reported</w:t>
            </w:r>
            <w:r w:rsidR="00DF1884" w:rsidRPr="00DF1884">
              <w:rPr>
                <w:szCs w:val="20"/>
              </w:rPr>
              <w:t xml:space="preserve"> </w:t>
            </w:r>
            <w:r w:rsidRPr="00DF1884">
              <w:rPr>
                <w:szCs w:val="20"/>
              </w:rPr>
              <w:t>results.</w:t>
            </w:r>
          </w:p>
        </w:tc>
      </w:tr>
    </w:tbl>
    <w:p w14:paraId="24A979A3" w14:textId="77777777" w:rsidR="00887F28" w:rsidRPr="00DF1884" w:rsidRDefault="00887F28" w:rsidP="00887F28">
      <w:pPr>
        <w:sectPr w:rsidR="00887F28" w:rsidRPr="00DF1884" w:rsidSect="0039781B">
          <w:pgSz w:w="12240" w:h="15840" w:code="1"/>
          <w:pgMar w:top="1080" w:right="1080" w:bottom="1080" w:left="1440" w:header="720" w:footer="720" w:gutter="0"/>
          <w:cols w:space="720"/>
        </w:sectPr>
      </w:pPr>
    </w:p>
    <w:p w14:paraId="01309B27" w14:textId="255D18E8" w:rsidR="00DF0A7F" w:rsidRPr="00DF1884" w:rsidRDefault="00DF0A7F" w:rsidP="00887F28">
      <w:pPr>
        <w:pStyle w:val="StdHead"/>
        <w:spacing w:before="0"/>
      </w:pPr>
      <w:r w:rsidRPr="00DF1884">
        <w:lastRenderedPageBreak/>
        <w:t>Scientific</w:t>
      </w:r>
      <w:r w:rsidR="00DF1884" w:rsidRPr="00DF1884">
        <w:t xml:space="preserve"> </w:t>
      </w:r>
      <w:r w:rsidRPr="00DF1884">
        <w:t>Soundness</w:t>
      </w:r>
    </w:p>
    <w:tbl>
      <w:tblPr>
        <w:tblW w:w="0" w:type="auto"/>
        <w:tblInd w:w="-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1956"/>
        <w:gridCol w:w="7985"/>
      </w:tblGrid>
      <w:tr w:rsidR="00DF0A7F" w:rsidRPr="00DF1884" w14:paraId="5DA54365" w14:textId="77777777" w:rsidTr="00AA4CD6">
        <w:tc>
          <w:tcPr>
            <w:tcW w:w="1956" w:type="dxa"/>
            <w:tcBorders>
              <w:top w:val="nil"/>
              <w:left w:val="nil"/>
              <w:bottom w:val="nil"/>
              <w:right w:val="nil"/>
            </w:tcBorders>
            <w:tcMar>
              <w:left w:w="115" w:type="dxa"/>
              <w:right w:w="115" w:type="dxa"/>
            </w:tcMar>
          </w:tcPr>
          <w:p w14:paraId="40BCE6A2" w14:textId="3C0CB0F9" w:rsidR="00DF0A7F" w:rsidRPr="00DF1884" w:rsidRDefault="00DF0A7F" w:rsidP="00AA4CD6">
            <w:pPr>
              <w:pStyle w:val="MarginSubhead"/>
            </w:pPr>
            <w:r w:rsidRPr="00DF1884">
              <w:t>Clinical</w:t>
            </w:r>
            <w:r w:rsidR="00DF1884" w:rsidRPr="00DF1884">
              <w:t xml:space="preserve"> </w:t>
            </w:r>
            <w:r w:rsidRPr="00DF1884">
              <w:t>importance</w:t>
            </w:r>
            <w:r w:rsidR="00DF1884" w:rsidRPr="00DF1884">
              <w:t xml:space="preserve"> </w:t>
            </w:r>
            <w:r w:rsidRPr="00DF1884">
              <w:br/>
              <w:t>and</w:t>
            </w:r>
            <w:r w:rsidR="00DF1884" w:rsidRPr="00DF1884">
              <w:t xml:space="preserve"> </w:t>
            </w:r>
            <w:r w:rsidRPr="00DF1884">
              <w:t>evidence</w:t>
            </w:r>
          </w:p>
        </w:tc>
        <w:tc>
          <w:tcPr>
            <w:tcW w:w="7985" w:type="dxa"/>
            <w:tcBorders>
              <w:top w:val="nil"/>
              <w:left w:val="nil"/>
              <w:bottom w:val="nil"/>
              <w:right w:val="nil"/>
            </w:tcBorders>
            <w:tcMar>
              <w:left w:w="115" w:type="dxa"/>
              <w:right w:w="115" w:type="dxa"/>
            </w:tcMar>
          </w:tcPr>
          <w:p w14:paraId="29E8A8ED" w14:textId="77777777" w:rsidR="00DF0A7F" w:rsidRPr="00DF1884" w:rsidRDefault="00DF0A7F" w:rsidP="00AA4CD6">
            <w:pPr>
              <w:pStyle w:val="Body"/>
              <w:rPr>
                <w:b/>
                <w:bCs/>
                <w:i/>
              </w:rPr>
            </w:pPr>
          </w:p>
        </w:tc>
      </w:tr>
      <w:tr w:rsidR="00DF0A7F" w:rsidRPr="00DF1884" w14:paraId="366F4BD0" w14:textId="77777777" w:rsidTr="00AA4CD6">
        <w:tc>
          <w:tcPr>
            <w:tcW w:w="1956" w:type="dxa"/>
            <w:tcBorders>
              <w:top w:val="nil"/>
              <w:left w:val="nil"/>
              <w:bottom w:val="nil"/>
              <w:right w:val="nil"/>
            </w:tcBorders>
            <w:tcMar>
              <w:left w:w="115" w:type="dxa"/>
              <w:right w:w="115" w:type="dxa"/>
            </w:tcMar>
          </w:tcPr>
          <w:p w14:paraId="2817557B" w14:textId="4398DA17" w:rsidR="00DF0A7F" w:rsidRPr="00DF1884" w:rsidRDefault="00DF0A7F" w:rsidP="00AA4CD6">
            <w:pPr>
              <w:pStyle w:val="MarginSubhead"/>
              <w:ind w:left="0"/>
              <w:jc w:val="right"/>
              <w:rPr>
                <w:i/>
                <w:highlight w:val="yellow"/>
              </w:rPr>
            </w:pPr>
            <w:r w:rsidRPr="00DF1884">
              <w:rPr>
                <w:i/>
              </w:rPr>
              <w:t>Guideline</w:t>
            </w:r>
            <w:r w:rsidR="00DF1884" w:rsidRPr="00DF1884">
              <w:rPr>
                <w:i/>
              </w:rPr>
              <w:t xml:space="preserve"> </w:t>
            </w:r>
            <w:r w:rsidRPr="00DF1884">
              <w:rPr>
                <w:i/>
              </w:rPr>
              <w:t>recommendations</w:t>
            </w:r>
          </w:p>
        </w:tc>
        <w:tc>
          <w:tcPr>
            <w:tcW w:w="7985" w:type="dxa"/>
            <w:tcBorders>
              <w:top w:val="nil"/>
              <w:left w:val="nil"/>
              <w:bottom w:val="nil"/>
              <w:right w:val="nil"/>
            </w:tcBorders>
            <w:tcMar>
              <w:left w:w="115" w:type="dxa"/>
              <w:right w:w="115" w:type="dxa"/>
            </w:tcMar>
          </w:tcPr>
          <w:p w14:paraId="223716B8" w14:textId="4945EDA6" w:rsidR="00DF0A7F" w:rsidRPr="00DF1884" w:rsidRDefault="00DF0A7F" w:rsidP="00AA4CD6">
            <w:pPr>
              <w:pStyle w:val="Body"/>
              <w:rPr>
                <w:highlight w:val="yellow"/>
              </w:rPr>
            </w:pPr>
            <w:r w:rsidRPr="00DF1884">
              <w:rPr>
                <w:rFonts w:eastAsiaTheme="minorHAnsi" w:cs="Arial"/>
                <w:szCs w:val="20"/>
              </w:rPr>
              <w:t>It</w:t>
            </w:r>
            <w:r w:rsidR="00DF1884" w:rsidRPr="00DF1884">
              <w:rPr>
                <w:rFonts w:eastAsiaTheme="minorHAnsi" w:cs="Arial"/>
                <w:szCs w:val="20"/>
              </w:rPr>
              <w:t xml:space="preserve"> </w:t>
            </w:r>
            <w:r w:rsidRPr="00DF1884">
              <w:rPr>
                <w:rFonts w:eastAsiaTheme="minorHAnsi" w:cs="Arial"/>
                <w:szCs w:val="20"/>
              </w:rPr>
              <w:t>is</w:t>
            </w:r>
            <w:r w:rsidR="00DF1884" w:rsidRPr="00DF1884">
              <w:rPr>
                <w:rFonts w:eastAsiaTheme="minorHAnsi" w:cs="Arial"/>
                <w:szCs w:val="20"/>
              </w:rPr>
              <w:t xml:space="preserve"> </w:t>
            </w:r>
            <w:r w:rsidRPr="00DF1884">
              <w:rPr>
                <w:rFonts w:eastAsiaTheme="minorHAnsi" w:cs="Arial"/>
                <w:szCs w:val="20"/>
              </w:rPr>
              <w:t>NCQA</w:t>
            </w:r>
            <w:r w:rsidR="00DF1884" w:rsidRPr="00DF1884">
              <w:rPr>
                <w:rFonts w:eastAsiaTheme="minorHAnsi" w:cs="Arial"/>
                <w:szCs w:val="20"/>
              </w:rPr>
              <w:t xml:space="preserve"> </w:t>
            </w:r>
            <w:r w:rsidRPr="00DF1884">
              <w:rPr>
                <w:rFonts w:eastAsiaTheme="minorHAnsi" w:cs="Arial"/>
                <w:szCs w:val="20"/>
              </w:rPr>
              <w:t>policy</w:t>
            </w:r>
            <w:r w:rsidR="00DF1884" w:rsidRPr="00DF1884">
              <w:rPr>
                <w:rFonts w:eastAsiaTheme="minorHAnsi" w:cs="Arial"/>
                <w:szCs w:val="20"/>
              </w:rPr>
              <w:t xml:space="preserve"> </w:t>
            </w:r>
            <w:r w:rsidRPr="00DF1884">
              <w:rPr>
                <w:rFonts w:eastAsiaTheme="minorHAnsi" w:cs="Arial"/>
                <w:szCs w:val="20"/>
              </w:rPr>
              <w:t>to</w:t>
            </w:r>
            <w:r w:rsidR="00DF1884" w:rsidRPr="00DF1884">
              <w:rPr>
                <w:rFonts w:eastAsiaTheme="minorHAnsi" w:cs="Arial"/>
                <w:szCs w:val="20"/>
              </w:rPr>
              <w:t xml:space="preserve"> </w:t>
            </w:r>
            <w:r w:rsidRPr="00DF1884">
              <w:rPr>
                <w:rFonts w:eastAsiaTheme="minorHAnsi" w:cs="Arial"/>
                <w:szCs w:val="20"/>
              </w:rPr>
              <w:t>use</w:t>
            </w:r>
            <w:r w:rsidR="00DF1884" w:rsidRPr="00DF1884">
              <w:rPr>
                <w:rFonts w:eastAsiaTheme="minorHAnsi" w:cs="Arial"/>
                <w:szCs w:val="20"/>
              </w:rPr>
              <w:t xml:space="preserve"> </w:t>
            </w:r>
            <w:r w:rsidRPr="00DF1884">
              <w:rPr>
                <w:rFonts w:eastAsiaTheme="minorHAnsi" w:cs="Arial"/>
                <w:szCs w:val="20"/>
              </w:rPr>
              <w:t>guidelines</w:t>
            </w:r>
            <w:r w:rsidR="00DF1884" w:rsidRPr="00DF1884">
              <w:rPr>
                <w:rFonts w:eastAsiaTheme="minorHAnsi" w:cs="Arial"/>
                <w:szCs w:val="20"/>
              </w:rPr>
              <w:t xml:space="preserve"> </w:t>
            </w:r>
            <w:r w:rsidRPr="00DF1884">
              <w:rPr>
                <w:rFonts w:eastAsiaTheme="minorHAnsi" w:cs="Arial"/>
                <w:szCs w:val="20"/>
              </w:rPr>
              <w:t>which</w:t>
            </w:r>
            <w:r w:rsidR="00DF1884" w:rsidRPr="00DF1884">
              <w:rPr>
                <w:rFonts w:eastAsiaTheme="minorHAnsi" w:cs="Arial"/>
                <w:szCs w:val="20"/>
              </w:rPr>
              <w:t xml:space="preserve"> </w:t>
            </w:r>
            <w:r w:rsidRPr="00DF1884">
              <w:rPr>
                <w:rFonts w:eastAsiaTheme="minorHAnsi" w:cs="Arial"/>
                <w:szCs w:val="20"/>
              </w:rPr>
              <w:t>are</w:t>
            </w:r>
            <w:r w:rsidR="00DF1884" w:rsidRPr="00DF1884">
              <w:rPr>
                <w:rFonts w:eastAsiaTheme="minorHAnsi" w:cs="Arial"/>
                <w:szCs w:val="20"/>
              </w:rPr>
              <w:t xml:space="preserve"> </w:t>
            </w:r>
            <w:r w:rsidRPr="00DF1884">
              <w:rPr>
                <w:rFonts w:eastAsiaTheme="minorHAnsi" w:cs="Arial"/>
                <w:szCs w:val="20"/>
              </w:rPr>
              <w:t>evidence-based,</w:t>
            </w:r>
            <w:r w:rsidR="00DF1884" w:rsidRPr="00DF1884">
              <w:rPr>
                <w:rFonts w:eastAsiaTheme="minorHAnsi" w:cs="Arial"/>
                <w:szCs w:val="20"/>
              </w:rPr>
              <w:t xml:space="preserve"> </w:t>
            </w:r>
            <w:r w:rsidRPr="00DF1884">
              <w:rPr>
                <w:rFonts w:eastAsiaTheme="minorHAnsi" w:cs="Arial"/>
                <w:szCs w:val="20"/>
              </w:rPr>
              <w:t>applicable</w:t>
            </w:r>
            <w:r w:rsidR="00DF1884" w:rsidRPr="00DF1884">
              <w:rPr>
                <w:rFonts w:eastAsiaTheme="minorHAnsi" w:cs="Arial"/>
                <w:szCs w:val="20"/>
              </w:rPr>
              <w:t xml:space="preserve"> </w:t>
            </w:r>
            <w:r w:rsidRPr="00DF1884">
              <w:rPr>
                <w:rFonts w:eastAsiaTheme="minorHAnsi" w:cs="Arial"/>
                <w:szCs w:val="20"/>
              </w:rPr>
              <w:t>to</w:t>
            </w:r>
            <w:r w:rsidR="00DF1884" w:rsidRPr="00DF1884">
              <w:rPr>
                <w:rFonts w:eastAsiaTheme="minorHAnsi" w:cs="Arial"/>
                <w:szCs w:val="20"/>
              </w:rPr>
              <w:t xml:space="preserve"> </w:t>
            </w:r>
            <w:r w:rsidRPr="00DF1884">
              <w:rPr>
                <w:rFonts w:eastAsiaTheme="minorHAnsi" w:cs="Arial"/>
                <w:szCs w:val="20"/>
              </w:rPr>
              <w:t>physicians</w:t>
            </w:r>
            <w:r w:rsidR="00DF1884" w:rsidRPr="00DF1884">
              <w:rPr>
                <w:rFonts w:eastAsiaTheme="minorHAnsi" w:cs="Arial"/>
                <w:szCs w:val="20"/>
              </w:rPr>
              <w:t xml:space="preserve"> </w:t>
            </w:r>
            <w:r w:rsidRPr="00DF1884">
              <w:rPr>
                <w:rFonts w:eastAsiaTheme="minorHAnsi" w:cs="Arial"/>
                <w:szCs w:val="20"/>
              </w:rPr>
              <w:t>and</w:t>
            </w:r>
            <w:r w:rsidR="00DF1884" w:rsidRPr="00DF1884">
              <w:rPr>
                <w:rFonts w:eastAsiaTheme="minorHAnsi" w:cs="Arial"/>
                <w:szCs w:val="20"/>
              </w:rPr>
              <w:t xml:space="preserve"> </w:t>
            </w:r>
            <w:r w:rsidRPr="00DF1884">
              <w:rPr>
                <w:rFonts w:eastAsiaTheme="minorHAnsi" w:cs="Arial"/>
                <w:szCs w:val="20"/>
              </w:rPr>
              <w:t>other</w:t>
            </w:r>
            <w:r w:rsidR="00DF1884" w:rsidRPr="00DF1884">
              <w:rPr>
                <w:rFonts w:eastAsiaTheme="minorHAnsi" w:cs="Arial"/>
                <w:szCs w:val="20"/>
              </w:rPr>
              <w:t xml:space="preserve"> </w:t>
            </w:r>
            <w:r w:rsidRPr="00DF1884">
              <w:rPr>
                <w:rFonts w:eastAsiaTheme="minorHAnsi" w:cs="Arial"/>
                <w:szCs w:val="20"/>
              </w:rPr>
              <w:t>healthcare</w:t>
            </w:r>
            <w:r w:rsidR="00DF1884" w:rsidRPr="00DF1884">
              <w:rPr>
                <w:rFonts w:eastAsiaTheme="minorHAnsi" w:cs="Arial"/>
                <w:szCs w:val="20"/>
              </w:rPr>
              <w:t xml:space="preserve"> </w:t>
            </w:r>
            <w:r w:rsidRPr="00DF1884">
              <w:rPr>
                <w:rFonts w:eastAsiaTheme="minorHAnsi" w:cs="Arial"/>
                <w:szCs w:val="20"/>
              </w:rPr>
              <w:t>providers,</w:t>
            </w:r>
            <w:r w:rsidR="00DF1884" w:rsidRPr="00DF1884">
              <w:rPr>
                <w:rFonts w:eastAsiaTheme="minorHAnsi" w:cs="Arial"/>
                <w:szCs w:val="20"/>
              </w:rPr>
              <w:t xml:space="preserve"> </w:t>
            </w:r>
            <w:r w:rsidRPr="00DF1884">
              <w:rPr>
                <w:rFonts w:eastAsiaTheme="minorHAnsi" w:cs="Arial"/>
                <w:szCs w:val="20"/>
              </w:rPr>
              <w:t>and</w:t>
            </w:r>
            <w:r w:rsidR="00DF1884" w:rsidRPr="00DF1884">
              <w:rPr>
                <w:rFonts w:eastAsiaTheme="minorHAnsi" w:cs="Arial"/>
                <w:szCs w:val="20"/>
              </w:rPr>
              <w:t xml:space="preserve"> </w:t>
            </w:r>
            <w:r w:rsidRPr="00DF1884">
              <w:rPr>
                <w:rFonts w:eastAsiaTheme="minorHAnsi" w:cs="Arial"/>
                <w:szCs w:val="20"/>
              </w:rPr>
              <w:t>developed</w:t>
            </w:r>
            <w:r w:rsidR="00DF1884" w:rsidRPr="00DF1884">
              <w:rPr>
                <w:rFonts w:eastAsiaTheme="minorHAnsi" w:cs="Arial"/>
                <w:szCs w:val="20"/>
              </w:rPr>
              <w:t xml:space="preserve"> </w:t>
            </w:r>
            <w:r w:rsidRPr="00DF1884">
              <w:rPr>
                <w:rFonts w:eastAsiaTheme="minorHAnsi" w:cs="Arial"/>
                <w:szCs w:val="20"/>
              </w:rPr>
              <w:t>by</w:t>
            </w:r>
            <w:r w:rsidR="00DF1884" w:rsidRPr="00DF1884">
              <w:rPr>
                <w:rFonts w:eastAsiaTheme="minorHAnsi" w:cs="Arial"/>
                <w:szCs w:val="20"/>
              </w:rPr>
              <w:t xml:space="preserve"> </w:t>
            </w:r>
            <w:r w:rsidRPr="00DF1884">
              <w:rPr>
                <w:rFonts w:eastAsiaTheme="minorHAnsi" w:cs="Arial"/>
                <w:szCs w:val="20"/>
              </w:rPr>
              <w:t>a</w:t>
            </w:r>
            <w:r w:rsidR="00DF1884" w:rsidRPr="00DF1884">
              <w:rPr>
                <w:rFonts w:eastAsiaTheme="minorHAnsi" w:cs="Arial"/>
                <w:szCs w:val="20"/>
              </w:rPr>
              <w:t xml:space="preserve"> </w:t>
            </w:r>
            <w:r w:rsidRPr="00DF1884">
              <w:rPr>
                <w:rFonts w:eastAsiaTheme="minorHAnsi" w:cs="Arial"/>
                <w:szCs w:val="20"/>
              </w:rPr>
              <w:t>national</w:t>
            </w:r>
            <w:r w:rsidR="00DF1884" w:rsidRPr="00DF1884">
              <w:rPr>
                <w:rFonts w:eastAsiaTheme="minorHAnsi" w:cs="Arial"/>
                <w:szCs w:val="20"/>
              </w:rPr>
              <w:t xml:space="preserve"> </w:t>
            </w:r>
            <w:r w:rsidRPr="00DF1884">
              <w:rPr>
                <w:rFonts w:eastAsiaTheme="minorHAnsi" w:cs="Arial"/>
                <w:szCs w:val="20"/>
              </w:rPr>
              <w:t>specialty</w:t>
            </w:r>
            <w:r w:rsidR="00DF1884" w:rsidRPr="00DF1884">
              <w:rPr>
                <w:rFonts w:eastAsiaTheme="minorHAnsi" w:cs="Arial"/>
                <w:szCs w:val="20"/>
              </w:rPr>
              <w:t xml:space="preserve"> </w:t>
            </w:r>
            <w:r w:rsidRPr="00DF1884">
              <w:rPr>
                <w:rFonts w:eastAsiaTheme="minorHAnsi" w:cs="Arial"/>
                <w:szCs w:val="20"/>
              </w:rPr>
              <w:t>organization</w:t>
            </w:r>
            <w:r w:rsidR="00DF1884" w:rsidRPr="00DF1884">
              <w:rPr>
                <w:rFonts w:eastAsiaTheme="minorHAnsi" w:cs="Arial"/>
                <w:szCs w:val="20"/>
              </w:rPr>
              <w:t xml:space="preserve"> </w:t>
            </w:r>
            <w:r w:rsidRPr="00DF1884">
              <w:rPr>
                <w:rFonts w:eastAsiaTheme="minorHAnsi" w:cs="Arial"/>
                <w:szCs w:val="20"/>
              </w:rPr>
              <w:t>or</w:t>
            </w:r>
            <w:r w:rsidR="00DF1884" w:rsidRPr="00DF1884">
              <w:rPr>
                <w:rFonts w:eastAsiaTheme="minorHAnsi" w:cs="Arial"/>
                <w:szCs w:val="20"/>
              </w:rPr>
              <w:t xml:space="preserve"> </w:t>
            </w:r>
            <w:r w:rsidRPr="00DF1884">
              <w:rPr>
                <w:rFonts w:eastAsiaTheme="minorHAnsi" w:cs="Arial"/>
                <w:szCs w:val="20"/>
              </w:rPr>
              <w:t>government</w:t>
            </w:r>
            <w:r w:rsidR="00DF1884" w:rsidRPr="00DF1884">
              <w:rPr>
                <w:rFonts w:eastAsiaTheme="minorHAnsi" w:cs="Arial"/>
                <w:szCs w:val="20"/>
              </w:rPr>
              <w:t xml:space="preserve"> </w:t>
            </w:r>
            <w:r w:rsidRPr="00DF1884">
              <w:rPr>
                <w:rFonts w:eastAsiaTheme="minorHAnsi" w:cs="Arial"/>
                <w:szCs w:val="20"/>
              </w:rPr>
              <w:t>agency.</w:t>
            </w:r>
            <w:r w:rsidR="00DF1884" w:rsidRPr="00DF1884">
              <w:rPr>
                <w:rFonts w:eastAsiaTheme="minorHAnsi" w:cs="Arial"/>
                <w:szCs w:val="20"/>
              </w:rPr>
              <w:t xml:space="preserve"> </w:t>
            </w:r>
            <w:r w:rsidRPr="00DF1884">
              <w:rPr>
                <w:rFonts w:eastAsiaTheme="minorHAnsi" w:cs="Arial"/>
                <w:szCs w:val="20"/>
              </w:rPr>
              <w:t>This</w:t>
            </w:r>
            <w:r w:rsidR="00DF1884" w:rsidRPr="00DF1884">
              <w:rPr>
                <w:rFonts w:eastAsiaTheme="minorHAnsi" w:cs="Arial"/>
                <w:szCs w:val="20"/>
              </w:rPr>
              <w:t xml:space="preserve"> </w:t>
            </w:r>
            <w:r w:rsidRPr="00DF1884">
              <w:rPr>
                <w:rFonts w:eastAsiaTheme="minorHAnsi" w:cs="Arial"/>
                <w:szCs w:val="20"/>
              </w:rPr>
              <w:t>measure</w:t>
            </w:r>
            <w:r w:rsidR="00DF1884" w:rsidRPr="00DF1884">
              <w:rPr>
                <w:rFonts w:eastAsiaTheme="minorHAnsi" w:cs="Arial"/>
                <w:szCs w:val="20"/>
              </w:rPr>
              <w:t xml:space="preserve"> </w:t>
            </w:r>
            <w:r w:rsidRPr="00DF1884">
              <w:rPr>
                <w:rFonts w:eastAsiaTheme="minorHAnsi" w:cs="Arial"/>
                <w:szCs w:val="20"/>
              </w:rPr>
              <w:t>of</w:t>
            </w:r>
            <w:r w:rsidR="00DF1884" w:rsidRPr="00DF1884">
              <w:rPr>
                <w:rFonts w:eastAsiaTheme="minorHAnsi" w:cs="Arial"/>
                <w:szCs w:val="20"/>
              </w:rPr>
              <w:t xml:space="preserve"> </w:t>
            </w:r>
            <w:r w:rsidRPr="00DF1884">
              <w:rPr>
                <w:rFonts w:eastAsiaTheme="minorHAnsi" w:cs="Arial"/>
                <w:szCs w:val="20"/>
              </w:rPr>
              <w:t>utilization</w:t>
            </w:r>
            <w:r w:rsidR="00DF1884" w:rsidRPr="00DF1884">
              <w:rPr>
                <w:rFonts w:eastAsiaTheme="minorHAnsi" w:cs="Arial"/>
                <w:szCs w:val="20"/>
              </w:rPr>
              <w:t xml:space="preserve"> </w:t>
            </w:r>
            <w:r w:rsidRPr="00DF1884">
              <w:rPr>
                <w:rFonts w:eastAsiaTheme="minorHAnsi" w:cs="Arial"/>
                <w:szCs w:val="20"/>
              </w:rPr>
              <w:t>is</w:t>
            </w:r>
            <w:r w:rsidR="00DF1884" w:rsidRPr="00DF1884">
              <w:rPr>
                <w:rFonts w:eastAsiaTheme="minorHAnsi" w:cs="Arial"/>
                <w:szCs w:val="20"/>
              </w:rPr>
              <w:t xml:space="preserve"> </w:t>
            </w:r>
            <w:r w:rsidRPr="00DF1884">
              <w:rPr>
                <w:rFonts w:eastAsiaTheme="minorHAnsi" w:cs="Arial"/>
                <w:szCs w:val="20"/>
              </w:rPr>
              <w:t>not</w:t>
            </w:r>
            <w:r w:rsidR="00DF1884" w:rsidRPr="00DF1884">
              <w:rPr>
                <w:rFonts w:eastAsiaTheme="minorHAnsi" w:cs="Arial"/>
                <w:szCs w:val="20"/>
              </w:rPr>
              <w:t xml:space="preserve"> </w:t>
            </w:r>
            <w:r w:rsidRPr="00DF1884">
              <w:rPr>
                <w:rFonts w:eastAsiaTheme="minorHAnsi" w:cs="Arial"/>
                <w:szCs w:val="20"/>
              </w:rPr>
              <w:t>based</w:t>
            </w:r>
            <w:r w:rsidR="00DF1884" w:rsidRPr="00DF1884">
              <w:rPr>
                <w:rFonts w:eastAsiaTheme="minorHAnsi" w:cs="Arial"/>
                <w:szCs w:val="20"/>
              </w:rPr>
              <w:t xml:space="preserve"> </w:t>
            </w:r>
            <w:r w:rsidRPr="00DF1884">
              <w:rPr>
                <w:rFonts w:eastAsiaTheme="minorHAnsi" w:cs="Arial"/>
                <w:szCs w:val="20"/>
              </w:rPr>
              <w:t>on</w:t>
            </w:r>
            <w:r w:rsidR="00DF1884" w:rsidRPr="00DF1884">
              <w:rPr>
                <w:rFonts w:eastAsiaTheme="minorHAnsi" w:cs="Arial"/>
                <w:szCs w:val="20"/>
              </w:rPr>
              <w:t xml:space="preserve"> </w:t>
            </w:r>
            <w:r w:rsidRPr="00DF1884">
              <w:rPr>
                <w:rFonts w:eastAsiaTheme="minorHAnsi" w:cs="Arial"/>
                <w:szCs w:val="20"/>
              </w:rPr>
              <w:t>clinical</w:t>
            </w:r>
            <w:r w:rsidR="00DF1884" w:rsidRPr="00DF1884">
              <w:rPr>
                <w:rFonts w:eastAsiaTheme="minorHAnsi" w:cs="Arial"/>
                <w:szCs w:val="20"/>
              </w:rPr>
              <w:t xml:space="preserve"> </w:t>
            </w:r>
            <w:r w:rsidRPr="00DF1884">
              <w:rPr>
                <w:rFonts w:eastAsiaTheme="minorHAnsi" w:cs="Arial"/>
                <w:szCs w:val="20"/>
              </w:rPr>
              <w:t>guidelines.</w:t>
            </w:r>
            <w:r w:rsidR="00DF1884" w:rsidRPr="00DF1884">
              <w:rPr>
                <w:rFonts w:eastAsiaTheme="minorHAnsi" w:cs="Arial"/>
                <w:szCs w:val="20"/>
              </w:rPr>
              <w:t xml:space="preserve"> </w:t>
            </w:r>
            <w:r w:rsidRPr="00DF1884">
              <w:rPr>
                <w:rFonts w:eastAsiaTheme="minorHAnsi" w:cs="Arial"/>
                <w:szCs w:val="20"/>
              </w:rPr>
              <w:t>The</w:t>
            </w:r>
            <w:r w:rsidR="00DF1884" w:rsidRPr="00DF1884">
              <w:rPr>
                <w:rFonts w:eastAsiaTheme="minorHAnsi" w:cs="Arial"/>
                <w:szCs w:val="20"/>
              </w:rPr>
              <w:t xml:space="preserve"> </w:t>
            </w:r>
            <w:r w:rsidRPr="00DF1884">
              <w:rPr>
                <w:rFonts w:eastAsiaTheme="minorHAnsi" w:cs="Arial"/>
                <w:szCs w:val="20"/>
              </w:rPr>
              <w:t>results</w:t>
            </w:r>
            <w:r w:rsidR="00DF1884" w:rsidRPr="00DF1884">
              <w:rPr>
                <w:rFonts w:eastAsiaTheme="minorHAnsi" w:cs="Arial"/>
                <w:szCs w:val="20"/>
              </w:rPr>
              <w:t xml:space="preserve"> </w:t>
            </w:r>
            <w:r w:rsidRPr="00DF1884">
              <w:rPr>
                <w:rFonts w:eastAsiaTheme="minorHAnsi" w:cs="Arial"/>
                <w:szCs w:val="20"/>
              </w:rPr>
              <w:t>should</w:t>
            </w:r>
            <w:r w:rsidR="00DF1884" w:rsidRPr="00DF1884">
              <w:rPr>
                <w:rFonts w:eastAsiaTheme="minorHAnsi" w:cs="Arial"/>
                <w:szCs w:val="20"/>
              </w:rPr>
              <w:t xml:space="preserve"> </w:t>
            </w:r>
            <w:r w:rsidRPr="00DF1884">
              <w:rPr>
                <w:rFonts w:eastAsiaTheme="minorHAnsi" w:cs="Arial"/>
                <w:szCs w:val="20"/>
              </w:rPr>
              <w:t>be</w:t>
            </w:r>
            <w:r w:rsidR="00DF1884" w:rsidRPr="00DF1884">
              <w:rPr>
                <w:rFonts w:eastAsiaTheme="minorHAnsi" w:cs="Arial"/>
                <w:szCs w:val="20"/>
              </w:rPr>
              <w:t xml:space="preserve"> </w:t>
            </w:r>
            <w:r w:rsidRPr="00DF1884">
              <w:rPr>
                <w:rFonts w:eastAsiaTheme="minorHAnsi" w:cs="Arial"/>
                <w:szCs w:val="20"/>
              </w:rPr>
              <w:t>used</w:t>
            </w:r>
            <w:r w:rsidR="00DF1884" w:rsidRPr="00DF1884">
              <w:rPr>
                <w:rFonts w:eastAsiaTheme="minorHAnsi" w:cs="Arial"/>
                <w:szCs w:val="20"/>
              </w:rPr>
              <w:t xml:space="preserve"> </w:t>
            </w:r>
            <w:r w:rsidRPr="00DF1884">
              <w:rPr>
                <w:rFonts w:eastAsiaTheme="minorHAnsi" w:cs="Arial"/>
                <w:szCs w:val="20"/>
              </w:rPr>
              <w:t>by</w:t>
            </w:r>
            <w:r w:rsidR="00DF1884" w:rsidRPr="00DF1884">
              <w:rPr>
                <w:rFonts w:eastAsiaTheme="minorHAnsi" w:cs="Arial"/>
                <w:szCs w:val="20"/>
              </w:rPr>
              <w:t xml:space="preserve"> </w:t>
            </w:r>
            <w:r w:rsidRPr="00DF1884">
              <w:rPr>
                <w:rFonts w:eastAsiaTheme="minorHAnsi" w:cs="Arial"/>
                <w:szCs w:val="20"/>
              </w:rPr>
              <w:t>plans</w:t>
            </w:r>
            <w:r w:rsidR="00DF1884" w:rsidRPr="00DF1884">
              <w:rPr>
                <w:rFonts w:eastAsiaTheme="minorHAnsi" w:cs="Arial"/>
                <w:szCs w:val="20"/>
              </w:rPr>
              <w:t xml:space="preserve"> </w:t>
            </w:r>
            <w:r w:rsidRPr="00DF1884">
              <w:rPr>
                <w:rFonts w:eastAsiaTheme="minorHAnsi" w:cs="Arial"/>
                <w:szCs w:val="20"/>
              </w:rPr>
              <w:t>in</w:t>
            </w:r>
            <w:r w:rsidR="00DF1884" w:rsidRPr="00DF1884">
              <w:rPr>
                <w:rFonts w:eastAsiaTheme="minorHAnsi" w:cs="Arial"/>
                <w:szCs w:val="20"/>
              </w:rPr>
              <w:t xml:space="preserve"> </w:t>
            </w:r>
            <w:r w:rsidRPr="00DF1884">
              <w:rPr>
                <w:rFonts w:eastAsiaTheme="minorHAnsi" w:cs="Arial"/>
                <w:szCs w:val="20"/>
              </w:rPr>
              <w:t>conjunction</w:t>
            </w:r>
            <w:r w:rsidR="00DF1884" w:rsidRPr="00DF1884">
              <w:rPr>
                <w:rFonts w:eastAsiaTheme="minorHAnsi" w:cs="Arial"/>
                <w:szCs w:val="20"/>
              </w:rPr>
              <w:t xml:space="preserve"> </w:t>
            </w:r>
            <w:r w:rsidRPr="00DF1884">
              <w:rPr>
                <w:rFonts w:eastAsiaTheme="minorHAnsi" w:cs="Arial"/>
                <w:szCs w:val="20"/>
              </w:rPr>
              <w:t>with</w:t>
            </w:r>
            <w:r w:rsidR="00DF1884" w:rsidRPr="00DF1884">
              <w:rPr>
                <w:rFonts w:eastAsiaTheme="minorHAnsi" w:cs="Arial"/>
                <w:szCs w:val="20"/>
              </w:rPr>
              <w:t xml:space="preserve"> </w:t>
            </w:r>
            <w:r w:rsidRPr="00DF1884">
              <w:rPr>
                <w:rFonts w:eastAsiaTheme="minorHAnsi" w:cs="Arial"/>
                <w:szCs w:val="20"/>
              </w:rPr>
              <w:t>other</w:t>
            </w:r>
            <w:r w:rsidR="00DF1884" w:rsidRPr="00DF1884">
              <w:rPr>
                <w:rFonts w:eastAsiaTheme="minorHAnsi" w:cs="Arial"/>
                <w:szCs w:val="20"/>
              </w:rPr>
              <w:t xml:space="preserve"> </w:t>
            </w:r>
            <w:r w:rsidRPr="00DF1884">
              <w:rPr>
                <w:rFonts w:eastAsiaTheme="minorHAnsi" w:cs="Arial"/>
                <w:szCs w:val="20"/>
              </w:rPr>
              <w:t>use</w:t>
            </w:r>
            <w:r w:rsidR="00DF1884" w:rsidRPr="00DF1884">
              <w:rPr>
                <w:rFonts w:eastAsiaTheme="minorHAnsi" w:cs="Arial"/>
                <w:szCs w:val="20"/>
              </w:rPr>
              <w:t xml:space="preserve"> </w:t>
            </w:r>
            <w:r w:rsidRPr="00DF1884">
              <w:rPr>
                <w:rFonts w:eastAsiaTheme="minorHAnsi" w:cs="Arial"/>
                <w:szCs w:val="20"/>
              </w:rPr>
              <w:t>of</w:t>
            </w:r>
            <w:r w:rsidR="00DF1884" w:rsidRPr="00DF1884">
              <w:rPr>
                <w:rFonts w:eastAsiaTheme="minorHAnsi" w:cs="Arial"/>
                <w:szCs w:val="20"/>
              </w:rPr>
              <w:t xml:space="preserve"> </w:t>
            </w:r>
            <w:r w:rsidRPr="00DF1884">
              <w:rPr>
                <w:rFonts w:eastAsiaTheme="minorHAnsi" w:cs="Arial"/>
                <w:szCs w:val="20"/>
              </w:rPr>
              <w:t>service</w:t>
            </w:r>
            <w:r w:rsidR="00DF1884" w:rsidRPr="00DF1884">
              <w:rPr>
                <w:rFonts w:eastAsiaTheme="minorHAnsi" w:cs="Arial"/>
                <w:szCs w:val="20"/>
              </w:rPr>
              <w:t xml:space="preserve"> </w:t>
            </w:r>
            <w:r w:rsidRPr="00DF1884">
              <w:rPr>
                <w:rFonts w:eastAsiaTheme="minorHAnsi" w:cs="Arial"/>
                <w:szCs w:val="20"/>
              </w:rPr>
              <w:t>data</w:t>
            </w:r>
            <w:r w:rsidR="00DF1884" w:rsidRPr="00DF1884">
              <w:rPr>
                <w:rFonts w:eastAsiaTheme="minorHAnsi" w:cs="Arial"/>
                <w:szCs w:val="20"/>
              </w:rPr>
              <w:t xml:space="preserve"> </w:t>
            </w:r>
            <w:r w:rsidRPr="00DF1884">
              <w:rPr>
                <w:rFonts w:eastAsiaTheme="minorHAnsi" w:cs="Arial"/>
                <w:szCs w:val="20"/>
              </w:rPr>
              <w:t>and</w:t>
            </w:r>
            <w:r w:rsidR="00DF1884" w:rsidRPr="00DF1884">
              <w:rPr>
                <w:rFonts w:eastAsiaTheme="minorHAnsi" w:cs="Arial"/>
                <w:szCs w:val="20"/>
              </w:rPr>
              <w:t xml:space="preserve"> </w:t>
            </w:r>
            <w:r w:rsidRPr="00DF1884">
              <w:rPr>
                <w:rFonts w:eastAsiaTheme="minorHAnsi" w:cs="Arial"/>
                <w:szCs w:val="20"/>
              </w:rPr>
              <w:t>clinical</w:t>
            </w:r>
            <w:r w:rsidR="00DF1884" w:rsidRPr="00DF1884">
              <w:rPr>
                <w:rFonts w:eastAsiaTheme="minorHAnsi" w:cs="Arial"/>
                <w:szCs w:val="20"/>
              </w:rPr>
              <w:t xml:space="preserve"> </w:t>
            </w:r>
            <w:r w:rsidRPr="00DF1884">
              <w:rPr>
                <w:rFonts w:eastAsiaTheme="minorHAnsi" w:cs="Arial"/>
                <w:szCs w:val="20"/>
              </w:rPr>
              <w:t>quality</w:t>
            </w:r>
            <w:r w:rsidR="00DF1884" w:rsidRPr="00DF1884">
              <w:rPr>
                <w:rFonts w:eastAsiaTheme="minorHAnsi" w:cs="Arial"/>
                <w:szCs w:val="20"/>
              </w:rPr>
              <w:t xml:space="preserve"> </w:t>
            </w:r>
            <w:r w:rsidRPr="00DF1884">
              <w:rPr>
                <w:rFonts w:eastAsiaTheme="minorHAnsi" w:cs="Arial"/>
                <w:szCs w:val="20"/>
              </w:rPr>
              <w:t>of</w:t>
            </w:r>
            <w:r w:rsidR="00DF1884" w:rsidRPr="00DF1884">
              <w:rPr>
                <w:rFonts w:eastAsiaTheme="minorHAnsi" w:cs="Arial"/>
                <w:szCs w:val="20"/>
              </w:rPr>
              <w:t xml:space="preserve"> </w:t>
            </w:r>
            <w:r w:rsidRPr="00DF1884">
              <w:rPr>
                <w:rFonts w:eastAsiaTheme="minorHAnsi" w:cs="Arial"/>
                <w:szCs w:val="20"/>
              </w:rPr>
              <w:t>care</w:t>
            </w:r>
            <w:r w:rsidR="00DF1884" w:rsidRPr="00DF1884">
              <w:rPr>
                <w:rFonts w:eastAsiaTheme="minorHAnsi" w:cs="Arial"/>
                <w:szCs w:val="20"/>
              </w:rPr>
              <w:t xml:space="preserve"> </w:t>
            </w:r>
            <w:r w:rsidRPr="00DF1884">
              <w:rPr>
                <w:rFonts w:eastAsiaTheme="minorHAnsi" w:cs="Arial"/>
                <w:szCs w:val="20"/>
              </w:rPr>
              <w:t>data</w:t>
            </w:r>
            <w:r w:rsidR="00DF1884" w:rsidRPr="00DF1884">
              <w:rPr>
                <w:rFonts w:eastAsiaTheme="minorHAnsi" w:cs="Arial"/>
                <w:szCs w:val="20"/>
              </w:rPr>
              <w:t xml:space="preserve"> </w:t>
            </w:r>
            <w:r w:rsidRPr="00DF1884">
              <w:rPr>
                <w:rFonts w:eastAsiaTheme="minorHAnsi" w:cs="Arial"/>
                <w:szCs w:val="20"/>
              </w:rPr>
              <w:t>to</w:t>
            </w:r>
            <w:r w:rsidR="00DF1884" w:rsidRPr="00DF1884">
              <w:rPr>
                <w:rFonts w:eastAsiaTheme="minorHAnsi" w:cs="Arial"/>
                <w:szCs w:val="20"/>
              </w:rPr>
              <w:t xml:space="preserve"> </w:t>
            </w:r>
            <w:r w:rsidRPr="00DF1884">
              <w:rPr>
                <w:rFonts w:eastAsiaTheme="minorHAnsi" w:cs="Arial"/>
                <w:szCs w:val="20"/>
              </w:rPr>
              <w:t>evaluate</w:t>
            </w:r>
            <w:r w:rsidR="00DF1884" w:rsidRPr="00DF1884">
              <w:rPr>
                <w:rFonts w:eastAsiaTheme="minorHAnsi" w:cs="Arial"/>
                <w:szCs w:val="20"/>
              </w:rPr>
              <w:t xml:space="preserve"> </w:t>
            </w:r>
            <w:r w:rsidRPr="00DF1884">
              <w:rPr>
                <w:rFonts w:eastAsiaTheme="minorHAnsi" w:cs="Arial"/>
                <w:szCs w:val="20"/>
              </w:rPr>
              <w:t>trends</w:t>
            </w:r>
            <w:r w:rsidR="00DF1884" w:rsidRPr="00DF1884">
              <w:rPr>
                <w:rFonts w:eastAsiaTheme="minorHAnsi" w:cs="Arial"/>
                <w:szCs w:val="20"/>
              </w:rPr>
              <w:t xml:space="preserve"> </w:t>
            </w:r>
            <w:r w:rsidRPr="00DF1884">
              <w:rPr>
                <w:rFonts w:eastAsiaTheme="minorHAnsi" w:cs="Arial"/>
                <w:szCs w:val="20"/>
              </w:rPr>
              <w:t>in</w:t>
            </w:r>
            <w:r w:rsidR="00DF1884" w:rsidRPr="00DF1884">
              <w:rPr>
                <w:rFonts w:eastAsiaTheme="minorHAnsi" w:cs="Arial"/>
                <w:szCs w:val="20"/>
              </w:rPr>
              <w:t xml:space="preserve"> </w:t>
            </w:r>
            <w:r w:rsidRPr="00DF1884">
              <w:rPr>
                <w:rFonts w:eastAsiaTheme="minorHAnsi" w:cs="Arial"/>
                <w:szCs w:val="20"/>
              </w:rPr>
              <w:t>patient</w:t>
            </w:r>
            <w:r w:rsidR="00DF1884" w:rsidRPr="00DF1884">
              <w:rPr>
                <w:rFonts w:eastAsiaTheme="minorHAnsi" w:cs="Arial"/>
                <w:szCs w:val="20"/>
              </w:rPr>
              <w:t xml:space="preserve"> </w:t>
            </w:r>
            <w:r w:rsidRPr="00DF1884">
              <w:rPr>
                <w:rFonts w:eastAsiaTheme="minorHAnsi" w:cs="Arial"/>
                <w:szCs w:val="20"/>
              </w:rPr>
              <w:t>care</w:t>
            </w:r>
            <w:r w:rsidR="00DF1884" w:rsidRPr="00DF1884">
              <w:rPr>
                <w:rFonts w:eastAsiaTheme="minorHAnsi" w:cs="Arial"/>
                <w:szCs w:val="20"/>
              </w:rPr>
              <w:t xml:space="preserve"> </w:t>
            </w:r>
            <w:r w:rsidRPr="00DF1884">
              <w:rPr>
                <w:rFonts w:eastAsiaTheme="minorHAnsi" w:cs="Arial"/>
                <w:szCs w:val="20"/>
              </w:rPr>
              <w:t>settings.</w:t>
            </w:r>
            <w:r w:rsidR="00DF1884" w:rsidRPr="00DF1884">
              <w:rPr>
                <w:rFonts w:eastAsiaTheme="minorHAnsi" w:cs="Arial"/>
                <w:szCs w:val="20"/>
              </w:rPr>
              <w:t xml:space="preserve"> </w:t>
            </w:r>
            <w:r w:rsidRPr="00DF1884">
              <w:rPr>
                <w:rFonts w:eastAsiaTheme="minorHAnsi" w:cs="Arial"/>
                <w:szCs w:val="20"/>
              </w:rPr>
              <w:t>Year</w:t>
            </w:r>
            <w:r w:rsidR="00DF1884" w:rsidRPr="00DF1884">
              <w:rPr>
                <w:rFonts w:eastAsiaTheme="minorHAnsi" w:cs="Arial"/>
                <w:szCs w:val="20"/>
              </w:rPr>
              <w:t xml:space="preserve"> </w:t>
            </w:r>
            <w:r w:rsidRPr="00DF1884">
              <w:rPr>
                <w:rFonts w:eastAsiaTheme="minorHAnsi" w:cs="Arial"/>
                <w:szCs w:val="20"/>
              </w:rPr>
              <w:t>to</w:t>
            </w:r>
            <w:r w:rsidR="00DF1884" w:rsidRPr="00DF1884">
              <w:rPr>
                <w:rFonts w:eastAsiaTheme="minorHAnsi" w:cs="Arial"/>
                <w:szCs w:val="20"/>
              </w:rPr>
              <w:t xml:space="preserve"> </w:t>
            </w:r>
            <w:r w:rsidRPr="00DF1884">
              <w:rPr>
                <w:rFonts w:eastAsiaTheme="minorHAnsi" w:cs="Arial"/>
                <w:szCs w:val="20"/>
              </w:rPr>
              <w:t>year</w:t>
            </w:r>
            <w:r w:rsidR="00DF1884" w:rsidRPr="00DF1884">
              <w:rPr>
                <w:rFonts w:eastAsiaTheme="minorHAnsi" w:cs="Arial"/>
                <w:szCs w:val="20"/>
              </w:rPr>
              <w:t xml:space="preserve"> </w:t>
            </w:r>
            <w:r w:rsidRPr="00DF1884">
              <w:rPr>
                <w:rFonts w:eastAsiaTheme="minorHAnsi" w:cs="Arial"/>
                <w:szCs w:val="20"/>
              </w:rPr>
              <w:t>trends</w:t>
            </w:r>
            <w:r w:rsidR="00DF1884" w:rsidRPr="00DF1884">
              <w:rPr>
                <w:rFonts w:eastAsiaTheme="minorHAnsi" w:cs="Arial"/>
                <w:szCs w:val="20"/>
              </w:rPr>
              <w:t xml:space="preserve"> </w:t>
            </w:r>
            <w:r w:rsidRPr="00DF1884">
              <w:rPr>
                <w:rFonts w:eastAsiaTheme="minorHAnsi" w:cs="Arial"/>
                <w:szCs w:val="20"/>
              </w:rPr>
              <w:t>and</w:t>
            </w:r>
            <w:r w:rsidR="00DF1884" w:rsidRPr="00DF1884">
              <w:rPr>
                <w:rFonts w:eastAsiaTheme="minorHAnsi" w:cs="Arial"/>
                <w:szCs w:val="20"/>
              </w:rPr>
              <w:t xml:space="preserve"> </w:t>
            </w:r>
            <w:r w:rsidRPr="00DF1884">
              <w:rPr>
                <w:rFonts w:eastAsiaTheme="minorHAnsi" w:cs="Arial"/>
                <w:szCs w:val="20"/>
              </w:rPr>
              <w:t>risk-adjusted</w:t>
            </w:r>
            <w:r w:rsidR="00DF1884" w:rsidRPr="00DF1884">
              <w:rPr>
                <w:rFonts w:eastAsiaTheme="minorHAnsi" w:cs="Arial"/>
                <w:szCs w:val="20"/>
              </w:rPr>
              <w:t xml:space="preserve"> </w:t>
            </w:r>
            <w:r w:rsidRPr="00DF1884">
              <w:rPr>
                <w:rFonts w:eastAsiaTheme="minorHAnsi" w:cs="Arial"/>
                <w:szCs w:val="20"/>
              </w:rPr>
              <w:t>comparisons</w:t>
            </w:r>
            <w:r w:rsidR="00DF1884" w:rsidRPr="00DF1884">
              <w:rPr>
                <w:rFonts w:eastAsiaTheme="minorHAnsi" w:cs="Arial"/>
                <w:szCs w:val="20"/>
              </w:rPr>
              <w:t xml:space="preserve"> </w:t>
            </w:r>
            <w:r w:rsidRPr="00DF1884">
              <w:rPr>
                <w:rFonts w:eastAsiaTheme="minorHAnsi" w:cs="Arial"/>
                <w:szCs w:val="20"/>
              </w:rPr>
              <w:t>between</w:t>
            </w:r>
            <w:r w:rsidR="00DF1884" w:rsidRPr="00DF1884">
              <w:rPr>
                <w:rFonts w:eastAsiaTheme="minorHAnsi" w:cs="Arial"/>
                <w:szCs w:val="20"/>
              </w:rPr>
              <w:t xml:space="preserve"> </w:t>
            </w:r>
            <w:r w:rsidRPr="00DF1884">
              <w:rPr>
                <w:rFonts w:eastAsiaTheme="minorHAnsi" w:cs="Arial"/>
                <w:szCs w:val="20"/>
              </w:rPr>
              <w:t>plans</w:t>
            </w:r>
            <w:r w:rsidR="00DF1884" w:rsidRPr="00DF1884">
              <w:rPr>
                <w:rFonts w:eastAsiaTheme="minorHAnsi" w:cs="Arial"/>
                <w:szCs w:val="20"/>
              </w:rPr>
              <w:t xml:space="preserve"> </w:t>
            </w:r>
            <w:r w:rsidRPr="00DF1884">
              <w:rPr>
                <w:rFonts w:eastAsiaTheme="minorHAnsi" w:cs="Arial"/>
                <w:szCs w:val="20"/>
              </w:rPr>
              <w:t>should</w:t>
            </w:r>
            <w:r w:rsidR="00DF1884" w:rsidRPr="00DF1884">
              <w:rPr>
                <w:rFonts w:eastAsiaTheme="minorHAnsi" w:cs="Arial"/>
                <w:szCs w:val="20"/>
              </w:rPr>
              <w:t xml:space="preserve"> </w:t>
            </w:r>
            <w:r w:rsidRPr="00DF1884">
              <w:rPr>
                <w:rFonts w:eastAsiaTheme="minorHAnsi" w:cs="Arial"/>
                <w:szCs w:val="20"/>
              </w:rPr>
              <w:t>be</w:t>
            </w:r>
            <w:r w:rsidR="00DF1884" w:rsidRPr="00DF1884">
              <w:rPr>
                <w:rFonts w:eastAsiaTheme="minorHAnsi" w:cs="Arial"/>
                <w:szCs w:val="20"/>
              </w:rPr>
              <w:t xml:space="preserve"> </w:t>
            </w:r>
            <w:r w:rsidRPr="00DF1884">
              <w:rPr>
                <w:rFonts w:eastAsiaTheme="minorHAnsi" w:cs="Arial"/>
                <w:szCs w:val="20"/>
              </w:rPr>
              <w:t>evaluated</w:t>
            </w:r>
            <w:r w:rsidR="00DF1884" w:rsidRPr="00DF1884">
              <w:rPr>
                <w:rFonts w:eastAsiaTheme="minorHAnsi" w:cs="Arial"/>
                <w:szCs w:val="20"/>
              </w:rPr>
              <w:t xml:space="preserve"> </w:t>
            </w:r>
            <w:r w:rsidRPr="00DF1884">
              <w:rPr>
                <w:rFonts w:eastAsiaTheme="minorHAnsi" w:cs="Arial"/>
                <w:szCs w:val="20"/>
              </w:rPr>
              <w:t>rather</w:t>
            </w:r>
            <w:r w:rsidR="00DF1884" w:rsidRPr="00DF1884">
              <w:rPr>
                <w:rFonts w:eastAsiaTheme="minorHAnsi" w:cs="Arial"/>
                <w:szCs w:val="20"/>
              </w:rPr>
              <w:t xml:space="preserve"> </w:t>
            </w:r>
            <w:r w:rsidRPr="00DF1884">
              <w:rPr>
                <w:rFonts w:eastAsiaTheme="minorHAnsi" w:cs="Arial"/>
                <w:szCs w:val="20"/>
              </w:rPr>
              <w:t>than</w:t>
            </w:r>
            <w:r w:rsidR="00DF1884" w:rsidRPr="00DF1884">
              <w:rPr>
                <w:rFonts w:eastAsiaTheme="minorHAnsi" w:cs="Arial"/>
                <w:szCs w:val="20"/>
              </w:rPr>
              <w:t xml:space="preserve"> </w:t>
            </w:r>
            <w:r w:rsidRPr="00DF1884">
              <w:rPr>
                <w:rFonts w:eastAsiaTheme="minorHAnsi" w:cs="Arial"/>
                <w:szCs w:val="20"/>
              </w:rPr>
              <w:t>a</w:t>
            </w:r>
            <w:r w:rsidR="00DF1884" w:rsidRPr="00DF1884">
              <w:rPr>
                <w:rFonts w:eastAsiaTheme="minorHAnsi" w:cs="Arial"/>
                <w:szCs w:val="20"/>
              </w:rPr>
              <w:t xml:space="preserve"> </w:t>
            </w:r>
            <w:r w:rsidRPr="00DF1884">
              <w:rPr>
                <w:rFonts w:eastAsiaTheme="minorHAnsi" w:cs="Arial"/>
                <w:szCs w:val="20"/>
              </w:rPr>
              <w:t>cross-sectional</w:t>
            </w:r>
            <w:r w:rsidR="00DF1884" w:rsidRPr="00DF1884">
              <w:rPr>
                <w:rFonts w:eastAsiaTheme="minorHAnsi" w:cs="Arial"/>
                <w:szCs w:val="20"/>
              </w:rPr>
              <w:t xml:space="preserve"> </w:t>
            </w:r>
            <w:r w:rsidRPr="00DF1884">
              <w:rPr>
                <w:rFonts w:eastAsiaTheme="minorHAnsi" w:cs="Arial"/>
                <w:szCs w:val="20"/>
              </w:rPr>
              <w:t>observed</w:t>
            </w:r>
            <w:r w:rsidR="00DF1884" w:rsidRPr="00DF1884">
              <w:rPr>
                <w:rFonts w:eastAsiaTheme="minorHAnsi" w:cs="Arial"/>
                <w:szCs w:val="20"/>
              </w:rPr>
              <w:t xml:space="preserve"> </w:t>
            </w:r>
            <w:r w:rsidRPr="00DF1884">
              <w:rPr>
                <w:rFonts w:eastAsiaTheme="minorHAnsi" w:cs="Arial"/>
                <w:szCs w:val="20"/>
              </w:rPr>
              <w:t>rate.</w:t>
            </w:r>
          </w:p>
        </w:tc>
      </w:tr>
      <w:tr w:rsidR="00DF0A7F" w:rsidRPr="00DF1884" w14:paraId="451EF57A" w14:textId="77777777" w:rsidTr="00AA4CD6">
        <w:tc>
          <w:tcPr>
            <w:tcW w:w="1956" w:type="dxa"/>
            <w:tcBorders>
              <w:top w:val="nil"/>
              <w:left w:val="nil"/>
              <w:bottom w:val="nil"/>
              <w:right w:val="nil"/>
            </w:tcBorders>
            <w:tcMar>
              <w:left w:w="115" w:type="dxa"/>
              <w:right w:w="115" w:type="dxa"/>
            </w:tcMar>
          </w:tcPr>
          <w:p w14:paraId="66BC4287" w14:textId="77777777" w:rsidR="00DF0A7F" w:rsidRPr="00DF1884" w:rsidRDefault="00DF0A7F" w:rsidP="00AA4CD6">
            <w:pPr>
              <w:pStyle w:val="MarginSubhead"/>
            </w:pPr>
            <w:r w:rsidRPr="00DF1884">
              <w:t>Validity</w:t>
            </w:r>
          </w:p>
        </w:tc>
        <w:tc>
          <w:tcPr>
            <w:tcW w:w="7985" w:type="dxa"/>
            <w:tcBorders>
              <w:top w:val="nil"/>
              <w:left w:val="nil"/>
              <w:bottom w:val="nil"/>
              <w:right w:val="nil"/>
            </w:tcBorders>
            <w:tcMar>
              <w:left w:w="115" w:type="dxa"/>
              <w:right w:w="115" w:type="dxa"/>
            </w:tcMar>
          </w:tcPr>
          <w:p w14:paraId="5F511852" w14:textId="22333FCC" w:rsidR="00DF0A7F" w:rsidRPr="00DF1884" w:rsidRDefault="00DF0A7F" w:rsidP="00AA4CD6">
            <w:pPr>
              <w:pStyle w:val="Body"/>
            </w:pPr>
            <w:r w:rsidRPr="00DF1884">
              <w:t>This</w:t>
            </w:r>
            <w:r w:rsidR="00DF1884" w:rsidRPr="00DF1884">
              <w:t xml:space="preserve"> </w:t>
            </w:r>
            <w:r w:rsidRPr="00DF1884">
              <w:t>measure</w:t>
            </w:r>
            <w:r w:rsidR="00DF1884" w:rsidRPr="00DF1884">
              <w:t xml:space="preserve"> </w:t>
            </w:r>
            <w:r w:rsidRPr="00DF1884">
              <w:t>has</w:t>
            </w:r>
            <w:r w:rsidR="00DF1884" w:rsidRPr="00DF1884">
              <w:t xml:space="preserve"> </w:t>
            </w:r>
            <w:r w:rsidRPr="00DF1884">
              <w:t>detailed,</w:t>
            </w:r>
            <w:r w:rsidR="00DF1884" w:rsidRPr="00DF1884">
              <w:t xml:space="preserve"> </w:t>
            </w:r>
            <w:r w:rsidRPr="00DF1884">
              <w:t>precise</w:t>
            </w:r>
            <w:r w:rsidR="00DF1884" w:rsidRPr="00DF1884">
              <w:t xml:space="preserve"> </w:t>
            </w:r>
            <w:r w:rsidRPr="00DF1884">
              <w:t>specifications</w:t>
            </w:r>
            <w:r w:rsidR="00DF1884" w:rsidRPr="00DF1884">
              <w:t xml:space="preserve"> </w:t>
            </w:r>
            <w:r w:rsidRPr="00DF1884">
              <w:t>that</w:t>
            </w:r>
            <w:r w:rsidR="00DF1884" w:rsidRPr="00DF1884">
              <w:t xml:space="preserve"> </w:t>
            </w:r>
            <w:r w:rsidRPr="00DF1884">
              <w:t>clearly</w:t>
            </w:r>
            <w:r w:rsidR="00DF1884" w:rsidRPr="00DF1884">
              <w:t xml:space="preserve"> </w:t>
            </w:r>
            <w:r w:rsidRPr="00DF1884">
              <w:t>define</w:t>
            </w:r>
            <w:r w:rsidR="00DF1884" w:rsidRPr="00DF1884">
              <w:t xml:space="preserve"> </w:t>
            </w:r>
            <w:r w:rsidRPr="00DF1884">
              <w:t>the</w:t>
            </w:r>
            <w:r w:rsidR="00DF1884" w:rsidRPr="00DF1884">
              <w:t xml:space="preserve"> </w:t>
            </w:r>
            <w:r w:rsidRPr="00DF1884">
              <w:t>numerator,</w:t>
            </w:r>
            <w:r w:rsidR="00DF1884" w:rsidRPr="00DF1884">
              <w:t xml:space="preserve"> </w:t>
            </w:r>
            <w:r w:rsidRPr="00DF1884">
              <w:t>denominator,</w:t>
            </w:r>
            <w:r w:rsidR="00DF1884" w:rsidRPr="00DF1884">
              <w:t xml:space="preserve"> </w:t>
            </w:r>
            <w:r w:rsidRPr="00DF1884">
              <w:t>data</w:t>
            </w:r>
            <w:r w:rsidR="00DF1884" w:rsidRPr="00DF1884">
              <w:t xml:space="preserve"> </w:t>
            </w:r>
            <w:r w:rsidRPr="00DF1884">
              <w:t>sources,</w:t>
            </w:r>
            <w:r w:rsidR="00DF1884" w:rsidRPr="00DF1884">
              <w:t xml:space="preserve"> </w:t>
            </w:r>
            <w:r w:rsidRPr="00DF1884">
              <w:t>allowable</w:t>
            </w:r>
            <w:r w:rsidR="00DF1884" w:rsidRPr="00DF1884">
              <w:t xml:space="preserve"> </w:t>
            </w:r>
            <w:r w:rsidRPr="00DF1884">
              <w:t>values,</w:t>
            </w:r>
            <w:r w:rsidR="00DF1884" w:rsidRPr="00DF1884">
              <w:t xml:space="preserve"> </w:t>
            </w:r>
            <w:r w:rsidRPr="00DF1884">
              <w:t>methods</w:t>
            </w:r>
            <w:r w:rsidR="00DF1884" w:rsidRPr="00DF1884">
              <w:t xml:space="preserve"> </w:t>
            </w:r>
            <w:r w:rsidRPr="00DF1884">
              <w:t>of</w:t>
            </w:r>
            <w:r w:rsidR="00DF1884" w:rsidRPr="00DF1884">
              <w:t xml:space="preserve"> </w:t>
            </w:r>
            <w:r w:rsidRPr="00DF1884">
              <w:t>measurement</w:t>
            </w:r>
            <w:r w:rsidR="00DF1884" w:rsidRPr="00DF1884">
              <w:t xml:space="preserve"> </w:t>
            </w:r>
            <w:r w:rsidRPr="00DF1884">
              <w:t>and</w:t>
            </w:r>
            <w:r w:rsidR="00DF1884" w:rsidRPr="00DF1884">
              <w:t xml:space="preserve"> </w:t>
            </w:r>
            <w:r w:rsidRPr="00DF1884">
              <w:t>method</w:t>
            </w:r>
            <w:r w:rsidR="00DF1884" w:rsidRPr="00DF1884">
              <w:t xml:space="preserve"> </w:t>
            </w:r>
            <w:r w:rsidRPr="00DF1884">
              <w:t>of</w:t>
            </w:r>
            <w:r w:rsidR="00DF1884" w:rsidRPr="00DF1884">
              <w:t xml:space="preserve"> </w:t>
            </w:r>
            <w:r w:rsidRPr="00DF1884">
              <w:t>reporting.</w:t>
            </w:r>
          </w:p>
        </w:tc>
      </w:tr>
    </w:tbl>
    <w:p w14:paraId="4FBC348B" w14:textId="77777777" w:rsidR="00DF0A7F" w:rsidRPr="00DF1884" w:rsidRDefault="00DF0A7F" w:rsidP="00DF0A7F">
      <w:pPr>
        <w:pStyle w:val="StdHead"/>
      </w:pPr>
      <w:r w:rsidRPr="00DF1884">
        <w:t>Feasibility</w:t>
      </w:r>
    </w:p>
    <w:tbl>
      <w:tblPr>
        <w:tblW w:w="0" w:type="auto"/>
        <w:tblInd w:w="-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1956"/>
        <w:gridCol w:w="7985"/>
      </w:tblGrid>
      <w:tr w:rsidR="00DF0A7F" w:rsidRPr="00DF1884" w14:paraId="4445A272" w14:textId="77777777" w:rsidTr="00AA4CD6">
        <w:tc>
          <w:tcPr>
            <w:tcW w:w="1956" w:type="dxa"/>
            <w:tcBorders>
              <w:top w:val="nil"/>
              <w:left w:val="nil"/>
              <w:bottom w:val="nil"/>
              <w:right w:val="nil"/>
            </w:tcBorders>
            <w:tcMar>
              <w:left w:w="115" w:type="dxa"/>
              <w:right w:w="115" w:type="dxa"/>
            </w:tcMar>
          </w:tcPr>
          <w:p w14:paraId="02388F91" w14:textId="1762CDF6" w:rsidR="00DF0A7F" w:rsidRPr="00DF1884" w:rsidRDefault="00DF0A7F" w:rsidP="00AA4CD6">
            <w:pPr>
              <w:pStyle w:val="MarginSubhead"/>
            </w:pPr>
            <w:r w:rsidRPr="00DF1884">
              <w:t>Logistically</w:t>
            </w:r>
            <w:r w:rsidR="00DF1884" w:rsidRPr="00DF1884">
              <w:t xml:space="preserve"> </w:t>
            </w:r>
            <w:r w:rsidRPr="00DF1884">
              <w:t>feasible</w:t>
            </w:r>
          </w:p>
        </w:tc>
        <w:tc>
          <w:tcPr>
            <w:tcW w:w="7985" w:type="dxa"/>
            <w:tcBorders>
              <w:top w:val="nil"/>
              <w:left w:val="nil"/>
              <w:bottom w:val="nil"/>
              <w:right w:val="nil"/>
            </w:tcBorders>
            <w:tcMar>
              <w:left w:w="115" w:type="dxa"/>
              <w:right w:w="115" w:type="dxa"/>
            </w:tcMar>
          </w:tcPr>
          <w:p w14:paraId="4EE863B3" w14:textId="4426AC61" w:rsidR="00DF0A7F" w:rsidRPr="00DF1884" w:rsidRDefault="00DF0A7F" w:rsidP="00AA4CD6">
            <w:pPr>
              <w:pStyle w:val="Body"/>
            </w:pPr>
            <w:r w:rsidRPr="00DF1884">
              <w:t>Feedback</w:t>
            </w:r>
            <w:r w:rsidR="00DF1884" w:rsidRPr="00DF1884">
              <w:t xml:space="preserve"> </w:t>
            </w:r>
            <w:r w:rsidRPr="00DF1884">
              <w:t>from</w:t>
            </w:r>
            <w:r w:rsidR="00DF1884" w:rsidRPr="00DF1884">
              <w:t xml:space="preserve"> </w:t>
            </w:r>
            <w:r w:rsidRPr="00DF1884">
              <w:t>plans</w:t>
            </w:r>
            <w:r w:rsidR="00DF1884" w:rsidRPr="00DF1884">
              <w:t xml:space="preserve"> </w:t>
            </w:r>
            <w:r w:rsidRPr="00DF1884">
              <w:t>and</w:t>
            </w:r>
            <w:r w:rsidR="00DF1884" w:rsidRPr="00DF1884">
              <w:t xml:space="preserve"> </w:t>
            </w:r>
            <w:r w:rsidRPr="00DF1884">
              <w:t>NCQA</w:t>
            </w:r>
            <w:r w:rsidR="00DF1884" w:rsidRPr="00DF1884">
              <w:t xml:space="preserve"> </w:t>
            </w:r>
            <w:r w:rsidRPr="00DF1884">
              <w:t>panels</w:t>
            </w:r>
            <w:r w:rsidR="00DF1884" w:rsidRPr="00DF1884">
              <w:t xml:space="preserve"> </w:t>
            </w:r>
            <w:r w:rsidRPr="00DF1884">
              <w:t>support</w:t>
            </w:r>
            <w:r w:rsidR="00DF1884" w:rsidRPr="00DF1884">
              <w:t xml:space="preserve"> </w:t>
            </w:r>
            <w:r w:rsidRPr="00DF1884">
              <w:t>the</w:t>
            </w:r>
            <w:r w:rsidR="00DF1884" w:rsidRPr="00DF1884">
              <w:t xml:space="preserve"> </w:t>
            </w:r>
            <w:r w:rsidRPr="00DF1884">
              <w:t>logistic</w:t>
            </w:r>
            <w:r w:rsidR="00DF1884" w:rsidRPr="00DF1884">
              <w:t xml:space="preserve"> </w:t>
            </w:r>
            <w:r w:rsidRPr="00DF1884">
              <w:t>feasibility</w:t>
            </w:r>
            <w:r w:rsidR="00DF1884" w:rsidRPr="00DF1884">
              <w:t xml:space="preserve"> </w:t>
            </w:r>
            <w:r w:rsidRPr="00DF1884">
              <w:t>of</w:t>
            </w:r>
            <w:r w:rsidR="00DF1884" w:rsidRPr="00DF1884">
              <w:t xml:space="preserve"> </w:t>
            </w:r>
            <w:r w:rsidRPr="00DF1884">
              <w:t>this</w:t>
            </w:r>
            <w:r w:rsidR="00DF1884" w:rsidRPr="00DF1884">
              <w:t xml:space="preserve"> </w:t>
            </w:r>
            <w:r w:rsidRPr="00DF1884">
              <w:t>measure.</w:t>
            </w:r>
            <w:r w:rsidR="00DF1884" w:rsidRPr="00DF1884">
              <w:t xml:space="preserve"> </w:t>
            </w:r>
            <w:r w:rsidRPr="00DF1884">
              <w:t>In</w:t>
            </w:r>
            <w:r w:rsidR="00DF1884" w:rsidRPr="00DF1884">
              <w:t xml:space="preserve"> </w:t>
            </w:r>
            <w:r w:rsidRPr="00DF1884">
              <w:t>general,</w:t>
            </w:r>
            <w:r w:rsidR="00DF1884" w:rsidRPr="00DF1884">
              <w:t xml:space="preserve"> </w:t>
            </w:r>
            <w:r w:rsidRPr="00DF1884">
              <w:t>claims</w:t>
            </w:r>
            <w:r w:rsidR="00DF1884" w:rsidRPr="00DF1884">
              <w:t xml:space="preserve"> </w:t>
            </w:r>
            <w:r w:rsidRPr="00DF1884">
              <w:t>and</w:t>
            </w:r>
            <w:r w:rsidR="00DF1884" w:rsidRPr="00DF1884">
              <w:t xml:space="preserve"> </w:t>
            </w:r>
            <w:r w:rsidRPr="00DF1884">
              <w:t>encounter</w:t>
            </w:r>
            <w:r w:rsidR="00DF1884" w:rsidRPr="00DF1884">
              <w:t xml:space="preserve"> </w:t>
            </w:r>
            <w:r w:rsidRPr="00DF1884">
              <w:t>data</w:t>
            </w:r>
            <w:r w:rsidR="00DF1884" w:rsidRPr="00DF1884">
              <w:t xml:space="preserve"> </w:t>
            </w:r>
            <w:r w:rsidRPr="00DF1884">
              <w:t>required</w:t>
            </w:r>
            <w:r w:rsidR="00DF1884" w:rsidRPr="00DF1884">
              <w:t xml:space="preserve"> </w:t>
            </w:r>
            <w:r w:rsidRPr="00DF1884">
              <w:t>for</w:t>
            </w:r>
            <w:r w:rsidR="00DF1884" w:rsidRPr="00DF1884">
              <w:t xml:space="preserve"> </w:t>
            </w:r>
            <w:r w:rsidRPr="00DF1884">
              <w:t>this</w:t>
            </w:r>
            <w:r w:rsidR="00DF1884" w:rsidRPr="00DF1884">
              <w:t xml:space="preserve"> </w:t>
            </w:r>
            <w:r w:rsidRPr="00DF1884">
              <w:t>measure</w:t>
            </w:r>
            <w:r w:rsidR="00DF1884" w:rsidRPr="00DF1884">
              <w:t xml:space="preserve"> </w:t>
            </w:r>
            <w:r w:rsidRPr="00DF1884">
              <w:t>should</w:t>
            </w:r>
            <w:r w:rsidR="00DF1884" w:rsidRPr="00DF1884">
              <w:t xml:space="preserve"> </w:t>
            </w:r>
            <w:r w:rsidRPr="00DF1884">
              <w:t>be</w:t>
            </w:r>
            <w:r w:rsidR="00DF1884" w:rsidRPr="00DF1884">
              <w:t xml:space="preserve"> </w:t>
            </w:r>
            <w:r w:rsidRPr="00DF1884">
              <w:t>available</w:t>
            </w:r>
            <w:r w:rsidR="00DF1884" w:rsidRPr="00DF1884">
              <w:t xml:space="preserve"> </w:t>
            </w:r>
            <w:r w:rsidRPr="00DF1884">
              <w:t>to</w:t>
            </w:r>
            <w:r w:rsidR="00DF1884" w:rsidRPr="00DF1884">
              <w:t xml:space="preserve"> </w:t>
            </w:r>
            <w:r w:rsidRPr="00DF1884">
              <w:t>health</w:t>
            </w:r>
            <w:r w:rsidR="00DF1884" w:rsidRPr="00DF1884">
              <w:t xml:space="preserve"> </w:t>
            </w:r>
            <w:r w:rsidRPr="00DF1884">
              <w:t>plans.</w:t>
            </w:r>
          </w:p>
        </w:tc>
      </w:tr>
      <w:tr w:rsidR="00DF0A7F" w:rsidRPr="00DF1884" w14:paraId="0B4FE785" w14:textId="77777777" w:rsidTr="00AA4CD6">
        <w:tc>
          <w:tcPr>
            <w:tcW w:w="1956" w:type="dxa"/>
            <w:tcBorders>
              <w:top w:val="nil"/>
              <w:left w:val="nil"/>
              <w:bottom w:val="nil"/>
              <w:right w:val="nil"/>
            </w:tcBorders>
            <w:tcMar>
              <w:left w:w="115" w:type="dxa"/>
              <w:right w:w="115" w:type="dxa"/>
            </w:tcMar>
          </w:tcPr>
          <w:p w14:paraId="3E75C6C8" w14:textId="77777777" w:rsidR="00DF0A7F" w:rsidRPr="00DF1884" w:rsidRDefault="00DF0A7F" w:rsidP="00AA4CD6">
            <w:pPr>
              <w:pStyle w:val="MarginSubhead"/>
            </w:pPr>
            <w:r w:rsidRPr="00DF1884">
              <w:t>Auditable</w:t>
            </w:r>
          </w:p>
        </w:tc>
        <w:tc>
          <w:tcPr>
            <w:tcW w:w="7985" w:type="dxa"/>
            <w:tcBorders>
              <w:top w:val="nil"/>
              <w:left w:val="nil"/>
              <w:bottom w:val="nil"/>
              <w:right w:val="nil"/>
            </w:tcBorders>
            <w:tcMar>
              <w:left w:w="115" w:type="dxa"/>
              <w:right w:w="115" w:type="dxa"/>
            </w:tcMar>
          </w:tcPr>
          <w:p w14:paraId="4757B88E" w14:textId="4CE53DC5" w:rsidR="00DF0A7F" w:rsidRPr="00DF1884" w:rsidRDefault="00DF0A7F" w:rsidP="00AA4CD6">
            <w:pPr>
              <w:pStyle w:val="Body"/>
            </w:pPr>
            <w:r w:rsidRPr="00DF1884">
              <w:t>This</w:t>
            </w:r>
            <w:r w:rsidR="00DF1884" w:rsidRPr="00DF1884">
              <w:t xml:space="preserve"> </w:t>
            </w:r>
            <w:r w:rsidRPr="00DF1884">
              <w:t>measure</w:t>
            </w:r>
            <w:r w:rsidR="00DF1884" w:rsidRPr="00DF1884">
              <w:t xml:space="preserve"> </w:t>
            </w:r>
            <w:r w:rsidRPr="00DF1884">
              <w:t>has</w:t>
            </w:r>
            <w:r w:rsidR="00DF1884" w:rsidRPr="00DF1884">
              <w:t xml:space="preserve"> </w:t>
            </w:r>
            <w:r w:rsidRPr="00DF1884">
              <w:t>been</w:t>
            </w:r>
            <w:r w:rsidR="00DF1884" w:rsidRPr="00DF1884">
              <w:t xml:space="preserve"> </w:t>
            </w:r>
            <w:r w:rsidRPr="00DF1884">
              <w:t>reviewed</w:t>
            </w:r>
            <w:r w:rsidR="00DF1884" w:rsidRPr="00DF1884">
              <w:t xml:space="preserve"> </w:t>
            </w:r>
            <w:r w:rsidRPr="00DF1884">
              <w:t>by</w:t>
            </w:r>
            <w:r w:rsidR="00DF1884" w:rsidRPr="00DF1884">
              <w:t xml:space="preserve"> </w:t>
            </w:r>
            <w:r w:rsidRPr="00DF1884">
              <w:t>NCQA’s</w:t>
            </w:r>
            <w:r w:rsidR="00DF1884" w:rsidRPr="00DF1884">
              <w:t xml:space="preserve"> </w:t>
            </w:r>
            <w:r w:rsidRPr="00DF1884">
              <w:t>internal</w:t>
            </w:r>
            <w:r w:rsidR="00DF1884" w:rsidRPr="00DF1884">
              <w:t xml:space="preserve"> </w:t>
            </w:r>
            <w:r w:rsidRPr="00DF1884">
              <w:t>HEDIS</w:t>
            </w:r>
            <w:r w:rsidR="00DF1884" w:rsidRPr="00DF1884">
              <w:t xml:space="preserve"> </w:t>
            </w:r>
            <w:r w:rsidRPr="00DF1884">
              <w:t>Measure</w:t>
            </w:r>
            <w:r w:rsidR="00DF1884" w:rsidRPr="00DF1884">
              <w:t xml:space="preserve"> </w:t>
            </w:r>
            <w:r w:rsidRPr="00DF1884">
              <w:t>Validation</w:t>
            </w:r>
            <w:r w:rsidR="00DF1884" w:rsidRPr="00DF1884">
              <w:t xml:space="preserve"> </w:t>
            </w:r>
            <w:r w:rsidRPr="00DF1884">
              <w:t>staff</w:t>
            </w:r>
            <w:r w:rsidR="00DF1884" w:rsidRPr="00DF1884">
              <w:t xml:space="preserve"> </w:t>
            </w:r>
            <w:r w:rsidRPr="00DF1884">
              <w:t>and</w:t>
            </w:r>
            <w:r w:rsidR="00DF1884" w:rsidRPr="00DF1884">
              <w:t xml:space="preserve"> </w:t>
            </w:r>
            <w:r w:rsidRPr="00DF1884">
              <w:t>found</w:t>
            </w:r>
            <w:r w:rsidR="00DF1884" w:rsidRPr="00DF1884">
              <w:t xml:space="preserve"> </w:t>
            </w:r>
            <w:r w:rsidRPr="00DF1884">
              <w:t>to</w:t>
            </w:r>
            <w:r w:rsidR="00DF1884" w:rsidRPr="00DF1884">
              <w:t xml:space="preserve"> </w:t>
            </w:r>
            <w:r w:rsidRPr="00DF1884">
              <w:t>be</w:t>
            </w:r>
            <w:r w:rsidR="00DF1884" w:rsidRPr="00DF1884">
              <w:t xml:space="preserve"> </w:t>
            </w:r>
            <w:r w:rsidRPr="00DF1884">
              <w:t>auditable.</w:t>
            </w:r>
          </w:p>
        </w:tc>
      </w:tr>
    </w:tbl>
    <w:p w14:paraId="2AAEC31E" w14:textId="77777777" w:rsidR="00887F28" w:rsidRPr="00DF1884" w:rsidRDefault="00887F28" w:rsidP="00DF0A7F">
      <w:pPr>
        <w:sectPr w:rsidR="00887F28" w:rsidRPr="00DF1884" w:rsidSect="0039781B">
          <w:pgSz w:w="12240" w:h="15840" w:code="1"/>
          <w:pgMar w:top="1080" w:right="1080" w:bottom="1080" w:left="1440" w:header="720" w:footer="720" w:gutter="0"/>
          <w:cols w:space="720"/>
        </w:sectPr>
      </w:pPr>
    </w:p>
    <w:p w14:paraId="266C5B35" w14:textId="0BC296B5" w:rsidR="00651578" w:rsidRPr="00DF1884" w:rsidRDefault="00651578" w:rsidP="00651578">
      <w:pPr>
        <w:pStyle w:val="Heading2"/>
        <w:spacing w:after="0"/>
        <w:ind w:left="360"/>
      </w:pPr>
      <w:r w:rsidRPr="00DF1884">
        <w:lastRenderedPageBreak/>
        <w:t>Hospitalization</w:t>
      </w:r>
      <w:r w:rsidR="00DF1884" w:rsidRPr="00DF1884">
        <w:t xml:space="preserve"> </w:t>
      </w:r>
      <w:r w:rsidRPr="00DF1884">
        <w:t>for</w:t>
      </w:r>
      <w:r w:rsidR="00DF1884" w:rsidRPr="00DF1884">
        <w:t xml:space="preserve"> </w:t>
      </w:r>
      <w:r w:rsidRPr="00DF1884">
        <w:t>Potentially</w:t>
      </w:r>
      <w:r w:rsidR="00DF1884" w:rsidRPr="00DF1884">
        <w:t xml:space="preserve"> </w:t>
      </w:r>
      <w:r w:rsidRPr="00DF1884">
        <w:t>Preventable</w:t>
      </w:r>
      <w:r w:rsidR="00DF1884" w:rsidRPr="00DF1884">
        <w:t xml:space="preserve"> </w:t>
      </w:r>
      <w:r w:rsidRPr="00DF1884">
        <w:t>Complications</w:t>
      </w:r>
      <w:r w:rsidR="00DF1884" w:rsidRPr="00DF1884">
        <w:t xml:space="preserve"> </w:t>
      </w:r>
      <w:r w:rsidR="0050448E" w:rsidRPr="00DF1884">
        <w:t>(HPC)</w:t>
      </w:r>
    </w:p>
    <w:p w14:paraId="34C6B59B" w14:textId="77777777" w:rsidR="00463667" w:rsidRPr="00DF1884" w:rsidRDefault="00463667" w:rsidP="00463667">
      <w:pPr>
        <w:pStyle w:val="ReverseHead"/>
      </w:pPr>
      <w:r w:rsidRPr="00DF1884">
        <w:t>Description</w:t>
      </w:r>
    </w:p>
    <w:p w14:paraId="7B1DA6E5" w14:textId="77777777" w:rsidR="002978B6" w:rsidRDefault="002978B6" w:rsidP="002978B6">
      <w:pPr>
        <w:pStyle w:val="Body"/>
      </w:pPr>
      <w:r>
        <w:t>For members 67 years of age and older, t</w:t>
      </w:r>
      <w:r w:rsidRPr="0043735A">
        <w:t xml:space="preserve">he rate of discharges for ambulatory care sensitive conditions </w:t>
      </w:r>
      <w:r>
        <w:t xml:space="preserve">(ACSC) </w:t>
      </w:r>
      <w:r w:rsidRPr="0043735A">
        <w:t>per 1</w:t>
      </w:r>
      <w:r>
        <w:t>,</w:t>
      </w:r>
      <w:r w:rsidRPr="0043735A">
        <w:t xml:space="preserve">000 members and the risk-adjusted ratio of observed to expected discharges </w:t>
      </w:r>
      <w:r>
        <w:t xml:space="preserve">for ACSC </w:t>
      </w:r>
      <w:r w:rsidRPr="0043735A">
        <w:t>by chronic and acute conditions.</w:t>
      </w:r>
    </w:p>
    <w:p w14:paraId="569C28CF" w14:textId="77777777" w:rsidR="00463667" w:rsidRPr="00DF1884" w:rsidRDefault="00463667" w:rsidP="00463667">
      <w:pPr>
        <w:pStyle w:val="ReverseHead"/>
      </w:pPr>
      <w:r w:rsidRPr="00DF1884">
        <w:t>Background</w:t>
      </w:r>
      <w:r w:rsidRPr="00DF1884">
        <w:tab/>
      </w:r>
    </w:p>
    <w:p w14:paraId="2E85D441" w14:textId="5A9F287A" w:rsidR="00FB7739" w:rsidRPr="00DF1884" w:rsidRDefault="00FB7739" w:rsidP="00887F28">
      <w:pPr>
        <w:pStyle w:val="SubHead"/>
      </w:pPr>
      <w:r w:rsidRPr="00DF1884">
        <w:t>Development</w:t>
      </w:r>
      <w:r w:rsidR="00DF1884" w:rsidRPr="00DF1884">
        <w:t xml:space="preserve"> </w:t>
      </w:r>
      <w:r w:rsidRPr="00DF1884">
        <w:t>of</w:t>
      </w:r>
      <w:r w:rsidR="00DF1884" w:rsidRPr="00DF1884">
        <w:t xml:space="preserve"> </w:t>
      </w:r>
      <w:r w:rsidRPr="00DF1884">
        <w:t>Ambul</w:t>
      </w:r>
      <w:r w:rsidR="00887F28" w:rsidRPr="00DF1884">
        <w:t>atory</w:t>
      </w:r>
      <w:r w:rsidR="00DF1884" w:rsidRPr="00DF1884">
        <w:t xml:space="preserve"> </w:t>
      </w:r>
      <w:r w:rsidR="00887F28" w:rsidRPr="00DF1884">
        <w:t>Care</w:t>
      </w:r>
      <w:r w:rsidR="00DF1884" w:rsidRPr="00DF1884">
        <w:t xml:space="preserve"> </w:t>
      </w:r>
      <w:r w:rsidR="00887F28" w:rsidRPr="00DF1884">
        <w:t>Sensitive</w:t>
      </w:r>
      <w:r w:rsidR="00DF1884" w:rsidRPr="00DF1884">
        <w:t xml:space="preserve"> </w:t>
      </w:r>
      <w:r w:rsidR="00887F28" w:rsidRPr="00DF1884">
        <w:t>Conditions</w:t>
      </w:r>
    </w:p>
    <w:p w14:paraId="39180490" w14:textId="4A22ED56" w:rsidR="00887F28" w:rsidRPr="00DF1884" w:rsidRDefault="00FB7739" w:rsidP="00887F28">
      <w:pPr>
        <w:pStyle w:val="Body"/>
      </w:pPr>
      <w:r w:rsidRPr="00DF1884">
        <w:t>ACSC</w:t>
      </w:r>
      <w:r w:rsidR="00DF1884" w:rsidRPr="00DF1884">
        <w:t xml:space="preserve"> </w:t>
      </w:r>
      <w:r w:rsidRPr="00DF1884">
        <w:t>were</w:t>
      </w:r>
      <w:r w:rsidR="00DF1884" w:rsidRPr="00DF1884">
        <w:t xml:space="preserve"> </w:t>
      </w:r>
      <w:r w:rsidRPr="00DF1884">
        <w:t>originally</w:t>
      </w:r>
      <w:r w:rsidR="00DF1884" w:rsidRPr="00DF1884">
        <w:t xml:space="preserve"> </w:t>
      </w:r>
      <w:r w:rsidRPr="00DF1884">
        <w:t>designed</w:t>
      </w:r>
      <w:r w:rsidR="00DF1884" w:rsidRPr="00DF1884">
        <w:t xml:space="preserve"> </w:t>
      </w:r>
      <w:r w:rsidRPr="00DF1884">
        <w:t>to</w:t>
      </w:r>
      <w:r w:rsidR="00DF1884" w:rsidRPr="00DF1884">
        <w:t xml:space="preserve"> </w:t>
      </w:r>
      <w:r w:rsidRPr="00DF1884">
        <w:t>evaluate</w:t>
      </w:r>
      <w:r w:rsidR="00DF1884" w:rsidRPr="00DF1884">
        <w:t xml:space="preserve"> </w:t>
      </w:r>
      <w:r w:rsidRPr="00DF1884">
        <w:t>the</w:t>
      </w:r>
      <w:r w:rsidR="00DF1884" w:rsidRPr="00DF1884">
        <w:t xml:space="preserve"> </w:t>
      </w:r>
      <w:r w:rsidRPr="00DF1884">
        <w:t>potential</w:t>
      </w:r>
      <w:r w:rsidR="00DF1884" w:rsidRPr="00DF1884">
        <w:t xml:space="preserve"> </w:t>
      </w:r>
      <w:r w:rsidRPr="00DF1884">
        <w:t>impact</w:t>
      </w:r>
      <w:r w:rsidR="00DF1884" w:rsidRPr="00DF1884">
        <w:t xml:space="preserve"> </w:t>
      </w:r>
      <w:r w:rsidRPr="00DF1884">
        <w:t>of</w:t>
      </w:r>
      <w:r w:rsidR="00DF1884" w:rsidRPr="00DF1884">
        <w:t xml:space="preserve"> </w:t>
      </w:r>
      <w:r w:rsidRPr="00DF1884">
        <w:t>differences</w:t>
      </w:r>
      <w:r w:rsidR="00DF1884" w:rsidRPr="00DF1884">
        <w:t xml:space="preserve"> </w:t>
      </w:r>
      <w:r w:rsidRPr="00DF1884">
        <w:t>in</w:t>
      </w:r>
      <w:r w:rsidR="00DF1884" w:rsidRPr="00DF1884">
        <w:t xml:space="preserve"> </w:t>
      </w:r>
      <w:r w:rsidRPr="00DF1884">
        <w:t>socioeconomic</w:t>
      </w:r>
      <w:r w:rsidR="00DF1884" w:rsidRPr="00DF1884">
        <w:t xml:space="preserve"> </w:t>
      </w:r>
      <w:r w:rsidRPr="00DF1884">
        <w:t>status</w:t>
      </w:r>
      <w:r w:rsidR="00DF1884" w:rsidRPr="00DF1884">
        <w:t xml:space="preserve"> </w:t>
      </w:r>
      <w:r w:rsidRPr="00DF1884">
        <w:t>and</w:t>
      </w:r>
      <w:r w:rsidR="00DF1884" w:rsidRPr="00DF1884">
        <w:t xml:space="preserve"> </w:t>
      </w:r>
      <w:r w:rsidRPr="00DF1884">
        <w:t>resources</w:t>
      </w:r>
      <w:r w:rsidR="00DF1884" w:rsidRPr="00DF1884">
        <w:t xml:space="preserve"> </w:t>
      </w:r>
      <w:r w:rsidRPr="00DF1884">
        <w:t>on</w:t>
      </w:r>
      <w:r w:rsidR="00DF1884" w:rsidRPr="00DF1884">
        <w:t xml:space="preserve"> </w:t>
      </w:r>
      <w:r w:rsidRPr="00DF1884">
        <w:t>hospitalization</w:t>
      </w:r>
      <w:r w:rsidR="00DF1884" w:rsidRPr="00DF1884">
        <w:t xml:space="preserve"> </w:t>
      </w:r>
      <w:r w:rsidRPr="00DF1884">
        <w:t>rates.</w:t>
      </w:r>
      <w:r w:rsidR="00DF1884" w:rsidRPr="00DF1884">
        <w:t xml:space="preserve"> </w:t>
      </w:r>
      <w:r w:rsidRPr="00DF1884">
        <w:t>An</w:t>
      </w:r>
      <w:r w:rsidR="00DF1884" w:rsidRPr="00DF1884">
        <w:t xml:space="preserve"> </w:t>
      </w:r>
      <w:r w:rsidRPr="00DF1884">
        <w:t>early</w:t>
      </w:r>
      <w:r w:rsidR="00DF1884" w:rsidRPr="00DF1884">
        <w:t xml:space="preserve"> </w:t>
      </w:r>
      <w:r w:rsidRPr="00DF1884">
        <w:t>study</w:t>
      </w:r>
      <w:r w:rsidR="00DF1884" w:rsidRPr="00DF1884">
        <w:t xml:space="preserve"> </w:t>
      </w:r>
      <w:r w:rsidRPr="00DF1884">
        <w:t>by</w:t>
      </w:r>
      <w:r w:rsidR="00DF1884" w:rsidRPr="00DF1884">
        <w:t xml:space="preserve"> </w:t>
      </w:r>
      <w:r w:rsidRPr="00DF1884">
        <w:t>Billings</w:t>
      </w:r>
      <w:r w:rsidR="00DF1884" w:rsidRPr="00DF1884">
        <w:t xml:space="preserve"> </w:t>
      </w:r>
      <w:r w:rsidRPr="00DF1884">
        <w:t>et</w:t>
      </w:r>
      <w:r w:rsidR="00DF1884" w:rsidRPr="00DF1884">
        <w:t xml:space="preserve"> </w:t>
      </w:r>
      <w:r w:rsidRPr="00DF1884">
        <w:t>al.</w:t>
      </w:r>
      <w:r w:rsidR="00DF1884" w:rsidRPr="00DF1884">
        <w:t xml:space="preserve"> </w:t>
      </w:r>
      <w:r w:rsidRPr="00DF1884">
        <w:t>(1993)</w:t>
      </w:r>
      <w:r w:rsidR="00DF1884" w:rsidRPr="00DF1884">
        <w:t xml:space="preserve"> </w:t>
      </w:r>
      <w:r w:rsidRPr="00DF1884">
        <w:t>aimed</w:t>
      </w:r>
      <w:r w:rsidR="00DF1884" w:rsidRPr="00DF1884">
        <w:t xml:space="preserve"> </w:t>
      </w:r>
      <w:r w:rsidRPr="00DF1884">
        <w:t>to</w:t>
      </w:r>
      <w:r w:rsidR="00DF1884" w:rsidRPr="00DF1884">
        <w:t xml:space="preserve"> </w:t>
      </w:r>
      <w:r w:rsidRPr="00DF1884">
        <w:t>improve</w:t>
      </w:r>
      <w:r w:rsidR="00DF1884" w:rsidRPr="00DF1884">
        <w:t xml:space="preserve"> </w:t>
      </w:r>
      <w:r w:rsidRPr="00DF1884">
        <w:t>understanding</w:t>
      </w:r>
      <w:r w:rsidR="00DF1884" w:rsidRPr="00DF1884">
        <w:t xml:space="preserve"> </w:t>
      </w:r>
      <w:r w:rsidRPr="00DF1884">
        <w:t>of</w:t>
      </w:r>
      <w:r w:rsidR="00DF1884" w:rsidRPr="00DF1884">
        <w:t xml:space="preserve"> </w:t>
      </w:r>
      <w:r w:rsidRPr="00DF1884">
        <w:t>the</w:t>
      </w:r>
      <w:r w:rsidR="00DF1884" w:rsidRPr="00DF1884">
        <w:t xml:space="preserve"> </w:t>
      </w:r>
      <w:r w:rsidRPr="00DF1884">
        <w:t>causes</w:t>
      </w:r>
      <w:r w:rsidR="00DF1884" w:rsidRPr="00DF1884">
        <w:t xml:space="preserve"> </w:t>
      </w:r>
      <w:r w:rsidRPr="00DF1884">
        <w:t>of</w:t>
      </w:r>
      <w:r w:rsidR="00DF1884" w:rsidRPr="00DF1884">
        <w:t xml:space="preserve"> </w:t>
      </w:r>
      <w:r w:rsidRPr="00DF1884">
        <w:t>any</w:t>
      </w:r>
      <w:r w:rsidR="00DF1884" w:rsidRPr="00DF1884">
        <w:t xml:space="preserve"> </w:t>
      </w:r>
      <w:r w:rsidRPr="00DF1884">
        <w:t>variation</w:t>
      </w:r>
      <w:r w:rsidR="00DF1884" w:rsidRPr="00DF1884">
        <w:t xml:space="preserve"> </w:t>
      </w:r>
      <w:r w:rsidRPr="00DF1884">
        <w:t>in</w:t>
      </w:r>
      <w:r w:rsidR="00DF1884" w:rsidRPr="00DF1884">
        <w:t xml:space="preserve"> </w:t>
      </w:r>
      <w:r w:rsidRPr="00DF1884">
        <w:t>hospital</w:t>
      </w:r>
      <w:r w:rsidR="00DF1884" w:rsidRPr="00DF1884">
        <w:t xml:space="preserve"> </w:t>
      </w:r>
      <w:r w:rsidRPr="00DF1884">
        <w:t>use</w:t>
      </w:r>
      <w:r w:rsidR="00DF1884" w:rsidRPr="00DF1884">
        <w:t xml:space="preserve"> </w:t>
      </w:r>
      <w:r w:rsidRPr="00DF1884">
        <w:t>and</w:t>
      </w:r>
      <w:r w:rsidR="00DF1884" w:rsidRPr="00DF1884">
        <w:t xml:space="preserve"> </w:t>
      </w:r>
      <w:r w:rsidRPr="00DF1884">
        <w:t>evaluating</w:t>
      </w:r>
      <w:r w:rsidR="00DF1884" w:rsidRPr="00DF1884">
        <w:t xml:space="preserve"> </w:t>
      </w:r>
      <w:r w:rsidRPr="00DF1884">
        <w:t>the</w:t>
      </w:r>
      <w:r w:rsidR="00DF1884" w:rsidRPr="00DF1884">
        <w:t xml:space="preserve"> </w:t>
      </w:r>
      <w:r w:rsidRPr="00DF1884">
        <w:t>effectiveness</w:t>
      </w:r>
      <w:r w:rsidR="00DF1884" w:rsidRPr="00DF1884">
        <w:t xml:space="preserve"> </w:t>
      </w:r>
      <w:r w:rsidRPr="00DF1884">
        <w:t>of</w:t>
      </w:r>
      <w:r w:rsidR="00DF1884" w:rsidRPr="00DF1884">
        <w:t xml:space="preserve"> </w:t>
      </w:r>
      <w:r w:rsidRPr="00DF1884">
        <w:t>programs</w:t>
      </w:r>
      <w:r w:rsidR="00DF1884" w:rsidRPr="00DF1884">
        <w:t xml:space="preserve"> </w:t>
      </w:r>
      <w:r w:rsidRPr="00DF1884">
        <w:t>designed</w:t>
      </w:r>
      <w:r w:rsidR="00DF1884" w:rsidRPr="00DF1884">
        <w:t xml:space="preserve"> </w:t>
      </w:r>
      <w:r w:rsidRPr="00DF1884">
        <w:t>to</w:t>
      </w:r>
      <w:r w:rsidR="00DF1884" w:rsidRPr="00DF1884">
        <w:t xml:space="preserve"> </w:t>
      </w:r>
      <w:r w:rsidRPr="00DF1884">
        <w:t>improve</w:t>
      </w:r>
      <w:r w:rsidR="00DF1884" w:rsidRPr="00DF1884">
        <w:t xml:space="preserve"> </w:t>
      </w:r>
      <w:r w:rsidRPr="00DF1884">
        <w:t>access</w:t>
      </w:r>
      <w:r w:rsidR="00DF1884" w:rsidRPr="00DF1884">
        <w:t xml:space="preserve"> </w:t>
      </w:r>
      <w:r w:rsidRPr="00DF1884">
        <w:t>to</w:t>
      </w:r>
      <w:r w:rsidR="00DF1884" w:rsidRPr="00DF1884">
        <w:t xml:space="preserve"> </w:t>
      </w:r>
      <w:r w:rsidRPr="00DF1884">
        <w:t>care.</w:t>
      </w:r>
      <w:r w:rsidR="00DF1884" w:rsidRPr="00DF1884">
        <w:t xml:space="preserve"> </w:t>
      </w:r>
      <w:r w:rsidR="00FC504C" w:rsidRPr="00DF1884">
        <w:t>The</w:t>
      </w:r>
      <w:r w:rsidR="00DF1884" w:rsidRPr="00DF1884">
        <w:t xml:space="preserve"> </w:t>
      </w:r>
      <w:r w:rsidRPr="00DF1884">
        <w:t>team</w:t>
      </w:r>
      <w:r w:rsidR="00DF1884" w:rsidRPr="00DF1884">
        <w:t xml:space="preserve"> </w:t>
      </w:r>
      <w:r w:rsidRPr="00DF1884">
        <w:t>used</w:t>
      </w:r>
      <w:r w:rsidR="00DF1884" w:rsidRPr="00DF1884">
        <w:t xml:space="preserve"> </w:t>
      </w:r>
      <w:r w:rsidRPr="00DF1884">
        <w:t>a</w:t>
      </w:r>
      <w:r w:rsidR="00DF1884" w:rsidRPr="00DF1884">
        <w:t xml:space="preserve"> </w:t>
      </w:r>
      <w:r w:rsidRPr="00DF1884">
        <w:t>modified</w:t>
      </w:r>
      <w:r w:rsidR="00DF1884" w:rsidRPr="00DF1884">
        <w:t xml:space="preserve"> </w:t>
      </w:r>
      <w:r w:rsidRPr="00DF1884">
        <w:t>Delphi</w:t>
      </w:r>
      <w:r w:rsidR="00DF1884" w:rsidRPr="00DF1884">
        <w:t xml:space="preserve"> </w:t>
      </w:r>
      <w:r w:rsidRPr="00DF1884">
        <w:t>approach</w:t>
      </w:r>
      <w:r w:rsidR="00DF1884" w:rsidRPr="00DF1884">
        <w:t xml:space="preserve"> </w:t>
      </w:r>
      <w:r w:rsidRPr="00DF1884">
        <w:t>to</w:t>
      </w:r>
      <w:r w:rsidR="00DF1884" w:rsidRPr="00DF1884">
        <w:t xml:space="preserve"> </w:t>
      </w:r>
      <w:r w:rsidRPr="00DF1884">
        <w:t>define</w:t>
      </w:r>
      <w:r w:rsidR="00DF1884" w:rsidRPr="00DF1884">
        <w:t xml:space="preserve"> </w:t>
      </w:r>
      <w:r w:rsidRPr="00DF1884">
        <w:t>three</w:t>
      </w:r>
      <w:r w:rsidR="00DF1884" w:rsidRPr="00DF1884">
        <w:t xml:space="preserve"> </w:t>
      </w:r>
      <w:r w:rsidRPr="00DF1884">
        <w:t>basic</w:t>
      </w:r>
      <w:r w:rsidR="00DF1884" w:rsidRPr="00DF1884">
        <w:t xml:space="preserve"> </w:t>
      </w:r>
      <w:r w:rsidRPr="00DF1884">
        <w:t>categories</w:t>
      </w:r>
      <w:r w:rsidR="00DF1884" w:rsidRPr="00DF1884">
        <w:t xml:space="preserve"> </w:t>
      </w:r>
      <w:r w:rsidRPr="00DF1884">
        <w:t>for</w:t>
      </w:r>
      <w:r w:rsidR="00DF1884" w:rsidRPr="00DF1884">
        <w:t xml:space="preserve"> </w:t>
      </w:r>
      <w:r w:rsidRPr="00DF1884">
        <w:t>grouping</w:t>
      </w:r>
      <w:r w:rsidR="00DF1884" w:rsidRPr="00DF1884">
        <w:t xml:space="preserve"> </w:t>
      </w:r>
      <w:r w:rsidRPr="00DF1884">
        <w:t>all</w:t>
      </w:r>
      <w:r w:rsidR="00DF1884" w:rsidRPr="00DF1884">
        <w:t xml:space="preserve"> </w:t>
      </w:r>
      <w:r w:rsidRPr="00DF1884">
        <w:t>causes</w:t>
      </w:r>
      <w:r w:rsidR="00DF1884" w:rsidRPr="00DF1884">
        <w:t xml:space="preserve"> </w:t>
      </w:r>
      <w:r w:rsidRPr="00DF1884">
        <w:t>of</w:t>
      </w:r>
      <w:r w:rsidR="00DF1884" w:rsidRPr="00DF1884">
        <w:t xml:space="preserve"> </w:t>
      </w:r>
      <w:r w:rsidRPr="00DF1884">
        <w:t>hospital</w:t>
      </w:r>
      <w:r w:rsidR="00DF1884" w:rsidRPr="00DF1884">
        <w:t xml:space="preserve"> </w:t>
      </w:r>
      <w:r w:rsidRPr="00DF1884">
        <w:t>admission:</w:t>
      </w:r>
      <w:r w:rsidR="00DF1884" w:rsidRPr="00DF1884">
        <w:t xml:space="preserve"> </w:t>
      </w:r>
    </w:p>
    <w:p w14:paraId="057FC62B" w14:textId="4712F512" w:rsidR="00887F28" w:rsidRPr="00DF1884" w:rsidRDefault="00887F28" w:rsidP="00887F28">
      <w:pPr>
        <w:pStyle w:val="Bullet"/>
        <w:numPr>
          <w:ilvl w:val="0"/>
          <w:numId w:val="33"/>
        </w:numPr>
        <w:ind w:left="576"/>
      </w:pPr>
      <w:r w:rsidRPr="00DF1884">
        <w:t>C</w:t>
      </w:r>
      <w:r w:rsidR="00FB7739" w:rsidRPr="00DF1884">
        <w:t>onditions</w:t>
      </w:r>
      <w:r w:rsidR="00DF1884" w:rsidRPr="00DF1884">
        <w:t xml:space="preserve"> </w:t>
      </w:r>
      <w:r w:rsidR="00FB7739" w:rsidRPr="00DF1884">
        <w:t>for</w:t>
      </w:r>
      <w:r w:rsidR="00DF1884" w:rsidRPr="00DF1884">
        <w:t xml:space="preserve"> </w:t>
      </w:r>
      <w:r w:rsidR="00FB7739" w:rsidRPr="00DF1884">
        <w:t>which</w:t>
      </w:r>
      <w:r w:rsidR="00DF1884" w:rsidRPr="00DF1884">
        <w:t xml:space="preserve"> </w:t>
      </w:r>
      <w:r w:rsidR="00FB7739" w:rsidRPr="00DF1884">
        <w:t>the</w:t>
      </w:r>
      <w:r w:rsidR="00DF1884" w:rsidRPr="00DF1884">
        <w:t xml:space="preserve"> </w:t>
      </w:r>
      <w:r w:rsidR="00FB7739" w:rsidRPr="00DF1884">
        <w:t>provision</w:t>
      </w:r>
      <w:r w:rsidR="00DF1884" w:rsidRPr="00DF1884">
        <w:t xml:space="preserve"> </w:t>
      </w:r>
      <w:r w:rsidR="00FB7739" w:rsidRPr="00DF1884">
        <w:t>of</w:t>
      </w:r>
      <w:r w:rsidR="00DF1884" w:rsidRPr="00DF1884">
        <w:t xml:space="preserve"> </w:t>
      </w:r>
      <w:r w:rsidR="00FB7739" w:rsidRPr="00DF1884">
        <w:t>timely</w:t>
      </w:r>
      <w:r w:rsidR="00DF1884" w:rsidRPr="00DF1884">
        <w:t xml:space="preserve"> </w:t>
      </w:r>
      <w:r w:rsidR="00FB7739" w:rsidRPr="00DF1884">
        <w:t>and</w:t>
      </w:r>
      <w:r w:rsidR="00DF1884" w:rsidRPr="00DF1884">
        <w:t xml:space="preserve"> </w:t>
      </w:r>
      <w:r w:rsidR="00FB7739" w:rsidRPr="00DF1884">
        <w:t>effective</w:t>
      </w:r>
      <w:r w:rsidR="00DF1884" w:rsidRPr="00DF1884">
        <w:t xml:space="preserve"> </w:t>
      </w:r>
      <w:r w:rsidR="00FB7739" w:rsidRPr="00DF1884">
        <w:t>outpatient</w:t>
      </w:r>
      <w:r w:rsidR="00DF1884" w:rsidRPr="00DF1884">
        <w:t xml:space="preserve"> </w:t>
      </w:r>
      <w:r w:rsidR="00FB7739" w:rsidRPr="00DF1884">
        <w:t>care</w:t>
      </w:r>
      <w:r w:rsidR="00DF1884" w:rsidRPr="00DF1884">
        <w:t xml:space="preserve"> </w:t>
      </w:r>
      <w:r w:rsidR="00FB7739" w:rsidRPr="00DF1884">
        <w:t>is</w:t>
      </w:r>
      <w:r w:rsidR="00DF1884" w:rsidRPr="00DF1884">
        <w:t xml:space="preserve"> </w:t>
      </w:r>
      <w:r w:rsidR="00FB7739" w:rsidRPr="00DF1884">
        <w:t>likely</w:t>
      </w:r>
      <w:r w:rsidR="00DF1884" w:rsidRPr="00DF1884">
        <w:t xml:space="preserve"> </w:t>
      </w:r>
      <w:r w:rsidR="00FB7739" w:rsidRPr="00DF1884">
        <w:t>to</w:t>
      </w:r>
      <w:r w:rsidR="00DF1884" w:rsidRPr="00DF1884">
        <w:t xml:space="preserve"> </w:t>
      </w:r>
      <w:r w:rsidR="00FB7739" w:rsidRPr="00DF1884">
        <w:t>have</w:t>
      </w:r>
      <w:r w:rsidR="00DF1884" w:rsidRPr="00DF1884">
        <w:t xml:space="preserve"> </w:t>
      </w:r>
      <w:r w:rsidR="00FB7739" w:rsidRPr="00DF1884">
        <w:rPr>
          <w:i/>
        </w:rPr>
        <w:t>little</w:t>
      </w:r>
      <w:r w:rsidR="00DF1884" w:rsidRPr="00DF1884">
        <w:t xml:space="preserve"> </w:t>
      </w:r>
      <w:r w:rsidR="00FB7739" w:rsidRPr="00DF1884">
        <w:t>impact</w:t>
      </w:r>
      <w:r w:rsidR="00DF1884" w:rsidRPr="00DF1884">
        <w:t xml:space="preserve"> </w:t>
      </w:r>
      <w:r w:rsidR="00FB7739" w:rsidRPr="00DF1884">
        <w:t>on</w:t>
      </w:r>
      <w:r w:rsidR="00DF1884" w:rsidRPr="00DF1884">
        <w:t xml:space="preserve"> </w:t>
      </w:r>
      <w:r w:rsidR="00FB7739" w:rsidRPr="00DF1884">
        <w:t>the</w:t>
      </w:r>
      <w:r w:rsidR="00DF1884" w:rsidRPr="00DF1884">
        <w:t xml:space="preserve"> </w:t>
      </w:r>
      <w:r w:rsidR="00FB7739" w:rsidRPr="00DF1884">
        <w:t>need</w:t>
      </w:r>
      <w:r w:rsidR="00DF1884" w:rsidRPr="00DF1884">
        <w:t xml:space="preserve"> </w:t>
      </w:r>
      <w:r w:rsidR="00FB7739" w:rsidRPr="00DF1884">
        <w:t>for</w:t>
      </w:r>
      <w:r w:rsidR="00DF1884" w:rsidRPr="00DF1884">
        <w:t xml:space="preserve"> </w:t>
      </w:r>
      <w:r w:rsidR="00FB7739" w:rsidRPr="00DF1884">
        <w:t>hospital</w:t>
      </w:r>
      <w:r w:rsidR="00DF1884" w:rsidRPr="00DF1884">
        <w:t xml:space="preserve"> </w:t>
      </w:r>
      <w:r w:rsidR="00FB7739" w:rsidRPr="00DF1884">
        <w:t>admission</w:t>
      </w:r>
      <w:r w:rsidRPr="00DF1884">
        <w:t>.</w:t>
      </w:r>
    </w:p>
    <w:p w14:paraId="777A77E6" w14:textId="550BE959" w:rsidR="00887F28" w:rsidRPr="00DF1884" w:rsidRDefault="00887F28" w:rsidP="00887F28">
      <w:pPr>
        <w:pStyle w:val="Bullet"/>
        <w:numPr>
          <w:ilvl w:val="0"/>
          <w:numId w:val="33"/>
        </w:numPr>
        <w:ind w:left="576"/>
      </w:pPr>
      <w:r w:rsidRPr="00DF1884">
        <w:t>C</w:t>
      </w:r>
      <w:r w:rsidR="00FB7739" w:rsidRPr="00DF1884">
        <w:t>onditions</w:t>
      </w:r>
      <w:r w:rsidR="00DF1884" w:rsidRPr="00DF1884">
        <w:t xml:space="preserve"> </w:t>
      </w:r>
      <w:r w:rsidR="00FB7739" w:rsidRPr="00DF1884">
        <w:t>for</w:t>
      </w:r>
      <w:r w:rsidR="00DF1884" w:rsidRPr="00DF1884">
        <w:t xml:space="preserve"> </w:t>
      </w:r>
      <w:r w:rsidR="00FB7739" w:rsidRPr="00DF1884">
        <w:t>which</w:t>
      </w:r>
      <w:r w:rsidR="00DF1884" w:rsidRPr="00DF1884">
        <w:t xml:space="preserve"> </w:t>
      </w:r>
      <w:r w:rsidR="00FB7739" w:rsidRPr="00DF1884">
        <w:t>timely</w:t>
      </w:r>
      <w:r w:rsidR="00DF1884" w:rsidRPr="00DF1884">
        <w:t xml:space="preserve"> </w:t>
      </w:r>
      <w:r w:rsidR="00FB7739" w:rsidRPr="00DF1884">
        <w:t>and</w:t>
      </w:r>
      <w:r w:rsidR="00DF1884" w:rsidRPr="00DF1884">
        <w:t xml:space="preserve"> </w:t>
      </w:r>
      <w:r w:rsidR="00FB7739" w:rsidRPr="00DF1884">
        <w:t>effective</w:t>
      </w:r>
      <w:r w:rsidR="00DF1884" w:rsidRPr="00DF1884">
        <w:t xml:space="preserve"> </w:t>
      </w:r>
      <w:r w:rsidR="00FB7739" w:rsidRPr="00DF1884">
        <w:t>outpatient</w:t>
      </w:r>
      <w:r w:rsidR="00DF1884" w:rsidRPr="00DF1884">
        <w:t xml:space="preserve"> </w:t>
      </w:r>
      <w:r w:rsidR="00FB7739" w:rsidRPr="00DF1884">
        <w:t>care</w:t>
      </w:r>
      <w:r w:rsidR="00DF1884" w:rsidRPr="00DF1884">
        <w:t xml:space="preserve"> </w:t>
      </w:r>
      <w:r w:rsidR="00FB7739" w:rsidRPr="00DF1884">
        <w:t>can</w:t>
      </w:r>
      <w:r w:rsidR="00DF1884" w:rsidRPr="00DF1884">
        <w:t xml:space="preserve"> </w:t>
      </w:r>
      <w:r w:rsidR="00FB7739" w:rsidRPr="00DF1884">
        <w:t>help</w:t>
      </w:r>
      <w:r w:rsidR="00DF1884" w:rsidRPr="00DF1884">
        <w:t xml:space="preserve"> </w:t>
      </w:r>
      <w:r w:rsidR="00FB7739" w:rsidRPr="00DF1884">
        <w:t>to</w:t>
      </w:r>
      <w:r w:rsidR="00DF1884" w:rsidRPr="00DF1884">
        <w:t xml:space="preserve"> </w:t>
      </w:r>
      <w:r w:rsidR="00FB7739" w:rsidRPr="00DF1884">
        <w:t>reduce</w:t>
      </w:r>
      <w:r w:rsidR="00DF1884" w:rsidRPr="00DF1884">
        <w:t xml:space="preserve"> </w:t>
      </w:r>
      <w:r w:rsidR="00FB7739" w:rsidRPr="00DF1884">
        <w:t>the</w:t>
      </w:r>
      <w:r w:rsidR="00DF1884" w:rsidRPr="00DF1884">
        <w:t xml:space="preserve"> </w:t>
      </w:r>
      <w:r w:rsidR="00FB7739" w:rsidRPr="00DF1884">
        <w:t>risks</w:t>
      </w:r>
      <w:r w:rsidR="00DF1884" w:rsidRPr="00DF1884">
        <w:t xml:space="preserve"> </w:t>
      </w:r>
      <w:r w:rsidR="00FB7739" w:rsidRPr="00DF1884">
        <w:t>of</w:t>
      </w:r>
      <w:r w:rsidR="00DF1884" w:rsidRPr="00DF1884">
        <w:t xml:space="preserve"> </w:t>
      </w:r>
      <w:r w:rsidR="00FB7739" w:rsidRPr="00DF1884">
        <w:t>hospitalization</w:t>
      </w:r>
      <w:r w:rsidR="00DF1884" w:rsidRPr="00DF1884">
        <w:t xml:space="preserve"> </w:t>
      </w:r>
      <w:r w:rsidR="00FB7739" w:rsidRPr="00DF1884">
        <w:t>by</w:t>
      </w:r>
      <w:r w:rsidR="00DF1884" w:rsidRPr="00DF1884">
        <w:t xml:space="preserve"> </w:t>
      </w:r>
      <w:r w:rsidR="00FB7739" w:rsidRPr="00DF1884">
        <w:t>either</w:t>
      </w:r>
      <w:r w:rsidR="00DF1884" w:rsidRPr="00DF1884">
        <w:t xml:space="preserve"> </w:t>
      </w:r>
      <w:r w:rsidR="00FB7739" w:rsidRPr="00DF1884">
        <w:t>preventing</w:t>
      </w:r>
      <w:r w:rsidR="00DF1884" w:rsidRPr="00DF1884">
        <w:t xml:space="preserve"> </w:t>
      </w:r>
      <w:r w:rsidR="00FB7739" w:rsidRPr="00DF1884">
        <w:t>the</w:t>
      </w:r>
      <w:r w:rsidR="00DF1884" w:rsidRPr="00DF1884">
        <w:t xml:space="preserve"> </w:t>
      </w:r>
      <w:r w:rsidR="00FB7739" w:rsidRPr="00DF1884">
        <w:t>onset</w:t>
      </w:r>
      <w:r w:rsidR="00DF1884" w:rsidRPr="00DF1884">
        <w:t xml:space="preserve"> </w:t>
      </w:r>
      <w:r w:rsidR="00FB7739" w:rsidRPr="00DF1884">
        <w:t>of</w:t>
      </w:r>
      <w:r w:rsidR="00DF1884" w:rsidRPr="00DF1884">
        <w:t xml:space="preserve"> </w:t>
      </w:r>
      <w:r w:rsidR="00FB7739" w:rsidRPr="00DF1884">
        <w:t>an</w:t>
      </w:r>
      <w:r w:rsidR="00DF1884" w:rsidRPr="00DF1884">
        <w:t xml:space="preserve"> </w:t>
      </w:r>
      <w:r w:rsidR="00FB7739" w:rsidRPr="00DF1884">
        <w:t>illness</w:t>
      </w:r>
      <w:r w:rsidR="00DF1884" w:rsidRPr="00DF1884">
        <w:t xml:space="preserve"> </w:t>
      </w:r>
      <w:r w:rsidR="00FB7739" w:rsidRPr="00DF1884">
        <w:t>or</w:t>
      </w:r>
      <w:r w:rsidR="00DF1884" w:rsidRPr="00DF1884">
        <w:t xml:space="preserve"> </w:t>
      </w:r>
      <w:r w:rsidR="00FB7739" w:rsidRPr="00DF1884">
        <w:t>condition,</w:t>
      </w:r>
      <w:r w:rsidR="00DF1884" w:rsidRPr="00DF1884">
        <w:t xml:space="preserve"> </w:t>
      </w:r>
      <w:r w:rsidR="00FB7739" w:rsidRPr="00DF1884">
        <w:t>controlling</w:t>
      </w:r>
      <w:r w:rsidR="00DF1884" w:rsidRPr="00DF1884">
        <w:t xml:space="preserve"> </w:t>
      </w:r>
      <w:r w:rsidR="00FB7739" w:rsidRPr="00DF1884">
        <w:t>an</w:t>
      </w:r>
      <w:r w:rsidR="00DF1884" w:rsidRPr="00DF1884">
        <w:t xml:space="preserve"> </w:t>
      </w:r>
      <w:r w:rsidR="00FB7739" w:rsidRPr="00DF1884">
        <w:t>acute</w:t>
      </w:r>
      <w:r w:rsidR="00DF1884" w:rsidRPr="00DF1884">
        <w:t xml:space="preserve"> </w:t>
      </w:r>
      <w:r w:rsidR="00FB7739" w:rsidRPr="00DF1884">
        <w:t>episodic</w:t>
      </w:r>
      <w:r w:rsidR="00DF1884" w:rsidRPr="00DF1884">
        <w:t xml:space="preserve"> </w:t>
      </w:r>
      <w:r w:rsidR="00FB7739" w:rsidRPr="00DF1884">
        <w:t>illness</w:t>
      </w:r>
      <w:r w:rsidR="00DF1884" w:rsidRPr="00DF1884">
        <w:t xml:space="preserve"> </w:t>
      </w:r>
      <w:r w:rsidR="00FB7739" w:rsidRPr="00DF1884">
        <w:t>or</w:t>
      </w:r>
      <w:r w:rsidR="00DF1884" w:rsidRPr="00DF1884">
        <w:t xml:space="preserve"> </w:t>
      </w:r>
      <w:r w:rsidR="00FB7739" w:rsidRPr="00DF1884">
        <w:t>condition,</w:t>
      </w:r>
      <w:r w:rsidR="00DF1884" w:rsidRPr="00DF1884">
        <w:t xml:space="preserve"> </w:t>
      </w:r>
      <w:r w:rsidR="00FB7739" w:rsidRPr="00DF1884">
        <w:t>or</w:t>
      </w:r>
      <w:r w:rsidR="00DF1884" w:rsidRPr="00DF1884">
        <w:t xml:space="preserve"> </w:t>
      </w:r>
      <w:r w:rsidR="00FB7739" w:rsidRPr="00DF1884">
        <w:t>managing</w:t>
      </w:r>
      <w:r w:rsidR="00DF1884" w:rsidRPr="00DF1884">
        <w:t xml:space="preserve"> </w:t>
      </w:r>
      <w:r w:rsidR="00FB7739" w:rsidRPr="00DF1884">
        <w:t>a</w:t>
      </w:r>
      <w:r w:rsidR="00DF1884" w:rsidRPr="00DF1884">
        <w:t xml:space="preserve"> </w:t>
      </w:r>
      <w:r w:rsidR="00FB7739" w:rsidRPr="00DF1884">
        <w:t>chronic</w:t>
      </w:r>
      <w:r w:rsidR="00DF1884" w:rsidRPr="00DF1884">
        <w:t xml:space="preserve"> </w:t>
      </w:r>
      <w:r w:rsidR="00FB7739" w:rsidRPr="00DF1884">
        <w:t>disease</w:t>
      </w:r>
      <w:r w:rsidR="00DF1884" w:rsidRPr="00DF1884">
        <w:t xml:space="preserve"> </w:t>
      </w:r>
      <w:r w:rsidR="00FB7739" w:rsidRPr="00DF1884">
        <w:t>or</w:t>
      </w:r>
      <w:r w:rsidR="00DF1884" w:rsidRPr="00DF1884">
        <w:t xml:space="preserve"> </w:t>
      </w:r>
      <w:r w:rsidR="00FB7739" w:rsidRPr="00DF1884">
        <w:t>condition</w:t>
      </w:r>
      <w:r w:rsidRPr="00DF1884">
        <w:t>.</w:t>
      </w:r>
    </w:p>
    <w:p w14:paraId="1D72C6F2" w14:textId="1493E74F" w:rsidR="00887F28" w:rsidRPr="00DF1884" w:rsidRDefault="00887F28" w:rsidP="00887F28">
      <w:pPr>
        <w:pStyle w:val="Bullet"/>
        <w:numPr>
          <w:ilvl w:val="0"/>
          <w:numId w:val="33"/>
        </w:numPr>
        <w:ind w:left="576"/>
      </w:pPr>
      <w:r w:rsidRPr="00DF1884">
        <w:t>R</w:t>
      </w:r>
      <w:r w:rsidR="00FB7739" w:rsidRPr="00DF1884">
        <w:t>eferral-sensitive</w:t>
      </w:r>
      <w:r w:rsidR="00DF1884" w:rsidRPr="00DF1884">
        <w:t xml:space="preserve"> </w:t>
      </w:r>
      <w:r w:rsidR="00FB7739" w:rsidRPr="00DF1884">
        <w:t>surgeries,</w:t>
      </w:r>
      <w:r w:rsidR="00DF1884" w:rsidRPr="00DF1884">
        <w:t xml:space="preserve"> </w:t>
      </w:r>
      <w:r w:rsidR="00FB7739" w:rsidRPr="00DF1884">
        <w:t>defined</w:t>
      </w:r>
      <w:r w:rsidR="00DF1884" w:rsidRPr="00DF1884">
        <w:t xml:space="preserve"> </w:t>
      </w:r>
      <w:r w:rsidR="00FB7739" w:rsidRPr="00DF1884">
        <w:t>as</w:t>
      </w:r>
      <w:r w:rsidR="00DF1884" w:rsidRPr="00DF1884">
        <w:t xml:space="preserve"> </w:t>
      </w:r>
      <w:r w:rsidR="00FB7739" w:rsidRPr="00DF1884">
        <w:t>high-cost/high-technology</w:t>
      </w:r>
      <w:r w:rsidR="00DF1884" w:rsidRPr="00DF1884">
        <w:t xml:space="preserve"> </w:t>
      </w:r>
      <w:r w:rsidR="00FB7739" w:rsidRPr="00DF1884">
        <w:t>surgical</w:t>
      </w:r>
      <w:r w:rsidR="00DF1884" w:rsidRPr="00DF1884">
        <w:t xml:space="preserve"> </w:t>
      </w:r>
      <w:r w:rsidR="00FB7739" w:rsidRPr="00DF1884">
        <w:t>procedures</w:t>
      </w:r>
      <w:r w:rsidR="00DF1884" w:rsidRPr="00DF1884">
        <w:t xml:space="preserve"> </w:t>
      </w:r>
      <w:r w:rsidR="00FB7739" w:rsidRPr="00DF1884">
        <w:t>for</w:t>
      </w:r>
      <w:r w:rsidR="00DF1884" w:rsidRPr="00DF1884">
        <w:t xml:space="preserve"> </w:t>
      </w:r>
      <w:r w:rsidR="00FB7739" w:rsidRPr="00DF1884">
        <w:t>which</w:t>
      </w:r>
      <w:r w:rsidR="00DF1884" w:rsidRPr="00DF1884">
        <w:t xml:space="preserve"> </w:t>
      </w:r>
      <w:r w:rsidR="00FB7739" w:rsidRPr="00DF1884">
        <w:t>impediments</w:t>
      </w:r>
      <w:r w:rsidR="00DF1884" w:rsidRPr="00DF1884">
        <w:t xml:space="preserve"> </w:t>
      </w:r>
      <w:r w:rsidR="00FB7739" w:rsidRPr="00DF1884">
        <w:t>to</w:t>
      </w:r>
      <w:r w:rsidR="00DF1884" w:rsidRPr="00DF1884">
        <w:t xml:space="preserve"> </w:t>
      </w:r>
      <w:r w:rsidR="00FB7739" w:rsidRPr="00DF1884">
        <w:t>access</w:t>
      </w:r>
      <w:r w:rsidR="00DF1884" w:rsidRPr="00DF1884">
        <w:t xml:space="preserve"> </w:t>
      </w:r>
      <w:r w:rsidR="00FB7739" w:rsidRPr="00DF1884">
        <w:t>or</w:t>
      </w:r>
      <w:r w:rsidR="00DF1884" w:rsidRPr="00DF1884">
        <w:t xml:space="preserve"> </w:t>
      </w:r>
      <w:r w:rsidR="00FB7739" w:rsidRPr="00DF1884">
        <w:t>referral</w:t>
      </w:r>
      <w:r w:rsidR="00DF1884" w:rsidRPr="00DF1884">
        <w:t xml:space="preserve"> </w:t>
      </w:r>
      <w:r w:rsidR="00FB7739" w:rsidRPr="00DF1884">
        <w:t>to</w:t>
      </w:r>
      <w:r w:rsidR="00DF1884" w:rsidRPr="00DF1884">
        <w:t xml:space="preserve"> </w:t>
      </w:r>
      <w:r w:rsidR="00FB7739" w:rsidRPr="00DF1884">
        <w:t>specialty</w:t>
      </w:r>
      <w:r w:rsidR="00DF1884" w:rsidRPr="00DF1884">
        <w:t xml:space="preserve"> </w:t>
      </w:r>
      <w:r w:rsidR="00FB7739" w:rsidRPr="00DF1884">
        <w:t>care</w:t>
      </w:r>
      <w:r w:rsidR="00DF1884" w:rsidRPr="00DF1884">
        <w:t xml:space="preserve"> </w:t>
      </w:r>
      <w:r w:rsidR="00FB7739" w:rsidRPr="00DF1884">
        <w:t>may</w:t>
      </w:r>
      <w:r w:rsidR="00DF1884" w:rsidRPr="00DF1884">
        <w:t xml:space="preserve"> </w:t>
      </w:r>
      <w:r w:rsidR="00FB7739" w:rsidRPr="00DF1884">
        <w:t>reduce</w:t>
      </w:r>
      <w:r w:rsidR="00DF1884" w:rsidRPr="00DF1884">
        <w:t xml:space="preserve"> </w:t>
      </w:r>
      <w:r w:rsidR="00FB7739" w:rsidRPr="00DF1884">
        <w:t>the</w:t>
      </w:r>
      <w:r w:rsidR="00DF1884" w:rsidRPr="00DF1884">
        <w:t xml:space="preserve"> </w:t>
      </w:r>
      <w:r w:rsidR="00FB7739" w:rsidRPr="00DF1884">
        <w:t>chances</w:t>
      </w:r>
      <w:r w:rsidR="00DF1884" w:rsidRPr="00DF1884">
        <w:t xml:space="preserve"> </w:t>
      </w:r>
      <w:r w:rsidR="00FB7739" w:rsidRPr="00DF1884">
        <w:t>of</w:t>
      </w:r>
      <w:r w:rsidR="00DF1884" w:rsidRPr="00DF1884">
        <w:t xml:space="preserve"> </w:t>
      </w:r>
      <w:r w:rsidR="00FB7739" w:rsidRPr="00DF1884">
        <w:t>having</w:t>
      </w:r>
      <w:r w:rsidR="00DF1884" w:rsidRPr="00DF1884">
        <w:t xml:space="preserve"> </w:t>
      </w:r>
      <w:r w:rsidR="00FB7739" w:rsidRPr="00DF1884">
        <w:t>the</w:t>
      </w:r>
      <w:r w:rsidR="00DF1884" w:rsidRPr="00DF1884">
        <w:t xml:space="preserve"> </w:t>
      </w:r>
      <w:r w:rsidR="00FB7739" w:rsidRPr="00DF1884">
        <w:t>surgery.</w:t>
      </w:r>
    </w:p>
    <w:p w14:paraId="39A6E05B" w14:textId="02F4CDC2" w:rsidR="00FC504C" w:rsidRPr="00DF1884" w:rsidRDefault="00FC504C" w:rsidP="00887F28">
      <w:pPr>
        <w:pStyle w:val="Body"/>
      </w:pPr>
      <w:r w:rsidRPr="00DF1884">
        <w:t>A</w:t>
      </w:r>
      <w:r w:rsidR="00FB7739" w:rsidRPr="00DF1884">
        <w:t>nalysis</w:t>
      </w:r>
      <w:r w:rsidR="00DF1884" w:rsidRPr="00DF1884">
        <w:t xml:space="preserve"> </w:t>
      </w:r>
      <w:r w:rsidR="00FB7739" w:rsidRPr="00DF1884">
        <w:t>focused</w:t>
      </w:r>
      <w:r w:rsidR="00DF1884" w:rsidRPr="00DF1884">
        <w:t xml:space="preserve"> </w:t>
      </w:r>
      <w:r w:rsidR="00FB7739" w:rsidRPr="00DF1884">
        <w:t>on</w:t>
      </w:r>
      <w:r w:rsidR="00DF1884" w:rsidRPr="00DF1884">
        <w:t xml:space="preserve"> </w:t>
      </w:r>
      <w:r w:rsidR="00FB7739" w:rsidRPr="00DF1884">
        <w:t>the</w:t>
      </w:r>
      <w:r w:rsidR="00DF1884" w:rsidRPr="00DF1884">
        <w:t xml:space="preserve"> </w:t>
      </w:r>
      <w:r w:rsidR="00FB7739" w:rsidRPr="00DF1884">
        <w:t>rates</w:t>
      </w:r>
      <w:r w:rsidR="00DF1884" w:rsidRPr="00DF1884">
        <w:t xml:space="preserve"> </w:t>
      </w:r>
      <w:r w:rsidR="00FB7739" w:rsidRPr="00DF1884">
        <w:t>of</w:t>
      </w:r>
      <w:r w:rsidR="00DF1884" w:rsidRPr="00DF1884">
        <w:t xml:space="preserve"> </w:t>
      </w:r>
      <w:r w:rsidR="00FB7739" w:rsidRPr="00DF1884">
        <w:t>hospitalization</w:t>
      </w:r>
      <w:r w:rsidR="00DF1884" w:rsidRPr="00DF1884">
        <w:t xml:space="preserve"> </w:t>
      </w:r>
      <w:r w:rsidR="00FB7739" w:rsidRPr="00DF1884">
        <w:t>among</w:t>
      </w:r>
      <w:r w:rsidR="00DF1884" w:rsidRPr="00DF1884">
        <w:t xml:space="preserve"> </w:t>
      </w:r>
      <w:r w:rsidR="00FB7739" w:rsidRPr="00DF1884">
        <w:t>adults</w:t>
      </w:r>
      <w:r w:rsidR="00DF1884" w:rsidRPr="00DF1884">
        <w:t xml:space="preserve"> </w:t>
      </w:r>
      <w:r w:rsidR="00FB7739" w:rsidRPr="00DF1884">
        <w:t>under</w:t>
      </w:r>
      <w:r w:rsidR="00DF1884" w:rsidRPr="00DF1884">
        <w:t xml:space="preserve"> </w:t>
      </w:r>
      <w:r w:rsidR="00FB7739" w:rsidRPr="00DF1884">
        <w:t>65</w:t>
      </w:r>
      <w:r w:rsidR="00DF1884" w:rsidRPr="00DF1884">
        <w:t xml:space="preserve"> </w:t>
      </w:r>
      <w:r w:rsidRPr="00DF1884">
        <w:t>years</w:t>
      </w:r>
      <w:r w:rsidR="00DF1884" w:rsidRPr="00DF1884">
        <w:t xml:space="preserve"> </w:t>
      </w:r>
      <w:r w:rsidRPr="00DF1884">
        <w:t>of</w:t>
      </w:r>
      <w:r w:rsidR="00DF1884" w:rsidRPr="00DF1884">
        <w:t xml:space="preserve"> </w:t>
      </w:r>
      <w:r w:rsidRPr="00DF1884">
        <w:t>age</w:t>
      </w:r>
      <w:r w:rsidR="00DF1884" w:rsidRPr="00DF1884">
        <w:t xml:space="preserve"> </w:t>
      </w:r>
      <w:r w:rsidR="00FB7739" w:rsidRPr="00DF1884">
        <w:t>for</w:t>
      </w:r>
      <w:r w:rsidR="00DF1884" w:rsidRPr="00DF1884">
        <w:t xml:space="preserve"> </w:t>
      </w:r>
      <w:r w:rsidR="00FB7739" w:rsidRPr="00DF1884">
        <w:t>conditions</w:t>
      </w:r>
      <w:r w:rsidR="00DF1884" w:rsidRPr="00DF1884">
        <w:t xml:space="preserve"> </w:t>
      </w:r>
      <w:r w:rsidR="00FB7739" w:rsidRPr="00DF1884">
        <w:t>the</w:t>
      </w:r>
      <w:r w:rsidR="00DF1884" w:rsidRPr="00DF1884">
        <w:t xml:space="preserve"> </w:t>
      </w:r>
      <w:r w:rsidR="00FB7739" w:rsidRPr="00DF1884">
        <w:t>panel</w:t>
      </w:r>
      <w:r w:rsidR="00DF1884" w:rsidRPr="00DF1884">
        <w:t xml:space="preserve"> </w:t>
      </w:r>
      <w:r w:rsidR="00FB7739" w:rsidRPr="00DF1884">
        <w:t>identified</w:t>
      </w:r>
      <w:r w:rsidR="00DF1884" w:rsidRPr="00DF1884">
        <w:t xml:space="preserve"> </w:t>
      </w:r>
      <w:r w:rsidR="00FB7739" w:rsidRPr="00DF1884">
        <w:t>as</w:t>
      </w:r>
      <w:r w:rsidR="00DF1884" w:rsidRPr="00DF1884">
        <w:t xml:space="preserve"> </w:t>
      </w:r>
      <w:r w:rsidR="00FB7739" w:rsidRPr="00DF1884">
        <w:t>being</w:t>
      </w:r>
      <w:r w:rsidR="00DF1884" w:rsidRPr="00DF1884">
        <w:t xml:space="preserve"> </w:t>
      </w:r>
      <w:r w:rsidR="00FB7739" w:rsidRPr="00DF1884">
        <w:t>potentially</w:t>
      </w:r>
      <w:r w:rsidR="00DF1884" w:rsidRPr="00DF1884">
        <w:t xml:space="preserve"> </w:t>
      </w:r>
      <w:r w:rsidR="00FB7739" w:rsidRPr="00DF1884">
        <w:t>responsive</w:t>
      </w:r>
      <w:r w:rsidR="00DF1884" w:rsidRPr="00DF1884">
        <w:t xml:space="preserve"> </w:t>
      </w:r>
      <w:r w:rsidR="00FB7739" w:rsidRPr="00DF1884">
        <w:t>to</w:t>
      </w:r>
      <w:r w:rsidR="00DF1884" w:rsidRPr="00DF1884">
        <w:t xml:space="preserve"> </w:t>
      </w:r>
      <w:r w:rsidR="00FB7739" w:rsidRPr="00DF1884">
        <w:t>timely</w:t>
      </w:r>
      <w:r w:rsidR="00DF1884" w:rsidRPr="00DF1884">
        <w:t xml:space="preserve"> </w:t>
      </w:r>
      <w:r w:rsidR="00FB7739" w:rsidRPr="00DF1884">
        <w:t>and</w:t>
      </w:r>
      <w:r w:rsidR="00DF1884" w:rsidRPr="00DF1884">
        <w:t xml:space="preserve"> </w:t>
      </w:r>
      <w:r w:rsidR="00FB7739" w:rsidRPr="00DF1884">
        <w:t>effective</w:t>
      </w:r>
      <w:r w:rsidR="00DF1884" w:rsidRPr="00DF1884">
        <w:t xml:space="preserve"> </w:t>
      </w:r>
      <w:r w:rsidR="00FB7739" w:rsidRPr="00DF1884">
        <w:t>outpatient</w:t>
      </w:r>
      <w:r w:rsidR="00DF1884" w:rsidRPr="00DF1884">
        <w:t xml:space="preserve"> </w:t>
      </w:r>
      <w:r w:rsidR="00FB7739" w:rsidRPr="00DF1884">
        <w:t>management.</w:t>
      </w:r>
      <w:r w:rsidR="00DF1884" w:rsidRPr="00DF1884">
        <w:rPr>
          <w:i/>
        </w:rPr>
        <w:t xml:space="preserve"> </w:t>
      </w:r>
      <w:r w:rsidR="00FB7739" w:rsidRPr="00DF1884">
        <w:t>They</w:t>
      </w:r>
      <w:r w:rsidR="00DF1884" w:rsidRPr="00DF1884">
        <w:t xml:space="preserve"> </w:t>
      </w:r>
      <w:r w:rsidR="00FB7739" w:rsidRPr="00DF1884">
        <w:t>found</w:t>
      </w:r>
      <w:r w:rsidR="00DF1884" w:rsidRPr="00DF1884">
        <w:t xml:space="preserve"> </w:t>
      </w:r>
      <w:r w:rsidR="00FB7739" w:rsidRPr="00DF1884">
        <w:t>adults</w:t>
      </w:r>
      <w:r w:rsidR="00DF1884" w:rsidRPr="00DF1884">
        <w:t xml:space="preserve"> </w:t>
      </w:r>
      <w:r w:rsidR="00FB7739" w:rsidRPr="00DF1884">
        <w:t>in</w:t>
      </w:r>
      <w:r w:rsidR="00DF1884" w:rsidRPr="00DF1884">
        <w:t xml:space="preserve"> </w:t>
      </w:r>
      <w:r w:rsidR="00FB7739" w:rsidRPr="00DF1884">
        <w:t>low-income</w:t>
      </w:r>
      <w:r w:rsidR="00DF1884" w:rsidRPr="00DF1884">
        <w:t xml:space="preserve"> </w:t>
      </w:r>
      <w:r w:rsidR="00FB7739" w:rsidRPr="00DF1884">
        <w:t>areas</w:t>
      </w:r>
      <w:r w:rsidR="00DF1884" w:rsidRPr="00DF1884">
        <w:t xml:space="preserve"> </w:t>
      </w:r>
      <w:r w:rsidR="00FB7739" w:rsidRPr="00DF1884">
        <w:t>had</w:t>
      </w:r>
      <w:r w:rsidR="00DF1884" w:rsidRPr="00DF1884">
        <w:t xml:space="preserve"> </w:t>
      </w:r>
      <w:r w:rsidR="00FB7739" w:rsidRPr="00DF1884">
        <w:t>substantially</w:t>
      </w:r>
      <w:r w:rsidR="00DF1884" w:rsidRPr="00DF1884">
        <w:t xml:space="preserve"> </w:t>
      </w:r>
      <w:r w:rsidR="00FB7739" w:rsidRPr="00DF1884">
        <w:t>higher</w:t>
      </w:r>
      <w:r w:rsidR="00DF1884" w:rsidRPr="00DF1884">
        <w:t xml:space="preserve"> </w:t>
      </w:r>
      <w:r w:rsidR="00FB7739" w:rsidRPr="00DF1884">
        <w:t>admission</w:t>
      </w:r>
      <w:r w:rsidR="00DF1884" w:rsidRPr="00DF1884">
        <w:t xml:space="preserve"> </w:t>
      </w:r>
      <w:r w:rsidR="00FB7739" w:rsidRPr="00DF1884">
        <w:t>rates</w:t>
      </w:r>
      <w:r w:rsidR="00DF1884" w:rsidRPr="00DF1884">
        <w:t xml:space="preserve"> </w:t>
      </w:r>
      <w:r w:rsidR="00FB7739" w:rsidRPr="00DF1884">
        <w:t>for</w:t>
      </w:r>
      <w:r w:rsidR="00DF1884" w:rsidRPr="00DF1884">
        <w:t xml:space="preserve"> </w:t>
      </w:r>
      <w:r w:rsidR="00FB7739" w:rsidRPr="00DF1884">
        <w:t>ACSC</w:t>
      </w:r>
      <w:r w:rsidR="00DF1884" w:rsidRPr="00DF1884">
        <w:t xml:space="preserve"> </w:t>
      </w:r>
      <w:r w:rsidR="00FB7739" w:rsidRPr="00DF1884">
        <w:t>than</w:t>
      </w:r>
      <w:r w:rsidR="00DF1884" w:rsidRPr="00DF1884">
        <w:t xml:space="preserve"> </w:t>
      </w:r>
      <w:r w:rsidR="00FB7739" w:rsidRPr="00DF1884">
        <w:t>those</w:t>
      </w:r>
      <w:r w:rsidR="00DF1884" w:rsidRPr="00DF1884">
        <w:t xml:space="preserve"> </w:t>
      </w:r>
      <w:r w:rsidR="00FB7739" w:rsidRPr="00DF1884">
        <w:t>in</w:t>
      </w:r>
      <w:r w:rsidR="00DF1884" w:rsidRPr="00DF1884">
        <w:t xml:space="preserve"> </w:t>
      </w:r>
      <w:r w:rsidR="00FB7739" w:rsidRPr="00DF1884">
        <w:t>high-income</w:t>
      </w:r>
      <w:r w:rsidR="00DF1884" w:rsidRPr="00DF1884">
        <w:t xml:space="preserve"> </w:t>
      </w:r>
      <w:r w:rsidR="00FB7739" w:rsidRPr="00DF1884">
        <w:t>areas.</w:t>
      </w:r>
      <w:r w:rsidR="00DF1884" w:rsidRPr="00DF1884">
        <w:t xml:space="preserve"> </w:t>
      </w:r>
      <w:r w:rsidR="00FB7739" w:rsidRPr="00DF1884">
        <w:t>The</w:t>
      </w:r>
      <w:r w:rsidR="00DF1884" w:rsidRPr="00DF1884">
        <w:t xml:space="preserve"> </w:t>
      </w:r>
      <w:r w:rsidR="00FB7739" w:rsidRPr="00DF1884">
        <w:t>authors</w:t>
      </w:r>
      <w:r w:rsidR="00DF1884" w:rsidRPr="00DF1884">
        <w:t xml:space="preserve"> </w:t>
      </w:r>
      <w:r w:rsidR="00FB7739" w:rsidRPr="00DF1884">
        <w:t>suggested</w:t>
      </w:r>
      <w:r w:rsidR="00DF1884" w:rsidRPr="00DF1884">
        <w:t xml:space="preserve"> </w:t>
      </w:r>
      <w:r w:rsidR="00FB7739" w:rsidRPr="00DF1884">
        <w:t>that</w:t>
      </w:r>
      <w:r w:rsidR="00DF1884" w:rsidRPr="00DF1884">
        <w:t xml:space="preserve"> </w:t>
      </w:r>
      <w:r w:rsidR="00FB7739" w:rsidRPr="00DF1884">
        <w:t>adults</w:t>
      </w:r>
      <w:r w:rsidR="00DF1884" w:rsidRPr="00DF1884">
        <w:t xml:space="preserve"> </w:t>
      </w:r>
      <w:r w:rsidR="00FB7739" w:rsidRPr="00DF1884">
        <w:t>in</w:t>
      </w:r>
      <w:r w:rsidR="00DF1884" w:rsidRPr="00DF1884">
        <w:t xml:space="preserve"> </w:t>
      </w:r>
      <w:r w:rsidR="00FB7739" w:rsidRPr="00DF1884">
        <w:t>low</w:t>
      </w:r>
      <w:r w:rsidR="00DF1884" w:rsidRPr="00DF1884">
        <w:t xml:space="preserve"> </w:t>
      </w:r>
      <w:r w:rsidR="00FB7739" w:rsidRPr="00DF1884">
        <w:t>income</w:t>
      </w:r>
      <w:r w:rsidR="00DF1884" w:rsidRPr="00DF1884">
        <w:t xml:space="preserve"> </w:t>
      </w:r>
      <w:r w:rsidR="00FB7739" w:rsidRPr="00DF1884">
        <w:t>areas</w:t>
      </w:r>
      <w:r w:rsidR="00DF1884" w:rsidRPr="00DF1884">
        <w:t xml:space="preserve"> </w:t>
      </w:r>
      <w:r w:rsidR="00FB7739" w:rsidRPr="00DF1884">
        <w:t>are</w:t>
      </w:r>
      <w:r w:rsidR="00DF1884" w:rsidRPr="00DF1884">
        <w:t xml:space="preserve"> </w:t>
      </w:r>
      <w:r w:rsidR="00FB7739" w:rsidRPr="00DF1884">
        <w:t>more</w:t>
      </w:r>
      <w:r w:rsidR="00DF1884" w:rsidRPr="00DF1884">
        <w:t xml:space="preserve"> </w:t>
      </w:r>
      <w:r w:rsidR="00FB7739" w:rsidRPr="00DF1884">
        <w:t>likely</w:t>
      </w:r>
      <w:r w:rsidR="00DF1884" w:rsidRPr="00DF1884">
        <w:t xml:space="preserve"> </w:t>
      </w:r>
      <w:r w:rsidR="00FB7739" w:rsidRPr="00DF1884">
        <w:t>to</w:t>
      </w:r>
      <w:r w:rsidR="00DF1884" w:rsidRPr="00DF1884">
        <w:t xml:space="preserve"> </w:t>
      </w:r>
      <w:r w:rsidR="00FB7739" w:rsidRPr="00DF1884">
        <w:t>be</w:t>
      </w:r>
      <w:r w:rsidR="00DF1884" w:rsidRPr="00DF1884">
        <w:t xml:space="preserve"> </w:t>
      </w:r>
      <w:r w:rsidR="00FB7739" w:rsidRPr="00DF1884">
        <w:t>affected</w:t>
      </w:r>
      <w:r w:rsidR="00DF1884" w:rsidRPr="00DF1884">
        <w:t xml:space="preserve"> </w:t>
      </w:r>
      <w:r w:rsidR="00FB7739" w:rsidRPr="00DF1884">
        <w:t>by</w:t>
      </w:r>
      <w:r w:rsidR="00DF1884" w:rsidRPr="00DF1884">
        <w:t xml:space="preserve"> </w:t>
      </w:r>
      <w:r w:rsidR="00FB7739" w:rsidRPr="00DF1884">
        <w:t>access</w:t>
      </w:r>
      <w:r w:rsidR="00DF1884" w:rsidRPr="00DF1884">
        <w:t xml:space="preserve"> </w:t>
      </w:r>
      <w:r w:rsidR="00FB7739" w:rsidRPr="00DF1884">
        <w:t>problems,</w:t>
      </w:r>
      <w:r w:rsidR="00DF1884" w:rsidRPr="00DF1884">
        <w:t xml:space="preserve"> </w:t>
      </w:r>
      <w:r w:rsidR="00FB7739" w:rsidRPr="00DF1884">
        <w:t>given</w:t>
      </w:r>
      <w:r w:rsidR="00DF1884" w:rsidRPr="00DF1884">
        <w:t xml:space="preserve"> </w:t>
      </w:r>
      <w:r w:rsidR="00FB7739" w:rsidRPr="00DF1884">
        <w:t>higher</w:t>
      </w:r>
      <w:r w:rsidR="00DF1884" w:rsidRPr="00DF1884">
        <w:t xml:space="preserve"> </w:t>
      </w:r>
      <w:r w:rsidR="00FB7739" w:rsidRPr="00DF1884">
        <w:t>rates</w:t>
      </w:r>
      <w:r w:rsidR="00DF1884" w:rsidRPr="00DF1884">
        <w:t xml:space="preserve"> </w:t>
      </w:r>
      <w:r w:rsidR="00FB7739" w:rsidRPr="00DF1884">
        <w:t>of</w:t>
      </w:r>
      <w:r w:rsidR="00DF1884" w:rsidRPr="00DF1884">
        <w:t xml:space="preserve"> </w:t>
      </w:r>
      <w:r w:rsidR="00FB7739" w:rsidRPr="00DF1884">
        <w:t>the</w:t>
      </w:r>
      <w:r w:rsidR="00DF1884" w:rsidRPr="00DF1884">
        <w:t xml:space="preserve"> </w:t>
      </w:r>
      <w:r w:rsidR="00FB7739" w:rsidRPr="00DF1884">
        <w:t>uninsured</w:t>
      </w:r>
      <w:r w:rsidR="00DF1884" w:rsidRPr="00DF1884">
        <w:t xml:space="preserve"> </w:t>
      </w:r>
      <w:r w:rsidR="00FB7739" w:rsidRPr="00DF1884">
        <w:t>and</w:t>
      </w:r>
      <w:r w:rsidR="00DF1884" w:rsidRPr="00DF1884">
        <w:t xml:space="preserve"> </w:t>
      </w:r>
      <w:r w:rsidR="00FB7739" w:rsidRPr="00DF1884">
        <w:t>less</w:t>
      </w:r>
      <w:r w:rsidR="00DF1884" w:rsidRPr="00DF1884">
        <w:t xml:space="preserve"> </w:t>
      </w:r>
      <w:r w:rsidR="00FB7739" w:rsidRPr="00DF1884">
        <w:t>experience</w:t>
      </w:r>
      <w:r w:rsidR="00DF1884" w:rsidRPr="00DF1884">
        <w:t xml:space="preserve"> </w:t>
      </w:r>
      <w:r w:rsidR="00FB7739" w:rsidRPr="00DF1884">
        <w:t>in</w:t>
      </w:r>
      <w:r w:rsidR="00DF1884" w:rsidRPr="00DF1884">
        <w:t xml:space="preserve"> </w:t>
      </w:r>
      <w:r w:rsidR="00FB7739" w:rsidRPr="00DF1884">
        <w:t>navigating</w:t>
      </w:r>
      <w:r w:rsidR="00DF1884" w:rsidRPr="00DF1884">
        <w:t xml:space="preserve"> </w:t>
      </w:r>
      <w:r w:rsidR="00FB7739" w:rsidRPr="00DF1884">
        <w:t>the</w:t>
      </w:r>
      <w:r w:rsidR="00DF1884" w:rsidRPr="00DF1884">
        <w:t xml:space="preserve"> </w:t>
      </w:r>
      <w:r w:rsidR="00FB7739" w:rsidRPr="00DF1884">
        <w:t>complexities</w:t>
      </w:r>
      <w:r w:rsidR="00DF1884" w:rsidRPr="00DF1884">
        <w:t xml:space="preserve"> </w:t>
      </w:r>
      <w:r w:rsidR="00FB7739" w:rsidRPr="00DF1884">
        <w:t>of</w:t>
      </w:r>
      <w:r w:rsidR="00DF1884" w:rsidRPr="00DF1884">
        <w:t xml:space="preserve"> </w:t>
      </w:r>
      <w:r w:rsidR="00FB7739" w:rsidRPr="00DF1884">
        <w:t>the</w:t>
      </w:r>
      <w:r w:rsidR="00DF1884" w:rsidRPr="00DF1884">
        <w:t xml:space="preserve"> </w:t>
      </w:r>
      <w:r w:rsidR="00FB7739" w:rsidRPr="00DF1884">
        <w:t>fragmented</w:t>
      </w:r>
      <w:r w:rsidR="00DF1884" w:rsidRPr="00DF1884">
        <w:t xml:space="preserve"> </w:t>
      </w:r>
      <w:r w:rsidR="00FB7739" w:rsidRPr="00DF1884">
        <w:t>health</w:t>
      </w:r>
      <w:r w:rsidR="00DF1884" w:rsidRPr="00DF1884">
        <w:t xml:space="preserve"> </w:t>
      </w:r>
      <w:r w:rsidR="00FB7739" w:rsidRPr="00DF1884">
        <w:t>care</w:t>
      </w:r>
      <w:r w:rsidR="00DF1884" w:rsidRPr="00DF1884">
        <w:t xml:space="preserve"> </w:t>
      </w:r>
      <w:r w:rsidR="00FB7739" w:rsidRPr="00DF1884">
        <w:t>delivery</w:t>
      </w:r>
      <w:r w:rsidR="00DF1884" w:rsidRPr="00DF1884">
        <w:t xml:space="preserve"> </w:t>
      </w:r>
      <w:r w:rsidR="00FB7739" w:rsidRPr="00DF1884">
        <w:t>system.</w:t>
      </w:r>
      <w:r w:rsidR="00DF1884" w:rsidRPr="00DF1884">
        <w:t xml:space="preserve"> </w:t>
      </w:r>
      <w:r w:rsidR="00FB7739" w:rsidRPr="00DF1884">
        <w:t>This</w:t>
      </w:r>
      <w:r w:rsidR="00DF1884" w:rsidRPr="00DF1884">
        <w:t xml:space="preserve"> </w:t>
      </w:r>
      <w:r w:rsidR="00FB7739" w:rsidRPr="00DF1884">
        <w:t>lack</w:t>
      </w:r>
      <w:r w:rsidR="00DF1884" w:rsidRPr="00DF1884">
        <w:t xml:space="preserve"> </w:t>
      </w:r>
      <w:r w:rsidR="00FB7739" w:rsidRPr="00DF1884">
        <w:t>of</w:t>
      </w:r>
      <w:r w:rsidR="00DF1884" w:rsidRPr="00DF1884">
        <w:t xml:space="preserve"> </w:t>
      </w:r>
      <w:r w:rsidR="00FB7739" w:rsidRPr="00DF1884">
        <w:t>adequate</w:t>
      </w:r>
      <w:r w:rsidR="00DF1884" w:rsidRPr="00DF1884">
        <w:t xml:space="preserve"> </w:t>
      </w:r>
      <w:r w:rsidR="00FB7739" w:rsidRPr="00DF1884">
        <w:t>access</w:t>
      </w:r>
      <w:r w:rsidR="00DF1884" w:rsidRPr="00DF1884">
        <w:t xml:space="preserve"> </w:t>
      </w:r>
      <w:r w:rsidR="00FB7739" w:rsidRPr="00DF1884">
        <w:t>to</w:t>
      </w:r>
      <w:r w:rsidR="00DF1884" w:rsidRPr="00DF1884">
        <w:t xml:space="preserve"> </w:t>
      </w:r>
      <w:r w:rsidR="00FB7739" w:rsidRPr="00DF1884">
        <w:t>ambulatory</w:t>
      </w:r>
      <w:r w:rsidR="00DF1884" w:rsidRPr="00DF1884">
        <w:t xml:space="preserve"> </w:t>
      </w:r>
      <w:r w:rsidR="00FB7739" w:rsidRPr="00DF1884">
        <w:t>care</w:t>
      </w:r>
      <w:r w:rsidR="00DF1884" w:rsidRPr="00DF1884">
        <w:t xml:space="preserve"> </w:t>
      </w:r>
      <w:r w:rsidR="00FB7739" w:rsidRPr="00DF1884">
        <w:t>and</w:t>
      </w:r>
      <w:r w:rsidR="00DF1884" w:rsidRPr="00DF1884">
        <w:t xml:space="preserve"> </w:t>
      </w:r>
      <w:r w:rsidR="00FB7739" w:rsidRPr="00DF1884">
        <w:t>potentially</w:t>
      </w:r>
      <w:r w:rsidR="00DF1884" w:rsidRPr="00DF1884">
        <w:t xml:space="preserve"> </w:t>
      </w:r>
      <w:r w:rsidR="00FB7739" w:rsidRPr="00DF1884">
        <w:t>low</w:t>
      </w:r>
      <w:r w:rsidR="00DF1884" w:rsidRPr="00DF1884">
        <w:t xml:space="preserve"> </w:t>
      </w:r>
      <w:r w:rsidR="00FB7739" w:rsidRPr="00DF1884">
        <w:t>performance</w:t>
      </w:r>
      <w:r w:rsidR="00DF1884" w:rsidRPr="00DF1884">
        <w:t xml:space="preserve"> </w:t>
      </w:r>
      <w:r w:rsidR="00FB7739" w:rsidRPr="00DF1884">
        <w:t>of</w:t>
      </w:r>
      <w:r w:rsidR="00DF1884" w:rsidRPr="00DF1884">
        <w:t xml:space="preserve"> </w:t>
      </w:r>
      <w:r w:rsidR="00FB7739" w:rsidRPr="00DF1884">
        <w:t>outpatient</w:t>
      </w:r>
      <w:r w:rsidR="00DF1884" w:rsidRPr="00DF1884">
        <w:t xml:space="preserve"> </w:t>
      </w:r>
      <w:r w:rsidR="00FB7739" w:rsidRPr="00DF1884">
        <w:t>care</w:t>
      </w:r>
      <w:r w:rsidR="00DF1884" w:rsidRPr="00DF1884">
        <w:t xml:space="preserve"> </w:t>
      </w:r>
      <w:r w:rsidR="00FB7739" w:rsidRPr="00DF1884">
        <w:t>delivery</w:t>
      </w:r>
      <w:r w:rsidR="00DF1884" w:rsidRPr="00DF1884">
        <w:t xml:space="preserve"> </w:t>
      </w:r>
      <w:r w:rsidR="00FB7739" w:rsidRPr="00DF1884">
        <w:t>systems</w:t>
      </w:r>
      <w:r w:rsidR="00DF1884" w:rsidRPr="00DF1884">
        <w:t xml:space="preserve"> </w:t>
      </w:r>
      <w:r w:rsidR="00FB7739" w:rsidRPr="00DF1884">
        <w:t>was</w:t>
      </w:r>
      <w:r w:rsidR="00DF1884" w:rsidRPr="00DF1884">
        <w:t xml:space="preserve"> </w:t>
      </w:r>
      <w:r w:rsidR="00FB7739" w:rsidRPr="00DF1884">
        <w:t>partially</w:t>
      </w:r>
      <w:r w:rsidR="00DF1884" w:rsidRPr="00DF1884">
        <w:t xml:space="preserve"> </w:t>
      </w:r>
      <w:r w:rsidR="00FB7739" w:rsidRPr="00DF1884">
        <w:t>responsible</w:t>
      </w:r>
      <w:r w:rsidR="00DF1884" w:rsidRPr="00DF1884">
        <w:t xml:space="preserve"> </w:t>
      </w:r>
      <w:r w:rsidR="00FB7739" w:rsidRPr="00DF1884">
        <w:t>for</w:t>
      </w:r>
      <w:r w:rsidR="00DF1884" w:rsidRPr="00DF1884">
        <w:t xml:space="preserve"> </w:t>
      </w:r>
      <w:r w:rsidR="00FB7739" w:rsidRPr="00DF1884">
        <w:t>the</w:t>
      </w:r>
      <w:r w:rsidR="00DF1884" w:rsidRPr="00DF1884">
        <w:t xml:space="preserve"> </w:t>
      </w:r>
      <w:r w:rsidR="00FB7739" w:rsidRPr="00DF1884">
        <w:t>higher</w:t>
      </w:r>
      <w:r w:rsidR="00DF1884" w:rsidRPr="00DF1884">
        <w:t xml:space="preserve"> </w:t>
      </w:r>
      <w:r w:rsidR="00FB7739" w:rsidRPr="00DF1884">
        <w:t>rates</w:t>
      </w:r>
      <w:r w:rsidR="00DF1884" w:rsidRPr="00DF1884">
        <w:t xml:space="preserve"> </w:t>
      </w:r>
      <w:r w:rsidR="00FB7739" w:rsidRPr="00DF1884">
        <w:t>of</w:t>
      </w:r>
      <w:r w:rsidR="00DF1884" w:rsidRPr="00DF1884">
        <w:t xml:space="preserve"> </w:t>
      </w:r>
      <w:r w:rsidR="00FB7739" w:rsidRPr="00DF1884">
        <w:t>hospitalization</w:t>
      </w:r>
      <w:r w:rsidR="00DF1884" w:rsidRPr="00DF1884">
        <w:t xml:space="preserve"> </w:t>
      </w:r>
      <w:r w:rsidR="00FB7739" w:rsidRPr="00DF1884">
        <w:t>for</w:t>
      </w:r>
      <w:r w:rsidR="00DF1884" w:rsidRPr="00DF1884">
        <w:t xml:space="preserve"> </w:t>
      </w:r>
      <w:r w:rsidR="00FB7739" w:rsidRPr="00DF1884">
        <w:t>ACSC.</w:t>
      </w:r>
    </w:p>
    <w:p w14:paraId="6FA146EB" w14:textId="58CA7DF4" w:rsidR="00476845" w:rsidRPr="00DF1884" w:rsidRDefault="00FB7739" w:rsidP="00887F28">
      <w:pPr>
        <w:pStyle w:val="Body"/>
        <w:sectPr w:rsidR="00476845" w:rsidRPr="00DF1884" w:rsidSect="0039781B">
          <w:pgSz w:w="12240" w:h="15840" w:code="1"/>
          <w:pgMar w:top="1080" w:right="1080" w:bottom="1080" w:left="1440" w:header="720" w:footer="720" w:gutter="0"/>
          <w:cols w:space="720"/>
        </w:sectPr>
      </w:pPr>
      <w:r w:rsidRPr="00DF1884">
        <w:t>Other</w:t>
      </w:r>
      <w:r w:rsidR="00DF1884" w:rsidRPr="00DF1884">
        <w:t xml:space="preserve"> </w:t>
      </w:r>
      <w:r w:rsidRPr="00DF1884">
        <w:t>factors</w:t>
      </w:r>
      <w:r w:rsidR="00DF1884" w:rsidRPr="00DF1884">
        <w:t xml:space="preserve"> </w:t>
      </w:r>
      <w:r w:rsidRPr="00DF1884">
        <w:t>contributing</w:t>
      </w:r>
      <w:r w:rsidR="00DF1884" w:rsidRPr="00DF1884">
        <w:t xml:space="preserve"> </w:t>
      </w:r>
      <w:r w:rsidRPr="00DF1884">
        <w:t>to</w:t>
      </w:r>
      <w:r w:rsidR="00DF1884" w:rsidRPr="00DF1884">
        <w:t xml:space="preserve"> </w:t>
      </w:r>
      <w:r w:rsidRPr="00DF1884">
        <w:t>hospitalization</w:t>
      </w:r>
      <w:r w:rsidR="00DF1884" w:rsidRPr="00DF1884">
        <w:t xml:space="preserve"> </w:t>
      </w:r>
      <w:r w:rsidRPr="00DF1884">
        <w:t>included</w:t>
      </w:r>
      <w:r w:rsidR="00DF1884" w:rsidRPr="00DF1884">
        <w:t xml:space="preserve"> </w:t>
      </w:r>
      <w:r w:rsidRPr="00DF1884">
        <w:t>disease</w:t>
      </w:r>
      <w:r w:rsidR="00DF1884" w:rsidRPr="00DF1884">
        <w:t xml:space="preserve"> </w:t>
      </w:r>
      <w:r w:rsidRPr="00DF1884">
        <w:t>prevalence,</w:t>
      </w:r>
      <w:r w:rsidR="00DF1884" w:rsidRPr="00DF1884">
        <w:t xml:space="preserve"> </w:t>
      </w:r>
      <w:r w:rsidRPr="00DF1884">
        <w:t>patient</w:t>
      </w:r>
      <w:r w:rsidR="00DF1884" w:rsidRPr="00DF1884">
        <w:t xml:space="preserve"> </w:t>
      </w:r>
      <w:r w:rsidRPr="00DF1884">
        <w:t>lifestyle</w:t>
      </w:r>
      <w:r w:rsidR="00DF1884" w:rsidRPr="00DF1884">
        <w:t xml:space="preserve"> </w:t>
      </w:r>
      <w:r w:rsidRPr="00DF1884">
        <w:t>(alcohol/substance</w:t>
      </w:r>
      <w:r w:rsidR="00DF1884" w:rsidRPr="00DF1884">
        <w:t xml:space="preserve"> </w:t>
      </w:r>
      <w:r w:rsidRPr="00DF1884">
        <w:t>abuse),</w:t>
      </w:r>
      <w:r w:rsidR="00DF1884" w:rsidRPr="00DF1884">
        <w:t xml:space="preserve"> </w:t>
      </w:r>
      <w:r w:rsidRPr="00DF1884">
        <w:t>and</w:t>
      </w:r>
      <w:r w:rsidR="00DF1884" w:rsidRPr="00DF1884">
        <w:t xml:space="preserve"> </w:t>
      </w:r>
      <w:r w:rsidRPr="00DF1884">
        <w:t>possible</w:t>
      </w:r>
      <w:r w:rsidR="00DF1884" w:rsidRPr="00DF1884">
        <w:t xml:space="preserve"> </w:t>
      </w:r>
      <w:r w:rsidRPr="00DF1884">
        <w:t>differences</w:t>
      </w:r>
      <w:r w:rsidR="00DF1884" w:rsidRPr="00DF1884">
        <w:t xml:space="preserve"> </w:t>
      </w:r>
      <w:r w:rsidRPr="00DF1884">
        <w:t>in</w:t>
      </w:r>
      <w:r w:rsidR="00DF1884" w:rsidRPr="00DF1884">
        <w:t xml:space="preserve"> </w:t>
      </w:r>
      <w:r w:rsidRPr="00DF1884">
        <w:t>physician</w:t>
      </w:r>
      <w:r w:rsidR="00DF1884" w:rsidRPr="00DF1884">
        <w:t xml:space="preserve"> </w:t>
      </w:r>
      <w:r w:rsidRPr="00DF1884">
        <w:t>decision</w:t>
      </w:r>
      <w:r w:rsidR="00DF1884" w:rsidRPr="00DF1884">
        <w:t xml:space="preserve"> </w:t>
      </w:r>
      <w:r w:rsidRPr="00DF1884">
        <w:t>making</w:t>
      </w:r>
      <w:r w:rsidR="00DF1884" w:rsidRPr="00DF1884">
        <w:t xml:space="preserve"> </w:t>
      </w:r>
      <w:r w:rsidRPr="00DF1884">
        <w:t>(Billings</w:t>
      </w:r>
      <w:r w:rsidR="00DF1884" w:rsidRPr="00DF1884">
        <w:t xml:space="preserve"> </w:t>
      </w:r>
      <w:r w:rsidRPr="00DF1884">
        <w:t>1993).</w:t>
      </w:r>
      <w:r w:rsidR="00DF1884" w:rsidRPr="00DF1884">
        <w:t xml:space="preserve"> </w:t>
      </w:r>
      <w:r w:rsidRPr="00DF1884">
        <w:t>Since</w:t>
      </w:r>
      <w:r w:rsidR="00DF1884" w:rsidRPr="00DF1884">
        <w:t xml:space="preserve"> </w:t>
      </w:r>
      <w:r w:rsidRPr="00DF1884">
        <w:t>this</w:t>
      </w:r>
      <w:r w:rsidR="00DF1884" w:rsidRPr="00DF1884">
        <w:t xml:space="preserve"> </w:t>
      </w:r>
      <w:r w:rsidRPr="00DF1884">
        <w:t>early</w:t>
      </w:r>
      <w:r w:rsidR="00DF1884" w:rsidRPr="00DF1884">
        <w:t xml:space="preserve"> </w:t>
      </w:r>
      <w:r w:rsidRPr="00DF1884">
        <w:t>study,</w:t>
      </w:r>
      <w:r w:rsidR="00DF1884" w:rsidRPr="00DF1884">
        <w:t xml:space="preserve"> </w:t>
      </w:r>
      <w:r w:rsidRPr="00DF1884">
        <w:t>many</w:t>
      </w:r>
      <w:r w:rsidR="00DF1884" w:rsidRPr="00DF1884">
        <w:t xml:space="preserve"> </w:t>
      </w:r>
      <w:r w:rsidRPr="00DF1884">
        <w:t>more</w:t>
      </w:r>
      <w:r w:rsidR="00DF1884" w:rsidRPr="00DF1884">
        <w:t xml:space="preserve"> </w:t>
      </w:r>
      <w:r w:rsidRPr="00DF1884">
        <w:t>studies</w:t>
      </w:r>
      <w:r w:rsidR="00DF1884" w:rsidRPr="00DF1884">
        <w:t xml:space="preserve"> </w:t>
      </w:r>
      <w:r w:rsidRPr="00DF1884">
        <w:t>have</w:t>
      </w:r>
      <w:r w:rsidR="00DF1884" w:rsidRPr="00DF1884">
        <w:t xml:space="preserve"> </w:t>
      </w:r>
      <w:r w:rsidRPr="00DF1884">
        <w:t>examined</w:t>
      </w:r>
      <w:r w:rsidR="00DF1884" w:rsidRPr="00DF1884">
        <w:t xml:space="preserve"> </w:t>
      </w:r>
      <w:r w:rsidRPr="00DF1884">
        <w:t>the</w:t>
      </w:r>
      <w:r w:rsidR="00DF1884" w:rsidRPr="00DF1884">
        <w:t xml:space="preserve"> </w:t>
      </w:r>
      <w:r w:rsidRPr="00DF1884">
        <w:t>effect</w:t>
      </w:r>
      <w:r w:rsidR="00DF1884" w:rsidRPr="00DF1884">
        <w:t xml:space="preserve"> </w:t>
      </w:r>
      <w:r w:rsidRPr="00DF1884">
        <w:t>of</w:t>
      </w:r>
      <w:r w:rsidR="00DF1884" w:rsidRPr="00DF1884">
        <w:t xml:space="preserve"> </w:t>
      </w:r>
      <w:r w:rsidRPr="00DF1884">
        <w:t>income,</w:t>
      </w:r>
      <w:r w:rsidR="00DF1884" w:rsidRPr="00DF1884">
        <w:t xml:space="preserve"> </w:t>
      </w:r>
      <w:r w:rsidRPr="00DF1884">
        <w:t>insurance</w:t>
      </w:r>
      <w:r w:rsidR="00DF1884" w:rsidRPr="00DF1884">
        <w:t xml:space="preserve"> </w:t>
      </w:r>
      <w:r w:rsidRPr="00DF1884">
        <w:t>and</w:t>
      </w:r>
      <w:r w:rsidR="00DF1884" w:rsidRPr="00DF1884">
        <w:t xml:space="preserve"> </w:t>
      </w:r>
      <w:r w:rsidRPr="00DF1884">
        <w:t>access</w:t>
      </w:r>
      <w:r w:rsidR="00DF1884" w:rsidRPr="00DF1884">
        <w:t xml:space="preserve"> </w:t>
      </w:r>
      <w:r w:rsidRPr="00DF1884">
        <w:t>on</w:t>
      </w:r>
      <w:r w:rsidR="00DF1884" w:rsidRPr="00DF1884">
        <w:t xml:space="preserve"> </w:t>
      </w:r>
      <w:r w:rsidRPr="00DF1884">
        <w:t>ACSC</w:t>
      </w:r>
      <w:r w:rsidR="00DF1884" w:rsidRPr="00DF1884">
        <w:t xml:space="preserve"> </w:t>
      </w:r>
      <w:r w:rsidRPr="00DF1884">
        <w:t>hospitalization</w:t>
      </w:r>
      <w:r w:rsidR="00DF1884" w:rsidRPr="00DF1884">
        <w:t xml:space="preserve"> </w:t>
      </w:r>
      <w:r w:rsidRPr="00DF1884">
        <w:t>and</w:t>
      </w:r>
      <w:r w:rsidR="00DF1884" w:rsidRPr="00DF1884">
        <w:t xml:space="preserve"> </w:t>
      </w:r>
      <w:r w:rsidRPr="00DF1884">
        <w:t>many</w:t>
      </w:r>
      <w:r w:rsidR="00DF1884" w:rsidRPr="00DF1884">
        <w:t xml:space="preserve"> </w:t>
      </w:r>
      <w:r w:rsidRPr="00DF1884">
        <w:t>more</w:t>
      </w:r>
      <w:r w:rsidR="00DF1884" w:rsidRPr="00DF1884">
        <w:t xml:space="preserve"> </w:t>
      </w:r>
      <w:r w:rsidRPr="00DF1884">
        <w:t>diagnoses</w:t>
      </w:r>
      <w:r w:rsidR="00DF1884" w:rsidRPr="00DF1884">
        <w:t xml:space="preserve"> </w:t>
      </w:r>
      <w:r w:rsidRPr="00DF1884">
        <w:t>have</w:t>
      </w:r>
      <w:r w:rsidR="00DF1884" w:rsidRPr="00DF1884">
        <w:t xml:space="preserve"> </w:t>
      </w:r>
      <w:r w:rsidRPr="00DF1884">
        <w:t>been</w:t>
      </w:r>
      <w:r w:rsidR="00DF1884" w:rsidRPr="00DF1884">
        <w:t xml:space="preserve"> </w:t>
      </w:r>
      <w:r w:rsidRPr="00DF1884">
        <w:t>classified</w:t>
      </w:r>
      <w:r w:rsidR="00DF1884" w:rsidRPr="00DF1884">
        <w:t xml:space="preserve"> </w:t>
      </w:r>
      <w:r w:rsidRPr="00DF1884">
        <w:t>in</w:t>
      </w:r>
      <w:r w:rsidR="00DF1884" w:rsidRPr="00DF1884">
        <w:t xml:space="preserve"> </w:t>
      </w:r>
      <w:r w:rsidRPr="00DF1884">
        <w:t>various</w:t>
      </w:r>
      <w:r w:rsidR="00DF1884" w:rsidRPr="00DF1884">
        <w:t xml:space="preserve"> </w:t>
      </w:r>
      <w:r w:rsidRPr="00DF1884">
        <w:t>research</w:t>
      </w:r>
      <w:r w:rsidR="00DF1884" w:rsidRPr="00DF1884">
        <w:t xml:space="preserve"> </w:t>
      </w:r>
      <w:r w:rsidRPr="00DF1884">
        <w:t>studies</w:t>
      </w:r>
      <w:r w:rsidR="00DF1884" w:rsidRPr="00DF1884">
        <w:t xml:space="preserve"> </w:t>
      </w:r>
      <w:r w:rsidRPr="00DF1884">
        <w:t>as</w:t>
      </w:r>
      <w:r w:rsidR="00DF1884" w:rsidRPr="00DF1884">
        <w:t xml:space="preserve"> </w:t>
      </w:r>
      <w:r w:rsidRPr="00DF1884">
        <w:t>potentially</w:t>
      </w:r>
      <w:r w:rsidR="00DF1884" w:rsidRPr="00DF1884">
        <w:t xml:space="preserve"> </w:t>
      </w:r>
      <w:r w:rsidRPr="00DF1884">
        <w:t>ACSC</w:t>
      </w:r>
      <w:r w:rsidR="00DF1884" w:rsidRPr="00DF1884">
        <w:t xml:space="preserve"> </w:t>
      </w:r>
      <w:r w:rsidRPr="00DF1884">
        <w:t>hospitalizations.</w:t>
      </w:r>
      <w:r w:rsidR="00DF1884" w:rsidRPr="00DF1884">
        <w:rPr>
          <w:i/>
        </w:rPr>
        <w:t xml:space="preserve"> </w:t>
      </w:r>
      <w:r w:rsidRPr="00DF1884">
        <w:t>Across</w:t>
      </w:r>
      <w:r w:rsidR="00DF1884" w:rsidRPr="00DF1884">
        <w:t xml:space="preserve"> </w:t>
      </w:r>
      <w:r w:rsidRPr="00DF1884">
        <w:t>studies</w:t>
      </w:r>
      <w:r w:rsidR="00DF1884" w:rsidRPr="00DF1884">
        <w:t xml:space="preserve"> </w:t>
      </w:r>
      <w:r w:rsidRPr="00DF1884">
        <w:t>the</w:t>
      </w:r>
      <w:r w:rsidR="00DF1884" w:rsidRPr="00DF1884">
        <w:t xml:space="preserve"> </w:t>
      </w:r>
      <w:r w:rsidRPr="00DF1884">
        <w:t>list</w:t>
      </w:r>
      <w:r w:rsidR="00DF1884" w:rsidRPr="00DF1884">
        <w:t xml:space="preserve"> </w:t>
      </w:r>
      <w:r w:rsidRPr="00DF1884">
        <w:t>of</w:t>
      </w:r>
      <w:r w:rsidR="00DF1884" w:rsidRPr="00DF1884">
        <w:t xml:space="preserve"> </w:t>
      </w:r>
      <w:r w:rsidRPr="00DF1884">
        <w:t>potentially</w:t>
      </w:r>
      <w:r w:rsidR="00DF1884" w:rsidRPr="00DF1884">
        <w:t xml:space="preserve"> </w:t>
      </w:r>
      <w:r w:rsidRPr="00DF1884">
        <w:t>ACSC</w:t>
      </w:r>
      <w:r w:rsidR="00DF1884" w:rsidRPr="00DF1884">
        <w:t xml:space="preserve"> </w:t>
      </w:r>
      <w:r w:rsidRPr="00DF1884">
        <w:t>now</w:t>
      </w:r>
      <w:r w:rsidR="00DF1884" w:rsidRPr="00DF1884">
        <w:t xml:space="preserve"> </w:t>
      </w:r>
      <w:r w:rsidRPr="00DF1884">
        <w:t>includes</w:t>
      </w:r>
      <w:r w:rsidR="00DF1884" w:rsidRPr="00DF1884">
        <w:t xml:space="preserve"> </w:t>
      </w:r>
      <w:r w:rsidR="00FC504C" w:rsidRPr="00DF1884">
        <w:t>more</w:t>
      </w:r>
      <w:r w:rsidR="00DF1884" w:rsidRPr="00DF1884">
        <w:t xml:space="preserve"> </w:t>
      </w:r>
      <w:r w:rsidR="00FC504C" w:rsidRPr="00DF1884">
        <w:t>than</w:t>
      </w:r>
      <w:r w:rsidR="00DF1884" w:rsidRPr="00DF1884">
        <w:t xml:space="preserve"> </w:t>
      </w:r>
      <w:r w:rsidRPr="00DF1884">
        <w:t>100</w:t>
      </w:r>
      <w:r w:rsidR="00DF1884" w:rsidRPr="00DF1884">
        <w:t xml:space="preserve"> </w:t>
      </w:r>
      <w:r w:rsidRPr="00DF1884">
        <w:t>conditions.</w:t>
      </w:r>
    </w:p>
    <w:p w14:paraId="4CA52AB3" w14:textId="540B6A32" w:rsidR="00FB7739" w:rsidRPr="00DF1884" w:rsidRDefault="00FB7739" w:rsidP="00476845">
      <w:pPr>
        <w:pStyle w:val="SubHead"/>
        <w:spacing w:before="0"/>
      </w:pPr>
      <w:r w:rsidRPr="00DF1884">
        <w:lastRenderedPageBreak/>
        <w:t>Research</w:t>
      </w:r>
      <w:r w:rsidR="00DF1884" w:rsidRPr="00DF1884">
        <w:t xml:space="preserve"> </w:t>
      </w:r>
      <w:r w:rsidRPr="00DF1884">
        <w:t>on</w:t>
      </w:r>
      <w:r w:rsidR="00DF1884" w:rsidRPr="00DF1884">
        <w:t xml:space="preserve"> </w:t>
      </w:r>
      <w:r w:rsidRPr="00DF1884">
        <w:t>ACSC</w:t>
      </w:r>
      <w:r w:rsidR="00DF1884" w:rsidRPr="00DF1884">
        <w:t xml:space="preserve"> </w:t>
      </w:r>
      <w:r w:rsidRPr="00DF1884">
        <w:t>in</w:t>
      </w:r>
      <w:r w:rsidR="00DF1884" w:rsidRPr="00DF1884">
        <w:t xml:space="preserve"> </w:t>
      </w:r>
      <w:r w:rsidRPr="00DF1884">
        <w:t>Medicare</w:t>
      </w:r>
      <w:r w:rsidR="00DF1884" w:rsidRPr="00DF1884">
        <w:t xml:space="preserve"> </w:t>
      </w:r>
      <w:r w:rsidRPr="00DF1884">
        <w:t>Populations:</w:t>
      </w:r>
    </w:p>
    <w:p w14:paraId="233B42AA" w14:textId="69F8D94D" w:rsidR="00476845" w:rsidRPr="00DF1884" w:rsidRDefault="00FB7739" w:rsidP="00476845">
      <w:pPr>
        <w:pStyle w:val="Body"/>
      </w:pPr>
      <w:r w:rsidRPr="00DF1884">
        <w:t>We</w:t>
      </w:r>
      <w:r w:rsidR="00DF1884" w:rsidRPr="00DF1884">
        <w:t xml:space="preserve"> </w:t>
      </w:r>
      <w:r w:rsidRPr="00DF1884">
        <w:t>identified</w:t>
      </w:r>
      <w:r w:rsidR="00DF1884" w:rsidRPr="00DF1884">
        <w:t xml:space="preserve"> </w:t>
      </w:r>
      <w:r w:rsidRPr="00DF1884">
        <w:t>two</w:t>
      </w:r>
      <w:r w:rsidR="00DF1884" w:rsidRPr="00DF1884">
        <w:t xml:space="preserve"> </w:t>
      </w:r>
      <w:r w:rsidRPr="00DF1884">
        <w:t>studies</w:t>
      </w:r>
      <w:r w:rsidR="00DF1884" w:rsidRPr="00DF1884">
        <w:t xml:space="preserve"> </w:t>
      </w:r>
      <w:r w:rsidRPr="00DF1884">
        <w:t>that</w:t>
      </w:r>
      <w:r w:rsidR="00DF1884" w:rsidRPr="00DF1884">
        <w:t xml:space="preserve"> </w:t>
      </w:r>
      <w:r w:rsidRPr="00DF1884">
        <w:t>looked</w:t>
      </w:r>
      <w:r w:rsidR="00DF1884" w:rsidRPr="00DF1884">
        <w:t xml:space="preserve"> </w:t>
      </w:r>
      <w:r w:rsidRPr="00DF1884">
        <w:t>at</w:t>
      </w:r>
      <w:r w:rsidR="00DF1884" w:rsidRPr="00DF1884">
        <w:t xml:space="preserve"> </w:t>
      </w:r>
      <w:r w:rsidRPr="00DF1884">
        <w:t>hospitalization</w:t>
      </w:r>
      <w:r w:rsidR="00DF1884" w:rsidRPr="00DF1884">
        <w:t xml:space="preserve"> </w:t>
      </w:r>
      <w:r w:rsidRPr="00DF1884">
        <w:t>for</w:t>
      </w:r>
      <w:r w:rsidR="00DF1884" w:rsidRPr="00DF1884">
        <w:t xml:space="preserve"> </w:t>
      </w:r>
      <w:r w:rsidRPr="00DF1884">
        <w:t>ACSC</w:t>
      </w:r>
      <w:r w:rsidR="00DF1884" w:rsidRPr="00DF1884">
        <w:t xml:space="preserve"> </w:t>
      </w:r>
      <w:r w:rsidRPr="00DF1884">
        <w:t>in</w:t>
      </w:r>
      <w:r w:rsidR="00DF1884" w:rsidRPr="00DF1884">
        <w:t xml:space="preserve"> </w:t>
      </w:r>
      <w:r w:rsidRPr="00DF1884">
        <w:t>the</w:t>
      </w:r>
      <w:r w:rsidR="00DF1884" w:rsidRPr="00DF1884">
        <w:t xml:space="preserve"> </w:t>
      </w:r>
      <w:r w:rsidRPr="00DF1884">
        <w:t>Medicare</w:t>
      </w:r>
      <w:r w:rsidR="00DF1884" w:rsidRPr="00DF1884">
        <w:t xml:space="preserve"> </w:t>
      </w:r>
      <w:r w:rsidRPr="00DF1884">
        <w:t>population.</w:t>
      </w:r>
      <w:r w:rsidR="00DF1884" w:rsidRPr="00DF1884">
        <w:rPr>
          <w:i/>
        </w:rPr>
        <w:t xml:space="preserve"> </w:t>
      </w:r>
      <w:r w:rsidRPr="00DF1884">
        <w:t>In</w:t>
      </w:r>
      <w:r w:rsidR="00DF1884" w:rsidRPr="00DF1884">
        <w:t xml:space="preserve"> </w:t>
      </w:r>
      <w:r w:rsidRPr="00DF1884">
        <w:t>2001</w:t>
      </w:r>
      <w:r w:rsidR="00DF1884" w:rsidRPr="00DF1884">
        <w:t xml:space="preserve"> </w:t>
      </w:r>
      <w:r w:rsidRPr="00DF1884">
        <w:t>McCall</w:t>
      </w:r>
      <w:r w:rsidR="00DF1884" w:rsidRPr="00DF1884">
        <w:t xml:space="preserve"> </w:t>
      </w:r>
      <w:r w:rsidRPr="00DF1884">
        <w:t>et</w:t>
      </w:r>
      <w:r w:rsidR="00DF1884" w:rsidRPr="00DF1884">
        <w:t xml:space="preserve"> </w:t>
      </w:r>
      <w:r w:rsidRPr="00DF1884">
        <w:t>al.</w:t>
      </w:r>
      <w:r w:rsidR="00DF1884" w:rsidRPr="00DF1884">
        <w:t xml:space="preserve"> </w:t>
      </w:r>
      <w:r w:rsidRPr="00DF1884">
        <w:t>evaluated</w:t>
      </w:r>
      <w:r w:rsidR="00DF1884" w:rsidRPr="00DF1884">
        <w:t xml:space="preserve"> </w:t>
      </w:r>
      <w:r w:rsidRPr="00DF1884">
        <w:t>the</w:t>
      </w:r>
      <w:r w:rsidR="00DF1884" w:rsidRPr="00DF1884">
        <w:t xml:space="preserve"> </w:t>
      </w:r>
      <w:r w:rsidRPr="00DF1884">
        <w:t>feasibility</w:t>
      </w:r>
      <w:r w:rsidR="00DF1884" w:rsidRPr="00DF1884">
        <w:t xml:space="preserve"> </w:t>
      </w:r>
      <w:r w:rsidRPr="00DF1884">
        <w:t>of</w:t>
      </w:r>
      <w:r w:rsidR="00DF1884" w:rsidRPr="00DF1884">
        <w:t xml:space="preserve"> </w:t>
      </w:r>
      <w:r w:rsidRPr="00DF1884">
        <w:t>measuring</w:t>
      </w:r>
      <w:r w:rsidR="00DF1884" w:rsidRPr="00DF1884">
        <w:t xml:space="preserve"> </w:t>
      </w:r>
      <w:r w:rsidRPr="00DF1884">
        <w:t>hospitalization</w:t>
      </w:r>
      <w:r w:rsidR="00DF1884" w:rsidRPr="00DF1884">
        <w:t xml:space="preserve"> </w:t>
      </w:r>
      <w:r w:rsidRPr="00DF1884">
        <w:t>for</w:t>
      </w:r>
      <w:r w:rsidR="00DF1884" w:rsidRPr="00DF1884">
        <w:t xml:space="preserve"> </w:t>
      </w:r>
      <w:r w:rsidRPr="00DF1884">
        <w:t>ACSC</w:t>
      </w:r>
      <w:r w:rsidR="00DF1884" w:rsidRPr="00DF1884">
        <w:t xml:space="preserve"> </w:t>
      </w:r>
      <w:r w:rsidRPr="00DF1884">
        <w:t>for</w:t>
      </w:r>
      <w:r w:rsidR="00DF1884" w:rsidRPr="00DF1884">
        <w:t xml:space="preserve"> </w:t>
      </w:r>
      <w:r w:rsidRPr="00DF1884">
        <w:t>Medicare</w:t>
      </w:r>
      <w:r w:rsidR="00DF1884" w:rsidRPr="00DF1884">
        <w:t xml:space="preserve"> </w:t>
      </w:r>
      <w:r w:rsidRPr="00DF1884">
        <w:t>+</w:t>
      </w:r>
      <w:r w:rsidR="00DF1884" w:rsidRPr="00DF1884">
        <w:t xml:space="preserve"> </w:t>
      </w:r>
      <w:r w:rsidRPr="00DF1884">
        <w:t>Choice</w:t>
      </w:r>
      <w:r w:rsidR="00DF1884" w:rsidRPr="00DF1884">
        <w:t xml:space="preserve"> </w:t>
      </w:r>
      <w:r w:rsidRPr="00DF1884">
        <w:t>programs</w:t>
      </w:r>
      <w:r w:rsidR="00DF1884" w:rsidRPr="00DF1884">
        <w:t xml:space="preserve"> </w:t>
      </w:r>
      <w:r w:rsidRPr="00DF1884">
        <w:t>(now</w:t>
      </w:r>
      <w:r w:rsidR="00DF1884" w:rsidRPr="00DF1884">
        <w:t xml:space="preserve"> </w:t>
      </w:r>
      <w:r w:rsidRPr="00DF1884">
        <w:t>called</w:t>
      </w:r>
      <w:r w:rsidR="00DF1884" w:rsidRPr="00DF1884">
        <w:t xml:space="preserve"> </w:t>
      </w:r>
      <w:r w:rsidRPr="00DF1884">
        <w:t>Medicare</w:t>
      </w:r>
      <w:r w:rsidR="00DF1884" w:rsidRPr="00DF1884">
        <w:t xml:space="preserve"> </w:t>
      </w:r>
      <w:r w:rsidRPr="00DF1884">
        <w:t>Advantage).</w:t>
      </w:r>
      <w:r w:rsidR="00DF1884" w:rsidRPr="00DF1884">
        <w:t xml:space="preserve"> </w:t>
      </w:r>
      <w:r w:rsidRPr="00DF1884">
        <w:t>The</w:t>
      </w:r>
      <w:r w:rsidR="00DF1884" w:rsidRPr="00DF1884">
        <w:t xml:space="preserve"> </w:t>
      </w:r>
      <w:r w:rsidRPr="00DF1884">
        <w:t>authors</w:t>
      </w:r>
      <w:r w:rsidR="00DF1884" w:rsidRPr="00DF1884">
        <w:t xml:space="preserve"> </w:t>
      </w:r>
      <w:r w:rsidRPr="00DF1884">
        <w:t>suggested</w:t>
      </w:r>
      <w:r w:rsidR="00DF1884" w:rsidRPr="00DF1884">
        <w:t xml:space="preserve"> </w:t>
      </w:r>
      <w:r w:rsidRPr="00DF1884">
        <w:t>information</w:t>
      </w:r>
      <w:r w:rsidR="00DF1884" w:rsidRPr="00DF1884">
        <w:t xml:space="preserve"> </w:t>
      </w:r>
      <w:r w:rsidRPr="00DF1884">
        <w:t>about</w:t>
      </w:r>
      <w:r w:rsidR="00DF1884" w:rsidRPr="00DF1884">
        <w:t xml:space="preserve"> </w:t>
      </w:r>
      <w:r w:rsidRPr="00DF1884">
        <w:t>ACSC</w:t>
      </w:r>
      <w:r w:rsidR="00DF1884" w:rsidRPr="00DF1884">
        <w:t xml:space="preserve"> </w:t>
      </w:r>
      <w:r w:rsidRPr="00DF1884">
        <w:t>hospitalization</w:t>
      </w:r>
      <w:r w:rsidR="00DF1884" w:rsidRPr="00DF1884">
        <w:t xml:space="preserve"> </w:t>
      </w:r>
      <w:r w:rsidRPr="00DF1884">
        <w:t>could</w:t>
      </w:r>
      <w:r w:rsidR="00DF1884" w:rsidRPr="00DF1884">
        <w:t xml:space="preserve"> </w:t>
      </w:r>
      <w:r w:rsidRPr="00DF1884">
        <w:t>be</w:t>
      </w:r>
      <w:r w:rsidR="00DF1884" w:rsidRPr="00DF1884">
        <w:t xml:space="preserve"> </w:t>
      </w:r>
      <w:r w:rsidRPr="00DF1884">
        <w:t>used</w:t>
      </w:r>
      <w:r w:rsidR="00DF1884" w:rsidRPr="00DF1884">
        <w:t xml:space="preserve"> </w:t>
      </w:r>
      <w:r w:rsidRPr="00DF1884">
        <w:t>by</w:t>
      </w:r>
      <w:r w:rsidR="00DF1884" w:rsidRPr="00DF1884">
        <w:t xml:space="preserve"> </w:t>
      </w:r>
      <w:r w:rsidRPr="00DF1884">
        <w:t>health</w:t>
      </w:r>
      <w:r w:rsidR="00DF1884" w:rsidRPr="00DF1884">
        <w:t xml:space="preserve"> </w:t>
      </w:r>
      <w:r w:rsidRPr="00DF1884">
        <w:t>plans</w:t>
      </w:r>
      <w:r w:rsidR="00DF1884" w:rsidRPr="00DF1884">
        <w:t xml:space="preserve"> </w:t>
      </w:r>
      <w:r w:rsidRPr="00DF1884">
        <w:t>to</w:t>
      </w:r>
      <w:r w:rsidR="00DF1884" w:rsidRPr="00DF1884">
        <w:t xml:space="preserve"> </w:t>
      </w:r>
      <w:r w:rsidRPr="00DF1884">
        <w:t>evaluate</w:t>
      </w:r>
      <w:r w:rsidR="00DF1884" w:rsidRPr="00DF1884">
        <w:t xml:space="preserve"> </w:t>
      </w:r>
      <w:r w:rsidRPr="00DF1884">
        <w:t>their</w:t>
      </w:r>
      <w:r w:rsidR="00DF1884" w:rsidRPr="00DF1884">
        <w:t xml:space="preserve"> </w:t>
      </w:r>
      <w:r w:rsidRPr="00DF1884">
        <w:t>providers’</w:t>
      </w:r>
      <w:r w:rsidR="00DF1884" w:rsidRPr="00DF1884">
        <w:t xml:space="preserve"> </w:t>
      </w:r>
      <w:r w:rsidRPr="00DF1884">
        <w:t>processes</w:t>
      </w:r>
      <w:r w:rsidR="00DF1884" w:rsidRPr="00DF1884">
        <w:t xml:space="preserve"> </w:t>
      </w:r>
      <w:r w:rsidRPr="00DF1884">
        <w:t>of</w:t>
      </w:r>
      <w:r w:rsidR="00DF1884" w:rsidRPr="00DF1884">
        <w:t xml:space="preserve"> </w:t>
      </w:r>
      <w:r w:rsidRPr="00DF1884">
        <w:t>care,</w:t>
      </w:r>
      <w:r w:rsidR="00DF1884" w:rsidRPr="00DF1884">
        <w:t xml:space="preserve"> </w:t>
      </w:r>
      <w:r w:rsidRPr="00DF1884">
        <w:t>and</w:t>
      </w:r>
      <w:r w:rsidR="00DF1884" w:rsidRPr="00DF1884">
        <w:t xml:space="preserve"> </w:t>
      </w:r>
      <w:r w:rsidRPr="00DF1884">
        <w:t>to</w:t>
      </w:r>
      <w:r w:rsidR="00DF1884" w:rsidRPr="00DF1884">
        <w:t xml:space="preserve"> </w:t>
      </w:r>
      <w:r w:rsidRPr="00DF1884">
        <w:t>develop</w:t>
      </w:r>
      <w:r w:rsidR="00DF1884" w:rsidRPr="00DF1884">
        <w:t xml:space="preserve"> </w:t>
      </w:r>
      <w:r w:rsidRPr="00DF1884">
        <w:t>case</w:t>
      </w:r>
      <w:r w:rsidR="00DF1884" w:rsidRPr="00DF1884">
        <w:t xml:space="preserve"> </w:t>
      </w:r>
      <w:r w:rsidRPr="00DF1884">
        <w:t>management</w:t>
      </w:r>
      <w:r w:rsidR="00DF1884" w:rsidRPr="00DF1884">
        <w:t xml:space="preserve"> </w:t>
      </w:r>
      <w:r w:rsidRPr="00DF1884">
        <w:t>strategies</w:t>
      </w:r>
      <w:r w:rsidR="00DF1884" w:rsidRPr="00DF1884">
        <w:t xml:space="preserve"> </w:t>
      </w:r>
      <w:r w:rsidRPr="00DF1884">
        <w:t>to</w:t>
      </w:r>
      <w:r w:rsidR="00DF1884" w:rsidRPr="00DF1884">
        <w:t xml:space="preserve"> </w:t>
      </w:r>
      <w:r w:rsidRPr="00DF1884">
        <w:t>reduce</w:t>
      </w:r>
      <w:r w:rsidR="00DF1884" w:rsidRPr="00DF1884">
        <w:t xml:space="preserve"> </w:t>
      </w:r>
      <w:r w:rsidRPr="00DF1884">
        <w:t>rates</w:t>
      </w:r>
      <w:r w:rsidR="00DF1884" w:rsidRPr="00DF1884">
        <w:t xml:space="preserve"> </w:t>
      </w:r>
      <w:r w:rsidRPr="00DF1884">
        <w:t>of</w:t>
      </w:r>
      <w:r w:rsidR="00DF1884" w:rsidRPr="00DF1884">
        <w:t xml:space="preserve"> </w:t>
      </w:r>
      <w:r w:rsidRPr="00DF1884">
        <w:t>ACSC</w:t>
      </w:r>
      <w:r w:rsidR="00DF1884" w:rsidRPr="00DF1884">
        <w:t xml:space="preserve"> </w:t>
      </w:r>
      <w:r w:rsidRPr="00DF1884">
        <w:t>hospitalizations.</w:t>
      </w:r>
      <w:r w:rsidR="00DF1884" w:rsidRPr="00DF1884">
        <w:t xml:space="preserve"> </w:t>
      </w:r>
      <w:r w:rsidRPr="00DF1884">
        <w:t>ACSCs</w:t>
      </w:r>
      <w:r w:rsidR="00DF1884" w:rsidRPr="00DF1884">
        <w:t xml:space="preserve"> </w:t>
      </w:r>
      <w:r w:rsidRPr="00DF1884">
        <w:t>can</w:t>
      </w:r>
      <w:r w:rsidR="00DF1884" w:rsidRPr="00DF1884">
        <w:t xml:space="preserve"> </w:t>
      </w:r>
      <w:r w:rsidR="00476845" w:rsidRPr="00DF1884">
        <w:t>also</w:t>
      </w:r>
      <w:r w:rsidR="00DF1884" w:rsidRPr="00DF1884">
        <w:t xml:space="preserve"> </w:t>
      </w:r>
      <w:r w:rsidRPr="00DF1884">
        <w:t>be</w:t>
      </w:r>
      <w:r w:rsidR="00DF1884" w:rsidRPr="00DF1884">
        <w:t xml:space="preserve"> </w:t>
      </w:r>
      <w:r w:rsidRPr="00DF1884">
        <w:t>used</w:t>
      </w:r>
      <w:r w:rsidR="00DF1884" w:rsidRPr="00DF1884">
        <w:t xml:space="preserve"> </w:t>
      </w:r>
      <w:r w:rsidRPr="00DF1884">
        <w:t>as</w:t>
      </w:r>
      <w:r w:rsidR="00DF1884" w:rsidRPr="00DF1884">
        <w:t xml:space="preserve"> </w:t>
      </w:r>
      <w:r w:rsidRPr="00DF1884">
        <w:t>identifying</w:t>
      </w:r>
      <w:r w:rsidR="00DF1884" w:rsidRPr="00DF1884">
        <w:t xml:space="preserve"> </w:t>
      </w:r>
      <w:r w:rsidRPr="00DF1884">
        <w:t>events</w:t>
      </w:r>
      <w:r w:rsidR="00DF1884" w:rsidRPr="00DF1884">
        <w:t xml:space="preserve"> </w:t>
      </w:r>
      <w:r w:rsidRPr="00DF1884">
        <w:t>to</w:t>
      </w:r>
      <w:r w:rsidR="00DF1884" w:rsidRPr="00DF1884">
        <w:t xml:space="preserve"> </w:t>
      </w:r>
      <w:r w:rsidRPr="00DF1884">
        <w:t>improve</w:t>
      </w:r>
      <w:r w:rsidR="00DF1884" w:rsidRPr="00DF1884">
        <w:t xml:space="preserve"> </w:t>
      </w:r>
      <w:r w:rsidRPr="00DF1884">
        <w:t>the</w:t>
      </w:r>
      <w:r w:rsidR="00DF1884" w:rsidRPr="00DF1884">
        <w:t xml:space="preserve"> </w:t>
      </w:r>
      <w:r w:rsidRPr="00DF1884">
        <w:t>adequacy</w:t>
      </w:r>
      <w:r w:rsidR="00DF1884" w:rsidRPr="00DF1884">
        <w:t xml:space="preserve"> </w:t>
      </w:r>
      <w:r w:rsidRPr="00DF1884">
        <w:t>of</w:t>
      </w:r>
      <w:r w:rsidR="00DF1884" w:rsidRPr="00DF1884">
        <w:t xml:space="preserve"> </w:t>
      </w:r>
      <w:r w:rsidRPr="00DF1884">
        <w:t>primary</w:t>
      </w:r>
      <w:r w:rsidR="00DF1884" w:rsidRPr="00DF1884">
        <w:t xml:space="preserve"> </w:t>
      </w:r>
      <w:r w:rsidRPr="00DF1884">
        <w:t>care</w:t>
      </w:r>
      <w:r w:rsidR="00DF1884" w:rsidRPr="00DF1884">
        <w:t xml:space="preserve"> </w:t>
      </w:r>
      <w:r w:rsidRPr="00DF1884">
        <w:t>for</w:t>
      </w:r>
      <w:r w:rsidR="00DF1884" w:rsidRPr="00DF1884">
        <w:t xml:space="preserve"> </w:t>
      </w:r>
      <w:r w:rsidRPr="00DF1884">
        <w:t>potentially</w:t>
      </w:r>
      <w:r w:rsidR="00DF1884" w:rsidRPr="00DF1884">
        <w:t xml:space="preserve"> </w:t>
      </w:r>
      <w:r w:rsidRPr="00DF1884">
        <w:t>vulnerable</w:t>
      </w:r>
      <w:r w:rsidR="00DF1884" w:rsidRPr="00DF1884">
        <w:t xml:space="preserve"> </w:t>
      </w:r>
      <w:r w:rsidRPr="00DF1884">
        <w:t>populations.</w:t>
      </w:r>
      <w:r w:rsidR="00DF1884" w:rsidRPr="00DF1884">
        <w:t xml:space="preserve"> </w:t>
      </w:r>
      <w:r w:rsidRPr="00DF1884">
        <w:t>To</w:t>
      </w:r>
      <w:r w:rsidR="00DF1884" w:rsidRPr="00DF1884">
        <w:t xml:space="preserve"> </w:t>
      </w:r>
      <w:r w:rsidRPr="00DF1884">
        <w:t>meet</w:t>
      </w:r>
      <w:r w:rsidR="00DF1884" w:rsidRPr="00DF1884">
        <w:t xml:space="preserve"> </w:t>
      </w:r>
      <w:r w:rsidRPr="00DF1884">
        <w:t>this</w:t>
      </w:r>
      <w:r w:rsidR="00DF1884" w:rsidRPr="00DF1884">
        <w:t xml:space="preserve"> </w:t>
      </w:r>
      <w:r w:rsidRPr="00DF1884">
        <w:t>focus,</w:t>
      </w:r>
      <w:r w:rsidR="00DF1884" w:rsidRPr="00DF1884">
        <w:t xml:space="preserve"> </w:t>
      </w:r>
      <w:r w:rsidRPr="00DF1884">
        <w:t>Health</w:t>
      </w:r>
      <w:r w:rsidR="00DF1884" w:rsidRPr="00DF1884">
        <w:t xml:space="preserve"> </w:t>
      </w:r>
      <w:r w:rsidRPr="00DF1884">
        <w:t>Care</w:t>
      </w:r>
      <w:r w:rsidR="00DF1884" w:rsidRPr="00DF1884">
        <w:t xml:space="preserve"> </w:t>
      </w:r>
      <w:r w:rsidRPr="00DF1884">
        <w:t>Financing</w:t>
      </w:r>
      <w:r w:rsidR="00DF1884" w:rsidRPr="00DF1884">
        <w:t xml:space="preserve"> </w:t>
      </w:r>
      <w:r w:rsidRPr="00DF1884">
        <w:t>Administration</w:t>
      </w:r>
      <w:r w:rsidR="00DF1884" w:rsidRPr="00DF1884">
        <w:t xml:space="preserve"> </w:t>
      </w:r>
      <w:r w:rsidR="00476845" w:rsidRPr="00DF1884">
        <w:t>(</w:t>
      </w:r>
      <w:r w:rsidRPr="00DF1884">
        <w:t>HCFA</w:t>
      </w:r>
      <w:r w:rsidR="00476845" w:rsidRPr="00DF1884">
        <w:t>)</w:t>
      </w:r>
      <w:r w:rsidR="00DF1884" w:rsidRPr="00DF1884">
        <w:t xml:space="preserve"> </w:t>
      </w:r>
      <w:r w:rsidRPr="00DF1884">
        <w:t>had</w:t>
      </w:r>
      <w:r w:rsidR="00DF1884" w:rsidRPr="00DF1884">
        <w:t xml:space="preserve"> </w:t>
      </w:r>
      <w:r w:rsidRPr="00DF1884">
        <w:t>each</w:t>
      </w:r>
      <w:r w:rsidR="00DF1884" w:rsidRPr="00DF1884">
        <w:t xml:space="preserve"> </w:t>
      </w:r>
      <w:r w:rsidRPr="00DF1884">
        <w:t>condition</w:t>
      </w:r>
      <w:r w:rsidR="00DF1884" w:rsidRPr="00DF1884">
        <w:t xml:space="preserve"> </w:t>
      </w:r>
      <w:r w:rsidRPr="00DF1884">
        <w:t>reviewed</w:t>
      </w:r>
      <w:r w:rsidR="00DF1884" w:rsidRPr="00DF1884">
        <w:t xml:space="preserve"> </w:t>
      </w:r>
      <w:r w:rsidRPr="00DF1884">
        <w:t>by</w:t>
      </w:r>
      <w:r w:rsidR="00DF1884" w:rsidRPr="00DF1884">
        <w:t xml:space="preserve"> </w:t>
      </w:r>
      <w:r w:rsidRPr="00DF1884">
        <w:t>two</w:t>
      </w:r>
      <w:r w:rsidR="00DF1884" w:rsidRPr="00DF1884">
        <w:t xml:space="preserve"> </w:t>
      </w:r>
      <w:r w:rsidRPr="00DF1884">
        <w:t>clinical</w:t>
      </w:r>
      <w:r w:rsidR="00DF1884" w:rsidRPr="00DF1884">
        <w:t xml:space="preserve"> </w:t>
      </w:r>
      <w:r w:rsidRPr="00DF1884">
        <w:t>consultants</w:t>
      </w:r>
      <w:r w:rsidR="00DF1884" w:rsidRPr="00DF1884">
        <w:t xml:space="preserve"> </w:t>
      </w:r>
      <w:r w:rsidRPr="00DF1884">
        <w:t>to</w:t>
      </w:r>
      <w:r w:rsidR="00DF1884" w:rsidRPr="00DF1884">
        <w:t xml:space="preserve"> </w:t>
      </w:r>
      <w:r w:rsidRPr="00DF1884">
        <w:t>ensure</w:t>
      </w:r>
      <w:r w:rsidR="00DF1884" w:rsidRPr="00DF1884">
        <w:t xml:space="preserve"> </w:t>
      </w:r>
      <w:r w:rsidRPr="00DF1884">
        <w:t>that</w:t>
      </w:r>
      <w:r w:rsidR="00DF1884" w:rsidRPr="00DF1884">
        <w:t xml:space="preserve"> </w:t>
      </w:r>
      <w:r w:rsidRPr="00DF1884">
        <w:t>selected</w:t>
      </w:r>
      <w:r w:rsidR="00DF1884" w:rsidRPr="00DF1884">
        <w:t xml:space="preserve"> </w:t>
      </w:r>
      <w:r w:rsidRPr="00DF1884">
        <w:t>ACSCs</w:t>
      </w:r>
      <w:r w:rsidR="00DF1884" w:rsidRPr="00DF1884">
        <w:t xml:space="preserve"> </w:t>
      </w:r>
      <w:r w:rsidRPr="00DF1884">
        <w:t>were</w:t>
      </w:r>
      <w:r w:rsidR="00DF1884" w:rsidRPr="00DF1884">
        <w:t xml:space="preserve"> </w:t>
      </w:r>
      <w:r w:rsidRPr="00DF1884">
        <w:t>appropriate</w:t>
      </w:r>
      <w:r w:rsidR="00DF1884" w:rsidRPr="00DF1884">
        <w:t xml:space="preserve"> </w:t>
      </w:r>
      <w:r w:rsidRPr="00DF1884">
        <w:t>for</w:t>
      </w:r>
      <w:r w:rsidR="00DF1884" w:rsidRPr="00DF1884">
        <w:t xml:space="preserve"> </w:t>
      </w:r>
      <w:r w:rsidRPr="00DF1884">
        <w:t>the</w:t>
      </w:r>
      <w:r w:rsidR="00DF1884" w:rsidRPr="00DF1884">
        <w:t xml:space="preserve"> </w:t>
      </w:r>
      <w:r w:rsidRPr="00DF1884">
        <w:t>elderly</w:t>
      </w:r>
      <w:r w:rsidR="00DF1884" w:rsidRPr="00DF1884">
        <w:t xml:space="preserve"> </w:t>
      </w:r>
      <w:r w:rsidRPr="00DF1884">
        <w:t>population</w:t>
      </w:r>
      <w:r w:rsidR="00476845" w:rsidRPr="00DF1884">
        <w:t>,</w:t>
      </w:r>
      <w:r w:rsidR="00DF1884" w:rsidRPr="00DF1884">
        <w:t xml:space="preserve"> </w:t>
      </w:r>
      <w:r w:rsidR="00476845" w:rsidRPr="00DF1884">
        <w:t>because</w:t>
      </w:r>
      <w:r w:rsidR="00DF1884" w:rsidRPr="00DF1884">
        <w:t xml:space="preserve"> </w:t>
      </w:r>
      <w:r w:rsidRPr="00DF1884">
        <w:t>the</w:t>
      </w:r>
      <w:r w:rsidR="00DF1884" w:rsidRPr="00DF1884">
        <w:t xml:space="preserve"> </w:t>
      </w:r>
      <w:r w:rsidRPr="00DF1884">
        <w:t>original</w:t>
      </w:r>
      <w:r w:rsidR="00DF1884" w:rsidRPr="00DF1884">
        <w:t xml:space="preserve"> </w:t>
      </w:r>
      <w:r w:rsidRPr="00DF1884">
        <w:t>set</w:t>
      </w:r>
      <w:r w:rsidR="00DF1884" w:rsidRPr="00DF1884">
        <w:t xml:space="preserve"> </w:t>
      </w:r>
      <w:r w:rsidRPr="00DF1884">
        <w:t>had</w:t>
      </w:r>
      <w:r w:rsidR="00DF1884" w:rsidRPr="00DF1884">
        <w:t xml:space="preserve"> </w:t>
      </w:r>
      <w:r w:rsidRPr="00DF1884">
        <w:t>been</w:t>
      </w:r>
      <w:r w:rsidR="00DF1884" w:rsidRPr="00DF1884">
        <w:t xml:space="preserve"> </w:t>
      </w:r>
      <w:r w:rsidRPr="00DF1884">
        <w:t>developed</w:t>
      </w:r>
      <w:r w:rsidR="00DF1884" w:rsidRPr="00DF1884">
        <w:t xml:space="preserve"> </w:t>
      </w:r>
      <w:r w:rsidRPr="00DF1884">
        <w:t>as</w:t>
      </w:r>
      <w:r w:rsidR="00DF1884" w:rsidRPr="00DF1884">
        <w:t xml:space="preserve"> </w:t>
      </w:r>
      <w:r w:rsidRPr="00DF1884">
        <w:t>a</w:t>
      </w:r>
      <w:r w:rsidR="00DF1884" w:rsidRPr="00DF1884">
        <w:t xml:space="preserve"> </w:t>
      </w:r>
      <w:r w:rsidRPr="00DF1884">
        <w:t>measure</w:t>
      </w:r>
      <w:r w:rsidR="00DF1884" w:rsidRPr="00DF1884">
        <w:t xml:space="preserve"> </w:t>
      </w:r>
      <w:r w:rsidRPr="00DF1884">
        <w:t>of</w:t>
      </w:r>
      <w:r w:rsidR="00DF1884" w:rsidRPr="00DF1884">
        <w:t xml:space="preserve"> </w:t>
      </w:r>
      <w:r w:rsidRPr="00DF1884">
        <w:t>access</w:t>
      </w:r>
      <w:r w:rsidR="00DF1884" w:rsidRPr="00DF1884">
        <w:t xml:space="preserve"> </w:t>
      </w:r>
      <w:r w:rsidRPr="00DF1884">
        <w:t>to</w:t>
      </w:r>
      <w:r w:rsidR="00DF1884" w:rsidRPr="00DF1884">
        <w:t xml:space="preserve"> </w:t>
      </w:r>
      <w:r w:rsidRPr="00DF1884">
        <w:t>care</w:t>
      </w:r>
      <w:r w:rsidR="00DF1884" w:rsidRPr="00DF1884">
        <w:t xml:space="preserve"> </w:t>
      </w:r>
      <w:r w:rsidRPr="00DF1884">
        <w:t>for</w:t>
      </w:r>
      <w:r w:rsidR="00DF1884" w:rsidRPr="00DF1884">
        <w:t xml:space="preserve"> </w:t>
      </w:r>
      <w:r w:rsidRPr="00DF1884">
        <w:t>the</w:t>
      </w:r>
      <w:r w:rsidR="00DF1884" w:rsidRPr="00DF1884">
        <w:t xml:space="preserve"> </w:t>
      </w:r>
      <w:r w:rsidRPr="00DF1884">
        <w:t>nonelderly</w:t>
      </w:r>
      <w:r w:rsidR="00DF1884" w:rsidRPr="00DF1884">
        <w:t xml:space="preserve"> </w:t>
      </w:r>
      <w:r w:rsidRPr="00DF1884">
        <w:t>population.</w:t>
      </w:r>
      <w:r w:rsidR="00DF1884" w:rsidRPr="00DF1884">
        <w:t xml:space="preserve"> </w:t>
      </w:r>
    </w:p>
    <w:p w14:paraId="35D756B5" w14:textId="2726B484" w:rsidR="00476845" w:rsidRPr="00DF1884" w:rsidRDefault="00FB7739" w:rsidP="00476845">
      <w:pPr>
        <w:pStyle w:val="Body"/>
      </w:pPr>
      <w:r w:rsidRPr="00DF1884">
        <w:t>ACSCs</w:t>
      </w:r>
      <w:r w:rsidR="00DF1884" w:rsidRPr="00DF1884">
        <w:t xml:space="preserve"> </w:t>
      </w:r>
      <w:r w:rsidRPr="00DF1884">
        <w:t>selected</w:t>
      </w:r>
      <w:r w:rsidR="00DF1884" w:rsidRPr="00DF1884">
        <w:t xml:space="preserve"> </w:t>
      </w:r>
      <w:r w:rsidRPr="00DF1884">
        <w:t>for</w:t>
      </w:r>
      <w:r w:rsidR="00DF1884" w:rsidRPr="00DF1884">
        <w:t xml:space="preserve"> </w:t>
      </w:r>
      <w:r w:rsidRPr="00DF1884">
        <w:t>the</w:t>
      </w:r>
      <w:r w:rsidR="00DF1884" w:rsidRPr="00DF1884">
        <w:t xml:space="preserve"> </w:t>
      </w:r>
      <w:r w:rsidRPr="00DF1884">
        <w:t>study</w:t>
      </w:r>
      <w:r w:rsidR="00DF1884" w:rsidRPr="00DF1884">
        <w:t xml:space="preserve"> </w:t>
      </w:r>
      <w:r w:rsidRPr="00DF1884">
        <w:t>included</w:t>
      </w:r>
      <w:r w:rsidR="00DF1884" w:rsidRPr="00DF1884">
        <w:t xml:space="preserve"> </w:t>
      </w:r>
      <w:r w:rsidRPr="00DF1884">
        <w:t>chronic</w:t>
      </w:r>
      <w:r w:rsidR="00DF1884" w:rsidRPr="00DF1884">
        <w:t xml:space="preserve"> </w:t>
      </w:r>
      <w:r w:rsidRPr="00DF1884">
        <w:t>asthma/chronic</w:t>
      </w:r>
      <w:r w:rsidR="00DF1884" w:rsidRPr="00DF1884">
        <w:t xml:space="preserve"> </w:t>
      </w:r>
      <w:r w:rsidRPr="00DF1884">
        <w:t>obstructive</w:t>
      </w:r>
      <w:r w:rsidR="00DF1884" w:rsidRPr="00DF1884">
        <w:t xml:space="preserve"> </w:t>
      </w:r>
      <w:r w:rsidRPr="00DF1884">
        <w:t>pulmonary</w:t>
      </w:r>
      <w:r w:rsidR="00DF1884" w:rsidRPr="00DF1884">
        <w:t xml:space="preserve"> </w:t>
      </w:r>
      <w:r w:rsidRPr="00DF1884">
        <w:t>disease</w:t>
      </w:r>
      <w:r w:rsidR="00DF1884" w:rsidRPr="00DF1884">
        <w:t xml:space="preserve"> </w:t>
      </w:r>
      <w:r w:rsidRPr="00DF1884">
        <w:t>(COPD),</w:t>
      </w:r>
      <w:r w:rsidR="00DF1884" w:rsidRPr="00DF1884">
        <w:t xml:space="preserve"> </w:t>
      </w:r>
      <w:r w:rsidRPr="00DF1884">
        <w:t>congestive</w:t>
      </w:r>
      <w:r w:rsidR="00DF1884" w:rsidRPr="00DF1884">
        <w:t xml:space="preserve"> </w:t>
      </w:r>
      <w:r w:rsidRPr="00DF1884">
        <w:t>heart</w:t>
      </w:r>
      <w:r w:rsidR="00DF1884" w:rsidRPr="00DF1884">
        <w:t xml:space="preserve"> </w:t>
      </w:r>
      <w:r w:rsidRPr="00DF1884">
        <w:t>failure,</w:t>
      </w:r>
      <w:r w:rsidR="00DF1884" w:rsidRPr="00DF1884">
        <w:t xml:space="preserve"> </w:t>
      </w:r>
      <w:r w:rsidRPr="00DF1884">
        <w:t>seizure</w:t>
      </w:r>
      <w:r w:rsidR="00DF1884" w:rsidRPr="00DF1884">
        <w:t xml:space="preserve"> </w:t>
      </w:r>
      <w:r w:rsidRPr="00DF1884">
        <w:t>disorder,</w:t>
      </w:r>
      <w:r w:rsidR="00DF1884" w:rsidRPr="00DF1884">
        <w:t xml:space="preserve"> </w:t>
      </w:r>
      <w:r w:rsidRPr="00DF1884">
        <w:t>diabetes</w:t>
      </w:r>
      <w:r w:rsidR="00DF1884" w:rsidRPr="00DF1884">
        <w:t xml:space="preserve"> </w:t>
      </w:r>
      <w:r w:rsidRPr="00DF1884">
        <w:t>and</w:t>
      </w:r>
      <w:r w:rsidR="00DF1884" w:rsidRPr="00DF1884">
        <w:t xml:space="preserve"> </w:t>
      </w:r>
      <w:r w:rsidRPr="00DF1884">
        <w:t>hypertension;</w:t>
      </w:r>
      <w:r w:rsidR="00DF1884" w:rsidRPr="00DF1884">
        <w:t xml:space="preserve"> </w:t>
      </w:r>
      <w:r w:rsidRPr="00DF1884">
        <w:t>acute</w:t>
      </w:r>
      <w:r w:rsidR="00DF1884" w:rsidRPr="00DF1884">
        <w:t xml:space="preserve"> </w:t>
      </w:r>
      <w:r w:rsidRPr="00DF1884">
        <w:t>hypoglycemia,</w:t>
      </w:r>
      <w:r w:rsidR="00DF1884" w:rsidRPr="00DF1884">
        <w:t xml:space="preserve"> </w:t>
      </w:r>
      <w:r w:rsidRPr="00DF1884">
        <w:t>urinary</w:t>
      </w:r>
      <w:r w:rsidR="00DF1884" w:rsidRPr="00DF1884">
        <w:t xml:space="preserve"> </w:t>
      </w:r>
      <w:r w:rsidRPr="00DF1884">
        <w:t>tract</w:t>
      </w:r>
      <w:r w:rsidR="00DF1884" w:rsidRPr="00DF1884">
        <w:t xml:space="preserve"> </w:t>
      </w:r>
      <w:r w:rsidRPr="00DF1884">
        <w:t>infections,</w:t>
      </w:r>
      <w:r w:rsidR="00DF1884" w:rsidRPr="00DF1884">
        <w:t xml:space="preserve"> </w:t>
      </w:r>
      <w:r w:rsidRPr="00DF1884">
        <w:t>cellulitis,</w:t>
      </w:r>
      <w:r w:rsidR="00DF1884" w:rsidRPr="00DF1884">
        <w:t xml:space="preserve"> </w:t>
      </w:r>
      <w:r w:rsidRPr="00DF1884">
        <w:t>dehydration,</w:t>
      </w:r>
      <w:r w:rsidR="00DF1884" w:rsidRPr="00DF1884">
        <w:t xml:space="preserve"> </w:t>
      </w:r>
      <w:r w:rsidRPr="00DF1884">
        <w:t>hypokalemia,</w:t>
      </w:r>
      <w:r w:rsidR="00DF1884" w:rsidRPr="00DF1884">
        <w:t xml:space="preserve"> </w:t>
      </w:r>
      <w:r w:rsidRPr="00DF1884">
        <w:t>gastric</w:t>
      </w:r>
      <w:r w:rsidR="00DF1884" w:rsidRPr="00DF1884">
        <w:t xml:space="preserve"> </w:t>
      </w:r>
      <w:r w:rsidRPr="00DF1884">
        <w:t>and</w:t>
      </w:r>
      <w:r w:rsidR="00DF1884" w:rsidRPr="00DF1884">
        <w:t xml:space="preserve"> </w:t>
      </w:r>
      <w:r w:rsidRPr="00DF1884">
        <w:t>duodenal</w:t>
      </w:r>
      <w:r w:rsidR="00DF1884" w:rsidRPr="00DF1884">
        <w:t xml:space="preserve"> </w:t>
      </w:r>
      <w:r w:rsidRPr="00DF1884">
        <w:t>ulcer,</w:t>
      </w:r>
      <w:r w:rsidR="00DF1884" w:rsidRPr="00DF1884">
        <w:t xml:space="preserve"> </w:t>
      </w:r>
      <w:r w:rsidRPr="00DF1884">
        <w:t>bacterial</w:t>
      </w:r>
      <w:r w:rsidR="00DF1884" w:rsidRPr="00DF1884">
        <w:t xml:space="preserve"> </w:t>
      </w:r>
      <w:r w:rsidRPr="00DF1884">
        <w:t>pneumonia</w:t>
      </w:r>
      <w:r w:rsidR="00DF1884" w:rsidRPr="00DF1884">
        <w:t xml:space="preserve"> </w:t>
      </w:r>
      <w:r w:rsidRPr="00DF1884">
        <w:t>and</w:t>
      </w:r>
      <w:r w:rsidR="00DF1884" w:rsidRPr="00DF1884">
        <w:t xml:space="preserve"> </w:t>
      </w:r>
      <w:r w:rsidRPr="00DF1884">
        <w:t>severe</w:t>
      </w:r>
      <w:r w:rsidR="00DF1884" w:rsidRPr="00DF1884">
        <w:t xml:space="preserve"> </w:t>
      </w:r>
      <w:r w:rsidRPr="00DF1884">
        <w:t>ear/nose/throat</w:t>
      </w:r>
      <w:r w:rsidR="00DF1884" w:rsidRPr="00DF1884">
        <w:t xml:space="preserve"> </w:t>
      </w:r>
      <w:r w:rsidRPr="00DF1884">
        <w:t>infections;</w:t>
      </w:r>
      <w:r w:rsidR="00DF1884" w:rsidRPr="00DF1884">
        <w:t xml:space="preserve"> </w:t>
      </w:r>
      <w:r w:rsidRPr="00DF1884">
        <w:t>and</w:t>
      </w:r>
      <w:r w:rsidR="00DF1884" w:rsidRPr="00DF1884">
        <w:t xml:space="preserve"> </w:t>
      </w:r>
      <w:r w:rsidRPr="00DF1884">
        <w:t>preventable</w:t>
      </w:r>
      <w:r w:rsidR="00DF1884" w:rsidRPr="00DF1884">
        <w:t xml:space="preserve"> </w:t>
      </w:r>
      <w:r w:rsidRPr="00DF1884">
        <w:t>influenza</w:t>
      </w:r>
      <w:r w:rsidR="00DF1884" w:rsidRPr="00DF1884">
        <w:t xml:space="preserve"> </w:t>
      </w:r>
      <w:r w:rsidRPr="00DF1884">
        <w:t>and</w:t>
      </w:r>
      <w:r w:rsidR="00DF1884" w:rsidRPr="00DF1884">
        <w:t xml:space="preserve"> </w:t>
      </w:r>
      <w:r w:rsidRPr="00DF1884">
        <w:t>malnutrition.</w:t>
      </w:r>
      <w:r w:rsidR="00DF1884" w:rsidRPr="00DF1884">
        <w:rPr>
          <w:i/>
        </w:rPr>
        <w:t xml:space="preserve"> </w:t>
      </w:r>
      <w:r w:rsidRPr="00DF1884">
        <w:t>The</w:t>
      </w:r>
      <w:r w:rsidR="00DF1884" w:rsidRPr="00DF1884">
        <w:t xml:space="preserve"> </w:t>
      </w:r>
      <w:r w:rsidRPr="00DF1884">
        <w:t>study</w:t>
      </w:r>
      <w:r w:rsidR="00DF1884" w:rsidRPr="00DF1884">
        <w:t xml:space="preserve"> </w:t>
      </w:r>
      <w:r w:rsidRPr="00DF1884">
        <w:t>found</w:t>
      </w:r>
      <w:r w:rsidR="00DF1884" w:rsidRPr="00DF1884">
        <w:t xml:space="preserve"> </w:t>
      </w:r>
      <w:r w:rsidRPr="00DF1884">
        <w:t>that</w:t>
      </w:r>
      <w:r w:rsidR="00DF1884" w:rsidRPr="00DF1884">
        <w:t xml:space="preserve"> </w:t>
      </w:r>
      <w:r w:rsidRPr="00DF1884">
        <w:t>the</w:t>
      </w:r>
      <w:r w:rsidR="00DF1884" w:rsidRPr="00DF1884">
        <w:t xml:space="preserve"> </w:t>
      </w:r>
      <w:r w:rsidRPr="00DF1884">
        <w:t>oldest</w:t>
      </w:r>
      <w:r w:rsidR="00DF1884" w:rsidRPr="00DF1884">
        <w:t xml:space="preserve"> </w:t>
      </w:r>
      <w:r w:rsidR="00476845" w:rsidRPr="00DF1884">
        <w:t>population</w:t>
      </w:r>
      <w:r w:rsidR="00DF1884" w:rsidRPr="00DF1884">
        <w:t xml:space="preserve"> </w:t>
      </w:r>
      <w:r w:rsidRPr="00DF1884">
        <w:t>(85</w:t>
      </w:r>
      <w:r w:rsidR="00DF1884" w:rsidRPr="00DF1884">
        <w:t xml:space="preserve"> </w:t>
      </w:r>
      <w:r w:rsidR="00476845" w:rsidRPr="00DF1884">
        <w:t>and</w:t>
      </w:r>
      <w:r w:rsidR="00DF1884" w:rsidRPr="00DF1884">
        <w:t xml:space="preserve"> </w:t>
      </w:r>
      <w:r w:rsidR="00476845" w:rsidRPr="00DF1884">
        <w:t>older</w:t>
      </w:r>
      <w:r w:rsidRPr="00DF1884">
        <w:t>)</w:t>
      </w:r>
      <w:r w:rsidR="00DF1884" w:rsidRPr="00DF1884">
        <w:t xml:space="preserve"> </w:t>
      </w:r>
      <w:r w:rsidRPr="00DF1884">
        <w:t>experience</w:t>
      </w:r>
      <w:r w:rsidR="00DF1884" w:rsidRPr="00DF1884">
        <w:t xml:space="preserve"> </w:t>
      </w:r>
      <w:r w:rsidRPr="00DF1884">
        <w:t>statistically</w:t>
      </w:r>
      <w:r w:rsidR="00DF1884" w:rsidRPr="00DF1884">
        <w:t xml:space="preserve"> </w:t>
      </w:r>
      <w:r w:rsidRPr="00DF1884">
        <w:t>significant</w:t>
      </w:r>
      <w:r w:rsidR="00DF1884" w:rsidRPr="00DF1884">
        <w:t xml:space="preserve"> </w:t>
      </w:r>
      <w:r w:rsidRPr="00DF1884">
        <w:t>higher</w:t>
      </w:r>
      <w:r w:rsidR="00DF1884" w:rsidRPr="00DF1884">
        <w:t xml:space="preserve"> </w:t>
      </w:r>
      <w:r w:rsidRPr="00DF1884">
        <w:t>rates</w:t>
      </w:r>
      <w:r w:rsidR="00DF1884" w:rsidRPr="00DF1884">
        <w:t xml:space="preserve"> </w:t>
      </w:r>
      <w:r w:rsidRPr="00DF1884">
        <w:t>of</w:t>
      </w:r>
      <w:r w:rsidR="00DF1884" w:rsidRPr="00DF1884">
        <w:t xml:space="preserve"> </w:t>
      </w:r>
      <w:r w:rsidRPr="00DF1884">
        <w:t>ACSC</w:t>
      </w:r>
      <w:r w:rsidR="00DF1884" w:rsidRPr="00DF1884">
        <w:t xml:space="preserve"> </w:t>
      </w:r>
      <w:r w:rsidRPr="00DF1884">
        <w:t>admissions</w:t>
      </w:r>
      <w:r w:rsidR="00DF1884" w:rsidRPr="00DF1884">
        <w:t xml:space="preserve"> </w:t>
      </w:r>
      <w:r w:rsidRPr="00DF1884">
        <w:t>and</w:t>
      </w:r>
      <w:r w:rsidR="00DF1884" w:rsidRPr="00DF1884">
        <w:t xml:space="preserve"> </w:t>
      </w:r>
      <w:r w:rsidRPr="00DF1884">
        <w:t>are</w:t>
      </w:r>
      <w:r w:rsidR="00DF1884" w:rsidRPr="00DF1884">
        <w:t xml:space="preserve"> </w:t>
      </w:r>
      <w:r w:rsidRPr="00DF1884">
        <w:t>more</w:t>
      </w:r>
      <w:r w:rsidR="00DF1884" w:rsidRPr="00DF1884">
        <w:t xml:space="preserve"> </w:t>
      </w:r>
      <w:r w:rsidRPr="00DF1884">
        <w:t>likely</w:t>
      </w:r>
      <w:r w:rsidR="00DF1884" w:rsidRPr="00DF1884">
        <w:t xml:space="preserve"> </w:t>
      </w:r>
      <w:r w:rsidRPr="00DF1884">
        <w:t>to</w:t>
      </w:r>
      <w:r w:rsidR="00DF1884" w:rsidRPr="00DF1884">
        <w:t xml:space="preserve"> </w:t>
      </w:r>
      <w:r w:rsidRPr="00DF1884">
        <w:t>die</w:t>
      </w:r>
      <w:r w:rsidR="00DF1884" w:rsidRPr="00DF1884">
        <w:t xml:space="preserve"> </w:t>
      </w:r>
      <w:r w:rsidRPr="00DF1884">
        <w:t>during</w:t>
      </w:r>
      <w:r w:rsidR="00DF1884" w:rsidRPr="00DF1884">
        <w:t xml:space="preserve"> </w:t>
      </w:r>
      <w:r w:rsidRPr="00DF1884">
        <w:t>an</w:t>
      </w:r>
      <w:r w:rsidR="00DF1884" w:rsidRPr="00DF1884">
        <w:t xml:space="preserve"> </w:t>
      </w:r>
      <w:r w:rsidRPr="00DF1884">
        <w:t>ACSC</w:t>
      </w:r>
      <w:r w:rsidR="00DF1884" w:rsidRPr="00DF1884">
        <w:t xml:space="preserve"> </w:t>
      </w:r>
      <w:r w:rsidRPr="00DF1884">
        <w:t>admission</w:t>
      </w:r>
      <w:r w:rsidR="00DF1884" w:rsidRPr="00DF1884">
        <w:t xml:space="preserve"> </w:t>
      </w:r>
      <w:r w:rsidRPr="00DF1884">
        <w:t>than</w:t>
      </w:r>
      <w:r w:rsidR="00DF1884" w:rsidRPr="00DF1884">
        <w:t xml:space="preserve"> </w:t>
      </w:r>
      <w:r w:rsidRPr="00DF1884">
        <w:t>younger</w:t>
      </w:r>
      <w:r w:rsidR="00DF1884" w:rsidRPr="00DF1884">
        <w:t xml:space="preserve"> </w:t>
      </w:r>
      <w:r w:rsidRPr="00DF1884">
        <w:t>Medicare</w:t>
      </w:r>
      <w:r w:rsidR="00DF1884" w:rsidRPr="00DF1884">
        <w:t xml:space="preserve"> </w:t>
      </w:r>
      <w:r w:rsidRPr="00DF1884">
        <w:t>beneficiaries.</w:t>
      </w:r>
      <w:r w:rsidR="00DF1884" w:rsidRPr="00DF1884">
        <w:t xml:space="preserve"> </w:t>
      </w:r>
    </w:p>
    <w:p w14:paraId="7764039E" w14:textId="12E7ED98" w:rsidR="00FB7739" w:rsidRPr="00DF1884" w:rsidRDefault="00FB7739" w:rsidP="00476845">
      <w:pPr>
        <w:pStyle w:val="Body"/>
        <w:rPr>
          <w:b/>
        </w:rPr>
      </w:pPr>
      <w:r w:rsidRPr="00DF1884">
        <w:t>The</w:t>
      </w:r>
      <w:r w:rsidR="00DF1884" w:rsidRPr="00DF1884">
        <w:t xml:space="preserve"> </w:t>
      </w:r>
      <w:r w:rsidRPr="00DF1884">
        <w:t>study</w:t>
      </w:r>
      <w:r w:rsidR="00DF1884" w:rsidRPr="00DF1884">
        <w:t xml:space="preserve"> </w:t>
      </w:r>
      <w:r w:rsidRPr="00DF1884">
        <w:t>also</w:t>
      </w:r>
      <w:r w:rsidR="00DF1884" w:rsidRPr="00DF1884">
        <w:t xml:space="preserve"> </w:t>
      </w:r>
      <w:r w:rsidRPr="00DF1884">
        <w:t>found</w:t>
      </w:r>
      <w:r w:rsidR="00DF1884" w:rsidRPr="00DF1884">
        <w:t xml:space="preserve"> </w:t>
      </w:r>
      <w:r w:rsidRPr="00DF1884">
        <w:t>lower</w:t>
      </w:r>
      <w:r w:rsidR="00DF1884" w:rsidRPr="00DF1884">
        <w:t xml:space="preserve"> </w:t>
      </w:r>
      <w:r w:rsidRPr="00DF1884">
        <w:t>overall</w:t>
      </w:r>
      <w:r w:rsidR="00DF1884" w:rsidRPr="00DF1884">
        <w:t xml:space="preserve"> </w:t>
      </w:r>
      <w:r w:rsidRPr="00DF1884">
        <w:t>rates</w:t>
      </w:r>
      <w:r w:rsidR="00DF1884" w:rsidRPr="00DF1884">
        <w:t xml:space="preserve"> </w:t>
      </w:r>
      <w:r w:rsidRPr="00DF1884">
        <w:t>of</w:t>
      </w:r>
      <w:r w:rsidR="00DF1884" w:rsidRPr="00DF1884">
        <w:t xml:space="preserve"> </w:t>
      </w:r>
      <w:r w:rsidRPr="00DF1884">
        <w:t>hospitalization</w:t>
      </w:r>
      <w:r w:rsidR="00DF1884" w:rsidRPr="00DF1884">
        <w:t xml:space="preserve"> </w:t>
      </w:r>
      <w:r w:rsidRPr="00DF1884">
        <w:t>in</w:t>
      </w:r>
      <w:r w:rsidR="00DF1884" w:rsidRPr="00DF1884">
        <w:t xml:space="preserve"> </w:t>
      </w:r>
      <w:r w:rsidRPr="00DF1884">
        <w:t>the</w:t>
      </w:r>
      <w:r w:rsidR="00DF1884" w:rsidRPr="00DF1884">
        <w:t xml:space="preserve"> </w:t>
      </w:r>
      <w:r w:rsidRPr="00DF1884">
        <w:t>MC</w:t>
      </w:r>
      <w:r w:rsidR="00DF1884" w:rsidRPr="00DF1884">
        <w:t xml:space="preserve"> </w:t>
      </w:r>
      <w:r w:rsidRPr="00DF1884">
        <w:t>population</w:t>
      </w:r>
      <w:r w:rsidR="00DF1884" w:rsidRPr="00DF1884">
        <w:t xml:space="preserve"> </w:t>
      </w:r>
      <w:r w:rsidRPr="00DF1884">
        <w:t>than</w:t>
      </w:r>
      <w:r w:rsidR="00DF1884" w:rsidRPr="00DF1884">
        <w:t xml:space="preserve"> </w:t>
      </w:r>
      <w:r w:rsidRPr="00DF1884">
        <w:t>in</w:t>
      </w:r>
      <w:r w:rsidR="00DF1884" w:rsidRPr="00DF1884">
        <w:t xml:space="preserve"> </w:t>
      </w:r>
      <w:r w:rsidRPr="00DF1884">
        <w:t>the</w:t>
      </w:r>
      <w:r w:rsidR="00DF1884" w:rsidRPr="00DF1884">
        <w:t xml:space="preserve"> </w:t>
      </w:r>
      <w:r w:rsidRPr="00DF1884">
        <w:t>Medicare</w:t>
      </w:r>
      <w:r w:rsidR="00DF1884" w:rsidRPr="00DF1884">
        <w:t xml:space="preserve"> </w:t>
      </w:r>
      <w:r w:rsidRPr="00DF1884">
        <w:t>FFS</w:t>
      </w:r>
      <w:r w:rsidR="00DF1884" w:rsidRPr="00DF1884">
        <w:t xml:space="preserve"> </w:t>
      </w:r>
      <w:r w:rsidRPr="00DF1884">
        <w:t>population.</w:t>
      </w:r>
      <w:r w:rsidR="00DF1884" w:rsidRPr="00DF1884">
        <w:t xml:space="preserve"> </w:t>
      </w:r>
      <w:r w:rsidRPr="00DF1884">
        <w:t>On</w:t>
      </w:r>
      <w:r w:rsidR="00DF1884" w:rsidRPr="00DF1884">
        <w:t xml:space="preserve"> </w:t>
      </w:r>
      <w:r w:rsidRPr="00DF1884">
        <w:t>average,</w:t>
      </w:r>
      <w:r w:rsidR="00DF1884" w:rsidRPr="00DF1884">
        <w:t xml:space="preserve"> </w:t>
      </w:r>
      <w:r w:rsidRPr="00DF1884">
        <w:t>MC</w:t>
      </w:r>
      <w:r w:rsidR="00DF1884" w:rsidRPr="00DF1884">
        <w:t xml:space="preserve"> </w:t>
      </w:r>
      <w:r w:rsidRPr="00DF1884">
        <w:t>adjusted</w:t>
      </w:r>
      <w:r w:rsidR="00DF1884" w:rsidRPr="00DF1884">
        <w:t xml:space="preserve"> </w:t>
      </w:r>
      <w:r w:rsidRPr="00DF1884">
        <w:t>hospitalization</w:t>
      </w:r>
      <w:r w:rsidR="00DF1884" w:rsidRPr="00DF1884">
        <w:t xml:space="preserve"> </w:t>
      </w:r>
      <w:r w:rsidRPr="00DF1884">
        <w:t>rates</w:t>
      </w:r>
      <w:r w:rsidR="00DF1884" w:rsidRPr="00DF1884">
        <w:t xml:space="preserve"> </w:t>
      </w:r>
      <w:r w:rsidRPr="00DF1884">
        <w:t>were</w:t>
      </w:r>
      <w:r w:rsidR="00DF1884" w:rsidRPr="00DF1884">
        <w:t xml:space="preserve"> </w:t>
      </w:r>
      <w:r w:rsidRPr="00DF1884">
        <w:t>about</w:t>
      </w:r>
      <w:r w:rsidR="00DF1884" w:rsidRPr="00DF1884">
        <w:t xml:space="preserve"> </w:t>
      </w:r>
      <w:r w:rsidRPr="00DF1884">
        <w:t>one-third</w:t>
      </w:r>
      <w:r w:rsidR="00DF1884" w:rsidRPr="00DF1884">
        <w:t xml:space="preserve"> </w:t>
      </w:r>
      <w:r w:rsidRPr="00DF1884">
        <w:t>lower</w:t>
      </w:r>
      <w:r w:rsidR="00DF1884" w:rsidRPr="00DF1884">
        <w:t xml:space="preserve"> </w:t>
      </w:r>
      <w:r w:rsidRPr="00DF1884">
        <w:t>than</w:t>
      </w:r>
      <w:r w:rsidR="00DF1884" w:rsidRPr="00DF1884">
        <w:t xml:space="preserve"> </w:t>
      </w:r>
      <w:r w:rsidRPr="00DF1884">
        <w:t>comparable</w:t>
      </w:r>
      <w:r w:rsidR="00DF1884" w:rsidRPr="00DF1884">
        <w:t xml:space="preserve"> </w:t>
      </w:r>
      <w:r w:rsidRPr="00DF1884">
        <w:t>FFS</w:t>
      </w:r>
      <w:r w:rsidR="00DF1884" w:rsidRPr="00DF1884">
        <w:t xml:space="preserve"> </w:t>
      </w:r>
      <w:r w:rsidRPr="00DF1884">
        <w:t>rates.</w:t>
      </w:r>
      <w:r w:rsidR="00DF1884" w:rsidRPr="00DF1884">
        <w:t xml:space="preserve"> </w:t>
      </w:r>
      <w:r w:rsidRPr="00DF1884">
        <w:t>The</w:t>
      </w:r>
      <w:r w:rsidR="00DF1884" w:rsidRPr="00DF1884">
        <w:t xml:space="preserve"> </w:t>
      </w:r>
      <w:r w:rsidRPr="00DF1884">
        <w:t>rates</w:t>
      </w:r>
      <w:r w:rsidR="00DF1884" w:rsidRPr="00DF1884">
        <w:t xml:space="preserve"> </w:t>
      </w:r>
      <w:r w:rsidRPr="00DF1884">
        <w:t>of</w:t>
      </w:r>
      <w:r w:rsidR="00DF1884" w:rsidRPr="00DF1884">
        <w:t xml:space="preserve"> </w:t>
      </w:r>
      <w:r w:rsidRPr="00DF1884">
        <w:t>hospital</w:t>
      </w:r>
      <w:r w:rsidR="00DF1884" w:rsidRPr="00DF1884">
        <w:t xml:space="preserve"> </w:t>
      </w:r>
      <w:r w:rsidRPr="00DF1884">
        <w:t>discharges</w:t>
      </w:r>
      <w:r w:rsidR="00DF1884" w:rsidRPr="00DF1884">
        <w:t xml:space="preserve"> </w:t>
      </w:r>
      <w:r w:rsidRPr="00DF1884">
        <w:t>for</w:t>
      </w:r>
      <w:r w:rsidR="00DF1884" w:rsidRPr="00DF1884">
        <w:t xml:space="preserve"> </w:t>
      </w:r>
      <w:r w:rsidRPr="00DF1884">
        <w:t>MC</w:t>
      </w:r>
      <w:r w:rsidR="00DF1884" w:rsidRPr="00DF1884">
        <w:t xml:space="preserve"> </w:t>
      </w:r>
      <w:r w:rsidRPr="00DF1884">
        <w:t>in</w:t>
      </w:r>
      <w:r w:rsidR="00DF1884" w:rsidRPr="00DF1884">
        <w:t xml:space="preserve"> </w:t>
      </w:r>
      <w:r w:rsidRPr="00DF1884">
        <w:t>comparison</w:t>
      </w:r>
      <w:r w:rsidR="00DF1884" w:rsidRPr="00DF1884">
        <w:t xml:space="preserve"> </w:t>
      </w:r>
      <w:r w:rsidRPr="00DF1884">
        <w:t>to</w:t>
      </w:r>
      <w:r w:rsidR="00DF1884" w:rsidRPr="00DF1884">
        <w:t xml:space="preserve"> </w:t>
      </w:r>
      <w:r w:rsidRPr="00DF1884">
        <w:t>FFS</w:t>
      </w:r>
      <w:r w:rsidR="00DF1884" w:rsidRPr="00DF1884">
        <w:t xml:space="preserve"> </w:t>
      </w:r>
      <w:r w:rsidRPr="00DF1884">
        <w:t>may</w:t>
      </w:r>
      <w:r w:rsidR="00DF1884" w:rsidRPr="00DF1884">
        <w:t xml:space="preserve"> </w:t>
      </w:r>
      <w:r w:rsidRPr="00DF1884">
        <w:t>be</w:t>
      </w:r>
      <w:r w:rsidR="00DF1884" w:rsidRPr="00DF1884">
        <w:t xml:space="preserve"> </w:t>
      </w:r>
      <w:r w:rsidRPr="00DF1884">
        <w:t>explained</w:t>
      </w:r>
      <w:r w:rsidR="00DF1884" w:rsidRPr="00DF1884">
        <w:t xml:space="preserve"> </w:t>
      </w:r>
      <w:r w:rsidRPr="00DF1884">
        <w:t>by</w:t>
      </w:r>
      <w:r w:rsidR="00DF1884" w:rsidRPr="00DF1884">
        <w:t xml:space="preserve"> </w:t>
      </w:r>
      <w:r w:rsidRPr="00DF1884">
        <w:t>better</w:t>
      </w:r>
      <w:r w:rsidR="00DF1884" w:rsidRPr="00DF1884">
        <w:t xml:space="preserve"> </w:t>
      </w:r>
      <w:r w:rsidRPr="00DF1884">
        <w:t>management</w:t>
      </w:r>
      <w:r w:rsidR="00DF1884" w:rsidRPr="00DF1884">
        <w:t xml:space="preserve"> </w:t>
      </w:r>
      <w:r w:rsidRPr="00DF1884">
        <w:t>of</w:t>
      </w:r>
      <w:r w:rsidR="00DF1884" w:rsidRPr="00DF1884">
        <w:t xml:space="preserve"> </w:t>
      </w:r>
      <w:r w:rsidRPr="00DF1884">
        <w:t>patient</w:t>
      </w:r>
      <w:r w:rsidR="00DF1884" w:rsidRPr="00DF1884">
        <w:t xml:space="preserve"> </w:t>
      </w:r>
      <w:r w:rsidRPr="00DF1884">
        <w:t>conditions,</w:t>
      </w:r>
      <w:r w:rsidR="00DF1884" w:rsidRPr="00DF1884">
        <w:t xml:space="preserve"> </w:t>
      </w:r>
      <w:r w:rsidRPr="00DF1884">
        <w:t>utilization</w:t>
      </w:r>
      <w:r w:rsidR="00DF1884" w:rsidRPr="00DF1884">
        <w:t xml:space="preserve"> </w:t>
      </w:r>
      <w:r w:rsidRPr="00DF1884">
        <w:t>controls</w:t>
      </w:r>
      <w:r w:rsidR="00DF1884" w:rsidRPr="00DF1884">
        <w:t xml:space="preserve"> </w:t>
      </w:r>
      <w:r w:rsidRPr="00DF1884">
        <w:t>or</w:t>
      </w:r>
      <w:r w:rsidR="00DF1884" w:rsidRPr="00DF1884">
        <w:t xml:space="preserve"> </w:t>
      </w:r>
      <w:r w:rsidRPr="00DF1884">
        <w:t>healthier</w:t>
      </w:r>
      <w:r w:rsidR="00DF1884" w:rsidRPr="00DF1884">
        <w:t xml:space="preserve"> </w:t>
      </w:r>
      <w:r w:rsidRPr="00DF1884">
        <w:t>MA</w:t>
      </w:r>
      <w:r w:rsidR="00DF1884" w:rsidRPr="00DF1884">
        <w:t xml:space="preserve"> </w:t>
      </w:r>
      <w:r w:rsidRPr="00DF1884">
        <w:t>enrollees.</w:t>
      </w:r>
      <w:r w:rsidR="00DF1884" w:rsidRPr="00DF1884">
        <w:t xml:space="preserve"> </w:t>
      </w:r>
      <w:r w:rsidRPr="00DF1884">
        <w:t>Ultimately,</w:t>
      </w:r>
      <w:r w:rsidR="00DF1884" w:rsidRPr="00DF1884">
        <w:t xml:space="preserve"> </w:t>
      </w:r>
      <w:r w:rsidRPr="00DF1884">
        <w:t>the</w:t>
      </w:r>
      <w:r w:rsidR="00DF1884" w:rsidRPr="00DF1884">
        <w:t xml:space="preserve"> </w:t>
      </w:r>
      <w:r w:rsidRPr="00DF1884">
        <w:t>study</w:t>
      </w:r>
      <w:r w:rsidR="00DF1884" w:rsidRPr="00DF1884">
        <w:t xml:space="preserve"> </w:t>
      </w:r>
      <w:r w:rsidRPr="00DF1884">
        <w:t>found</w:t>
      </w:r>
      <w:r w:rsidR="00DF1884" w:rsidRPr="00DF1884">
        <w:t xml:space="preserve"> </w:t>
      </w:r>
      <w:r w:rsidRPr="00DF1884">
        <w:t>the</w:t>
      </w:r>
      <w:r w:rsidR="00DF1884" w:rsidRPr="00DF1884">
        <w:t xml:space="preserve"> </w:t>
      </w:r>
      <w:r w:rsidRPr="00DF1884">
        <w:t>measurement</w:t>
      </w:r>
      <w:r w:rsidR="00DF1884" w:rsidRPr="00DF1884">
        <w:t xml:space="preserve"> </w:t>
      </w:r>
      <w:r w:rsidRPr="00DF1884">
        <w:t>of</w:t>
      </w:r>
      <w:r w:rsidR="00DF1884" w:rsidRPr="00DF1884">
        <w:t xml:space="preserve"> </w:t>
      </w:r>
      <w:r w:rsidRPr="00DF1884">
        <w:t>ACSC</w:t>
      </w:r>
      <w:r w:rsidR="00DF1884" w:rsidRPr="00DF1884">
        <w:t xml:space="preserve"> </w:t>
      </w:r>
      <w:r w:rsidRPr="00DF1884">
        <w:t>in</w:t>
      </w:r>
      <w:r w:rsidR="00DF1884" w:rsidRPr="00DF1884">
        <w:t xml:space="preserve"> </w:t>
      </w:r>
      <w:r w:rsidRPr="00DF1884">
        <w:t>the</w:t>
      </w:r>
      <w:r w:rsidR="00DF1884" w:rsidRPr="00DF1884">
        <w:t xml:space="preserve"> </w:t>
      </w:r>
      <w:r w:rsidRPr="00DF1884">
        <w:t>MC</w:t>
      </w:r>
      <w:r w:rsidR="00DF1884" w:rsidRPr="00DF1884">
        <w:t xml:space="preserve"> </w:t>
      </w:r>
      <w:r w:rsidRPr="00DF1884">
        <w:t>population</w:t>
      </w:r>
      <w:r w:rsidR="00DF1884" w:rsidRPr="00DF1884">
        <w:t xml:space="preserve"> </w:t>
      </w:r>
      <w:r w:rsidRPr="00DF1884">
        <w:t>to</w:t>
      </w:r>
      <w:r w:rsidR="00DF1884" w:rsidRPr="00DF1884">
        <w:t xml:space="preserve"> </w:t>
      </w:r>
      <w:r w:rsidRPr="00DF1884">
        <w:t>be</w:t>
      </w:r>
      <w:r w:rsidR="00DF1884" w:rsidRPr="00DF1884">
        <w:t xml:space="preserve"> </w:t>
      </w:r>
      <w:r w:rsidRPr="00DF1884">
        <w:t>feasible,</w:t>
      </w:r>
      <w:r w:rsidR="00DF1884" w:rsidRPr="00DF1884">
        <w:t xml:space="preserve"> </w:t>
      </w:r>
      <w:r w:rsidRPr="00DF1884">
        <w:t>however</w:t>
      </w:r>
      <w:r w:rsidR="00DF1884" w:rsidRPr="00DF1884">
        <w:t xml:space="preserve"> </w:t>
      </w:r>
      <w:r w:rsidRPr="00DF1884">
        <w:t>they</w:t>
      </w:r>
      <w:r w:rsidR="00DF1884" w:rsidRPr="00DF1884">
        <w:t xml:space="preserve"> </w:t>
      </w:r>
      <w:r w:rsidRPr="00DF1884">
        <w:t>suggested</w:t>
      </w:r>
      <w:r w:rsidR="00DF1884" w:rsidRPr="00DF1884">
        <w:t xml:space="preserve"> </w:t>
      </w:r>
      <w:r w:rsidRPr="00DF1884">
        <w:t>further</w:t>
      </w:r>
      <w:r w:rsidR="00DF1884" w:rsidRPr="00DF1884">
        <w:t xml:space="preserve"> </w:t>
      </w:r>
      <w:r w:rsidRPr="00DF1884">
        <w:t>studies</w:t>
      </w:r>
      <w:r w:rsidR="00DF1884" w:rsidRPr="00DF1884">
        <w:t xml:space="preserve"> </w:t>
      </w:r>
      <w:r w:rsidRPr="00DF1884">
        <w:t>may</w:t>
      </w:r>
      <w:r w:rsidR="00DF1884" w:rsidRPr="00DF1884">
        <w:t xml:space="preserve"> </w:t>
      </w:r>
      <w:r w:rsidRPr="00DF1884">
        <w:t>want</w:t>
      </w:r>
      <w:r w:rsidR="00DF1884" w:rsidRPr="00DF1884">
        <w:t xml:space="preserve"> </w:t>
      </w:r>
      <w:r w:rsidRPr="00DF1884">
        <w:t>to</w:t>
      </w:r>
      <w:r w:rsidR="00DF1884" w:rsidRPr="00DF1884">
        <w:t xml:space="preserve"> </w:t>
      </w:r>
      <w:r w:rsidRPr="00DF1884">
        <w:t>limit</w:t>
      </w:r>
      <w:r w:rsidR="00DF1884" w:rsidRPr="00DF1884">
        <w:t xml:space="preserve"> </w:t>
      </w:r>
      <w:r w:rsidRPr="00DF1884">
        <w:t>the</w:t>
      </w:r>
      <w:r w:rsidR="00DF1884" w:rsidRPr="00DF1884">
        <w:t xml:space="preserve"> </w:t>
      </w:r>
      <w:r w:rsidRPr="00DF1884">
        <w:t>scope</w:t>
      </w:r>
      <w:r w:rsidR="00DF1884" w:rsidRPr="00DF1884">
        <w:t xml:space="preserve"> </w:t>
      </w:r>
      <w:r w:rsidRPr="00DF1884">
        <w:t>of</w:t>
      </w:r>
      <w:r w:rsidR="00DF1884" w:rsidRPr="00DF1884">
        <w:t xml:space="preserve"> </w:t>
      </w:r>
      <w:r w:rsidRPr="00DF1884">
        <w:t>conditions</w:t>
      </w:r>
      <w:r w:rsidR="00DF1884" w:rsidRPr="00DF1884">
        <w:t xml:space="preserve"> </w:t>
      </w:r>
      <w:r w:rsidRPr="00DF1884">
        <w:t>to</w:t>
      </w:r>
      <w:r w:rsidR="00DF1884" w:rsidRPr="00DF1884">
        <w:t xml:space="preserve"> </w:t>
      </w:r>
      <w:r w:rsidRPr="00DF1884">
        <w:t>the</w:t>
      </w:r>
      <w:r w:rsidR="00DF1884" w:rsidRPr="00DF1884">
        <w:t xml:space="preserve"> </w:t>
      </w:r>
      <w:r w:rsidRPr="00DF1884">
        <w:t>most</w:t>
      </w:r>
      <w:r w:rsidR="00DF1884" w:rsidRPr="00DF1884">
        <w:t xml:space="preserve"> </w:t>
      </w:r>
      <w:r w:rsidRPr="00DF1884">
        <w:t>frequently</w:t>
      </w:r>
      <w:r w:rsidR="00DF1884" w:rsidRPr="00DF1884">
        <w:t xml:space="preserve"> </w:t>
      </w:r>
      <w:r w:rsidRPr="00DF1884">
        <w:t>occurring</w:t>
      </w:r>
      <w:r w:rsidR="00DF1884" w:rsidRPr="00DF1884">
        <w:t xml:space="preserve"> </w:t>
      </w:r>
      <w:r w:rsidRPr="00DF1884">
        <w:t>in</w:t>
      </w:r>
      <w:r w:rsidR="00DF1884" w:rsidRPr="00DF1884">
        <w:t xml:space="preserve"> </w:t>
      </w:r>
      <w:r w:rsidRPr="00DF1884">
        <w:t>the</w:t>
      </w:r>
      <w:r w:rsidR="00DF1884" w:rsidRPr="00DF1884">
        <w:t xml:space="preserve"> </w:t>
      </w:r>
      <w:r w:rsidRPr="00DF1884">
        <w:t>Medicare</w:t>
      </w:r>
      <w:r w:rsidR="00DF1884" w:rsidRPr="00DF1884">
        <w:t xml:space="preserve"> </w:t>
      </w:r>
      <w:r w:rsidRPr="00DF1884">
        <w:t>population,</w:t>
      </w:r>
      <w:r w:rsidR="00DF1884" w:rsidRPr="00DF1884">
        <w:t xml:space="preserve"> </w:t>
      </w:r>
      <w:r w:rsidRPr="00DF1884">
        <w:t>e.g.,</w:t>
      </w:r>
      <w:r w:rsidR="00DF1884" w:rsidRPr="00DF1884">
        <w:t xml:space="preserve"> </w:t>
      </w:r>
      <w:r w:rsidRPr="00DF1884">
        <w:t>congestive</w:t>
      </w:r>
      <w:r w:rsidR="00DF1884" w:rsidRPr="00DF1884">
        <w:t xml:space="preserve"> </w:t>
      </w:r>
      <w:r w:rsidRPr="00DF1884">
        <w:t>heart</w:t>
      </w:r>
      <w:r w:rsidR="00DF1884" w:rsidRPr="00DF1884">
        <w:t xml:space="preserve"> </w:t>
      </w:r>
      <w:r w:rsidRPr="00DF1884">
        <w:t>failure,</w:t>
      </w:r>
      <w:r w:rsidR="00DF1884" w:rsidRPr="00DF1884">
        <w:t xml:space="preserve"> </w:t>
      </w:r>
      <w:r w:rsidRPr="00DF1884">
        <w:t>pneumonia,</w:t>
      </w:r>
      <w:r w:rsidR="00DF1884" w:rsidRPr="00DF1884">
        <w:t xml:space="preserve"> </w:t>
      </w:r>
      <w:r w:rsidRPr="00DF1884">
        <w:t>and</w:t>
      </w:r>
      <w:r w:rsidR="00DF1884" w:rsidRPr="00DF1884">
        <w:t xml:space="preserve"> </w:t>
      </w:r>
      <w:r w:rsidRPr="00DF1884">
        <w:t>asthma/COPD</w:t>
      </w:r>
      <w:r w:rsidR="00DF1884" w:rsidRPr="00DF1884">
        <w:t xml:space="preserve"> </w:t>
      </w:r>
      <w:r w:rsidRPr="00DF1884">
        <w:t>as</w:t>
      </w:r>
      <w:r w:rsidR="00DF1884" w:rsidRPr="00DF1884">
        <w:t xml:space="preserve"> </w:t>
      </w:r>
      <w:r w:rsidRPr="00DF1884">
        <w:t>many</w:t>
      </w:r>
      <w:r w:rsidR="00DF1884" w:rsidRPr="00DF1884">
        <w:t xml:space="preserve"> </w:t>
      </w:r>
      <w:r w:rsidRPr="00DF1884">
        <w:t>of</w:t>
      </w:r>
      <w:r w:rsidR="00DF1884" w:rsidRPr="00DF1884">
        <w:t xml:space="preserve"> </w:t>
      </w:r>
      <w:r w:rsidRPr="00DF1884">
        <w:t>the</w:t>
      </w:r>
      <w:r w:rsidR="00DF1884" w:rsidRPr="00DF1884">
        <w:t xml:space="preserve"> </w:t>
      </w:r>
      <w:r w:rsidRPr="00DF1884">
        <w:t>other</w:t>
      </w:r>
      <w:r w:rsidR="00DF1884" w:rsidRPr="00DF1884">
        <w:t xml:space="preserve"> </w:t>
      </w:r>
      <w:r w:rsidRPr="00DF1884">
        <w:t>conditions</w:t>
      </w:r>
      <w:r w:rsidR="00DF1884" w:rsidRPr="00DF1884">
        <w:t xml:space="preserve"> </w:t>
      </w:r>
      <w:r w:rsidRPr="00DF1884">
        <w:t>evaluated</w:t>
      </w:r>
      <w:r w:rsidR="00DF1884" w:rsidRPr="00DF1884">
        <w:t xml:space="preserve"> </w:t>
      </w:r>
      <w:r w:rsidRPr="00DF1884">
        <w:t>in</w:t>
      </w:r>
      <w:r w:rsidR="00DF1884" w:rsidRPr="00DF1884">
        <w:t xml:space="preserve"> </w:t>
      </w:r>
      <w:r w:rsidRPr="00DF1884">
        <w:t>this</w:t>
      </w:r>
      <w:r w:rsidR="00DF1884" w:rsidRPr="00DF1884">
        <w:t xml:space="preserve"> </w:t>
      </w:r>
      <w:r w:rsidRPr="00DF1884">
        <w:t>study</w:t>
      </w:r>
      <w:r w:rsidR="00DF1884" w:rsidRPr="00DF1884">
        <w:t xml:space="preserve"> </w:t>
      </w:r>
      <w:r w:rsidRPr="00DF1884">
        <w:t>did</w:t>
      </w:r>
      <w:r w:rsidR="00DF1884" w:rsidRPr="00DF1884">
        <w:t xml:space="preserve"> </w:t>
      </w:r>
      <w:r w:rsidRPr="00DF1884">
        <w:t>not</w:t>
      </w:r>
      <w:r w:rsidR="00DF1884" w:rsidRPr="00DF1884">
        <w:t xml:space="preserve"> </w:t>
      </w:r>
      <w:r w:rsidRPr="00DF1884">
        <w:t>occur</w:t>
      </w:r>
      <w:r w:rsidR="00DF1884" w:rsidRPr="00DF1884">
        <w:t xml:space="preserve"> </w:t>
      </w:r>
      <w:r w:rsidRPr="00DF1884">
        <w:t>with</w:t>
      </w:r>
      <w:r w:rsidR="00DF1884" w:rsidRPr="00DF1884">
        <w:t xml:space="preserve"> </w:t>
      </w:r>
      <w:r w:rsidRPr="00DF1884">
        <w:t>enough</w:t>
      </w:r>
      <w:r w:rsidR="00DF1884" w:rsidRPr="00DF1884">
        <w:t xml:space="preserve"> </w:t>
      </w:r>
      <w:r w:rsidRPr="00DF1884">
        <w:t>frequency</w:t>
      </w:r>
      <w:r w:rsidR="00DF1884" w:rsidRPr="00DF1884">
        <w:t xml:space="preserve"> </w:t>
      </w:r>
      <w:r w:rsidRPr="00DF1884">
        <w:t>to</w:t>
      </w:r>
      <w:r w:rsidR="00DF1884" w:rsidRPr="00DF1884">
        <w:t xml:space="preserve"> </w:t>
      </w:r>
      <w:r w:rsidRPr="00DF1884">
        <w:t>produce</w:t>
      </w:r>
      <w:r w:rsidR="00DF1884" w:rsidRPr="00DF1884">
        <w:t xml:space="preserve"> </w:t>
      </w:r>
      <w:r w:rsidRPr="00DF1884">
        <w:t>statistically</w:t>
      </w:r>
      <w:r w:rsidR="00DF1884" w:rsidRPr="00DF1884">
        <w:t xml:space="preserve"> </w:t>
      </w:r>
      <w:r w:rsidRPr="00DF1884">
        <w:t>reliable</w:t>
      </w:r>
      <w:r w:rsidR="00DF1884" w:rsidRPr="00DF1884">
        <w:t xml:space="preserve"> </w:t>
      </w:r>
      <w:r w:rsidRPr="00DF1884">
        <w:t>estimates</w:t>
      </w:r>
      <w:r w:rsidR="00DF1884" w:rsidRPr="00DF1884">
        <w:t xml:space="preserve"> </w:t>
      </w:r>
      <w:r w:rsidRPr="00DF1884">
        <w:t>at</w:t>
      </w:r>
      <w:r w:rsidR="00DF1884" w:rsidRPr="00DF1884">
        <w:t xml:space="preserve"> </w:t>
      </w:r>
      <w:r w:rsidRPr="00DF1884">
        <w:t>the</w:t>
      </w:r>
      <w:r w:rsidR="00DF1884" w:rsidRPr="00DF1884">
        <w:t xml:space="preserve"> </w:t>
      </w:r>
      <w:r w:rsidRPr="00DF1884">
        <w:t>MA</w:t>
      </w:r>
      <w:r w:rsidR="00DF1884" w:rsidRPr="00DF1884">
        <w:t xml:space="preserve"> </w:t>
      </w:r>
      <w:r w:rsidRPr="00DF1884">
        <w:t>organization</w:t>
      </w:r>
      <w:r w:rsidR="00DF1884" w:rsidRPr="00DF1884">
        <w:t xml:space="preserve"> </w:t>
      </w:r>
      <w:r w:rsidRPr="00DF1884">
        <w:t>level</w:t>
      </w:r>
      <w:r w:rsidR="00DF1884" w:rsidRPr="00DF1884">
        <w:t xml:space="preserve"> </w:t>
      </w:r>
      <w:r w:rsidRPr="00DF1884">
        <w:t>for</w:t>
      </w:r>
      <w:r w:rsidR="00DF1884" w:rsidRPr="00DF1884">
        <w:t xml:space="preserve"> </w:t>
      </w:r>
      <w:r w:rsidRPr="00DF1884">
        <w:t>the</w:t>
      </w:r>
      <w:r w:rsidR="00DF1884" w:rsidRPr="00DF1884">
        <w:t xml:space="preserve"> </w:t>
      </w:r>
      <w:r w:rsidRPr="00DF1884">
        <w:t>majority</w:t>
      </w:r>
      <w:r w:rsidR="00DF1884" w:rsidRPr="00DF1884">
        <w:t xml:space="preserve"> </w:t>
      </w:r>
      <w:r w:rsidRPr="00DF1884">
        <w:t>of</w:t>
      </w:r>
      <w:r w:rsidR="00DF1884" w:rsidRPr="00DF1884">
        <w:t xml:space="preserve"> </w:t>
      </w:r>
      <w:r w:rsidRPr="00DF1884">
        <w:t>MA</w:t>
      </w:r>
      <w:r w:rsidR="00DF1884" w:rsidRPr="00DF1884">
        <w:t xml:space="preserve"> </w:t>
      </w:r>
      <w:r w:rsidRPr="00DF1884">
        <w:t>organizations</w:t>
      </w:r>
      <w:r w:rsidR="00DF1884" w:rsidRPr="00DF1884">
        <w:t xml:space="preserve"> </w:t>
      </w:r>
      <w:r w:rsidRPr="00DF1884">
        <w:t>(McCall</w:t>
      </w:r>
      <w:r w:rsidR="00DF1884" w:rsidRPr="00DF1884">
        <w:t xml:space="preserve"> </w:t>
      </w:r>
      <w:r w:rsidRPr="00DF1884">
        <w:t>2001).</w:t>
      </w:r>
    </w:p>
    <w:p w14:paraId="4F087D38" w14:textId="6D4C1A9D" w:rsidR="002F305E" w:rsidRPr="00DF1884" w:rsidRDefault="00FB7739" w:rsidP="00476845">
      <w:pPr>
        <w:pStyle w:val="Body"/>
      </w:pPr>
      <w:r w:rsidRPr="00DF1884">
        <w:t>In</w:t>
      </w:r>
      <w:r w:rsidR="00DF1884" w:rsidRPr="00DF1884">
        <w:t xml:space="preserve"> </w:t>
      </w:r>
      <w:r w:rsidRPr="00DF1884">
        <w:t>2004,</w:t>
      </w:r>
      <w:r w:rsidR="00DF1884" w:rsidRPr="00DF1884">
        <w:t xml:space="preserve"> </w:t>
      </w:r>
      <w:r w:rsidRPr="00DF1884">
        <w:t>CMS</w:t>
      </w:r>
      <w:r w:rsidR="00DF1884" w:rsidRPr="00DF1884">
        <w:t xml:space="preserve"> </w:t>
      </w:r>
      <w:r w:rsidRPr="00DF1884">
        <w:t>contracted</w:t>
      </w:r>
      <w:r w:rsidR="00DF1884" w:rsidRPr="00DF1884">
        <w:t xml:space="preserve"> </w:t>
      </w:r>
      <w:r w:rsidRPr="00DF1884">
        <w:t>with</w:t>
      </w:r>
      <w:r w:rsidR="00DF1884" w:rsidRPr="00DF1884">
        <w:t xml:space="preserve"> </w:t>
      </w:r>
      <w:r w:rsidRPr="00DF1884">
        <w:t>RTI</w:t>
      </w:r>
      <w:r w:rsidR="00DF1884" w:rsidRPr="00DF1884">
        <w:t xml:space="preserve"> </w:t>
      </w:r>
      <w:r w:rsidRPr="00DF1884">
        <w:t>to</w:t>
      </w:r>
      <w:r w:rsidR="00DF1884" w:rsidRPr="00DF1884">
        <w:t xml:space="preserve"> </w:t>
      </w:r>
      <w:r w:rsidRPr="00DF1884">
        <w:t>explored</w:t>
      </w:r>
      <w:r w:rsidR="00DF1884" w:rsidRPr="00DF1884">
        <w:t xml:space="preserve"> </w:t>
      </w:r>
      <w:r w:rsidRPr="00DF1884">
        <w:t>trends</w:t>
      </w:r>
      <w:r w:rsidR="00DF1884" w:rsidRPr="00DF1884">
        <w:t xml:space="preserve"> </w:t>
      </w:r>
      <w:r w:rsidRPr="00DF1884">
        <w:t>in</w:t>
      </w:r>
      <w:r w:rsidR="00DF1884" w:rsidRPr="00DF1884">
        <w:t xml:space="preserve"> </w:t>
      </w:r>
      <w:r w:rsidRPr="00DF1884">
        <w:t>hospitalization</w:t>
      </w:r>
      <w:r w:rsidR="00DF1884" w:rsidRPr="00DF1884">
        <w:t xml:space="preserve"> </w:t>
      </w:r>
      <w:r w:rsidRPr="00DF1884">
        <w:t>for</w:t>
      </w:r>
      <w:r w:rsidR="00DF1884" w:rsidRPr="00DF1884">
        <w:t xml:space="preserve"> </w:t>
      </w:r>
      <w:r w:rsidRPr="00DF1884">
        <w:t>ACSC</w:t>
      </w:r>
      <w:r w:rsidR="00DF1884" w:rsidRPr="00DF1884">
        <w:t xml:space="preserve"> </w:t>
      </w:r>
      <w:r w:rsidRPr="00DF1884">
        <w:t>among</w:t>
      </w:r>
      <w:r w:rsidR="00DF1884" w:rsidRPr="00DF1884">
        <w:t xml:space="preserve"> </w:t>
      </w:r>
      <w:r w:rsidRPr="00DF1884">
        <w:t>a</w:t>
      </w:r>
      <w:r w:rsidR="00DF1884" w:rsidRPr="00DF1884">
        <w:t xml:space="preserve"> </w:t>
      </w:r>
      <w:r w:rsidRPr="00DF1884">
        <w:t>sample</w:t>
      </w:r>
      <w:r w:rsidR="00DF1884" w:rsidRPr="00DF1884">
        <w:t xml:space="preserve"> </w:t>
      </w:r>
      <w:r w:rsidRPr="00DF1884">
        <w:t>of</w:t>
      </w:r>
      <w:r w:rsidR="00DF1884" w:rsidRPr="00DF1884">
        <w:t xml:space="preserve"> </w:t>
      </w:r>
      <w:r w:rsidRPr="00DF1884">
        <w:t>Medicare</w:t>
      </w:r>
      <w:r w:rsidR="00DF1884" w:rsidRPr="00DF1884">
        <w:t xml:space="preserve"> </w:t>
      </w:r>
      <w:r w:rsidRPr="00DF1884">
        <w:t>FFS</w:t>
      </w:r>
      <w:r w:rsidR="00DF1884" w:rsidRPr="00DF1884">
        <w:t xml:space="preserve"> </w:t>
      </w:r>
      <w:r w:rsidRPr="00DF1884">
        <w:t>beneficiaries.</w:t>
      </w:r>
      <w:r w:rsidR="00DF1884" w:rsidRPr="00DF1884">
        <w:rPr>
          <w:i/>
        </w:rPr>
        <w:t xml:space="preserve"> </w:t>
      </w:r>
      <w:r w:rsidRPr="00DF1884">
        <w:t>Specifically</w:t>
      </w:r>
      <w:r w:rsidR="00DF1884" w:rsidRPr="00DF1884">
        <w:t xml:space="preserve"> </w:t>
      </w:r>
      <w:r w:rsidRPr="00DF1884">
        <w:t>they</w:t>
      </w:r>
      <w:r w:rsidR="00DF1884" w:rsidRPr="00DF1884">
        <w:t xml:space="preserve"> </w:t>
      </w:r>
      <w:r w:rsidRPr="00DF1884">
        <w:t>were</w:t>
      </w:r>
      <w:r w:rsidR="00DF1884" w:rsidRPr="00DF1884">
        <w:t xml:space="preserve"> </w:t>
      </w:r>
      <w:r w:rsidRPr="00DF1884">
        <w:t>interested</w:t>
      </w:r>
      <w:r w:rsidR="00DF1884" w:rsidRPr="00DF1884">
        <w:t xml:space="preserve"> </w:t>
      </w:r>
      <w:r w:rsidRPr="00DF1884">
        <w:t>in</w:t>
      </w:r>
      <w:r w:rsidR="00DF1884" w:rsidRPr="00DF1884">
        <w:t xml:space="preserve"> </w:t>
      </w:r>
      <w:r w:rsidRPr="00DF1884">
        <w:t>a</w:t>
      </w:r>
      <w:r w:rsidR="00DF1884" w:rsidRPr="00DF1884">
        <w:t xml:space="preserve"> </w:t>
      </w:r>
      <w:r w:rsidRPr="00DF1884">
        <w:t>set</w:t>
      </w:r>
      <w:r w:rsidR="00DF1884" w:rsidRPr="00DF1884">
        <w:t xml:space="preserve"> </w:t>
      </w:r>
      <w:r w:rsidRPr="00DF1884">
        <w:t>of</w:t>
      </w:r>
      <w:r w:rsidR="00DF1884" w:rsidRPr="00DF1884">
        <w:t xml:space="preserve"> </w:t>
      </w:r>
      <w:r w:rsidRPr="00DF1884">
        <w:t>ACSC</w:t>
      </w:r>
      <w:r w:rsidR="00DF1884" w:rsidRPr="00DF1884">
        <w:t xml:space="preserve"> </w:t>
      </w:r>
      <w:r w:rsidRPr="00DF1884">
        <w:t>that</w:t>
      </w:r>
      <w:r w:rsidR="00DF1884" w:rsidRPr="00DF1884">
        <w:t xml:space="preserve"> </w:t>
      </w:r>
      <w:r w:rsidRPr="00DF1884">
        <w:t>had</w:t>
      </w:r>
      <w:r w:rsidR="00DF1884" w:rsidRPr="00DF1884">
        <w:t xml:space="preserve"> </w:t>
      </w:r>
      <w:r w:rsidRPr="00DF1884">
        <w:t>previously</w:t>
      </w:r>
      <w:r w:rsidR="00DF1884" w:rsidRPr="00DF1884">
        <w:t xml:space="preserve"> </w:t>
      </w:r>
      <w:r w:rsidRPr="00DF1884">
        <w:t>been</w:t>
      </w:r>
      <w:r w:rsidR="00DF1884" w:rsidRPr="00DF1884">
        <w:t xml:space="preserve"> </w:t>
      </w:r>
      <w:r w:rsidRPr="00DF1884">
        <w:t>shown</w:t>
      </w:r>
      <w:r w:rsidR="00DF1884" w:rsidRPr="00DF1884">
        <w:t xml:space="preserve"> </w:t>
      </w:r>
      <w:r w:rsidRPr="00DF1884">
        <w:t>to</w:t>
      </w:r>
      <w:r w:rsidR="00DF1884" w:rsidRPr="00DF1884">
        <w:t xml:space="preserve"> </w:t>
      </w:r>
      <w:r w:rsidRPr="00DF1884">
        <w:t>be</w:t>
      </w:r>
      <w:r w:rsidR="00DF1884" w:rsidRPr="00DF1884">
        <w:t xml:space="preserve"> </w:t>
      </w:r>
      <w:r w:rsidRPr="00DF1884">
        <w:t>increasing</w:t>
      </w:r>
      <w:r w:rsidR="00DF1884" w:rsidRPr="00DF1884">
        <w:t xml:space="preserve"> </w:t>
      </w:r>
      <w:r w:rsidRPr="00DF1884">
        <w:t>in</w:t>
      </w:r>
      <w:r w:rsidR="00DF1884" w:rsidRPr="00DF1884">
        <w:t xml:space="preserve"> </w:t>
      </w:r>
      <w:r w:rsidRPr="00DF1884">
        <w:t>the</w:t>
      </w:r>
      <w:r w:rsidR="00DF1884" w:rsidRPr="00DF1884">
        <w:t xml:space="preserve"> </w:t>
      </w:r>
      <w:r w:rsidRPr="00DF1884">
        <w:t>Medicare</w:t>
      </w:r>
      <w:r w:rsidR="00DF1884" w:rsidRPr="00DF1884">
        <w:t xml:space="preserve"> </w:t>
      </w:r>
      <w:r w:rsidRPr="00DF1884">
        <w:t>population.</w:t>
      </w:r>
      <w:r w:rsidR="00DF1884" w:rsidRPr="00DF1884">
        <w:t xml:space="preserve"> </w:t>
      </w:r>
      <w:r w:rsidRPr="00DF1884">
        <w:t>Using</w:t>
      </w:r>
      <w:r w:rsidR="00DF1884" w:rsidRPr="00DF1884">
        <w:t xml:space="preserve"> </w:t>
      </w:r>
      <w:r w:rsidRPr="00DF1884">
        <w:t>a</w:t>
      </w:r>
      <w:r w:rsidR="00DF1884" w:rsidRPr="00DF1884">
        <w:t xml:space="preserve"> </w:t>
      </w:r>
      <w:r w:rsidRPr="00DF1884">
        <w:t>comprehensive</w:t>
      </w:r>
      <w:r w:rsidR="00DF1884" w:rsidRPr="00DF1884">
        <w:t xml:space="preserve"> </w:t>
      </w:r>
      <w:r w:rsidRPr="00DF1884">
        <w:t>literature</w:t>
      </w:r>
      <w:r w:rsidR="00DF1884" w:rsidRPr="00DF1884">
        <w:t xml:space="preserve"> </w:t>
      </w:r>
      <w:r w:rsidRPr="00DF1884">
        <w:t>review</w:t>
      </w:r>
      <w:r w:rsidR="00DF1884" w:rsidRPr="00DF1884">
        <w:t xml:space="preserve"> </w:t>
      </w:r>
      <w:r w:rsidRPr="00DF1884">
        <w:t>and</w:t>
      </w:r>
      <w:r w:rsidR="00DF1884" w:rsidRPr="00DF1884">
        <w:t xml:space="preserve"> </w:t>
      </w:r>
      <w:r w:rsidRPr="00DF1884">
        <w:t>expert</w:t>
      </w:r>
      <w:r w:rsidR="00DF1884" w:rsidRPr="00DF1884">
        <w:t xml:space="preserve"> </w:t>
      </w:r>
      <w:r w:rsidRPr="00DF1884">
        <w:t>review</w:t>
      </w:r>
      <w:r w:rsidR="00DF1884" w:rsidRPr="00DF1884">
        <w:t xml:space="preserve"> </w:t>
      </w:r>
      <w:r w:rsidRPr="00DF1884">
        <w:t>process</w:t>
      </w:r>
      <w:r w:rsidR="00DF1884" w:rsidRPr="00DF1884">
        <w:t xml:space="preserve"> </w:t>
      </w:r>
      <w:r w:rsidRPr="00DF1884">
        <w:t>they</w:t>
      </w:r>
      <w:r w:rsidR="00DF1884" w:rsidRPr="00DF1884">
        <w:t xml:space="preserve"> </w:t>
      </w:r>
      <w:r w:rsidRPr="00DF1884">
        <w:t>narrowed</w:t>
      </w:r>
      <w:r w:rsidR="00DF1884" w:rsidRPr="00DF1884">
        <w:t xml:space="preserve"> </w:t>
      </w:r>
      <w:r w:rsidRPr="00DF1884">
        <w:t>a</w:t>
      </w:r>
      <w:r w:rsidR="00DF1884" w:rsidRPr="00DF1884">
        <w:t xml:space="preserve"> </w:t>
      </w:r>
      <w:r w:rsidRPr="00DF1884">
        <w:t>list</w:t>
      </w:r>
      <w:r w:rsidR="00DF1884" w:rsidRPr="00DF1884">
        <w:t xml:space="preserve"> </w:t>
      </w:r>
      <w:r w:rsidRPr="00DF1884">
        <w:t>of</w:t>
      </w:r>
      <w:r w:rsidR="00DF1884" w:rsidRPr="00DF1884">
        <w:t xml:space="preserve"> </w:t>
      </w:r>
      <w:r w:rsidRPr="00DF1884">
        <w:t>48</w:t>
      </w:r>
      <w:r w:rsidR="00DF1884" w:rsidRPr="00DF1884">
        <w:t xml:space="preserve"> </w:t>
      </w:r>
      <w:r w:rsidRPr="00DF1884">
        <w:t>possible</w:t>
      </w:r>
      <w:r w:rsidR="00DF1884" w:rsidRPr="00DF1884">
        <w:t xml:space="preserve"> </w:t>
      </w:r>
      <w:r w:rsidRPr="00DF1884">
        <w:t>acute</w:t>
      </w:r>
      <w:r w:rsidR="00DF1884" w:rsidRPr="00DF1884">
        <w:t xml:space="preserve"> </w:t>
      </w:r>
      <w:r w:rsidRPr="00DF1884">
        <w:t>and</w:t>
      </w:r>
      <w:r w:rsidR="00DF1884" w:rsidRPr="00DF1884">
        <w:t xml:space="preserve"> </w:t>
      </w:r>
      <w:r w:rsidRPr="00DF1884">
        <w:t>chronic</w:t>
      </w:r>
      <w:r w:rsidR="00DF1884" w:rsidRPr="00DF1884">
        <w:t xml:space="preserve"> </w:t>
      </w:r>
      <w:r w:rsidRPr="00DF1884">
        <w:t>ACSC</w:t>
      </w:r>
      <w:r w:rsidR="00DF1884" w:rsidRPr="00DF1884">
        <w:t xml:space="preserve"> </w:t>
      </w:r>
      <w:r w:rsidRPr="00DF1884">
        <w:t>down</w:t>
      </w:r>
      <w:r w:rsidR="00DF1884" w:rsidRPr="00DF1884">
        <w:t xml:space="preserve"> </w:t>
      </w:r>
      <w:r w:rsidRPr="00DF1884">
        <w:t>to</w:t>
      </w:r>
      <w:r w:rsidR="00DF1884" w:rsidRPr="00DF1884">
        <w:t xml:space="preserve"> </w:t>
      </w:r>
      <w:r w:rsidRPr="00DF1884">
        <w:t>eleven</w:t>
      </w:r>
      <w:r w:rsidR="00DF1884" w:rsidRPr="00DF1884">
        <w:t xml:space="preserve"> </w:t>
      </w:r>
      <w:r w:rsidRPr="00DF1884">
        <w:t>conditions</w:t>
      </w:r>
      <w:r w:rsidR="00DF1884" w:rsidRPr="00DF1884">
        <w:t xml:space="preserve"> </w:t>
      </w:r>
      <w:r w:rsidRPr="00DF1884">
        <w:t>selected</w:t>
      </w:r>
      <w:r w:rsidR="00DF1884" w:rsidRPr="00DF1884">
        <w:t xml:space="preserve"> </w:t>
      </w:r>
      <w:r w:rsidRPr="00DF1884">
        <w:t>for</w:t>
      </w:r>
      <w:r w:rsidR="00DF1884" w:rsidRPr="00DF1884">
        <w:t xml:space="preserve"> </w:t>
      </w:r>
      <w:r w:rsidRPr="00DF1884">
        <w:t>inclusion</w:t>
      </w:r>
      <w:r w:rsidR="00DF1884" w:rsidRPr="00DF1884">
        <w:t xml:space="preserve"> </w:t>
      </w:r>
      <w:r w:rsidRPr="00DF1884">
        <w:t>in</w:t>
      </w:r>
      <w:r w:rsidR="00DF1884" w:rsidRPr="00DF1884">
        <w:t xml:space="preserve"> </w:t>
      </w:r>
      <w:r w:rsidRPr="00DF1884">
        <w:t>analysis</w:t>
      </w:r>
      <w:r w:rsidR="00DF1884" w:rsidRPr="00DF1884">
        <w:t xml:space="preserve"> </w:t>
      </w:r>
      <w:r w:rsidR="002F305E" w:rsidRPr="00DF1884">
        <w:t>(</w:t>
      </w:r>
      <w:r w:rsidRPr="00DF1884">
        <w:t>cellulitis,</w:t>
      </w:r>
      <w:r w:rsidR="00DF1884" w:rsidRPr="00DF1884">
        <w:t xml:space="preserve"> </w:t>
      </w:r>
      <w:r w:rsidRPr="00DF1884">
        <w:t>asthma,</w:t>
      </w:r>
      <w:r w:rsidR="00DF1884" w:rsidRPr="00DF1884">
        <w:t xml:space="preserve"> </w:t>
      </w:r>
      <w:r w:rsidRPr="00DF1884">
        <w:t>COPD</w:t>
      </w:r>
      <w:r w:rsidR="002F305E" w:rsidRPr="00DF1884">
        <w:t>,</w:t>
      </w:r>
      <w:r w:rsidR="00DF1884" w:rsidRPr="00DF1884">
        <w:t xml:space="preserve"> </w:t>
      </w:r>
      <w:r w:rsidRPr="00DF1884">
        <w:t>CHF,</w:t>
      </w:r>
      <w:r w:rsidR="00DF1884" w:rsidRPr="00DF1884">
        <w:t xml:space="preserve"> </w:t>
      </w:r>
      <w:r w:rsidRPr="00DF1884">
        <w:t>dehydration,</w:t>
      </w:r>
      <w:r w:rsidR="00DF1884" w:rsidRPr="00DF1884">
        <w:t xml:space="preserve"> </w:t>
      </w:r>
      <w:r w:rsidRPr="00DF1884">
        <w:t>pneumonia,</w:t>
      </w:r>
      <w:r w:rsidR="00DF1884" w:rsidRPr="00DF1884">
        <w:t xml:space="preserve"> </w:t>
      </w:r>
      <w:r w:rsidRPr="00DF1884">
        <w:t>septicemia,</w:t>
      </w:r>
      <w:r w:rsidR="00DF1884" w:rsidRPr="00DF1884">
        <w:t xml:space="preserve"> </w:t>
      </w:r>
      <w:r w:rsidRPr="00DF1884">
        <w:t>stroke,</w:t>
      </w:r>
      <w:r w:rsidR="00DF1884" w:rsidRPr="00DF1884">
        <w:t xml:space="preserve"> </w:t>
      </w:r>
      <w:r w:rsidRPr="00DF1884">
        <w:t>UTI,</w:t>
      </w:r>
      <w:r w:rsidR="00DF1884" w:rsidRPr="00DF1884">
        <w:t xml:space="preserve"> </w:t>
      </w:r>
      <w:r w:rsidRPr="00DF1884">
        <w:t>acute</w:t>
      </w:r>
      <w:r w:rsidR="00DF1884" w:rsidRPr="00DF1884">
        <w:t xml:space="preserve"> </w:t>
      </w:r>
      <w:r w:rsidRPr="00DF1884">
        <w:t>diabetic</w:t>
      </w:r>
      <w:r w:rsidR="00DF1884" w:rsidRPr="00DF1884">
        <w:t xml:space="preserve"> </w:t>
      </w:r>
      <w:r w:rsidRPr="00DF1884">
        <w:t>events</w:t>
      </w:r>
      <w:r w:rsidR="002F305E" w:rsidRPr="00DF1884">
        <w:t>,</w:t>
      </w:r>
      <w:r w:rsidR="00DF1884" w:rsidRPr="00DF1884">
        <w:t xml:space="preserve"> </w:t>
      </w:r>
      <w:r w:rsidRPr="00DF1884">
        <w:t>lower</w:t>
      </w:r>
      <w:r w:rsidR="00DF1884" w:rsidRPr="00DF1884">
        <w:t xml:space="preserve"> </w:t>
      </w:r>
      <w:r w:rsidRPr="00DF1884">
        <w:t>limb</w:t>
      </w:r>
      <w:r w:rsidR="00DF1884" w:rsidRPr="00DF1884">
        <w:t xml:space="preserve"> </w:t>
      </w:r>
      <w:r w:rsidRPr="00DF1884">
        <w:t>PVD).</w:t>
      </w:r>
      <w:r w:rsidR="00DF1884" w:rsidRPr="00DF1884">
        <w:rPr>
          <w:i/>
        </w:rPr>
        <w:t xml:space="preserve"> </w:t>
      </w:r>
      <w:r w:rsidRPr="00DF1884">
        <w:t>During</w:t>
      </w:r>
      <w:r w:rsidR="00DF1884" w:rsidRPr="00DF1884">
        <w:t xml:space="preserve"> </w:t>
      </w:r>
      <w:r w:rsidRPr="00DF1884">
        <w:t>the</w:t>
      </w:r>
      <w:r w:rsidR="00DF1884" w:rsidRPr="00DF1884">
        <w:t xml:space="preserve"> </w:t>
      </w:r>
      <w:r w:rsidRPr="00DF1884">
        <w:t>study</w:t>
      </w:r>
      <w:r w:rsidR="00DF1884" w:rsidRPr="00DF1884">
        <w:t xml:space="preserve"> </w:t>
      </w:r>
      <w:r w:rsidRPr="00DF1884">
        <w:t>period</w:t>
      </w:r>
      <w:r w:rsidR="00DF1884" w:rsidRPr="00DF1884">
        <w:t xml:space="preserve"> </w:t>
      </w:r>
      <w:r w:rsidRPr="00DF1884">
        <w:t>(1998</w:t>
      </w:r>
      <w:r w:rsidR="002F305E" w:rsidRPr="00DF1884">
        <w:t>–</w:t>
      </w:r>
      <w:r w:rsidRPr="00DF1884">
        <w:t>2001),</w:t>
      </w:r>
      <w:r w:rsidR="00DF1884" w:rsidRPr="00DF1884">
        <w:t xml:space="preserve"> </w:t>
      </w:r>
      <w:r w:rsidRPr="00DF1884">
        <w:t>all</w:t>
      </w:r>
      <w:r w:rsidR="002F305E" w:rsidRPr="00DF1884">
        <w:t>-</w:t>
      </w:r>
      <w:r w:rsidRPr="00DF1884">
        <w:t>cause</w:t>
      </w:r>
      <w:r w:rsidR="00DF1884" w:rsidRPr="00DF1884">
        <w:t xml:space="preserve"> </w:t>
      </w:r>
      <w:r w:rsidRPr="00DF1884">
        <w:t>hospitalization</w:t>
      </w:r>
      <w:r w:rsidR="00DF1884" w:rsidRPr="00DF1884">
        <w:t xml:space="preserve"> </w:t>
      </w:r>
      <w:r w:rsidRPr="00DF1884">
        <w:t>rates</w:t>
      </w:r>
      <w:r w:rsidR="00DF1884" w:rsidRPr="00DF1884">
        <w:t xml:space="preserve"> </w:t>
      </w:r>
      <w:r w:rsidRPr="00DF1884">
        <w:t>increased</w:t>
      </w:r>
      <w:r w:rsidR="00DF1884" w:rsidRPr="00DF1884">
        <w:t xml:space="preserve"> </w:t>
      </w:r>
      <w:r w:rsidRPr="00DF1884">
        <w:t>by</w:t>
      </w:r>
      <w:r w:rsidR="00DF1884" w:rsidRPr="00DF1884">
        <w:t xml:space="preserve"> </w:t>
      </w:r>
      <w:r w:rsidRPr="00DF1884">
        <w:t>6</w:t>
      </w:r>
      <w:r w:rsidR="00DF1884" w:rsidRPr="00DF1884">
        <w:t xml:space="preserve"> </w:t>
      </w:r>
      <w:r w:rsidRPr="00DF1884">
        <w:t>percent</w:t>
      </w:r>
      <w:r w:rsidR="00DF1884" w:rsidRPr="00DF1884">
        <w:t xml:space="preserve"> </w:t>
      </w:r>
      <w:r w:rsidRPr="00DF1884">
        <w:t>in</w:t>
      </w:r>
      <w:r w:rsidR="00DF1884" w:rsidRPr="00DF1884">
        <w:t xml:space="preserve"> </w:t>
      </w:r>
      <w:r w:rsidRPr="00DF1884">
        <w:t>the</w:t>
      </w:r>
      <w:r w:rsidR="00DF1884" w:rsidRPr="00DF1884">
        <w:t xml:space="preserve"> </w:t>
      </w:r>
      <w:r w:rsidRPr="00DF1884">
        <w:t>Medicare</w:t>
      </w:r>
      <w:r w:rsidR="00DF1884" w:rsidRPr="00DF1884">
        <w:t xml:space="preserve"> </w:t>
      </w:r>
      <w:r w:rsidRPr="00DF1884">
        <w:t>FFS</w:t>
      </w:r>
      <w:r w:rsidR="00DF1884" w:rsidRPr="00DF1884">
        <w:t xml:space="preserve"> </w:t>
      </w:r>
      <w:r w:rsidRPr="00DF1884">
        <w:t>population.</w:t>
      </w:r>
      <w:r w:rsidR="00DF1884" w:rsidRPr="00DF1884">
        <w:t xml:space="preserve"> </w:t>
      </w:r>
    </w:p>
    <w:p w14:paraId="3A7792F8" w14:textId="337B74CB" w:rsidR="00FB7739" w:rsidRPr="00DF1884" w:rsidRDefault="00FB7739" w:rsidP="00476845">
      <w:pPr>
        <w:pStyle w:val="Body"/>
      </w:pPr>
      <w:r w:rsidRPr="00DF1884">
        <w:t>Multivariate</w:t>
      </w:r>
      <w:r w:rsidR="00DF1884" w:rsidRPr="00DF1884">
        <w:t xml:space="preserve"> </w:t>
      </w:r>
      <w:r w:rsidRPr="00DF1884">
        <w:t>modeling</w:t>
      </w:r>
      <w:r w:rsidR="00DF1884" w:rsidRPr="00DF1884">
        <w:t xml:space="preserve"> </w:t>
      </w:r>
      <w:r w:rsidRPr="00DF1884">
        <w:t>of</w:t>
      </w:r>
      <w:r w:rsidR="00DF1884" w:rsidRPr="00DF1884">
        <w:t xml:space="preserve"> </w:t>
      </w:r>
      <w:r w:rsidRPr="00DF1884">
        <w:t>the</w:t>
      </w:r>
      <w:r w:rsidR="00DF1884" w:rsidRPr="00DF1884">
        <w:t xml:space="preserve"> </w:t>
      </w:r>
      <w:r w:rsidRPr="00DF1884">
        <w:t>trend</w:t>
      </w:r>
      <w:r w:rsidR="00DF1884" w:rsidRPr="00DF1884">
        <w:t xml:space="preserve"> </w:t>
      </w:r>
      <w:r w:rsidRPr="00DF1884">
        <w:t>in</w:t>
      </w:r>
      <w:r w:rsidR="00DF1884" w:rsidRPr="00DF1884">
        <w:t xml:space="preserve"> </w:t>
      </w:r>
      <w:r w:rsidRPr="00DF1884">
        <w:t>ACSC</w:t>
      </w:r>
      <w:r w:rsidR="00DF1884" w:rsidRPr="00DF1884">
        <w:t xml:space="preserve"> </w:t>
      </w:r>
      <w:r w:rsidRPr="00DF1884">
        <w:t>hospitalizations</w:t>
      </w:r>
      <w:r w:rsidR="00DF1884" w:rsidRPr="00DF1884">
        <w:t xml:space="preserve"> </w:t>
      </w:r>
      <w:r w:rsidRPr="00DF1884">
        <w:t>from</w:t>
      </w:r>
      <w:r w:rsidR="00DF1884" w:rsidRPr="00DF1884">
        <w:t xml:space="preserve"> </w:t>
      </w:r>
      <w:r w:rsidRPr="00DF1884">
        <w:t>1993</w:t>
      </w:r>
      <w:r w:rsidR="002F305E" w:rsidRPr="00DF1884">
        <w:t>–</w:t>
      </w:r>
      <w:r w:rsidRPr="00DF1884">
        <w:t>2000</w:t>
      </w:r>
      <w:r w:rsidR="00DF1884" w:rsidRPr="00DF1884">
        <w:t xml:space="preserve"> </w:t>
      </w:r>
      <w:r w:rsidRPr="00DF1884">
        <w:t>showed</w:t>
      </w:r>
      <w:r w:rsidR="00DF1884" w:rsidRPr="00DF1884">
        <w:t xml:space="preserve"> </w:t>
      </w:r>
      <w:r w:rsidRPr="00DF1884">
        <w:t>that</w:t>
      </w:r>
      <w:r w:rsidR="00DF1884" w:rsidRPr="00DF1884">
        <w:t xml:space="preserve"> </w:t>
      </w:r>
      <w:r w:rsidRPr="00DF1884">
        <w:t>changes</w:t>
      </w:r>
      <w:r w:rsidR="00DF1884" w:rsidRPr="00DF1884">
        <w:t xml:space="preserve"> </w:t>
      </w:r>
      <w:r w:rsidRPr="00DF1884">
        <w:t>in</w:t>
      </w:r>
      <w:r w:rsidR="00DF1884" w:rsidRPr="00DF1884">
        <w:t xml:space="preserve"> </w:t>
      </w:r>
      <w:r w:rsidRPr="00DF1884">
        <w:t>socio</w:t>
      </w:r>
      <w:r w:rsidR="002F305E" w:rsidRPr="00DF1884">
        <w:t>-</w:t>
      </w:r>
      <w:r w:rsidRPr="00DF1884">
        <w:t>demographic</w:t>
      </w:r>
      <w:r w:rsidR="00DF1884" w:rsidRPr="00DF1884">
        <w:t xml:space="preserve"> </w:t>
      </w:r>
      <w:r w:rsidRPr="00DF1884">
        <w:t>characteristics</w:t>
      </w:r>
      <w:r w:rsidR="00DF1884" w:rsidRPr="00DF1884">
        <w:t xml:space="preserve"> </w:t>
      </w:r>
      <w:r w:rsidRPr="00DF1884">
        <w:t>and</w:t>
      </w:r>
      <w:r w:rsidR="00DF1884" w:rsidRPr="00DF1884">
        <w:t xml:space="preserve"> </w:t>
      </w:r>
      <w:r w:rsidRPr="00DF1884">
        <w:t>health</w:t>
      </w:r>
      <w:r w:rsidR="00DF1884" w:rsidRPr="00DF1884">
        <w:t xml:space="preserve"> </w:t>
      </w:r>
      <w:r w:rsidRPr="00DF1884">
        <w:t>status</w:t>
      </w:r>
      <w:r w:rsidR="00DF1884" w:rsidRPr="00DF1884">
        <w:t xml:space="preserve"> </w:t>
      </w:r>
      <w:r w:rsidRPr="00DF1884">
        <w:t>among</w:t>
      </w:r>
      <w:r w:rsidR="00DF1884" w:rsidRPr="00DF1884">
        <w:t xml:space="preserve"> </w:t>
      </w:r>
      <w:r w:rsidRPr="00DF1884">
        <w:t>elderly</w:t>
      </w:r>
      <w:r w:rsidR="00DF1884" w:rsidRPr="00DF1884">
        <w:t xml:space="preserve"> </w:t>
      </w:r>
      <w:r w:rsidRPr="00DF1884">
        <w:t>Medicare</w:t>
      </w:r>
      <w:r w:rsidR="00DF1884" w:rsidRPr="00DF1884">
        <w:t xml:space="preserve"> </w:t>
      </w:r>
      <w:r w:rsidRPr="00DF1884">
        <w:t>FFS</w:t>
      </w:r>
      <w:r w:rsidR="00DF1884" w:rsidRPr="00DF1884">
        <w:t xml:space="preserve"> </w:t>
      </w:r>
      <w:r w:rsidRPr="00DF1884">
        <w:t>beneficiaries</w:t>
      </w:r>
      <w:r w:rsidR="00DF1884" w:rsidRPr="00DF1884">
        <w:t xml:space="preserve"> </w:t>
      </w:r>
      <w:r w:rsidRPr="00DF1884">
        <w:t>explained</w:t>
      </w:r>
      <w:r w:rsidR="00DF1884" w:rsidRPr="00DF1884">
        <w:t xml:space="preserve"> </w:t>
      </w:r>
      <w:r w:rsidRPr="00DF1884">
        <w:t>a</w:t>
      </w:r>
      <w:r w:rsidR="00DF1884" w:rsidRPr="00DF1884">
        <w:t xml:space="preserve"> </w:t>
      </w:r>
      <w:r w:rsidRPr="00DF1884">
        <w:t>substantial</w:t>
      </w:r>
      <w:r w:rsidR="00DF1884" w:rsidRPr="00DF1884">
        <w:t xml:space="preserve"> </w:t>
      </w:r>
      <w:r w:rsidRPr="00DF1884">
        <w:t>proportion</w:t>
      </w:r>
      <w:r w:rsidR="00DF1884" w:rsidRPr="00DF1884">
        <w:t xml:space="preserve"> </w:t>
      </w:r>
      <w:r w:rsidRPr="00DF1884">
        <w:t>of</w:t>
      </w:r>
      <w:r w:rsidR="00DF1884" w:rsidRPr="00DF1884">
        <w:t xml:space="preserve"> </w:t>
      </w:r>
      <w:r w:rsidRPr="00DF1884">
        <w:t>the</w:t>
      </w:r>
      <w:r w:rsidR="00DF1884" w:rsidRPr="00DF1884">
        <w:t xml:space="preserve"> </w:t>
      </w:r>
      <w:r w:rsidRPr="00DF1884">
        <w:t>observed</w:t>
      </w:r>
      <w:r w:rsidR="00DF1884" w:rsidRPr="00DF1884">
        <w:t xml:space="preserve"> </w:t>
      </w:r>
      <w:r w:rsidRPr="00DF1884">
        <w:t>positive</w:t>
      </w:r>
      <w:r w:rsidR="00DF1884" w:rsidRPr="00DF1884">
        <w:t xml:space="preserve"> </w:t>
      </w:r>
      <w:r w:rsidRPr="00DF1884">
        <w:t>trend</w:t>
      </w:r>
      <w:r w:rsidR="00DF1884" w:rsidRPr="00DF1884">
        <w:t xml:space="preserve"> </w:t>
      </w:r>
      <w:r w:rsidRPr="00DF1884">
        <w:t>in</w:t>
      </w:r>
      <w:r w:rsidR="00DF1884" w:rsidRPr="00DF1884">
        <w:t xml:space="preserve"> </w:t>
      </w:r>
      <w:r w:rsidRPr="00DF1884">
        <w:t>ACSC</w:t>
      </w:r>
      <w:r w:rsidR="00DF1884" w:rsidRPr="00DF1884">
        <w:t xml:space="preserve"> </w:t>
      </w:r>
      <w:r w:rsidRPr="00DF1884">
        <w:t>hospitalization</w:t>
      </w:r>
      <w:r w:rsidR="00DF1884" w:rsidRPr="00DF1884">
        <w:t xml:space="preserve"> </w:t>
      </w:r>
      <w:r w:rsidRPr="00DF1884">
        <w:t>rates</w:t>
      </w:r>
      <w:r w:rsidR="00DF1884" w:rsidRPr="00DF1884">
        <w:t xml:space="preserve"> </w:t>
      </w:r>
      <w:r w:rsidRPr="00DF1884">
        <w:t>for</w:t>
      </w:r>
      <w:r w:rsidR="00DF1884" w:rsidRPr="00DF1884">
        <w:t xml:space="preserve"> </w:t>
      </w:r>
      <w:r w:rsidRPr="00DF1884">
        <w:t>CHF,</w:t>
      </w:r>
      <w:r w:rsidR="00DF1884" w:rsidRPr="00DF1884">
        <w:t xml:space="preserve"> </w:t>
      </w:r>
      <w:r w:rsidRPr="00DF1884">
        <w:t>COPD</w:t>
      </w:r>
      <w:r w:rsidR="00DF1884" w:rsidRPr="00DF1884">
        <w:t xml:space="preserve"> </w:t>
      </w:r>
      <w:r w:rsidRPr="00DF1884">
        <w:t>and</w:t>
      </w:r>
      <w:r w:rsidR="00DF1884" w:rsidRPr="00DF1884">
        <w:t xml:space="preserve"> </w:t>
      </w:r>
      <w:r w:rsidRPr="00DF1884">
        <w:t>PVD</w:t>
      </w:r>
      <w:r w:rsidR="00DF1884" w:rsidRPr="00DF1884">
        <w:t xml:space="preserve"> </w:t>
      </w:r>
      <w:r w:rsidRPr="00DF1884">
        <w:t>among</w:t>
      </w:r>
      <w:r w:rsidR="00DF1884" w:rsidRPr="00DF1884">
        <w:t xml:space="preserve"> </w:t>
      </w:r>
      <w:r w:rsidRPr="00DF1884">
        <w:t>Medicare</w:t>
      </w:r>
      <w:r w:rsidR="00DF1884" w:rsidRPr="00DF1884">
        <w:t xml:space="preserve"> </w:t>
      </w:r>
      <w:r w:rsidRPr="00DF1884">
        <w:t>beneficiaries.</w:t>
      </w:r>
      <w:r w:rsidR="00DF1884" w:rsidRPr="00DF1884">
        <w:t xml:space="preserve"> </w:t>
      </w:r>
      <w:r w:rsidR="002F305E" w:rsidRPr="00DF1884">
        <w:t>Although</w:t>
      </w:r>
      <w:r w:rsidR="00DF1884" w:rsidRPr="00DF1884">
        <w:t xml:space="preserve"> </w:t>
      </w:r>
      <w:r w:rsidRPr="00DF1884">
        <w:t>having</w:t>
      </w:r>
      <w:r w:rsidR="00DF1884" w:rsidRPr="00DF1884">
        <w:t xml:space="preserve"> </w:t>
      </w:r>
      <w:r w:rsidRPr="00DF1884">
        <w:t>a</w:t>
      </w:r>
      <w:r w:rsidR="00DF1884" w:rsidRPr="00DF1884">
        <w:t xml:space="preserve"> </w:t>
      </w:r>
      <w:r w:rsidRPr="00DF1884">
        <w:t>usual</w:t>
      </w:r>
      <w:r w:rsidR="00DF1884" w:rsidRPr="00DF1884">
        <w:t xml:space="preserve"> </w:t>
      </w:r>
      <w:r w:rsidRPr="00DF1884">
        <w:t>source</w:t>
      </w:r>
      <w:r w:rsidR="00DF1884" w:rsidRPr="00DF1884">
        <w:t xml:space="preserve"> </w:t>
      </w:r>
      <w:r w:rsidRPr="00DF1884">
        <w:t>of</w:t>
      </w:r>
      <w:r w:rsidR="00DF1884" w:rsidRPr="00DF1884">
        <w:t xml:space="preserve"> </w:t>
      </w:r>
      <w:r w:rsidRPr="00DF1884">
        <w:t>care</w:t>
      </w:r>
      <w:r w:rsidR="00DF1884" w:rsidRPr="00DF1884">
        <w:t xml:space="preserve"> </w:t>
      </w:r>
      <w:r w:rsidRPr="00DF1884">
        <w:t>or</w:t>
      </w:r>
      <w:r w:rsidR="00DF1884" w:rsidRPr="00DF1884">
        <w:t xml:space="preserve"> </w:t>
      </w:r>
      <w:r w:rsidRPr="00DF1884">
        <w:t>having</w:t>
      </w:r>
      <w:r w:rsidR="00DF1884" w:rsidRPr="00DF1884">
        <w:t xml:space="preserve"> </w:t>
      </w:r>
      <w:r w:rsidRPr="00DF1884">
        <w:t>supplemental</w:t>
      </w:r>
      <w:r w:rsidR="00DF1884" w:rsidRPr="00DF1884">
        <w:t xml:space="preserve"> </w:t>
      </w:r>
      <w:r w:rsidRPr="00DF1884">
        <w:t>health</w:t>
      </w:r>
      <w:r w:rsidR="00DF1884" w:rsidRPr="00DF1884">
        <w:t xml:space="preserve"> </w:t>
      </w:r>
      <w:r w:rsidRPr="00DF1884">
        <w:t>insurance,</w:t>
      </w:r>
      <w:r w:rsidR="00DF1884" w:rsidRPr="00DF1884">
        <w:t xml:space="preserve"> </w:t>
      </w:r>
      <w:r w:rsidRPr="00DF1884">
        <w:t>including</w:t>
      </w:r>
      <w:r w:rsidR="00DF1884" w:rsidRPr="00DF1884">
        <w:t xml:space="preserve"> </w:t>
      </w:r>
      <w:r w:rsidRPr="00DF1884">
        <w:t>prescription</w:t>
      </w:r>
      <w:r w:rsidR="00DF1884" w:rsidRPr="00DF1884">
        <w:t xml:space="preserve"> </w:t>
      </w:r>
      <w:r w:rsidRPr="00DF1884">
        <w:t>drug</w:t>
      </w:r>
      <w:r w:rsidR="00DF1884" w:rsidRPr="00DF1884">
        <w:t xml:space="preserve"> </w:t>
      </w:r>
      <w:r w:rsidRPr="00DF1884">
        <w:t>coverage,</w:t>
      </w:r>
      <w:r w:rsidR="00DF1884" w:rsidRPr="00DF1884">
        <w:t xml:space="preserve"> </w:t>
      </w:r>
      <w:r w:rsidRPr="00DF1884">
        <w:t>did</w:t>
      </w:r>
      <w:r w:rsidR="00DF1884" w:rsidRPr="00DF1884">
        <w:t xml:space="preserve"> </w:t>
      </w:r>
      <w:r w:rsidRPr="00DF1884">
        <w:t>not</w:t>
      </w:r>
      <w:r w:rsidR="00DF1884" w:rsidRPr="00DF1884">
        <w:t xml:space="preserve"> </w:t>
      </w:r>
      <w:r w:rsidRPr="00DF1884">
        <w:t>appreciably</w:t>
      </w:r>
      <w:r w:rsidR="00DF1884" w:rsidRPr="00DF1884">
        <w:t xml:space="preserve"> </w:t>
      </w:r>
      <w:r w:rsidRPr="00DF1884">
        <w:t>reduce</w:t>
      </w:r>
      <w:r w:rsidR="00DF1884" w:rsidRPr="00DF1884">
        <w:t xml:space="preserve"> </w:t>
      </w:r>
      <w:r w:rsidRPr="00DF1884">
        <w:t>the</w:t>
      </w:r>
      <w:r w:rsidR="00DF1884" w:rsidRPr="00DF1884">
        <w:t xml:space="preserve"> </w:t>
      </w:r>
      <w:r w:rsidRPr="00DF1884">
        <w:t>likelihood</w:t>
      </w:r>
      <w:r w:rsidR="00DF1884" w:rsidRPr="00DF1884">
        <w:t xml:space="preserve"> </w:t>
      </w:r>
      <w:r w:rsidRPr="00DF1884">
        <w:t>of</w:t>
      </w:r>
      <w:r w:rsidR="00DF1884" w:rsidRPr="00DF1884">
        <w:t xml:space="preserve"> </w:t>
      </w:r>
      <w:r w:rsidRPr="00DF1884">
        <w:t>an</w:t>
      </w:r>
      <w:r w:rsidR="00DF1884" w:rsidRPr="00DF1884">
        <w:t xml:space="preserve"> </w:t>
      </w:r>
      <w:r w:rsidR="00AF6992" w:rsidRPr="00DF1884">
        <w:t>ACSC</w:t>
      </w:r>
      <w:r w:rsidR="00DF1884" w:rsidRPr="00DF1884">
        <w:t xml:space="preserve"> </w:t>
      </w:r>
      <w:r w:rsidRPr="00DF1884">
        <w:t>hospitalization</w:t>
      </w:r>
      <w:r w:rsidR="00DF1884" w:rsidRPr="00DF1884">
        <w:t xml:space="preserve"> </w:t>
      </w:r>
      <w:r w:rsidRPr="00DF1884">
        <w:t>in</w:t>
      </w:r>
      <w:r w:rsidR="00DF1884" w:rsidRPr="00DF1884">
        <w:t xml:space="preserve"> </w:t>
      </w:r>
      <w:r w:rsidRPr="00DF1884">
        <w:t>the</w:t>
      </w:r>
      <w:r w:rsidR="00DF1884" w:rsidRPr="00DF1884">
        <w:t xml:space="preserve"> </w:t>
      </w:r>
      <w:r w:rsidRPr="00DF1884">
        <w:t>Medicare</w:t>
      </w:r>
      <w:r w:rsidR="00DF1884" w:rsidRPr="00DF1884">
        <w:t xml:space="preserve"> </w:t>
      </w:r>
      <w:r w:rsidRPr="00DF1884">
        <w:t>population,</w:t>
      </w:r>
      <w:r w:rsidR="00DF1884" w:rsidRPr="00DF1884">
        <w:t xml:space="preserve"> </w:t>
      </w:r>
      <w:r w:rsidRPr="00DF1884">
        <w:t>poverty</w:t>
      </w:r>
      <w:r w:rsidR="00DF1884" w:rsidRPr="00DF1884">
        <w:t xml:space="preserve"> </w:t>
      </w:r>
      <w:r w:rsidRPr="00DF1884">
        <w:t>appeared</w:t>
      </w:r>
      <w:r w:rsidR="00DF1884" w:rsidRPr="00DF1884">
        <w:t xml:space="preserve"> </w:t>
      </w:r>
      <w:r w:rsidRPr="00DF1884">
        <w:t>to</w:t>
      </w:r>
      <w:r w:rsidR="00DF1884" w:rsidRPr="00DF1884">
        <w:t xml:space="preserve"> </w:t>
      </w:r>
      <w:r w:rsidRPr="00DF1884">
        <w:t>have</w:t>
      </w:r>
      <w:r w:rsidR="00DF1884" w:rsidRPr="00DF1884">
        <w:t xml:space="preserve"> </w:t>
      </w:r>
      <w:r w:rsidRPr="00DF1884">
        <w:t>the</w:t>
      </w:r>
      <w:r w:rsidR="00DF1884" w:rsidRPr="00DF1884">
        <w:t xml:space="preserve"> </w:t>
      </w:r>
      <w:r w:rsidRPr="00DF1884">
        <w:t>strongest</w:t>
      </w:r>
      <w:r w:rsidR="00DF1884" w:rsidRPr="00DF1884">
        <w:t xml:space="preserve"> </w:t>
      </w:r>
      <w:r w:rsidRPr="00DF1884">
        <w:t>relationship</w:t>
      </w:r>
      <w:r w:rsidR="00DF1884" w:rsidRPr="00DF1884">
        <w:t xml:space="preserve"> </w:t>
      </w:r>
      <w:r w:rsidR="00AF6992" w:rsidRPr="00DF1884">
        <w:t>to</w:t>
      </w:r>
      <w:r w:rsidR="00DF1884" w:rsidRPr="00DF1884">
        <w:t xml:space="preserve"> </w:t>
      </w:r>
      <w:r w:rsidR="00AF6992" w:rsidRPr="00DF1884">
        <w:t>the</w:t>
      </w:r>
      <w:r w:rsidR="00DF1884" w:rsidRPr="00DF1884">
        <w:t xml:space="preserve"> </w:t>
      </w:r>
      <w:r w:rsidRPr="00DF1884">
        <w:t>rate</w:t>
      </w:r>
      <w:r w:rsidR="00DF1884" w:rsidRPr="00DF1884">
        <w:t xml:space="preserve"> </w:t>
      </w:r>
      <w:r w:rsidRPr="00DF1884">
        <w:t>of</w:t>
      </w:r>
      <w:r w:rsidR="00DF1884" w:rsidRPr="00DF1884">
        <w:t xml:space="preserve"> </w:t>
      </w:r>
      <w:r w:rsidRPr="00DF1884">
        <w:t>ACSC</w:t>
      </w:r>
      <w:r w:rsidR="00DF1884" w:rsidRPr="00DF1884">
        <w:t xml:space="preserve"> </w:t>
      </w:r>
      <w:r w:rsidRPr="00DF1884">
        <w:t>hospitalization</w:t>
      </w:r>
      <w:r w:rsidR="00DF1884" w:rsidRPr="00DF1884">
        <w:t xml:space="preserve"> </w:t>
      </w:r>
      <w:r w:rsidRPr="00DF1884">
        <w:t>(McCall</w:t>
      </w:r>
      <w:r w:rsidR="00DF1884" w:rsidRPr="00DF1884">
        <w:t xml:space="preserve"> </w:t>
      </w:r>
      <w:r w:rsidRPr="00DF1884">
        <w:t>2004).</w:t>
      </w:r>
      <w:r w:rsidR="00DF1884" w:rsidRPr="00DF1884">
        <w:t xml:space="preserve"> </w:t>
      </w:r>
    </w:p>
    <w:p w14:paraId="2BA3F657" w14:textId="471D03D7" w:rsidR="00AF6992" w:rsidRPr="00DF1884" w:rsidRDefault="00FB7739" w:rsidP="002F305E">
      <w:pPr>
        <w:pStyle w:val="Body"/>
      </w:pPr>
      <w:r w:rsidRPr="00DF1884">
        <w:t>The</w:t>
      </w:r>
      <w:r w:rsidR="00DF1884" w:rsidRPr="00DF1884">
        <w:t xml:space="preserve"> </w:t>
      </w:r>
      <w:r w:rsidRPr="00DF1884">
        <w:t>authors</w:t>
      </w:r>
      <w:r w:rsidR="00DF1884" w:rsidRPr="00DF1884">
        <w:t xml:space="preserve"> </w:t>
      </w:r>
      <w:r w:rsidRPr="00DF1884">
        <w:t>concluded</w:t>
      </w:r>
      <w:r w:rsidR="00DF1884" w:rsidRPr="00DF1884">
        <w:t xml:space="preserve"> </w:t>
      </w:r>
      <w:r w:rsidRPr="00DF1884">
        <w:t>that</w:t>
      </w:r>
      <w:r w:rsidR="00DF1884" w:rsidRPr="00DF1884">
        <w:t xml:space="preserve"> </w:t>
      </w:r>
      <w:r w:rsidR="00AF6992" w:rsidRPr="00DF1884">
        <w:t>because</w:t>
      </w:r>
      <w:r w:rsidR="00DF1884" w:rsidRPr="00DF1884">
        <w:t xml:space="preserve"> </w:t>
      </w:r>
      <w:r w:rsidRPr="00DF1884">
        <w:t>rates</w:t>
      </w:r>
      <w:r w:rsidR="00DF1884" w:rsidRPr="00DF1884">
        <w:t xml:space="preserve"> </w:t>
      </w:r>
      <w:r w:rsidRPr="00DF1884">
        <w:t>of</w:t>
      </w:r>
      <w:r w:rsidR="00DF1884" w:rsidRPr="00DF1884">
        <w:t xml:space="preserve"> </w:t>
      </w:r>
      <w:r w:rsidRPr="00DF1884">
        <w:t>ACSC</w:t>
      </w:r>
      <w:r w:rsidR="00DF1884" w:rsidRPr="00DF1884">
        <w:t xml:space="preserve"> </w:t>
      </w:r>
      <w:r w:rsidRPr="00DF1884">
        <w:t>hospitalization</w:t>
      </w:r>
      <w:r w:rsidR="00DF1884" w:rsidRPr="00DF1884">
        <w:t xml:space="preserve"> </w:t>
      </w:r>
      <w:r w:rsidRPr="00DF1884">
        <w:t>are</w:t>
      </w:r>
      <w:r w:rsidR="00DF1884" w:rsidRPr="00DF1884">
        <w:t xml:space="preserve"> </w:t>
      </w:r>
      <w:r w:rsidRPr="00DF1884">
        <w:t>strongly</w:t>
      </w:r>
      <w:r w:rsidR="00DF1884" w:rsidRPr="00DF1884">
        <w:t xml:space="preserve"> </w:t>
      </w:r>
      <w:r w:rsidRPr="00DF1884">
        <w:t>influenced</w:t>
      </w:r>
      <w:r w:rsidR="00DF1884" w:rsidRPr="00DF1884">
        <w:t xml:space="preserve"> </w:t>
      </w:r>
      <w:r w:rsidRPr="00DF1884">
        <w:t>by</w:t>
      </w:r>
      <w:r w:rsidR="00DF1884" w:rsidRPr="00DF1884">
        <w:t xml:space="preserve"> </w:t>
      </w:r>
      <w:r w:rsidRPr="00DF1884">
        <w:t>the</w:t>
      </w:r>
      <w:r w:rsidR="00DF1884" w:rsidRPr="00DF1884">
        <w:t xml:space="preserve"> </w:t>
      </w:r>
      <w:r w:rsidRPr="00DF1884">
        <w:t>health</w:t>
      </w:r>
      <w:r w:rsidR="00DF1884" w:rsidRPr="00DF1884">
        <w:t xml:space="preserve"> </w:t>
      </w:r>
      <w:r w:rsidRPr="00DF1884">
        <w:t>status</w:t>
      </w:r>
      <w:r w:rsidR="00DF1884" w:rsidRPr="00DF1884">
        <w:t xml:space="preserve"> </w:t>
      </w:r>
      <w:r w:rsidRPr="00DF1884">
        <w:t>of</w:t>
      </w:r>
      <w:r w:rsidR="00DF1884" w:rsidRPr="00DF1884">
        <w:t xml:space="preserve"> </w:t>
      </w:r>
      <w:r w:rsidRPr="00DF1884">
        <w:t>the</w:t>
      </w:r>
      <w:r w:rsidR="00DF1884" w:rsidRPr="00DF1884">
        <w:t xml:space="preserve"> </w:t>
      </w:r>
      <w:r w:rsidRPr="00DF1884">
        <w:t>Medicare</w:t>
      </w:r>
      <w:r w:rsidR="00DF1884" w:rsidRPr="00DF1884">
        <w:t xml:space="preserve"> </w:t>
      </w:r>
      <w:r w:rsidRPr="00DF1884">
        <w:t>population,</w:t>
      </w:r>
      <w:r w:rsidR="00DF1884" w:rsidRPr="00DF1884">
        <w:t xml:space="preserve"> </w:t>
      </w:r>
      <w:r w:rsidRPr="00DF1884">
        <w:t>interventions</w:t>
      </w:r>
      <w:r w:rsidR="00DF1884" w:rsidRPr="00DF1884">
        <w:t xml:space="preserve"> </w:t>
      </w:r>
      <w:r w:rsidRPr="00DF1884">
        <w:t>employed</w:t>
      </w:r>
      <w:r w:rsidR="00DF1884" w:rsidRPr="00DF1884">
        <w:t xml:space="preserve"> </w:t>
      </w:r>
      <w:r w:rsidRPr="00DF1884">
        <w:t>to</w:t>
      </w:r>
      <w:r w:rsidR="00DF1884" w:rsidRPr="00DF1884">
        <w:t xml:space="preserve"> </w:t>
      </w:r>
      <w:r w:rsidRPr="00DF1884">
        <w:t>reduce</w:t>
      </w:r>
      <w:r w:rsidR="00DF1884" w:rsidRPr="00DF1884">
        <w:t xml:space="preserve"> </w:t>
      </w:r>
      <w:r w:rsidRPr="00DF1884">
        <w:t>hospitalization</w:t>
      </w:r>
      <w:r w:rsidR="00DF1884" w:rsidRPr="00DF1884">
        <w:t xml:space="preserve"> </w:t>
      </w:r>
      <w:r w:rsidRPr="00DF1884">
        <w:t>for</w:t>
      </w:r>
      <w:r w:rsidR="00DF1884" w:rsidRPr="00DF1884">
        <w:t xml:space="preserve"> </w:t>
      </w:r>
      <w:r w:rsidRPr="00DF1884">
        <w:t>ACSCs</w:t>
      </w:r>
      <w:r w:rsidR="00DF1884" w:rsidRPr="00DF1884">
        <w:t xml:space="preserve"> </w:t>
      </w:r>
      <w:r w:rsidRPr="00DF1884">
        <w:t>may</w:t>
      </w:r>
      <w:r w:rsidR="00DF1884" w:rsidRPr="00DF1884">
        <w:t xml:space="preserve"> </w:t>
      </w:r>
      <w:r w:rsidRPr="00DF1884">
        <w:t>have</w:t>
      </w:r>
      <w:r w:rsidR="00DF1884" w:rsidRPr="00DF1884">
        <w:t xml:space="preserve"> </w:t>
      </w:r>
      <w:r w:rsidRPr="00DF1884">
        <w:t>to</w:t>
      </w:r>
      <w:r w:rsidR="00DF1884" w:rsidRPr="00DF1884">
        <w:t xml:space="preserve"> </w:t>
      </w:r>
      <w:r w:rsidRPr="00DF1884">
        <w:t>be</w:t>
      </w:r>
      <w:r w:rsidR="00DF1884" w:rsidRPr="00DF1884">
        <w:t xml:space="preserve"> </w:t>
      </w:r>
      <w:r w:rsidRPr="00DF1884">
        <w:t>tailored</w:t>
      </w:r>
      <w:r w:rsidR="00DF1884" w:rsidRPr="00DF1884">
        <w:t xml:space="preserve"> </w:t>
      </w:r>
      <w:r w:rsidRPr="00DF1884">
        <w:t>to</w:t>
      </w:r>
      <w:r w:rsidR="00DF1884" w:rsidRPr="00DF1884">
        <w:t xml:space="preserve"> </w:t>
      </w:r>
      <w:r w:rsidRPr="00DF1884">
        <w:t>the</w:t>
      </w:r>
      <w:r w:rsidR="00DF1884" w:rsidRPr="00DF1884">
        <w:t xml:space="preserve"> </w:t>
      </w:r>
      <w:r w:rsidRPr="00DF1884">
        <w:t>specific</w:t>
      </w:r>
      <w:r w:rsidR="00DF1884" w:rsidRPr="00DF1884">
        <w:t xml:space="preserve"> </w:t>
      </w:r>
      <w:r w:rsidRPr="00DF1884">
        <w:t>underlying</w:t>
      </w:r>
      <w:r w:rsidR="00DF1884" w:rsidRPr="00DF1884">
        <w:t xml:space="preserve"> </w:t>
      </w:r>
      <w:r w:rsidRPr="00DF1884">
        <w:t>condition</w:t>
      </w:r>
      <w:r w:rsidR="00DF1884" w:rsidRPr="00DF1884">
        <w:t xml:space="preserve"> </w:t>
      </w:r>
      <w:r w:rsidRPr="00DF1884">
        <w:t>to</w:t>
      </w:r>
      <w:r w:rsidR="00DF1884" w:rsidRPr="00DF1884">
        <w:t xml:space="preserve"> </w:t>
      </w:r>
      <w:r w:rsidRPr="00DF1884">
        <w:t>be</w:t>
      </w:r>
      <w:r w:rsidR="00DF1884" w:rsidRPr="00DF1884">
        <w:t xml:space="preserve"> </w:t>
      </w:r>
      <w:r w:rsidRPr="00DF1884">
        <w:t>effective.</w:t>
      </w:r>
      <w:r w:rsidR="00DF1884" w:rsidRPr="00DF1884">
        <w:t xml:space="preserve"> </w:t>
      </w:r>
      <w:r w:rsidRPr="00DF1884">
        <w:t>Prior</w:t>
      </w:r>
      <w:r w:rsidR="00AF6992" w:rsidRPr="00DF1884">
        <w:t>-</w:t>
      </w:r>
      <w:r w:rsidRPr="00DF1884">
        <w:t>year</w:t>
      </w:r>
      <w:r w:rsidR="00DF1884" w:rsidRPr="00DF1884">
        <w:t xml:space="preserve"> </w:t>
      </w:r>
      <w:r w:rsidRPr="00DF1884">
        <w:t>hospitalization</w:t>
      </w:r>
      <w:r w:rsidR="00DF1884" w:rsidRPr="00DF1884">
        <w:t xml:space="preserve"> </w:t>
      </w:r>
      <w:r w:rsidRPr="00DF1884">
        <w:t>for</w:t>
      </w:r>
      <w:r w:rsidR="00DF1884" w:rsidRPr="00DF1884">
        <w:t xml:space="preserve"> </w:t>
      </w:r>
      <w:r w:rsidRPr="00DF1884">
        <w:t>ACSCs</w:t>
      </w:r>
      <w:r w:rsidR="00DF1884" w:rsidRPr="00DF1884">
        <w:t xml:space="preserve"> </w:t>
      </w:r>
      <w:r w:rsidRPr="00DF1884">
        <w:t>appeared</w:t>
      </w:r>
      <w:r w:rsidR="00DF1884" w:rsidRPr="00DF1884">
        <w:t xml:space="preserve"> </w:t>
      </w:r>
      <w:r w:rsidRPr="00DF1884">
        <w:t>to</w:t>
      </w:r>
      <w:r w:rsidR="00DF1884" w:rsidRPr="00DF1884">
        <w:t xml:space="preserve"> </w:t>
      </w:r>
      <w:r w:rsidRPr="00DF1884">
        <w:t>be</w:t>
      </w:r>
      <w:r w:rsidR="00DF1884" w:rsidRPr="00DF1884">
        <w:t xml:space="preserve"> </w:t>
      </w:r>
      <w:r w:rsidRPr="00DF1884">
        <w:t>a</w:t>
      </w:r>
      <w:r w:rsidR="00DF1884" w:rsidRPr="00DF1884">
        <w:t xml:space="preserve"> </w:t>
      </w:r>
      <w:r w:rsidRPr="00DF1884">
        <w:t>strong</w:t>
      </w:r>
      <w:r w:rsidR="00DF1884" w:rsidRPr="00DF1884">
        <w:t xml:space="preserve"> </w:t>
      </w:r>
      <w:r w:rsidRPr="00DF1884">
        <w:t>proxy</w:t>
      </w:r>
      <w:r w:rsidR="00DF1884" w:rsidRPr="00DF1884">
        <w:t xml:space="preserve"> </w:t>
      </w:r>
      <w:r w:rsidRPr="00DF1884">
        <w:t>for</w:t>
      </w:r>
      <w:r w:rsidR="00DF1884" w:rsidRPr="00DF1884">
        <w:t xml:space="preserve"> </w:t>
      </w:r>
      <w:r w:rsidRPr="00DF1884">
        <w:t>severity</w:t>
      </w:r>
      <w:r w:rsidR="00DF1884" w:rsidRPr="00DF1884">
        <w:t xml:space="preserve"> </w:t>
      </w:r>
      <w:r w:rsidRPr="00DF1884">
        <w:t>of</w:t>
      </w:r>
      <w:r w:rsidR="00DF1884" w:rsidRPr="00DF1884">
        <w:t xml:space="preserve"> </w:t>
      </w:r>
      <w:r w:rsidRPr="00DF1884">
        <w:t>disease;</w:t>
      </w:r>
      <w:r w:rsidR="00DF1884" w:rsidRPr="00DF1884">
        <w:t xml:space="preserve"> </w:t>
      </w:r>
      <w:r w:rsidRPr="00DF1884">
        <w:t>therefore</w:t>
      </w:r>
      <w:r w:rsidR="00AF6992" w:rsidRPr="00DF1884">
        <w:t>,</w:t>
      </w:r>
      <w:r w:rsidR="00DF1884" w:rsidRPr="00DF1884">
        <w:t xml:space="preserve"> </w:t>
      </w:r>
      <w:r w:rsidRPr="00DF1884">
        <w:t>the</w:t>
      </w:r>
      <w:r w:rsidR="00DF1884" w:rsidRPr="00DF1884">
        <w:t xml:space="preserve"> </w:t>
      </w:r>
      <w:r w:rsidRPr="00DF1884">
        <w:t>authors</w:t>
      </w:r>
      <w:r w:rsidR="00DF1884" w:rsidRPr="00DF1884">
        <w:t xml:space="preserve"> </w:t>
      </w:r>
      <w:r w:rsidRPr="00DF1884">
        <w:t>suggested</w:t>
      </w:r>
      <w:r w:rsidR="00DF1884" w:rsidRPr="00DF1884">
        <w:t xml:space="preserve"> </w:t>
      </w:r>
      <w:r w:rsidRPr="00DF1884">
        <w:t>that</w:t>
      </w:r>
      <w:r w:rsidR="00DF1884" w:rsidRPr="00DF1884">
        <w:t xml:space="preserve"> </w:t>
      </w:r>
      <w:r w:rsidRPr="00DF1884">
        <w:t>targeting</w:t>
      </w:r>
      <w:r w:rsidR="00DF1884" w:rsidRPr="00DF1884">
        <w:t xml:space="preserve"> </w:t>
      </w:r>
      <w:r w:rsidRPr="00DF1884">
        <w:t>hospitalized</w:t>
      </w:r>
      <w:r w:rsidR="00DF1884" w:rsidRPr="00DF1884">
        <w:t xml:space="preserve"> </w:t>
      </w:r>
      <w:r w:rsidRPr="00DF1884">
        <w:t>Medicare</w:t>
      </w:r>
      <w:r w:rsidR="00DF1884" w:rsidRPr="00DF1884">
        <w:t xml:space="preserve"> </w:t>
      </w:r>
      <w:r w:rsidRPr="00DF1884">
        <w:t>beneficiaries</w:t>
      </w:r>
      <w:r w:rsidR="00AF6992" w:rsidRPr="00DF1884">
        <w:t>,</w:t>
      </w:r>
      <w:r w:rsidR="00DF1884" w:rsidRPr="00DF1884">
        <w:t xml:space="preserve"> </w:t>
      </w:r>
      <w:r w:rsidRPr="00DF1884">
        <w:t>or</w:t>
      </w:r>
      <w:r w:rsidR="00DF1884" w:rsidRPr="00DF1884">
        <w:t xml:space="preserve"> </w:t>
      </w:r>
      <w:r w:rsidRPr="00DF1884">
        <w:t>those</w:t>
      </w:r>
      <w:r w:rsidR="00DF1884" w:rsidRPr="00DF1884">
        <w:t xml:space="preserve"> </w:t>
      </w:r>
      <w:r w:rsidR="00AF6992" w:rsidRPr="00DF1884">
        <w:t>who</w:t>
      </w:r>
      <w:r w:rsidR="00DF1884" w:rsidRPr="00DF1884">
        <w:t xml:space="preserve"> </w:t>
      </w:r>
      <w:r w:rsidRPr="00DF1884">
        <w:t>have</w:t>
      </w:r>
      <w:r w:rsidR="00DF1884" w:rsidRPr="00DF1884">
        <w:t xml:space="preserve"> </w:t>
      </w:r>
      <w:r w:rsidRPr="00DF1884">
        <w:t>been</w:t>
      </w:r>
      <w:r w:rsidR="00DF1884" w:rsidRPr="00DF1884">
        <w:t xml:space="preserve"> </w:t>
      </w:r>
      <w:r w:rsidRPr="00DF1884">
        <w:t>hospitalized</w:t>
      </w:r>
      <w:r w:rsidR="00DF1884" w:rsidRPr="00DF1884">
        <w:t xml:space="preserve"> </w:t>
      </w:r>
      <w:r w:rsidRPr="00DF1884">
        <w:t>in</w:t>
      </w:r>
      <w:r w:rsidR="00DF1884" w:rsidRPr="00DF1884">
        <w:t xml:space="preserve"> </w:t>
      </w:r>
      <w:r w:rsidRPr="00DF1884">
        <w:t>the</w:t>
      </w:r>
      <w:r w:rsidR="00DF1884" w:rsidRPr="00DF1884">
        <w:t xml:space="preserve"> </w:t>
      </w:r>
      <w:r w:rsidRPr="00DF1884">
        <w:t>prior</w:t>
      </w:r>
      <w:r w:rsidR="00DF1884" w:rsidRPr="00DF1884">
        <w:t xml:space="preserve"> </w:t>
      </w:r>
      <w:r w:rsidRPr="00DF1884">
        <w:t>year</w:t>
      </w:r>
      <w:r w:rsidR="00AF6992" w:rsidRPr="00DF1884">
        <w:t>,</w:t>
      </w:r>
      <w:r w:rsidR="00DF1884" w:rsidRPr="00DF1884">
        <w:t xml:space="preserve"> </w:t>
      </w:r>
      <w:r w:rsidRPr="00DF1884">
        <w:t>for</w:t>
      </w:r>
      <w:r w:rsidR="00DF1884" w:rsidRPr="00DF1884">
        <w:t xml:space="preserve"> </w:t>
      </w:r>
      <w:r w:rsidRPr="00DF1884">
        <w:t>disease</w:t>
      </w:r>
      <w:r w:rsidR="00DF1884" w:rsidRPr="00DF1884">
        <w:t xml:space="preserve"> </w:t>
      </w:r>
      <w:r w:rsidRPr="00DF1884">
        <w:t>management</w:t>
      </w:r>
      <w:r w:rsidR="00DF1884" w:rsidRPr="00DF1884">
        <w:t xml:space="preserve"> </w:t>
      </w:r>
      <w:r w:rsidRPr="00DF1884">
        <w:t>programs</w:t>
      </w:r>
      <w:r w:rsidR="00DF1884" w:rsidRPr="00DF1884">
        <w:t xml:space="preserve"> </w:t>
      </w:r>
      <w:r w:rsidRPr="00DF1884">
        <w:t>may</w:t>
      </w:r>
      <w:r w:rsidR="00DF1884" w:rsidRPr="00DF1884">
        <w:t xml:space="preserve"> </w:t>
      </w:r>
      <w:r w:rsidRPr="00DF1884">
        <w:t>be</w:t>
      </w:r>
      <w:r w:rsidR="00DF1884" w:rsidRPr="00DF1884">
        <w:t xml:space="preserve"> </w:t>
      </w:r>
      <w:r w:rsidRPr="00DF1884">
        <w:t>a</w:t>
      </w:r>
      <w:r w:rsidR="00DF1884" w:rsidRPr="00DF1884">
        <w:t xml:space="preserve"> </w:t>
      </w:r>
      <w:r w:rsidRPr="00DF1884">
        <w:t>reasonable</w:t>
      </w:r>
      <w:r w:rsidR="00DF1884" w:rsidRPr="00DF1884">
        <w:t xml:space="preserve"> </w:t>
      </w:r>
      <w:r w:rsidRPr="00DF1884">
        <w:t>strategy</w:t>
      </w:r>
      <w:r w:rsidR="00DF1884" w:rsidRPr="00DF1884">
        <w:t xml:space="preserve"> </w:t>
      </w:r>
      <w:r w:rsidRPr="00DF1884">
        <w:t>to</w:t>
      </w:r>
      <w:r w:rsidR="00DF1884" w:rsidRPr="00DF1884">
        <w:t xml:space="preserve"> </w:t>
      </w:r>
      <w:r w:rsidRPr="00DF1884">
        <w:t>reduce</w:t>
      </w:r>
      <w:r w:rsidR="00DF1884" w:rsidRPr="00DF1884">
        <w:t xml:space="preserve"> </w:t>
      </w:r>
      <w:r w:rsidRPr="00DF1884">
        <w:t>future</w:t>
      </w:r>
      <w:r w:rsidR="00DF1884" w:rsidRPr="00DF1884">
        <w:t xml:space="preserve"> </w:t>
      </w:r>
      <w:r w:rsidRPr="00DF1884">
        <w:t>hospitalizations.</w:t>
      </w:r>
      <w:r w:rsidR="00DF1884" w:rsidRPr="00DF1884">
        <w:t xml:space="preserve"> </w:t>
      </w:r>
    </w:p>
    <w:p w14:paraId="285E7F44" w14:textId="235C8159" w:rsidR="00AF6992" w:rsidRPr="00DF1884" w:rsidRDefault="00AF6992" w:rsidP="002F305E">
      <w:pPr>
        <w:pStyle w:val="Body"/>
        <w:sectPr w:rsidR="00AF6992" w:rsidRPr="00DF1884" w:rsidSect="0039781B">
          <w:pgSz w:w="12240" w:h="15840" w:code="1"/>
          <w:pgMar w:top="1080" w:right="1080" w:bottom="1080" w:left="1440" w:header="720" w:footer="720" w:gutter="0"/>
          <w:cols w:space="720"/>
        </w:sectPr>
      </w:pPr>
      <w:r w:rsidRPr="00DF1884">
        <w:t>T</w:t>
      </w:r>
      <w:r w:rsidR="00FB7739" w:rsidRPr="00DF1884">
        <w:t>he</w:t>
      </w:r>
      <w:r w:rsidR="00DF1884" w:rsidRPr="00DF1884">
        <w:t xml:space="preserve"> </w:t>
      </w:r>
      <w:r w:rsidR="00FB7739" w:rsidRPr="00DF1884">
        <w:t>authors</w:t>
      </w:r>
      <w:r w:rsidR="00DF1884" w:rsidRPr="00DF1884">
        <w:t xml:space="preserve"> </w:t>
      </w:r>
      <w:r w:rsidR="00FB7739" w:rsidRPr="00DF1884">
        <w:t>concluded</w:t>
      </w:r>
      <w:r w:rsidR="00DF1884" w:rsidRPr="00DF1884">
        <w:t xml:space="preserve"> </w:t>
      </w:r>
      <w:r w:rsidR="00FB7739" w:rsidRPr="00DF1884">
        <w:t>that</w:t>
      </w:r>
      <w:r w:rsidR="00DF1884" w:rsidRPr="00DF1884">
        <w:t xml:space="preserve"> </w:t>
      </w:r>
      <w:r w:rsidR="00FB7739" w:rsidRPr="00DF1884">
        <w:t>further</w:t>
      </w:r>
      <w:r w:rsidR="00DF1884" w:rsidRPr="00DF1884">
        <w:t xml:space="preserve"> </w:t>
      </w:r>
      <w:r w:rsidR="00FB7739" w:rsidRPr="00DF1884">
        <w:t>exploration</w:t>
      </w:r>
      <w:r w:rsidR="00DF1884" w:rsidRPr="00DF1884">
        <w:t xml:space="preserve"> </w:t>
      </w:r>
      <w:r w:rsidRPr="00DF1884">
        <w:t>is</w:t>
      </w:r>
      <w:r w:rsidR="00DF1884" w:rsidRPr="00DF1884">
        <w:t xml:space="preserve"> </w:t>
      </w:r>
      <w:r w:rsidR="00FB7739" w:rsidRPr="00DF1884">
        <w:t>necessary</w:t>
      </w:r>
      <w:r w:rsidR="00DF1884" w:rsidRPr="00DF1884">
        <w:t xml:space="preserve"> </w:t>
      </w:r>
      <w:r w:rsidR="00FB7739" w:rsidRPr="00DF1884">
        <w:t>to</w:t>
      </w:r>
      <w:r w:rsidR="00DF1884" w:rsidRPr="00DF1884">
        <w:t xml:space="preserve"> </w:t>
      </w:r>
      <w:r w:rsidR="00FB7739" w:rsidRPr="00DF1884">
        <w:t>understand</w:t>
      </w:r>
      <w:r w:rsidR="00DF1884" w:rsidRPr="00DF1884">
        <w:t xml:space="preserve"> </w:t>
      </w:r>
      <w:r w:rsidRPr="00DF1884">
        <w:t>contributing</w:t>
      </w:r>
      <w:r w:rsidR="00DF1884" w:rsidRPr="00DF1884">
        <w:t xml:space="preserve"> </w:t>
      </w:r>
      <w:r w:rsidR="00FB7739" w:rsidRPr="00DF1884">
        <w:t>factors</w:t>
      </w:r>
      <w:r w:rsidR="00DF1884" w:rsidRPr="00DF1884">
        <w:t xml:space="preserve"> </w:t>
      </w:r>
      <w:r w:rsidR="00FB7739" w:rsidRPr="00DF1884">
        <w:t>to</w:t>
      </w:r>
      <w:r w:rsidR="00DF1884" w:rsidRPr="00DF1884">
        <w:t xml:space="preserve"> </w:t>
      </w:r>
      <w:r w:rsidR="00FB7739" w:rsidRPr="00DF1884">
        <w:t>ACSC</w:t>
      </w:r>
      <w:r w:rsidR="00DF1884" w:rsidRPr="00DF1884">
        <w:t xml:space="preserve"> </w:t>
      </w:r>
      <w:r w:rsidR="00FB7739" w:rsidRPr="00DF1884">
        <w:t>hospitalization</w:t>
      </w:r>
      <w:r w:rsidR="00DF1884" w:rsidRPr="00DF1884">
        <w:t xml:space="preserve"> </w:t>
      </w:r>
      <w:r w:rsidR="00FB7739" w:rsidRPr="00DF1884">
        <w:t>that</w:t>
      </w:r>
      <w:r w:rsidR="00DF1884" w:rsidRPr="00DF1884">
        <w:t xml:space="preserve"> </w:t>
      </w:r>
      <w:r w:rsidR="00FB7739" w:rsidRPr="00DF1884">
        <w:t>may</w:t>
      </w:r>
      <w:r w:rsidR="00DF1884" w:rsidRPr="00DF1884">
        <w:t xml:space="preserve"> </w:t>
      </w:r>
      <w:r w:rsidR="00FB7739" w:rsidRPr="00DF1884">
        <w:t>be</w:t>
      </w:r>
      <w:r w:rsidR="00DF1884" w:rsidRPr="00DF1884">
        <w:t xml:space="preserve"> </w:t>
      </w:r>
      <w:r w:rsidR="00FB7739" w:rsidRPr="00DF1884">
        <w:t>beyond</w:t>
      </w:r>
      <w:r w:rsidR="00DF1884" w:rsidRPr="00DF1884">
        <w:t xml:space="preserve"> </w:t>
      </w:r>
      <w:r w:rsidR="00FB7739" w:rsidRPr="00DF1884">
        <w:t>the</w:t>
      </w:r>
      <w:r w:rsidR="00DF1884" w:rsidRPr="00DF1884">
        <w:t xml:space="preserve"> </w:t>
      </w:r>
      <w:r w:rsidR="00FB7739" w:rsidRPr="00DF1884">
        <w:t>control</w:t>
      </w:r>
      <w:r w:rsidR="00DF1884" w:rsidRPr="00DF1884">
        <w:t xml:space="preserve"> </w:t>
      </w:r>
      <w:r w:rsidR="00FB7739" w:rsidRPr="00DF1884">
        <w:t>of</w:t>
      </w:r>
      <w:r w:rsidR="00DF1884" w:rsidRPr="00DF1884">
        <w:t xml:space="preserve"> </w:t>
      </w:r>
      <w:r w:rsidR="00FB7739" w:rsidRPr="00DF1884">
        <w:t>the</w:t>
      </w:r>
      <w:r w:rsidR="00DF1884" w:rsidRPr="00DF1884">
        <w:t xml:space="preserve"> </w:t>
      </w:r>
      <w:r w:rsidR="00FB7739" w:rsidRPr="00DF1884">
        <w:t>health</w:t>
      </w:r>
      <w:r w:rsidR="00DF1884" w:rsidRPr="00DF1884">
        <w:t xml:space="preserve"> </w:t>
      </w:r>
      <w:r w:rsidR="00FB7739" w:rsidRPr="00DF1884">
        <w:t>plan</w:t>
      </w:r>
      <w:r w:rsidR="00DF1884" w:rsidRPr="00DF1884">
        <w:t xml:space="preserve"> </w:t>
      </w:r>
      <w:r w:rsidR="00FB7739" w:rsidRPr="00DF1884">
        <w:t>or</w:t>
      </w:r>
      <w:r w:rsidR="00DF1884" w:rsidRPr="00DF1884">
        <w:t xml:space="preserve"> </w:t>
      </w:r>
      <w:r w:rsidR="00FB7739" w:rsidRPr="00DF1884">
        <w:t>provider</w:t>
      </w:r>
      <w:r w:rsidRPr="00DF1884">
        <w:t>,</w:t>
      </w:r>
      <w:r w:rsidR="00DF1884" w:rsidRPr="00DF1884">
        <w:t xml:space="preserve"> </w:t>
      </w:r>
      <w:r w:rsidR="00FB7739" w:rsidRPr="00DF1884">
        <w:t>such</w:t>
      </w:r>
      <w:r w:rsidR="00DF1884" w:rsidRPr="00DF1884">
        <w:t xml:space="preserve"> </w:t>
      </w:r>
      <w:r w:rsidR="00FB7739" w:rsidRPr="00DF1884">
        <w:t>as</w:t>
      </w:r>
      <w:r w:rsidR="00DF1884" w:rsidRPr="00DF1884">
        <w:t xml:space="preserve"> </w:t>
      </w:r>
      <w:r w:rsidR="00FB7739" w:rsidRPr="00DF1884">
        <w:t>population</w:t>
      </w:r>
      <w:r w:rsidR="00DF1884" w:rsidRPr="00DF1884">
        <w:t xml:space="preserve"> </w:t>
      </w:r>
      <w:r w:rsidR="00FB7739" w:rsidRPr="00DF1884">
        <w:t>aging</w:t>
      </w:r>
      <w:r w:rsidR="00DF1884" w:rsidRPr="00DF1884">
        <w:t xml:space="preserve"> </w:t>
      </w:r>
      <w:r w:rsidR="00FB7739" w:rsidRPr="00DF1884">
        <w:t>or</w:t>
      </w:r>
      <w:r w:rsidR="00DF1884" w:rsidRPr="00DF1884">
        <w:t xml:space="preserve"> </w:t>
      </w:r>
      <w:r w:rsidR="00FB7739" w:rsidRPr="00DF1884">
        <w:t>onset</w:t>
      </w:r>
      <w:r w:rsidR="00DF1884" w:rsidRPr="00DF1884">
        <w:t xml:space="preserve"> </w:t>
      </w:r>
      <w:r w:rsidR="00FB7739" w:rsidRPr="00DF1884">
        <w:t>of</w:t>
      </w:r>
      <w:r w:rsidR="00DF1884" w:rsidRPr="00DF1884">
        <w:t xml:space="preserve"> </w:t>
      </w:r>
      <w:r w:rsidR="00FB7739" w:rsidRPr="00DF1884">
        <w:t>new</w:t>
      </w:r>
      <w:r w:rsidR="00DF1884" w:rsidRPr="00DF1884">
        <w:t xml:space="preserve"> </w:t>
      </w:r>
      <w:r w:rsidR="00FB7739" w:rsidRPr="00DF1884">
        <w:t>comorbid</w:t>
      </w:r>
      <w:r w:rsidR="00DF1884" w:rsidRPr="00DF1884">
        <w:t xml:space="preserve"> </w:t>
      </w:r>
      <w:r w:rsidR="00FB7739" w:rsidRPr="00DF1884">
        <w:t>conditions</w:t>
      </w:r>
      <w:r w:rsidR="00DF1884" w:rsidRPr="00DF1884">
        <w:t xml:space="preserve"> </w:t>
      </w:r>
      <w:r w:rsidR="00FB7739" w:rsidRPr="00DF1884">
        <w:t>(McCall</w:t>
      </w:r>
      <w:r w:rsidR="00DF1884" w:rsidRPr="00DF1884">
        <w:t xml:space="preserve"> </w:t>
      </w:r>
      <w:r w:rsidR="00FB7739" w:rsidRPr="00DF1884">
        <w:t>2004).</w:t>
      </w:r>
    </w:p>
    <w:p w14:paraId="5B21D5D0" w14:textId="1F67F224" w:rsidR="00FB7739" w:rsidRPr="00DF1884" w:rsidRDefault="00FB7739" w:rsidP="00AF6992">
      <w:pPr>
        <w:pStyle w:val="SubHead"/>
        <w:spacing w:before="0"/>
      </w:pPr>
      <w:r w:rsidRPr="00DF1884">
        <w:lastRenderedPageBreak/>
        <w:t>Development</w:t>
      </w:r>
      <w:r w:rsidR="00DF1884" w:rsidRPr="00DF1884">
        <w:t xml:space="preserve"> </w:t>
      </w:r>
      <w:r w:rsidRPr="00DF1884">
        <w:t>of</w:t>
      </w:r>
      <w:r w:rsidR="00DF1884" w:rsidRPr="00DF1884">
        <w:t xml:space="preserve"> </w:t>
      </w:r>
      <w:r w:rsidRPr="00DF1884">
        <w:t>Prevention</w:t>
      </w:r>
      <w:r w:rsidR="00DF1884" w:rsidRPr="00DF1884">
        <w:t xml:space="preserve"> </w:t>
      </w:r>
      <w:r w:rsidRPr="00DF1884">
        <w:t>Quality</w:t>
      </w:r>
      <w:r w:rsidR="00DF1884" w:rsidRPr="00DF1884">
        <w:t xml:space="preserve"> </w:t>
      </w:r>
      <w:r w:rsidRPr="00DF1884">
        <w:t>Indicators:</w:t>
      </w:r>
    </w:p>
    <w:p w14:paraId="2F73AEF4" w14:textId="53D3B38C" w:rsidR="00AF6992" w:rsidRPr="00DF1884" w:rsidRDefault="00FB7739" w:rsidP="00FB7739">
      <w:pPr>
        <w:pStyle w:val="Body"/>
        <w:spacing w:before="120"/>
        <w:rPr>
          <w:szCs w:val="20"/>
        </w:rPr>
      </w:pPr>
      <w:r w:rsidRPr="00DF1884">
        <w:t>In</w:t>
      </w:r>
      <w:r w:rsidR="00DF1884" w:rsidRPr="00DF1884">
        <w:t xml:space="preserve"> </w:t>
      </w:r>
      <w:r w:rsidRPr="00DF1884">
        <w:t>2001,</w:t>
      </w:r>
      <w:r w:rsidR="00DF1884" w:rsidRPr="00DF1884">
        <w:t xml:space="preserve"> </w:t>
      </w:r>
      <w:r w:rsidRPr="00DF1884">
        <w:rPr>
          <w:szCs w:val="20"/>
        </w:rPr>
        <w:t>AHRQ’s</w:t>
      </w:r>
      <w:r w:rsidR="00DF1884" w:rsidRPr="00DF1884">
        <w:rPr>
          <w:szCs w:val="20"/>
        </w:rPr>
        <w:t xml:space="preserve"> </w:t>
      </w:r>
      <w:r w:rsidRPr="00DF1884">
        <w:rPr>
          <w:szCs w:val="20"/>
        </w:rPr>
        <w:t>Evidence-Based</w:t>
      </w:r>
      <w:r w:rsidR="00DF1884" w:rsidRPr="00DF1884">
        <w:rPr>
          <w:szCs w:val="20"/>
        </w:rPr>
        <w:t xml:space="preserve"> </w:t>
      </w:r>
      <w:r w:rsidRPr="00DF1884">
        <w:rPr>
          <w:szCs w:val="20"/>
        </w:rPr>
        <w:t>Practice</w:t>
      </w:r>
      <w:r w:rsidR="00DF1884" w:rsidRPr="00DF1884">
        <w:rPr>
          <w:szCs w:val="20"/>
        </w:rPr>
        <w:t xml:space="preserve"> </w:t>
      </w:r>
      <w:r w:rsidRPr="00DF1884">
        <w:rPr>
          <w:szCs w:val="20"/>
        </w:rPr>
        <w:t>Center</w:t>
      </w:r>
      <w:r w:rsidR="00DF1884" w:rsidRPr="00DF1884">
        <w:rPr>
          <w:szCs w:val="20"/>
        </w:rPr>
        <w:t xml:space="preserve"> </w:t>
      </w:r>
      <w:r w:rsidRPr="00DF1884">
        <w:rPr>
          <w:szCs w:val="20"/>
        </w:rPr>
        <w:t>(EPC)</w:t>
      </w:r>
      <w:r w:rsidR="00DF1884" w:rsidRPr="00DF1884">
        <w:rPr>
          <w:szCs w:val="20"/>
        </w:rPr>
        <w:t xml:space="preserve"> </w:t>
      </w:r>
      <w:r w:rsidRPr="00DF1884">
        <w:rPr>
          <w:szCs w:val="20"/>
        </w:rPr>
        <w:t>at</w:t>
      </w:r>
      <w:r w:rsidR="00DF1884" w:rsidRPr="00DF1884">
        <w:rPr>
          <w:szCs w:val="20"/>
        </w:rPr>
        <w:t xml:space="preserve"> </w:t>
      </w:r>
      <w:r w:rsidRPr="00DF1884">
        <w:rPr>
          <w:szCs w:val="20"/>
        </w:rPr>
        <w:t>the</w:t>
      </w:r>
      <w:r w:rsidR="00DF1884" w:rsidRPr="00DF1884">
        <w:rPr>
          <w:szCs w:val="20"/>
        </w:rPr>
        <w:t xml:space="preserve"> </w:t>
      </w:r>
      <w:r w:rsidRPr="00DF1884">
        <w:rPr>
          <w:szCs w:val="20"/>
        </w:rPr>
        <w:t>University</w:t>
      </w:r>
      <w:r w:rsidR="00DF1884" w:rsidRPr="00DF1884">
        <w:rPr>
          <w:szCs w:val="20"/>
        </w:rPr>
        <w:t xml:space="preserve"> </w:t>
      </w:r>
      <w:r w:rsidRPr="00DF1884">
        <w:rPr>
          <w:szCs w:val="20"/>
        </w:rPr>
        <w:t>of</w:t>
      </w:r>
      <w:r w:rsidR="00DF1884" w:rsidRPr="00DF1884">
        <w:rPr>
          <w:szCs w:val="20"/>
        </w:rPr>
        <w:t xml:space="preserve"> </w:t>
      </w:r>
      <w:r w:rsidRPr="00DF1884">
        <w:rPr>
          <w:szCs w:val="20"/>
        </w:rPr>
        <w:t>California</w:t>
      </w:r>
      <w:r w:rsidR="00DF1884" w:rsidRPr="00DF1884">
        <w:rPr>
          <w:szCs w:val="20"/>
        </w:rPr>
        <w:t xml:space="preserve"> </w:t>
      </w:r>
      <w:r w:rsidRPr="00DF1884">
        <w:rPr>
          <w:szCs w:val="20"/>
        </w:rPr>
        <w:t>San</w:t>
      </w:r>
      <w:r w:rsidR="00DF1884" w:rsidRPr="00DF1884">
        <w:rPr>
          <w:szCs w:val="20"/>
        </w:rPr>
        <w:t xml:space="preserve"> </w:t>
      </w:r>
      <w:r w:rsidRPr="00DF1884">
        <w:rPr>
          <w:szCs w:val="20"/>
        </w:rPr>
        <w:t>Francisco</w:t>
      </w:r>
      <w:r w:rsidR="00DF1884" w:rsidRPr="00DF1884">
        <w:rPr>
          <w:szCs w:val="20"/>
        </w:rPr>
        <w:t xml:space="preserve"> </w:t>
      </w:r>
      <w:r w:rsidRPr="00DF1884">
        <w:rPr>
          <w:szCs w:val="20"/>
        </w:rPr>
        <w:t>(UCSF)</w:t>
      </w:r>
      <w:r w:rsidR="00DF1884" w:rsidRPr="00DF1884">
        <w:rPr>
          <w:szCs w:val="20"/>
        </w:rPr>
        <w:t xml:space="preserve"> </w:t>
      </w:r>
      <w:r w:rsidRPr="00DF1884">
        <w:rPr>
          <w:szCs w:val="20"/>
        </w:rPr>
        <w:t>and</w:t>
      </w:r>
      <w:r w:rsidR="00DF1884" w:rsidRPr="00DF1884">
        <w:rPr>
          <w:szCs w:val="20"/>
        </w:rPr>
        <w:t xml:space="preserve"> </w:t>
      </w:r>
      <w:r w:rsidRPr="00DF1884">
        <w:rPr>
          <w:szCs w:val="20"/>
        </w:rPr>
        <w:t>Stanford</w:t>
      </w:r>
      <w:r w:rsidR="00DF1884" w:rsidRPr="00DF1884">
        <w:rPr>
          <w:szCs w:val="20"/>
        </w:rPr>
        <w:t xml:space="preserve"> </w:t>
      </w:r>
      <w:r w:rsidRPr="00DF1884">
        <w:rPr>
          <w:szCs w:val="20"/>
        </w:rPr>
        <w:t>University</w:t>
      </w:r>
      <w:r w:rsidR="00DF1884" w:rsidRPr="00DF1884">
        <w:rPr>
          <w:szCs w:val="20"/>
        </w:rPr>
        <w:t xml:space="preserve"> </w:t>
      </w:r>
      <w:r w:rsidRPr="00DF1884">
        <w:rPr>
          <w:szCs w:val="20"/>
        </w:rPr>
        <w:t>developed</w:t>
      </w:r>
      <w:r w:rsidR="00DF1884" w:rsidRPr="00DF1884">
        <w:rPr>
          <w:szCs w:val="20"/>
        </w:rPr>
        <w:t xml:space="preserve"> </w:t>
      </w:r>
      <w:r w:rsidRPr="00DF1884">
        <w:rPr>
          <w:szCs w:val="20"/>
        </w:rPr>
        <w:t>the</w:t>
      </w:r>
      <w:r w:rsidR="00DF1884" w:rsidRPr="00DF1884">
        <w:rPr>
          <w:szCs w:val="20"/>
        </w:rPr>
        <w:t xml:space="preserve"> </w:t>
      </w:r>
      <w:r w:rsidRPr="00DF1884">
        <w:rPr>
          <w:szCs w:val="20"/>
        </w:rPr>
        <w:t>Prevention</w:t>
      </w:r>
      <w:r w:rsidR="00DF1884" w:rsidRPr="00DF1884">
        <w:rPr>
          <w:szCs w:val="20"/>
        </w:rPr>
        <w:t xml:space="preserve"> </w:t>
      </w:r>
      <w:r w:rsidRPr="00DF1884">
        <w:rPr>
          <w:szCs w:val="20"/>
        </w:rPr>
        <w:t>Quality</w:t>
      </w:r>
      <w:r w:rsidR="00DF1884" w:rsidRPr="00DF1884">
        <w:rPr>
          <w:szCs w:val="20"/>
        </w:rPr>
        <w:t xml:space="preserve"> </w:t>
      </w:r>
      <w:r w:rsidRPr="00DF1884">
        <w:rPr>
          <w:szCs w:val="20"/>
        </w:rPr>
        <w:t>Indicators</w:t>
      </w:r>
      <w:r w:rsidR="00DF1884" w:rsidRPr="00DF1884">
        <w:rPr>
          <w:szCs w:val="20"/>
        </w:rPr>
        <w:t xml:space="preserve"> </w:t>
      </w:r>
      <w:r w:rsidRPr="00DF1884">
        <w:rPr>
          <w:szCs w:val="20"/>
        </w:rPr>
        <w:t>(PQI)</w:t>
      </w:r>
      <w:r w:rsidR="00DF1884" w:rsidRPr="00DF1884">
        <w:rPr>
          <w:szCs w:val="20"/>
        </w:rPr>
        <w:t xml:space="preserve"> </w:t>
      </w:r>
      <w:r w:rsidRPr="00DF1884">
        <w:rPr>
          <w:szCs w:val="20"/>
        </w:rPr>
        <w:t>based</w:t>
      </w:r>
      <w:r w:rsidR="00DF1884" w:rsidRPr="00DF1884">
        <w:rPr>
          <w:szCs w:val="20"/>
        </w:rPr>
        <w:t xml:space="preserve"> </w:t>
      </w:r>
      <w:r w:rsidRPr="00DF1884">
        <w:rPr>
          <w:szCs w:val="20"/>
        </w:rPr>
        <w:t>on</w:t>
      </w:r>
      <w:r w:rsidR="00DF1884" w:rsidRPr="00DF1884">
        <w:rPr>
          <w:szCs w:val="20"/>
        </w:rPr>
        <w:t xml:space="preserve"> </w:t>
      </w:r>
      <w:r w:rsidRPr="00DF1884">
        <w:rPr>
          <w:szCs w:val="20"/>
        </w:rPr>
        <w:t>the</w:t>
      </w:r>
      <w:r w:rsidR="00DF1884" w:rsidRPr="00DF1884">
        <w:rPr>
          <w:szCs w:val="20"/>
        </w:rPr>
        <w:t xml:space="preserve"> </w:t>
      </w:r>
      <w:r w:rsidRPr="00DF1884">
        <w:rPr>
          <w:szCs w:val="20"/>
        </w:rPr>
        <w:t>original</w:t>
      </w:r>
      <w:r w:rsidR="00DF1884" w:rsidRPr="00DF1884">
        <w:rPr>
          <w:szCs w:val="20"/>
        </w:rPr>
        <w:t xml:space="preserve"> </w:t>
      </w:r>
      <w:r w:rsidRPr="00DF1884">
        <w:rPr>
          <w:szCs w:val="20"/>
        </w:rPr>
        <w:t>Healthcare</w:t>
      </w:r>
      <w:r w:rsidR="00DF1884" w:rsidRPr="00DF1884">
        <w:rPr>
          <w:szCs w:val="20"/>
        </w:rPr>
        <w:t xml:space="preserve"> </w:t>
      </w:r>
      <w:r w:rsidRPr="00DF1884">
        <w:rPr>
          <w:szCs w:val="20"/>
        </w:rPr>
        <w:t>Cost</w:t>
      </w:r>
      <w:r w:rsidR="00DF1884" w:rsidRPr="00DF1884">
        <w:rPr>
          <w:szCs w:val="20"/>
        </w:rPr>
        <w:t xml:space="preserve"> </w:t>
      </w:r>
      <w:r w:rsidRPr="00DF1884">
        <w:rPr>
          <w:szCs w:val="20"/>
        </w:rPr>
        <w:t>and</w:t>
      </w:r>
      <w:r w:rsidR="00DF1884" w:rsidRPr="00DF1884">
        <w:rPr>
          <w:szCs w:val="20"/>
        </w:rPr>
        <w:t xml:space="preserve"> </w:t>
      </w:r>
      <w:r w:rsidRPr="00DF1884">
        <w:rPr>
          <w:szCs w:val="20"/>
        </w:rPr>
        <w:t>Utilization</w:t>
      </w:r>
      <w:r w:rsidR="00DF1884" w:rsidRPr="00DF1884">
        <w:rPr>
          <w:szCs w:val="20"/>
        </w:rPr>
        <w:t xml:space="preserve"> </w:t>
      </w:r>
      <w:r w:rsidRPr="00DF1884">
        <w:rPr>
          <w:szCs w:val="20"/>
        </w:rPr>
        <w:t>Project</w:t>
      </w:r>
      <w:r w:rsidR="00DF1884" w:rsidRPr="00DF1884">
        <w:rPr>
          <w:szCs w:val="20"/>
        </w:rPr>
        <w:t xml:space="preserve"> </w:t>
      </w:r>
      <w:r w:rsidRPr="00DF1884">
        <w:rPr>
          <w:szCs w:val="20"/>
        </w:rPr>
        <w:t>(HCUP)</w:t>
      </w:r>
      <w:r w:rsidR="00DF1884" w:rsidRPr="00DF1884">
        <w:rPr>
          <w:szCs w:val="20"/>
        </w:rPr>
        <w:t xml:space="preserve"> </w:t>
      </w:r>
      <w:r w:rsidR="00AF6992" w:rsidRPr="00DF1884">
        <w:rPr>
          <w:szCs w:val="20"/>
        </w:rPr>
        <w:t>quality</w:t>
      </w:r>
      <w:r w:rsidR="00DF1884" w:rsidRPr="00DF1884">
        <w:rPr>
          <w:szCs w:val="20"/>
        </w:rPr>
        <w:t xml:space="preserve"> </w:t>
      </w:r>
      <w:r w:rsidR="00AF6992" w:rsidRPr="00DF1884">
        <w:rPr>
          <w:szCs w:val="20"/>
        </w:rPr>
        <w:t>in</w:t>
      </w:r>
      <w:r w:rsidRPr="00DF1884">
        <w:rPr>
          <w:szCs w:val="20"/>
        </w:rPr>
        <w:t>dicators</w:t>
      </w:r>
      <w:r w:rsidR="00DF1884" w:rsidRPr="00DF1884">
        <w:rPr>
          <w:szCs w:val="20"/>
        </w:rPr>
        <w:t xml:space="preserve"> </w:t>
      </w:r>
      <w:r w:rsidRPr="00DF1884">
        <w:rPr>
          <w:szCs w:val="20"/>
        </w:rPr>
        <w:t>developed</w:t>
      </w:r>
      <w:r w:rsidR="00DF1884" w:rsidRPr="00DF1884">
        <w:rPr>
          <w:szCs w:val="20"/>
        </w:rPr>
        <w:t xml:space="preserve"> </w:t>
      </w:r>
      <w:r w:rsidRPr="00DF1884">
        <w:rPr>
          <w:szCs w:val="20"/>
        </w:rPr>
        <w:t>in</w:t>
      </w:r>
      <w:r w:rsidR="00DF1884" w:rsidRPr="00DF1884">
        <w:rPr>
          <w:szCs w:val="20"/>
        </w:rPr>
        <w:t xml:space="preserve"> </w:t>
      </w:r>
      <w:r w:rsidRPr="00DF1884">
        <w:rPr>
          <w:szCs w:val="20"/>
        </w:rPr>
        <w:t>the</w:t>
      </w:r>
      <w:r w:rsidR="00DF1884" w:rsidRPr="00DF1884">
        <w:rPr>
          <w:szCs w:val="20"/>
        </w:rPr>
        <w:t xml:space="preserve"> </w:t>
      </w:r>
      <w:r w:rsidRPr="00DF1884">
        <w:rPr>
          <w:szCs w:val="20"/>
        </w:rPr>
        <w:t>early</w:t>
      </w:r>
      <w:r w:rsidR="00DF1884" w:rsidRPr="00DF1884">
        <w:rPr>
          <w:szCs w:val="20"/>
        </w:rPr>
        <w:t xml:space="preserve"> </w:t>
      </w:r>
      <w:r w:rsidRPr="00DF1884">
        <w:rPr>
          <w:szCs w:val="20"/>
        </w:rPr>
        <w:t>1990s</w:t>
      </w:r>
      <w:r w:rsidR="00DF1884" w:rsidRPr="00DF1884">
        <w:rPr>
          <w:szCs w:val="20"/>
        </w:rPr>
        <w:t xml:space="preserve"> </w:t>
      </w:r>
      <w:r w:rsidRPr="00DF1884">
        <w:rPr>
          <w:szCs w:val="20"/>
        </w:rPr>
        <w:t>(Davies</w:t>
      </w:r>
      <w:r w:rsidR="00DF1884" w:rsidRPr="00DF1884">
        <w:rPr>
          <w:szCs w:val="20"/>
        </w:rPr>
        <w:t xml:space="preserve"> </w:t>
      </w:r>
      <w:r w:rsidRPr="00DF1884">
        <w:rPr>
          <w:szCs w:val="20"/>
        </w:rPr>
        <w:t>2001).</w:t>
      </w:r>
      <w:r w:rsidR="00DF1884" w:rsidRPr="00DF1884">
        <w:rPr>
          <w:szCs w:val="20"/>
        </w:rPr>
        <w:t xml:space="preserve"> </w:t>
      </w:r>
      <w:r w:rsidRPr="00DF1884">
        <w:rPr>
          <w:szCs w:val="20"/>
        </w:rPr>
        <w:t>They</w:t>
      </w:r>
      <w:r w:rsidR="00DF1884" w:rsidRPr="00DF1884">
        <w:rPr>
          <w:szCs w:val="20"/>
        </w:rPr>
        <w:t xml:space="preserve"> </w:t>
      </w:r>
      <w:r w:rsidRPr="00DF1884">
        <w:rPr>
          <w:szCs w:val="20"/>
        </w:rPr>
        <w:t>reviewed</w:t>
      </w:r>
      <w:r w:rsidR="00DF1884" w:rsidRPr="00DF1884">
        <w:rPr>
          <w:szCs w:val="20"/>
        </w:rPr>
        <w:t xml:space="preserve"> </w:t>
      </w:r>
      <w:r w:rsidRPr="00DF1884">
        <w:rPr>
          <w:szCs w:val="20"/>
        </w:rPr>
        <w:t>evidence</w:t>
      </w:r>
      <w:r w:rsidR="00DF1884" w:rsidRPr="00DF1884">
        <w:rPr>
          <w:szCs w:val="20"/>
        </w:rPr>
        <w:t xml:space="preserve"> </w:t>
      </w:r>
      <w:r w:rsidRPr="00DF1884">
        <w:rPr>
          <w:szCs w:val="20"/>
        </w:rPr>
        <w:t>on</w:t>
      </w:r>
      <w:r w:rsidR="00DF1884" w:rsidRPr="00DF1884">
        <w:rPr>
          <w:szCs w:val="20"/>
        </w:rPr>
        <w:t xml:space="preserve"> </w:t>
      </w:r>
      <w:r w:rsidRPr="00DF1884">
        <w:rPr>
          <w:szCs w:val="20"/>
        </w:rPr>
        <w:t>ACSC</w:t>
      </w:r>
      <w:r w:rsidR="00DF1884" w:rsidRPr="00DF1884">
        <w:rPr>
          <w:szCs w:val="20"/>
        </w:rPr>
        <w:t xml:space="preserve"> </w:t>
      </w:r>
      <w:r w:rsidRPr="00DF1884">
        <w:rPr>
          <w:szCs w:val="20"/>
        </w:rPr>
        <w:t>and</w:t>
      </w:r>
      <w:r w:rsidR="00DF1884" w:rsidRPr="00DF1884">
        <w:rPr>
          <w:szCs w:val="20"/>
        </w:rPr>
        <w:t xml:space="preserve"> </w:t>
      </w:r>
      <w:r w:rsidRPr="00DF1884">
        <w:rPr>
          <w:szCs w:val="20"/>
        </w:rPr>
        <w:t>used</w:t>
      </w:r>
      <w:r w:rsidR="00DF1884" w:rsidRPr="00DF1884">
        <w:rPr>
          <w:szCs w:val="20"/>
        </w:rPr>
        <w:t xml:space="preserve"> </w:t>
      </w:r>
      <w:r w:rsidRPr="00DF1884">
        <w:rPr>
          <w:szCs w:val="20"/>
        </w:rPr>
        <w:t>a</w:t>
      </w:r>
      <w:r w:rsidR="00DF1884" w:rsidRPr="00DF1884">
        <w:rPr>
          <w:szCs w:val="20"/>
        </w:rPr>
        <w:t xml:space="preserve"> </w:t>
      </w:r>
      <w:r w:rsidRPr="00DF1884">
        <w:rPr>
          <w:szCs w:val="20"/>
        </w:rPr>
        <w:t>multi-stakeholder</w:t>
      </w:r>
      <w:r w:rsidR="00DF1884" w:rsidRPr="00DF1884">
        <w:rPr>
          <w:szCs w:val="20"/>
        </w:rPr>
        <w:t xml:space="preserve"> </w:t>
      </w:r>
      <w:r w:rsidRPr="00DF1884">
        <w:rPr>
          <w:szCs w:val="20"/>
        </w:rPr>
        <w:t>review</w:t>
      </w:r>
      <w:r w:rsidR="00DF1884" w:rsidRPr="00DF1884">
        <w:rPr>
          <w:szCs w:val="20"/>
        </w:rPr>
        <w:t xml:space="preserve"> </w:t>
      </w:r>
      <w:r w:rsidRPr="00DF1884">
        <w:rPr>
          <w:szCs w:val="20"/>
        </w:rPr>
        <w:t>process</w:t>
      </w:r>
      <w:r w:rsidR="00DF1884" w:rsidRPr="00DF1884">
        <w:rPr>
          <w:szCs w:val="20"/>
        </w:rPr>
        <w:t xml:space="preserve"> </w:t>
      </w:r>
      <w:r w:rsidR="00AF6992" w:rsidRPr="00DF1884">
        <w:rPr>
          <w:szCs w:val="20"/>
        </w:rPr>
        <w:t>of</w:t>
      </w:r>
      <w:r w:rsidR="00DF1884" w:rsidRPr="00DF1884">
        <w:rPr>
          <w:szCs w:val="20"/>
        </w:rPr>
        <w:t xml:space="preserve"> </w:t>
      </w:r>
      <w:r w:rsidRPr="00DF1884">
        <w:rPr>
          <w:szCs w:val="20"/>
        </w:rPr>
        <w:t>three</w:t>
      </w:r>
      <w:r w:rsidR="00DF1884" w:rsidRPr="00DF1884">
        <w:rPr>
          <w:szCs w:val="20"/>
        </w:rPr>
        <w:t xml:space="preserve"> </w:t>
      </w:r>
      <w:r w:rsidRPr="00DF1884">
        <w:rPr>
          <w:szCs w:val="20"/>
        </w:rPr>
        <w:t>questions</w:t>
      </w:r>
      <w:r w:rsidR="00DF1884" w:rsidRPr="00DF1884">
        <w:rPr>
          <w:szCs w:val="20"/>
        </w:rPr>
        <w:t xml:space="preserve"> </w:t>
      </w:r>
      <w:r w:rsidRPr="00DF1884">
        <w:rPr>
          <w:szCs w:val="20"/>
        </w:rPr>
        <w:t>to</w:t>
      </w:r>
      <w:r w:rsidR="00DF1884" w:rsidRPr="00DF1884">
        <w:rPr>
          <w:szCs w:val="20"/>
        </w:rPr>
        <w:t xml:space="preserve"> </w:t>
      </w:r>
      <w:r w:rsidRPr="00DF1884">
        <w:rPr>
          <w:szCs w:val="20"/>
        </w:rPr>
        <w:t>assess</w:t>
      </w:r>
      <w:r w:rsidR="00DF1884" w:rsidRPr="00DF1884">
        <w:rPr>
          <w:szCs w:val="20"/>
        </w:rPr>
        <w:t xml:space="preserve"> </w:t>
      </w:r>
      <w:r w:rsidRPr="00DF1884">
        <w:rPr>
          <w:szCs w:val="20"/>
        </w:rPr>
        <w:t>face</w:t>
      </w:r>
      <w:r w:rsidR="00DF1884" w:rsidRPr="00DF1884">
        <w:rPr>
          <w:szCs w:val="20"/>
        </w:rPr>
        <w:t xml:space="preserve"> </w:t>
      </w:r>
      <w:r w:rsidRPr="00DF1884">
        <w:rPr>
          <w:szCs w:val="20"/>
        </w:rPr>
        <w:t>validity</w:t>
      </w:r>
      <w:r w:rsidR="00DF1884" w:rsidRPr="00DF1884">
        <w:rPr>
          <w:szCs w:val="20"/>
        </w:rPr>
        <w:t xml:space="preserve"> </w:t>
      </w:r>
      <w:r w:rsidRPr="00DF1884">
        <w:rPr>
          <w:szCs w:val="20"/>
        </w:rPr>
        <w:t>of</w:t>
      </w:r>
      <w:r w:rsidR="00DF1884" w:rsidRPr="00DF1884">
        <w:rPr>
          <w:szCs w:val="20"/>
        </w:rPr>
        <w:t xml:space="preserve"> </w:t>
      </w:r>
      <w:r w:rsidRPr="00DF1884">
        <w:rPr>
          <w:szCs w:val="20"/>
        </w:rPr>
        <w:t>the</w:t>
      </w:r>
      <w:r w:rsidR="00DF1884" w:rsidRPr="00DF1884">
        <w:rPr>
          <w:szCs w:val="20"/>
        </w:rPr>
        <w:t xml:space="preserve"> </w:t>
      </w:r>
      <w:r w:rsidRPr="00DF1884">
        <w:rPr>
          <w:szCs w:val="20"/>
        </w:rPr>
        <w:t>indicators:</w:t>
      </w:r>
      <w:r w:rsidR="00DF1884" w:rsidRPr="00DF1884">
        <w:rPr>
          <w:szCs w:val="20"/>
        </w:rPr>
        <w:t xml:space="preserve"> </w:t>
      </w:r>
    </w:p>
    <w:p w14:paraId="4C2FE192" w14:textId="459BEAB8" w:rsidR="00AF6992" w:rsidRPr="00DF1884" w:rsidRDefault="00FB7739" w:rsidP="00AF6992">
      <w:pPr>
        <w:pStyle w:val="Bullet"/>
        <w:numPr>
          <w:ilvl w:val="0"/>
          <w:numId w:val="34"/>
        </w:numPr>
        <w:ind w:left="576"/>
      </w:pPr>
      <w:r w:rsidRPr="00DF1884">
        <w:t>Have</w:t>
      </w:r>
      <w:r w:rsidR="00DF1884" w:rsidRPr="00DF1884">
        <w:t xml:space="preserve"> </w:t>
      </w:r>
      <w:r w:rsidRPr="00DF1884">
        <w:t>clinical</w:t>
      </w:r>
      <w:r w:rsidR="00DF1884" w:rsidRPr="00DF1884">
        <w:t xml:space="preserve"> </w:t>
      </w:r>
      <w:r w:rsidRPr="00DF1884">
        <w:t>trials</w:t>
      </w:r>
      <w:r w:rsidR="00DF1884" w:rsidRPr="00DF1884">
        <w:t xml:space="preserve"> </w:t>
      </w:r>
      <w:r w:rsidRPr="00DF1884">
        <w:t>demonstrated</w:t>
      </w:r>
      <w:r w:rsidR="00DF1884" w:rsidRPr="00DF1884">
        <w:t xml:space="preserve"> </w:t>
      </w:r>
      <w:r w:rsidRPr="00DF1884">
        <w:t>that</w:t>
      </w:r>
      <w:r w:rsidR="00DF1884" w:rsidRPr="00DF1884">
        <w:t xml:space="preserve"> </w:t>
      </w:r>
      <w:r w:rsidRPr="00DF1884">
        <w:t>specific</w:t>
      </w:r>
      <w:r w:rsidR="00DF1884" w:rsidRPr="00DF1884">
        <w:t xml:space="preserve"> </w:t>
      </w:r>
      <w:r w:rsidRPr="00DF1884">
        <w:t>outpatient</w:t>
      </w:r>
      <w:r w:rsidR="00DF1884" w:rsidRPr="00DF1884">
        <w:t xml:space="preserve"> </w:t>
      </w:r>
      <w:r w:rsidRPr="00DF1884">
        <w:t>therapies</w:t>
      </w:r>
      <w:r w:rsidR="00DF1884" w:rsidRPr="00DF1884">
        <w:t xml:space="preserve"> </w:t>
      </w:r>
      <w:r w:rsidRPr="00DF1884">
        <w:t>can</w:t>
      </w:r>
      <w:r w:rsidR="00DF1884" w:rsidRPr="00DF1884">
        <w:t xml:space="preserve"> </w:t>
      </w:r>
      <w:r w:rsidRPr="00DF1884">
        <w:t>reduce</w:t>
      </w:r>
      <w:r w:rsidR="00DF1884" w:rsidRPr="00DF1884">
        <w:t xml:space="preserve"> </w:t>
      </w:r>
      <w:r w:rsidRPr="00DF1884">
        <w:t>the</w:t>
      </w:r>
      <w:r w:rsidR="00DF1884" w:rsidRPr="00DF1884">
        <w:t xml:space="preserve"> </w:t>
      </w:r>
      <w:r w:rsidRPr="00DF1884">
        <w:t>risk</w:t>
      </w:r>
      <w:r w:rsidR="00DF1884" w:rsidRPr="00DF1884">
        <w:t xml:space="preserve"> </w:t>
      </w:r>
      <w:r w:rsidRPr="00DF1884">
        <w:t>of</w:t>
      </w:r>
      <w:r w:rsidR="00DF1884" w:rsidRPr="00DF1884">
        <w:t xml:space="preserve"> </w:t>
      </w:r>
      <w:r w:rsidRPr="00DF1884">
        <w:t>hospitalization?</w:t>
      </w:r>
    </w:p>
    <w:p w14:paraId="69A96D1F" w14:textId="551DDFCB" w:rsidR="00AF6992" w:rsidRPr="00DF1884" w:rsidRDefault="00FB7739" w:rsidP="00AF6992">
      <w:pPr>
        <w:pStyle w:val="Bullet"/>
        <w:numPr>
          <w:ilvl w:val="0"/>
          <w:numId w:val="34"/>
        </w:numPr>
        <w:ind w:left="576"/>
      </w:pPr>
      <w:r w:rsidRPr="00DF1884">
        <w:t>Have</w:t>
      </w:r>
      <w:r w:rsidR="00DF1884" w:rsidRPr="00DF1884">
        <w:t xml:space="preserve"> </w:t>
      </w:r>
      <w:r w:rsidRPr="00DF1884">
        <w:t>observational</w:t>
      </w:r>
      <w:r w:rsidR="00DF1884" w:rsidRPr="00DF1884">
        <w:t xml:space="preserve"> </w:t>
      </w:r>
      <w:r w:rsidRPr="00DF1884">
        <w:t>studies</w:t>
      </w:r>
      <w:r w:rsidR="00DF1884" w:rsidRPr="00DF1884">
        <w:t xml:space="preserve"> </w:t>
      </w:r>
      <w:r w:rsidRPr="00DF1884">
        <w:t>shown</w:t>
      </w:r>
      <w:r w:rsidR="00DF1884" w:rsidRPr="00DF1884">
        <w:t xml:space="preserve"> </w:t>
      </w:r>
      <w:r w:rsidRPr="00DF1884">
        <w:t>associations</w:t>
      </w:r>
      <w:r w:rsidR="00DF1884" w:rsidRPr="00DF1884">
        <w:t xml:space="preserve"> </w:t>
      </w:r>
      <w:r w:rsidRPr="00DF1884">
        <w:t>between</w:t>
      </w:r>
      <w:r w:rsidR="00DF1884" w:rsidRPr="00DF1884">
        <w:t xml:space="preserve"> </w:t>
      </w:r>
      <w:r w:rsidRPr="00DF1884">
        <w:t>specific</w:t>
      </w:r>
      <w:r w:rsidR="00DF1884" w:rsidRPr="00DF1884">
        <w:t xml:space="preserve"> </w:t>
      </w:r>
      <w:r w:rsidRPr="00DF1884">
        <w:t>outpatient</w:t>
      </w:r>
      <w:r w:rsidR="00DF1884" w:rsidRPr="00DF1884">
        <w:t xml:space="preserve"> </w:t>
      </w:r>
      <w:r w:rsidRPr="00DF1884">
        <w:t>therapies</w:t>
      </w:r>
      <w:r w:rsidR="00DF1884" w:rsidRPr="00DF1884">
        <w:t xml:space="preserve"> </w:t>
      </w:r>
      <w:r w:rsidRPr="00DF1884">
        <w:t>and</w:t>
      </w:r>
      <w:r w:rsidR="00DF1884" w:rsidRPr="00DF1884">
        <w:t xml:space="preserve"> </w:t>
      </w:r>
      <w:r w:rsidRPr="00DF1884">
        <w:t>the</w:t>
      </w:r>
      <w:r w:rsidR="00DF1884" w:rsidRPr="00DF1884">
        <w:t xml:space="preserve"> </w:t>
      </w:r>
      <w:r w:rsidRPr="00DF1884">
        <w:t>risk</w:t>
      </w:r>
      <w:r w:rsidR="00DF1884" w:rsidRPr="00DF1884">
        <w:t xml:space="preserve"> </w:t>
      </w:r>
      <w:r w:rsidRPr="00DF1884">
        <w:t>of</w:t>
      </w:r>
      <w:r w:rsidR="00DF1884" w:rsidRPr="00DF1884">
        <w:t xml:space="preserve"> </w:t>
      </w:r>
      <w:r w:rsidRPr="00DF1884">
        <w:t>hospitalization?</w:t>
      </w:r>
      <w:r w:rsidR="00DF1884" w:rsidRPr="00DF1884">
        <w:t xml:space="preserve"> </w:t>
      </w:r>
    </w:p>
    <w:p w14:paraId="4F21775E" w14:textId="7E499CF2" w:rsidR="00AF6992" w:rsidRPr="00DF1884" w:rsidRDefault="00FB7739" w:rsidP="00AF6992">
      <w:pPr>
        <w:pStyle w:val="Bullet"/>
        <w:numPr>
          <w:ilvl w:val="0"/>
          <w:numId w:val="34"/>
        </w:numPr>
        <w:ind w:left="576"/>
      </w:pPr>
      <w:r w:rsidRPr="00DF1884">
        <w:t>Is</w:t>
      </w:r>
      <w:r w:rsidR="00DF1884" w:rsidRPr="00DF1884">
        <w:t xml:space="preserve"> </w:t>
      </w:r>
      <w:r w:rsidRPr="00DF1884">
        <w:t>there</w:t>
      </w:r>
      <w:r w:rsidR="00DF1884" w:rsidRPr="00DF1884">
        <w:t xml:space="preserve"> </w:t>
      </w:r>
      <w:r w:rsidRPr="00DF1884">
        <w:t>general</w:t>
      </w:r>
      <w:r w:rsidR="00DF1884" w:rsidRPr="00DF1884">
        <w:t xml:space="preserve"> </w:t>
      </w:r>
      <w:r w:rsidRPr="00DF1884">
        <w:t>consensus</w:t>
      </w:r>
      <w:r w:rsidR="00DF1884" w:rsidRPr="00DF1884">
        <w:t xml:space="preserve"> </w:t>
      </w:r>
      <w:r w:rsidRPr="00DF1884">
        <w:t>that</w:t>
      </w:r>
      <w:r w:rsidR="00DF1884" w:rsidRPr="00DF1884">
        <w:t xml:space="preserve"> </w:t>
      </w:r>
      <w:r w:rsidRPr="00DF1884">
        <w:t>hospitalizations</w:t>
      </w:r>
      <w:r w:rsidR="00DF1884" w:rsidRPr="00DF1884">
        <w:t xml:space="preserve"> </w:t>
      </w:r>
      <w:r w:rsidRPr="00DF1884">
        <w:t>for</w:t>
      </w:r>
      <w:r w:rsidR="00DF1884" w:rsidRPr="00DF1884">
        <w:t xml:space="preserve"> </w:t>
      </w:r>
      <w:r w:rsidRPr="00DF1884">
        <w:t>these</w:t>
      </w:r>
      <w:r w:rsidR="00DF1884" w:rsidRPr="00DF1884">
        <w:t xml:space="preserve"> </w:t>
      </w:r>
      <w:r w:rsidRPr="00DF1884">
        <w:t>conditions</w:t>
      </w:r>
      <w:r w:rsidR="00DF1884" w:rsidRPr="00DF1884">
        <w:t xml:space="preserve"> </w:t>
      </w:r>
      <w:r w:rsidRPr="00DF1884">
        <w:t>are</w:t>
      </w:r>
      <w:r w:rsidR="00DF1884" w:rsidRPr="00DF1884">
        <w:t xml:space="preserve"> </w:t>
      </w:r>
      <w:r w:rsidRPr="00DF1884">
        <w:t>often</w:t>
      </w:r>
      <w:r w:rsidR="00DF1884" w:rsidRPr="00DF1884">
        <w:t xml:space="preserve"> </w:t>
      </w:r>
      <w:r w:rsidRPr="00DF1884">
        <w:t>avoidable</w:t>
      </w:r>
      <w:r w:rsidR="00DF1884" w:rsidRPr="00DF1884">
        <w:t xml:space="preserve"> </w:t>
      </w:r>
      <w:r w:rsidRPr="00DF1884">
        <w:t>or</w:t>
      </w:r>
      <w:r w:rsidR="00DF1884" w:rsidRPr="00DF1884">
        <w:t xml:space="preserve"> </w:t>
      </w:r>
      <w:r w:rsidRPr="00DF1884">
        <w:t>preventable,</w:t>
      </w:r>
      <w:r w:rsidR="00DF1884" w:rsidRPr="00DF1884">
        <w:t xml:space="preserve"> </w:t>
      </w:r>
      <w:r w:rsidRPr="00DF1884">
        <w:t>if</w:t>
      </w:r>
      <w:r w:rsidR="00DF1884" w:rsidRPr="00DF1884">
        <w:t xml:space="preserve"> </w:t>
      </w:r>
      <w:r w:rsidRPr="00DF1884">
        <w:t>the</w:t>
      </w:r>
      <w:r w:rsidR="00DF1884" w:rsidRPr="00DF1884">
        <w:t xml:space="preserve"> </w:t>
      </w:r>
      <w:r w:rsidRPr="00DF1884">
        <w:t>patient</w:t>
      </w:r>
      <w:r w:rsidR="00DF1884" w:rsidRPr="00DF1884">
        <w:t xml:space="preserve"> </w:t>
      </w:r>
      <w:r w:rsidRPr="00DF1884">
        <w:t>has</w:t>
      </w:r>
      <w:r w:rsidR="00DF1884" w:rsidRPr="00DF1884">
        <w:t xml:space="preserve"> </w:t>
      </w:r>
      <w:r w:rsidRPr="00DF1884">
        <w:t>timely</w:t>
      </w:r>
      <w:r w:rsidR="00DF1884" w:rsidRPr="00DF1884">
        <w:t xml:space="preserve"> </w:t>
      </w:r>
      <w:r w:rsidRPr="00DF1884">
        <w:t>access</w:t>
      </w:r>
      <w:r w:rsidR="00DF1884" w:rsidRPr="00DF1884">
        <w:t xml:space="preserve"> </w:t>
      </w:r>
      <w:r w:rsidRPr="00DF1884">
        <w:t>to</w:t>
      </w:r>
      <w:r w:rsidR="00DF1884" w:rsidRPr="00DF1884">
        <w:t xml:space="preserve"> </w:t>
      </w:r>
      <w:r w:rsidRPr="00DF1884">
        <w:t>high-quality</w:t>
      </w:r>
      <w:r w:rsidR="00DF1884" w:rsidRPr="00DF1884">
        <w:t xml:space="preserve"> </w:t>
      </w:r>
      <w:r w:rsidRPr="00DF1884">
        <w:t>outpatient</w:t>
      </w:r>
      <w:r w:rsidR="00DF1884" w:rsidRPr="00DF1884">
        <w:t xml:space="preserve"> </w:t>
      </w:r>
      <w:r w:rsidRPr="00DF1884">
        <w:t>care?</w:t>
      </w:r>
      <w:r w:rsidR="00DF1884" w:rsidRPr="00DF1884">
        <w:t xml:space="preserve"> </w:t>
      </w:r>
    </w:p>
    <w:p w14:paraId="3C147E15" w14:textId="0350F384" w:rsidR="00FB7739" w:rsidRPr="00DF1884" w:rsidRDefault="00AF6992" w:rsidP="00FB7739">
      <w:pPr>
        <w:pStyle w:val="Body"/>
        <w:spacing w:before="120"/>
      </w:pPr>
      <w:r w:rsidRPr="00DF1884">
        <w:t>T</w:t>
      </w:r>
      <w:r w:rsidR="00FB7739" w:rsidRPr="00DF1884">
        <w:t>hey</w:t>
      </w:r>
      <w:r w:rsidR="00DF1884" w:rsidRPr="00DF1884">
        <w:t xml:space="preserve"> </w:t>
      </w:r>
      <w:r w:rsidR="00FB7739" w:rsidRPr="00DF1884">
        <w:rPr>
          <w:szCs w:val="20"/>
        </w:rPr>
        <w:t>selected</w:t>
      </w:r>
      <w:r w:rsidR="00DF1884" w:rsidRPr="00DF1884">
        <w:rPr>
          <w:szCs w:val="20"/>
        </w:rPr>
        <w:t xml:space="preserve"> </w:t>
      </w:r>
      <w:r w:rsidRPr="00DF1884">
        <w:t>16</w:t>
      </w:r>
      <w:r w:rsidR="00DF1884" w:rsidRPr="00DF1884">
        <w:t xml:space="preserve"> </w:t>
      </w:r>
      <w:r w:rsidRPr="00DF1884">
        <w:t>ASCS</w:t>
      </w:r>
      <w:r w:rsidR="00FB7739" w:rsidRPr="00DF1884">
        <w:t>s</w:t>
      </w:r>
      <w:r w:rsidR="00DF1884" w:rsidRPr="00DF1884">
        <w:t xml:space="preserve"> </w:t>
      </w:r>
      <w:r w:rsidR="00FB7739" w:rsidRPr="00DF1884">
        <w:t>to</w:t>
      </w:r>
      <w:r w:rsidR="00DF1884" w:rsidRPr="00DF1884">
        <w:t xml:space="preserve"> </w:t>
      </w:r>
      <w:r w:rsidR="00FB7739" w:rsidRPr="00DF1884">
        <w:t>be</w:t>
      </w:r>
      <w:r w:rsidR="00DF1884" w:rsidRPr="00DF1884">
        <w:t xml:space="preserve"> </w:t>
      </w:r>
      <w:r w:rsidR="00FB7739" w:rsidRPr="00DF1884">
        <w:t>used</w:t>
      </w:r>
      <w:r w:rsidR="00DF1884" w:rsidRPr="00DF1884">
        <w:t xml:space="preserve"> </w:t>
      </w:r>
      <w:r w:rsidR="00FB7739" w:rsidRPr="00DF1884">
        <w:t>as</w:t>
      </w:r>
      <w:r w:rsidR="00DF1884" w:rsidRPr="00DF1884">
        <w:t xml:space="preserve"> </w:t>
      </w:r>
      <w:r w:rsidR="00FB7739" w:rsidRPr="00DF1884">
        <w:t>area-level</w:t>
      </w:r>
      <w:r w:rsidR="00DF1884" w:rsidRPr="00DF1884">
        <w:t xml:space="preserve"> </w:t>
      </w:r>
      <w:r w:rsidR="00FB7739" w:rsidRPr="00DF1884">
        <w:t>quality</w:t>
      </w:r>
      <w:r w:rsidR="00DF1884" w:rsidRPr="00DF1884">
        <w:t xml:space="preserve"> </w:t>
      </w:r>
      <w:r w:rsidR="00FB7739" w:rsidRPr="00DF1884">
        <w:t>indicators</w:t>
      </w:r>
      <w:r w:rsidR="00DF1884" w:rsidRPr="00DF1884">
        <w:t xml:space="preserve"> </w:t>
      </w:r>
      <w:r w:rsidR="00FB7739" w:rsidRPr="00DF1884">
        <w:t>(dehydration,</w:t>
      </w:r>
      <w:r w:rsidR="00DF1884" w:rsidRPr="00DF1884">
        <w:t xml:space="preserve"> </w:t>
      </w:r>
      <w:r w:rsidR="00FB7739" w:rsidRPr="00DF1884">
        <w:t>bacterial</w:t>
      </w:r>
      <w:r w:rsidR="00DF1884" w:rsidRPr="00DF1884">
        <w:t xml:space="preserve"> </w:t>
      </w:r>
      <w:r w:rsidR="00FB7739" w:rsidRPr="00DF1884">
        <w:t>pneumonia,</w:t>
      </w:r>
      <w:r w:rsidR="00DF1884" w:rsidRPr="00DF1884">
        <w:t xml:space="preserve"> </w:t>
      </w:r>
      <w:r w:rsidRPr="00DF1884">
        <w:t>UTI</w:t>
      </w:r>
      <w:r w:rsidR="00FB7739" w:rsidRPr="00DF1884">
        <w:t>,</w:t>
      </w:r>
      <w:r w:rsidR="00DF1884" w:rsidRPr="00DF1884">
        <w:t xml:space="preserve"> </w:t>
      </w:r>
      <w:r w:rsidR="00FB7739" w:rsidRPr="00DF1884">
        <w:t>perforated</w:t>
      </w:r>
      <w:r w:rsidR="00DF1884" w:rsidRPr="00DF1884">
        <w:t xml:space="preserve"> </w:t>
      </w:r>
      <w:r w:rsidR="00FB7739" w:rsidRPr="00DF1884">
        <w:t>appendix,</w:t>
      </w:r>
      <w:r w:rsidR="00DF1884" w:rsidRPr="00DF1884">
        <w:t xml:space="preserve"> </w:t>
      </w:r>
      <w:r w:rsidR="00FB7739" w:rsidRPr="00DF1884">
        <w:t>angina,</w:t>
      </w:r>
      <w:r w:rsidR="00DF1884" w:rsidRPr="00DF1884">
        <w:t xml:space="preserve"> </w:t>
      </w:r>
      <w:r w:rsidR="00FB7739" w:rsidRPr="00DF1884">
        <w:t>asthma,</w:t>
      </w:r>
      <w:r w:rsidR="00DF1884" w:rsidRPr="00DF1884">
        <w:t xml:space="preserve"> </w:t>
      </w:r>
      <w:r w:rsidR="00FB7739" w:rsidRPr="00DF1884">
        <w:t>COPD,</w:t>
      </w:r>
      <w:r w:rsidR="00DF1884" w:rsidRPr="00DF1884">
        <w:t xml:space="preserve"> </w:t>
      </w:r>
      <w:r w:rsidR="00FB7739" w:rsidRPr="00DF1884">
        <w:t>CHF,</w:t>
      </w:r>
      <w:r w:rsidR="00DF1884" w:rsidRPr="00DF1884">
        <w:t xml:space="preserve"> </w:t>
      </w:r>
      <w:r w:rsidR="00FB7739" w:rsidRPr="00DF1884">
        <w:t>diabetes</w:t>
      </w:r>
      <w:r w:rsidR="00DF1884" w:rsidRPr="00DF1884">
        <w:t xml:space="preserve"> </w:t>
      </w:r>
      <w:r w:rsidR="008117C8" w:rsidRPr="00DF1884">
        <w:t>short-term</w:t>
      </w:r>
      <w:r w:rsidR="00DF1884" w:rsidRPr="00DF1884">
        <w:t xml:space="preserve"> </w:t>
      </w:r>
      <w:r w:rsidR="00FB7739" w:rsidRPr="00DF1884">
        <w:t>complications,</w:t>
      </w:r>
      <w:r w:rsidR="00DF1884" w:rsidRPr="00DF1884">
        <w:t xml:space="preserve"> </w:t>
      </w:r>
      <w:r w:rsidR="00FB7739" w:rsidRPr="00DF1884">
        <w:t>uncontrolled</w:t>
      </w:r>
      <w:r w:rsidR="00DF1884" w:rsidRPr="00DF1884">
        <w:t xml:space="preserve"> </w:t>
      </w:r>
      <w:r w:rsidR="00FB7739" w:rsidRPr="00DF1884">
        <w:t>diabetes,</w:t>
      </w:r>
      <w:r w:rsidR="00DF1884" w:rsidRPr="00DF1884">
        <w:t xml:space="preserve"> </w:t>
      </w:r>
      <w:r w:rsidR="00FB7739" w:rsidRPr="00DF1884">
        <w:t>diabetes</w:t>
      </w:r>
      <w:r w:rsidR="00DF1884" w:rsidRPr="00DF1884">
        <w:t xml:space="preserve"> </w:t>
      </w:r>
      <w:r w:rsidR="008117C8" w:rsidRPr="00DF1884">
        <w:t>long-term</w:t>
      </w:r>
      <w:r w:rsidR="00DF1884" w:rsidRPr="00DF1884">
        <w:t xml:space="preserve"> </w:t>
      </w:r>
      <w:r w:rsidR="00FB7739" w:rsidRPr="00DF1884">
        <w:t>complications,</w:t>
      </w:r>
      <w:r w:rsidR="00DF1884" w:rsidRPr="00DF1884">
        <w:t xml:space="preserve"> </w:t>
      </w:r>
      <w:r w:rsidR="00FB7739" w:rsidRPr="00DF1884">
        <w:t>lower</w:t>
      </w:r>
      <w:r w:rsidR="00DF1884" w:rsidRPr="00DF1884">
        <w:t xml:space="preserve"> </w:t>
      </w:r>
      <w:r w:rsidR="00FB7739" w:rsidRPr="00DF1884">
        <w:t>extremity</w:t>
      </w:r>
      <w:r w:rsidR="00DF1884" w:rsidRPr="00DF1884">
        <w:t xml:space="preserve"> </w:t>
      </w:r>
      <w:r w:rsidR="00FB7739" w:rsidRPr="00DF1884">
        <w:t>amputation</w:t>
      </w:r>
      <w:r w:rsidR="00DF1884" w:rsidRPr="00DF1884">
        <w:t xml:space="preserve"> </w:t>
      </w:r>
      <w:r w:rsidR="00FB7739" w:rsidRPr="00DF1884">
        <w:t>in</w:t>
      </w:r>
      <w:r w:rsidR="00DF1884" w:rsidRPr="00DF1884">
        <w:t xml:space="preserve"> </w:t>
      </w:r>
      <w:r w:rsidR="00FB7739" w:rsidRPr="00DF1884">
        <w:t>diabetics,</w:t>
      </w:r>
      <w:r w:rsidR="00DF1884" w:rsidRPr="00DF1884">
        <w:t xml:space="preserve"> </w:t>
      </w:r>
      <w:r w:rsidR="00FB7739" w:rsidRPr="00DF1884">
        <w:t>hypertension,</w:t>
      </w:r>
      <w:r w:rsidR="00DF1884" w:rsidRPr="00DF1884">
        <w:t xml:space="preserve"> </w:t>
      </w:r>
      <w:r w:rsidR="00FB7739" w:rsidRPr="00DF1884">
        <w:t>low</w:t>
      </w:r>
      <w:r w:rsidR="00DF1884" w:rsidRPr="00DF1884">
        <w:t xml:space="preserve"> </w:t>
      </w:r>
      <w:r w:rsidR="00FB7739" w:rsidRPr="00DF1884">
        <w:t>birth</w:t>
      </w:r>
      <w:r w:rsidR="00DF1884" w:rsidRPr="00DF1884">
        <w:t xml:space="preserve"> </w:t>
      </w:r>
      <w:r w:rsidR="00FB7739" w:rsidRPr="00DF1884">
        <w:t>weight,</w:t>
      </w:r>
      <w:r w:rsidR="00DF1884" w:rsidRPr="00DF1884">
        <w:t xml:space="preserve"> </w:t>
      </w:r>
      <w:r w:rsidR="00FB7739" w:rsidRPr="00DF1884">
        <w:t>pediatric</w:t>
      </w:r>
      <w:r w:rsidR="00DF1884" w:rsidRPr="00DF1884">
        <w:t xml:space="preserve"> </w:t>
      </w:r>
      <w:r w:rsidR="00FB7739" w:rsidRPr="00DF1884">
        <w:t>asthma</w:t>
      </w:r>
      <w:r w:rsidRPr="00DF1884">
        <w:t>,</w:t>
      </w:r>
      <w:r w:rsidR="00DF1884" w:rsidRPr="00DF1884">
        <w:t xml:space="preserve"> </w:t>
      </w:r>
      <w:r w:rsidR="00FB7739" w:rsidRPr="00DF1884">
        <w:t>pediatric</w:t>
      </w:r>
      <w:r w:rsidR="00DF1884" w:rsidRPr="00DF1884">
        <w:t xml:space="preserve"> </w:t>
      </w:r>
      <w:r w:rsidR="00FB7739" w:rsidRPr="00DF1884">
        <w:t>gastroenteritis).</w:t>
      </w:r>
    </w:p>
    <w:p w14:paraId="7935BD39" w14:textId="75EE7DBF" w:rsidR="00FB7739" w:rsidRPr="00DF1884" w:rsidRDefault="00FB7739" w:rsidP="00FB7739">
      <w:pPr>
        <w:pStyle w:val="Body"/>
        <w:spacing w:before="120"/>
      </w:pPr>
      <w:r w:rsidRPr="00DF1884">
        <w:t>In</w:t>
      </w:r>
      <w:r w:rsidR="00DF1884" w:rsidRPr="00DF1884">
        <w:t xml:space="preserve"> </w:t>
      </w:r>
      <w:r w:rsidRPr="00DF1884">
        <w:t>general</w:t>
      </w:r>
      <w:r w:rsidR="00AF6992" w:rsidRPr="00DF1884">
        <w:t>,</w:t>
      </w:r>
      <w:r w:rsidR="00DF1884" w:rsidRPr="00DF1884">
        <w:t xml:space="preserve"> </w:t>
      </w:r>
      <w:r w:rsidRPr="00DF1884">
        <w:t>the</w:t>
      </w:r>
      <w:r w:rsidR="00DF1884" w:rsidRPr="00DF1884">
        <w:t xml:space="preserve"> </w:t>
      </w:r>
      <w:r w:rsidRPr="00DF1884">
        <w:t>AHRQ,</w:t>
      </w:r>
      <w:r w:rsidR="00DF1884" w:rsidRPr="00DF1884">
        <w:t xml:space="preserve"> </w:t>
      </w:r>
      <w:r w:rsidRPr="00DF1884">
        <w:t>UCSF</w:t>
      </w:r>
      <w:r w:rsidR="00DF1884" w:rsidRPr="00DF1884">
        <w:t xml:space="preserve"> </w:t>
      </w:r>
      <w:r w:rsidRPr="00DF1884">
        <w:t>and</w:t>
      </w:r>
      <w:r w:rsidR="00DF1884" w:rsidRPr="00DF1884">
        <w:t xml:space="preserve"> </w:t>
      </w:r>
      <w:r w:rsidRPr="00DF1884">
        <w:t>Stanford</w:t>
      </w:r>
      <w:r w:rsidR="00DF1884" w:rsidRPr="00DF1884">
        <w:t xml:space="preserve"> </w:t>
      </w:r>
      <w:r w:rsidRPr="00DF1884">
        <w:t>research</w:t>
      </w:r>
      <w:r w:rsidR="00DF1884" w:rsidRPr="00DF1884">
        <w:t xml:space="preserve"> </w:t>
      </w:r>
      <w:r w:rsidRPr="00DF1884">
        <w:t>team</w:t>
      </w:r>
      <w:r w:rsidR="00DF1884" w:rsidRPr="00DF1884">
        <w:t xml:space="preserve"> </w:t>
      </w:r>
      <w:r w:rsidRPr="00DF1884">
        <w:t>(</w:t>
      </w:r>
      <w:r w:rsidR="00AF6992" w:rsidRPr="00DF1884">
        <w:t>“the</w:t>
      </w:r>
      <w:r w:rsidR="00DF1884" w:rsidRPr="00DF1884">
        <w:t xml:space="preserve"> </w:t>
      </w:r>
      <w:r w:rsidRPr="00DF1884">
        <w:t>AHRQ</w:t>
      </w:r>
      <w:r w:rsidR="00DF1884" w:rsidRPr="00DF1884">
        <w:t xml:space="preserve"> </w:t>
      </w:r>
      <w:r w:rsidRPr="00DF1884">
        <w:t>team</w:t>
      </w:r>
      <w:r w:rsidR="00AF6992" w:rsidRPr="00DF1884">
        <w:t>”</w:t>
      </w:r>
      <w:r w:rsidRPr="00DF1884">
        <w:t>)</w:t>
      </w:r>
      <w:r w:rsidR="00DF1884" w:rsidRPr="00DF1884">
        <w:t xml:space="preserve"> </w:t>
      </w:r>
      <w:r w:rsidRPr="00DF1884">
        <w:t>found</w:t>
      </w:r>
      <w:r w:rsidR="00DF1884" w:rsidRPr="00DF1884">
        <w:t xml:space="preserve"> </w:t>
      </w:r>
      <w:r w:rsidRPr="00DF1884">
        <w:t>little</w:t>
      </w:r>
      <w:r w:rsidR="00DF1884" w:rsidRPr="00DF1884">
        <w:t xml:space="preserve"> </w:t>
      </w:r>
      <w:r w:rsidRPr="00DF1884">
        <w:t>published</w:t>
      </w:r>
      <w:r w:rsidR="00DF1884" w:rsidRPr="00DF1884">
        <w:t xml:space="preserve"> </w:t>
      </w:r>
      <w:r w:rsidRPr="00DF1884">
        <w:t>evidence</w:t>
      </w:r>
      <w:r w:rsidR="00DF1884" w:rsidRPr="00DF1884">
        <w:t xml:space="preserve"> </w:t>
      </w:r>
      <w:r w:rsidRPr="00DF1884">
        <w:t>for</w:t>
      </w:r>
      <w:r w:rsidR="00DF1884" w:rsidRPr="00DF1884">
        <w:t xml:space="preserve"> </w:t>
      </w:r>
      <w:r w:rsidRPr="00DF1884">
        <w:t>individual</w:t>
      </w:r>
      <w:r w:rsidR="00DF1884" w:rsidRPr="00DF1884">
        <w:t xml:space="preserve"> </w:t>
      </w:r>
      <w:r w:rsidRPr="00DF1884">
        <w:t>indicators,</w:t>
      </w:r>
      <w:r w:rsidR="00DF1884" w:rsidRPr="00DF1884">
        <w:t xml:space="preserve"> </w:t>
      </w:r>
      <w:r w:rsidRPr="00DF1884">
        <w:t>presumably</w:t>
      </w:r>
      <w:r w:rsidR="00DF1884" w:rsidRPr="00DF1884">
        <w:t xml:space="preserve"> </w:t>
      </w:r>
      <w:r w:rsidRPr="00DF1884">
        <w:t>due</w:t>
      </w:r>
      <w:r w:rsidR="00DF1884" w:rsidRPr="00DF1884">
        <w:t xml:space="preserve"> </w:t>
      </w:r>
      <w:r w:rsidRPr="00DF1884">
        <w:t>to</w:t>
      </w:r>
      <w:r w:rsidR="00DF1884" w:rsidRPr="00DF1884">
        <w:t xml:space="preserve"> </w:t>
      </w:r>
      <w:r w:rsidRPr="00DF1884">
        <w:t>the</w:t>
      </w:r>
      <w:r w:rsidR="00DF1884" w:rsidRPr="00DF1884">
        <w:t xml:space="preserve"> </w:t>
      </w:r>
      <w:r w:rsidRPr="00DF1884">
        <w:t>common</w:t>
      </w:r>
      <w:r w:rsidR="00DF1884" w:rsidRPr="00DF1884">
        <w:t xml:space="preserve"> </w:t>
      </w:r>
      <w:r w:rsidRPr="00DF1884">
        <w:t>usage</w:t>
      </w:r>
      <w:r w:rsidR="00DF1884" w:rsidRPr="00DF1884">
        <w:t xml:space="preserve"> </w:t>
      </w:r>
      <w:r w:rsidRPr="00DF1884">
        <w:t>of</w:t>
      </w:r>
      <w:r w:rsidR="00DF1884" w:rsidRPr="00DF1884">
        <w:t xml:space="preserve"> </w:t>
      </w:r>
      <w:r w:rsidRPr="00DF1884">
        <w:t>indicators</w:t>
      </w:r>
      <w:r w:rsidR="00DF1884" w:rsidRPr="00DF1884">
        <w:t xml:space="preserve"> </w:t>
      </w:r>
      <w:r w:rsidRPr="00DF1884">
        <w:t>within</w:t>
      </w:r>
      <w:r w:rsidR="00DF1884" w:rsidRPr="00DF1884">
        <w:t xml:space="preserve"> </w:t>
      </w:r>
      <w:r w:rsidRPr="00DF1884">
        <w:t>sets.</w:t>
      </w:r>
      <w:r w:rsidR="00DF1884" w:rsidRPr="00DF1884">
        <w:rPr>
          <w:i/>
        </w:rPr>
        <w:t xml:space="preserve"> </w:t>
      </w:r>
      <w:r w:rsidRPr="00DF1884">
        <w:t>Most</w:t>
      </w:r>
      <w:r w:rsidR="00DF1884" w:rsidRPr="00DF1884">
        <w:t xml:space="preserve"> </w:t>
      </w:r>
      <w:r w:rsidRPr="00DF1884">
        <w:t>studies</w:t>
      </w:r>
      <w:r w:rsidR="00DF1884" w:rsidRPr="00DF1884">
        <w:t xml:space="preserve"> </w:t>
      </w:r>
      <w:r w:rsidRPr="00DF1884">
        <w:t>examined</w:t>
      </w:r>
      <w:r w:rsidR="00DF1884" w:rsidRPr="00DF1884">
        <w:t xml:space="preserve"> </w:t>
      </w:r>
      <w:r w:rsidRPr="00DF1884">
        <w:t>sets</w:t>
      </w:r>
      <w:r w:rsidR="00DF1884" w:rsidRPr="00DF1884">
        <w:t xml:space="preserve"> </w:t>
      </w:r>
      <w:r w:rsidRPr="00DF1884">
        <w:t>of</w:t>
      </w:r>
      <w:r w:rsidR="00DF1884" w:rsidRPr="00DF1884">
        <w:t xml:space="preserve"> </w:t>
      </w:r>
      <w:r w:rsidRPr="00DF1884">
        <w:t>ACSC</w:t>
      </w:r>
      <w:r w:rsidR="00DF1884" w:rsidRPr="00DF1884">
        <w:t xml:space="preserve"> </w:t>
      </w:r>
      <w:r w:rsidRPr="00DF1884">
        <w:t>conditions</w:t>
      </w:r>
      <w:r w:rsidR="00DF1884" w:rsidRPr="00DF1884">
        <w:t xml:space="preserve"> </w:t>
      </w:r>
      <w:r w:rsidRPr="00DF1884">
        <w:t>without</w:t>
      </w:r>
      <w:r w:rsidR="00DF1884" w:rsidRPr="00DF1884">
        <w:t xml:space="preserve"> </w:t>
      </w:r>
      <w:r w:rsidRPr="00DF1884">
        <w:t>providing</w:t>
      </w:r>
      <w:r w:rsidR="00DF1884" w:rsidRPr="00DF1884">
        <w:t xml:space="preserve"> </w:t>
      </w:r>
      <w:r w:rsidRPr="00DF1884">
        <w:t>data</w:t>
      </w:r>
      <w:r w:rsidR="00DF1884" w:rsidRPr="00DF1884">
        <w:t xml:space="preserve"> </w:t>
      </w:r>
      <w:r w:rsidRPr="00DF1884">
        <w:t>stratified</w:t>
      </w:r>
      <w:r w:rsidR="00DF1884" w:rsidRPr="00DF1884">
        <w:t xml:space="preserve"> </w:t>
      </w:r>
      <w:r w:rsidRPr="00DF1884">
        <w:t>by</w:t>
      </w:r>
      <w:r w:rsidR="00DF1884" w:rsidRPr="00DF1884">
        <w:t xml:space="preserve"> </w:t>
      </w:r>
      <w:r w:rsidRPr="00DF1884">
        <w:t>indicator.</w:t>
      </w:r>
      <w:r w:rsidR="00DF1884" w:rsidRPr="00DF1884">
        <w:t xml:space="preserve"> </w:t>
      </w:r>
      <w:r w:rsidR="00AF6992" w:rsidRPr="00DF1884">
        <w:t>T</w:t>
      </w:r>
      <w:r w:rsidRPr="00DF1884">
        <w:t>he</w:t>
      </w:r>
      <w:r w:rsidR="00DF1884" w:rsidRPr="00DF1884">
        <w:t xml:space="preserve"> </w:t>
      </w:r>
      <w:r w:rsidRPr="00DF1884">
        <w:t>AHRQ</w:t>
      </w:r>
      <w:r w:rsidR="00DF1884" w:rsidRPr="00DF1884">
        <w:t xml:space="preserve"> </w:t>
      </w:r>
      <w:r w:rsidRPr="00DF1884">
        <w:t>team</w:t>
      </w:r>
      <w:r w:rsidR="00DF1884" w:rsidRPr="00DF1884">
        <w:t xml:space="preserve"> </w:t>
      </w:r>
      <w:r w:rsidRPr="00DF1884">
        <w:t>found</w:t>
      </w:r>
      <w:r w:rsidR="00DF1884" w:rsidRPr="00DF1884">
        <w:t xml:space="preserve"> </w:t>
      </w:r>
      <w:r w:rsidR="00AF6992" w:rsidRPr="00DF1884">
        <w:t>that</w:t>
      </w:r>
      <w:r w:rsidR="00DF1884" w:rsidRPr="00DF1884">
        <w:t xml:space="preserve"> </w:t>
      </w:r>
      <w:r w:rsidRPr="00DF1884">
        <w:t>condition</w:t>
      </w:r>
      <w:r w:rsidR="00DF1884" w:rsidRPr="00DF1884">
        <w:t xml:space="preserve"> </w:t>
      </w:r>
      <w:r w:rsidRPr="00DF1884">
        <w:t>prevalence,</w:t>
      </w:r>
      <w:r w:rsidR="00DF1884" w:rsidRPr="00DF1884">
        <w:t xml:space="preserve"> </w:t>
      </w:r>
      <w:r w:rsidRPr="00DF1884">
        <w:t>race</w:t>
      </w:r>
      <w:r w:rsidR="00DF1884" w:rsidRPr="00DF1884">
        <w:t xml:space="preserve"> </w:t>
      </w:r>
      <w:r w:rsidRPr="00DF1884">
        <w:t>and</w:t>
      </w:r>
      <w:r w:rsidR="00DF1884" w:rsidRPr="00DF1884">
        <w:t xml:space="preserve"> </w:t>
      </w:r>
      <w:r w:rsidRPr="00DF1884">
        <w:t>socioeconomic</w:t>
      </w:r>
      <w:r w:rsidR="00DF1884" w:rsidRPr="00DF1884">
        <w:t xml:space="preserve"> </w:t>
      </w:r>
      <w:r w:rsidRPr="00DF1884">
        <w:t>status</w:t>
      </w:r>
      <w:r w:rsidR="00DF1884" w:rsidRPr="00DF1884">
        <w:t xml:space="preserve"> </w:t>
      </w:r>
      <w:r w:rsidRPr="00DF1884">
        <w:t>were</w:t>
      </w:r>
      <w:r w:rsidR="00DF1884" w:rsidRPr="00DF1884">
        <w:t xml:space="preserve"> </w:t>
      </w:r>
      <w:r w:rsidRPr="00DF1884">
        <w:t>independent</w:t>
      </w:r>
      <w:r w:rsidR="00DF1884" w:rsidRPr="00DF1884">
        <w:t xml:space="preserve"> </w:t>
      </w:r>
      <w:r w:rsidRPr="00DF1884">
        <w:t>predictors</w:t>
      </w:r>
      <w:r w:rsidR="00DF1884" w:rsidRPr="00DF1884">
        <w:t xml:space="preserve"> </w:t>
      </w:r>
      <w:r w:rsidRPr="00DF1884">
        <w:t>of</w:t>
      </w:r>
      <w:r w:rsidR="00DF1884" w:rsidRPr="00DF1884">
        <w:t xml:space="preserve"> </w:t>
      </w:r>
      <w:r w:rsidRPr="00DF1884">
        <w:t>the</w:t>
      </w:r>
      <w:r w:rsidR="00DF1884" w:rsidRPr="00DF1884">
        <w:t xml:space="preserve"> </w:t>
      </w:r>
      <w:r w:rsidRPr="00DF1884">
        <w:t>rate</w:t>
      </w:r>
      <w:r w:rsidR="00DF1884" w:rsidRPr="00DF1884">
        <w:t xml:space="preserve"> </w:t>
      </w:r>
      <w:r w:rsidRPr="00DF1884">
        <w:t>of</w:t>
      </w:r>
      <w:r w:rsidR="00DF1884" w:rsidRPr="00DF1884">
        <w:t xml:space="preserve"> </w:t>
      </w:r>
      <w:r w:rsidRPr="00DF1884">
        <w:t>hospitalization</w:t>
      </w:r>
      <w:r w:rsidR="00DF1884" w:rsidRPr="00DF1884">
        <w:t xml:space="preserve"> </w:t>
      </w:r>
      <w:r w:rsidRPr="00DF1884">
        <w:t>for</w:t>
      </w:r>
      <w:r w:rsidR="00DF1884" w:rsidRPr="00DF1884">
        <w:t xml:space="preserve"> </w:t>
      </w:r>
      <w:r w:rsidRPr="00DF1884">
        <w:t>ACSC</w:t>
      </w:r>
      <w:r w:rsidR="00DF1884" w:rsidRPr="00DF1884">
        <w:t xml:space="preserve"> </w:t>
      </w:r>
      <w:r w:rsidRPr="00DF1884">
        <w:t>in</w:t>
      </w:r>
      <w:r w:rsidR="00DF1884" w:rsidRPr="00DF1884">
        <w:t xml:space="preserve"> </w:t>
      </w:r>
      <w:r w:rsidRPr="00DF1884">
        <w:t>the</w:t>
      </w:r>
      <w:r w:rsidR="00DF1884" w:rsidRPr="00DF1884">
        <w:t xml:space="preserve"> </w:t>
      </w:r>
      <w:r w:rsidRPr="00DF1884">
        <w:t>general</w:t>
      </w:r>
      <w:r w:rsidR="00DF1884" w:rsidRPr="00DF1884">
        <w:t xml:space="preserve"> </w:t>
      </w:r>
      <w:r w:rsidRPr="00DF1884">
        <w:t>population.</w:t>
      </w:r>
      <w:r w:rsidR="00DF1884" w:rsidRPr="00DF1884">
        <w:t xml:space="preserve"> </w:t>
      </w:r>
      <w:r w:rsidRPr="00DF1884">
        <w:t>At</w:t>
      </w:r>
      <w:r w:rsidR="00DF1884" w:rsidRPr="00DF1884">
        <w:t xml:space="preserve"> </w:t>
      </w:r>
      <w:r w:rsidRPr="00DF1884">
        <w:t>the</w:t>
      </w:r>
      <w:r w:rsidR="00DF1884" w:rsidRPr="00DF1884">
        <w:t xml:space="preserve"> </w:t>
      </w:r>
      <w:r w:rsidRPr="00DF1884">
        <w:t>individual</w:t>
      </w:r>
      <w:r w:rsidR="00DF1884" w:rsidRPr="00DF1884">
        <w:t xml:space="preserve"> </w:t>
      </w:r>
      <w:r w:rsidRPr="00DF1884">
        <w:t>condition</w:t>
      </w:r>
      <w:r w:rsidR="00DF1884" w:rsidRPr="00DF1884">
        <w:t xml:space="preserve"> </w:t>
      </w:r>
      <w:r w:rsidRPr="00DF1884">
        <w:t>level,</w:t>
      </w:r>
      <w:r w:rsidR="00DF1884" w:rsidRPr="00DF1884">
        <w:t xml:space="preserve"> </w:t>
      </w:r>
      <w:r w:rsidRPr="00DF1884">
        <w:t>self-reported</w:t>
      </w:r>
      <w:r w:rsidR="00DF1884" w:rsidRPr="00DF1884">
        <w:t xml:space="preserve"> </w:t>
      </w:r>
      <w:r w:rsidRPr="00DF1884">
        <w:t>health</w:t>
      </w:r>
      <w:r w:rsidR="00DF1884" w:rsidRPr="00DF1884">
        <w:t xml:space="preserve"> </w:t>
      </w:r>
      <w:r w:rsidRPr="00DF1884">
        <w:t>status,</w:t>
      </w:r>
      <w:r w:rsidR="00DF1884" w:rsidRPr="00DF1884">
        <w:t xml:space="preserve"> </w:t>
      </w:r>
      <w:r w:rsidRPr="00DF1884">
        <w:t>functional</w:t>
      </w:r>
      <w:r w:rsidR="00DF1884" w:rsidRPr="00DF1884">
        <w:t xml:space="preserve"> </w:t>
      </w:r>
      <w:r w:rsidRPr="00DF1884">
        <w:t>limitations,</w:t>
      </w:r>
      <w:r w:rsidR="00DF1884" w:rsidRPr="00DF1884">
        <w:t xml:space="preserve"> </w:t>
      </w:r>
      <w:r w:rsidRPr="00DF1884">
        <w:t>several</w:t>
      </w:r>
      <w:r w:rsidR="00DF1884" w:rsidRPr="00DF1884">
        <w:t xml:space="preserve"> </w:t>
      </w:r>
      <w:r w:rsidRPr="00DF1884">
        <w:t>chronic</w:t>
      </w:r>
      <w:r w:rsidR="00DF1884" w:rsidRPr="00DF1884">
        <w:t xml:space="preserve"> </w:t>
      </w:r>
      <w:r w:rsidRPr="00DF1884">
        <w:t>diseases</w:t>
      </w:r>
      <w:r w:rsidR="00DF1884" w:rsidRPr="00DF1884">
        <w:t xml:space="preserve"> </w:t>
      </w:r>
      <w:r w:rsidRPr="00DF1884">
        <w:t>and</w:t>
      </w:r>
      <w:r w:rsidR="00DF1884" w:rsidRPr="00DF1884">
        <w:t xml:space="preserve"> </w:t>
      </w:r>
      <w:r w:rsidRPr="00DF1884">
        <w:t>a</w:t>
      </w:r>
      <w:r w:rsidR="00DF1884" w:rsidRPr="00DF1884">
        <w:t xml:space="preserve"> </w:t>
      </w:r>
      <w:r w:rsidRPr="00DF1884">
        <w:t>chronic</w:t>
      </w:r>
      <w:r w:rsidR="00DF1884" w:rsidRPr="00DF1884">
        <w:t xml:space="preserve"> </w:t>
      </w:r>
      <w:r w:rsidRPr="00DF1884">
        <w:t>disease</w:t>
      </w:r>
      <w:r w:rsidR="00DF1884" w:rsidRPr="00DF1884">
        <w:t xml:space="preserve"> </w:t>
      </w:r>
      <w:r w:rsidRPr="00DF1884">
        <w:t>risk</w:t>
      </w:r>
      <w:r w:rsidR="00DF1884" w:rsidRPr="00DF1884">
        <w:t xml:space="preserve"> </w:t>
      </w:r>
      <w:r w:rsidRPr="00DF1884">
        <w:t>score</w:t>
      </w:r>
      <w:r w:rsidR="00DF1884" w:rsidRPr="00DF1884">
        <w:t xml:space="preserve"> </w:t>
      </w:r>
      <w:r w:rsidRPr="00DF1884">
        <w:t>are</w:t>
      </w:r>
      <w:r w:rsidR="00DF1884" w:rsidRPr="00DF1884">
        <w:t xml:space="preserve"> </w:t>
      </w:r>
      <w:r w:rsidRPr="00DF1884">
        <w:t>associated</w:t>
      </w:r>
      <w:r w:rsidR="00DF1884" w:rsidRPr="00DF1884">
        <w:t xml:space="preserve"> </w:t>
      </w:r>
      <w:r w:rsidRPr="00DF1884">
        <w:t>with</w:t>
      </w:r>
      <w:r w:rsidR="00DF1884" w:rsidRPr="00DF1884">
        <w:t xml:space="preserve"> </w:t>
      </w:r>
      <w:r w:rsidRPr="00DF1884">
        <w:t>preventable</w:t>
      </w:r>
      <w:r w:rsidR="00DF1884" w:rsidRPr="00DF1884">
        <w:t xml:space="preserve"> </w:t>
      </w:r>
      <w:r w:rsidRPr="00DF1884">
        <w:t>hospitalizations</w:t>
      </w:r>
      <w:r w:rsidR="00DF1884" w:rsidRPr="00DF1884">
        <w:t xml:space="preserve"> </w:t>
      </w:r>
      <w:r w:rsidRPr="00DF1884">
        <w:t>among</w:t>
      </w:r>
      <w:r w:rsidR="00DF1884" w:rsidRPr="00DF1884">
        <w:t xml:space="preserve"> </w:t>
      </w:r>
      <w:r w:rsidRPr="00DF1884">
        <w:t>Medicare</w:t>
      </w:r>
      <w:r w:rsidR="00DF1884" w:rsidRPr="00DF1884">
        <w:t xml:space="preserve"> </w:t>
      </w:r>
      <w:r w:rsidRPr="00DF1884">
        <w:t>beneficiaries.</w:t>
      </w:r>
      <w:r w:rsidR="00DF1884" w:rsidRPr="00DF1884">
        <w:t xml:space="preserve"> </w:t>
      </w:r>
      <w:r w:rsidRPr="00DF1884">
        <w:t>Income</w:t>
      </w:r>
      <w:r w:rsidR="00DF1884" w:rsidRPr="00DF1884">
        <w:t xml:space="preserve"> </w:t>
      </w:r>
      <w:r w:rsidRPr="00DF1884">
        <w:t>was</w:t>
      </w:r>
      <w:r w:rsidR="00DF1884" w:rsidRPr="00DF1884">
        <w:t xml:space="preserve"> </w:t>
      </w:r>
      <w:r w:rsidRPr="00DF1884">
        <w:t>found</w:t>
      </w:r>
      <w:r w:rsidR="00DF1884" w:rsidRPr="00DF1884">
        <w:t xml:space="preserve"> </w:t>
      </w:r>
      <w:r w:rsidRPr="00DF1884">
        <w:t>to</w:t>
      </w:r>
      <w:r w:rsidR="00DF1884" w:rsidRPr="00DF1884">
        <w:t xml:space="preserve"> </w:t>
      </w:r>
      <w:r w:rsidRPr="00DF1884">
        <w:t>be</w:t>
      </w:r>
      <w:r w:rsidR="00DF1884" w:rsidRPr="00DF1884">
        <w:t xml:space="preserve"> </w:t>
      </w:r>
      <w:r w:rsidRPr="00DF1884">
        <w:t>a</w:t>
      </w:r>
      <w:r w:rsidR="00DF1884" w:rsidRPr="00DF1884">
        <w:t xml:space="preserve"> </w:t>
      </w:r>
      <w:r w:rsidRPr="00DF1884">
        <w:t>much</w:t>
      </w:r>
      <w:r w:rsidR="00DF1884" w:rsidRPr="00DF1884">
        <w:t xml:space="preserve"> </w:t>
      </w:r>
      <w:r w:rsidRPr="00DF1884">
        <w:t>less</w:t>
      </w:r>
      <w:r w:rsidR="00DF1884" w:rsidRPr="00DF1884">
        <w:t xml:space="preserve"> </w:t>
      </w:r>
      <w:r w:rsidRPr="00DF1884">
        <w:t>powerful</w:t>
      </w:r>
      <w:r w:rsidR="00DF1884" w:rsidRPr="00DF1884">
        <w:t xml:space="preserve"> </w:t>
      </w:r>
      <w:r w:rsidRPr="00DF1884">
        <w:t>predictor</w:t>
      </w:r>
      <w:r w:rsidR="00DF1884" w:rsidRPr="00DF1884">
        <w:t xml:space="preserve"> </w:t>
      </w:r>
      <w:r w:rsidRPr="00DF1884">
        <w:t>of</w:t>
      </w:r>
      <w:r w:rsidR="00DF1884" w:rsidRPr="00DF1884">
        <w:t xml:space="preserve"> </w:t>
      </w:r>
      <w:r w:rsidRPr="00DF1884">
        <w:t>hospitalization</w:t>
      </w:r>
      <w:r w:rsidR="00DF1884" w:rsidRPr="00DF1884">
        <w:t xml:space="preserve"> </w:t>
      </w:r>
      <w:r w:rsidRPr="00DF1884">
        <w:t>for</w:t>
      </w:r>
      <w:r w:rsidR="00DF1884" w:rsidRPr="00DF1884">
        <w:t xml:space="preserve"> </w:t>
      </w:r>
      <w:r w:rsidRPr="00DF1884">
        <w:t>chronic</w:t>
      </w:r>
      <w:r w:rsidR="00DF1884" w:rsidRPr="00DF1884">
        <w:t xml:space="preserve"> </w:t>
      </w:r>
      <w:r w:rsidRPr="00DF1884">
        <w:t>ACSC</w:t>
      </w:r>
      <w:r w:rsidR="00DF1884" w:rsidRPr="00DF1884">
        <w:t xml:space="preserve"> </w:t>
      </w:r>
      <w:r w:rsidRPr="00DF1884">
        <w:t>among</w:t>
      </w:r>
      <w:r w:rsidR="00DF1884" w:rsidRPr="00DF1884">
        <w:t xml:space="preserve"> </w:t>
      </w:r>
      <w:r w:rsidRPr="00DF1884">
        <w:t>Medicare</w:t>
      </w:r>
      <w:r w:rsidR="00DF1884" w:rsidRPr="00DF1884">
        <w:t xml:space="preserve"> </w:t>
      </w:r>
      <w:r w:rsidRPr="00DF1884">
        <w:t>beneficiaries</w:t>
      </w:r>
      <w:r w:rsidR="00AF6992" w:rsidRPr="00DF1884">
        <w:t>,</w:t>
      </w:r>
      <w:r w:rsidR="00DF1884" w:rsidRPr="00DF1884">
        <w:t xml:space="preserve"> </w:t>
      </w:r>
      <w:r w:rsidRPr="00DF1884">
        <w:t>after</w:t>
      </w:r>
      <w:r w:rsidR="00DF1884" w:rsidRPr="00DF1884">
        <w:t xml:space="preserve"> </w:t>
      </w:r>
      <w:r w:rsidRPr="00DF1884">
        <w:t>adjusting</w:t>
      </w:r>
      <w:r w:rsidR="00DF1884" w:rsidRPr="00DF1884">
        <w:t xml:space="preserve"> </w:t>
      </w:r>
      <w:r w:rsidRPr="00DF1884">
        <w:t>for</w:t>
      </w:r>
      <w:r w:rsidR="00DF1884" w:rsidRPr="00DF1884">
        <w:t xml:space="preserve"> </w:t>
      </w:r>
      <w:r w:rsidRPr="00DF1884">
        <w:t>health</w:t>
      </w:r>
      <w:r w:rsidR="00DF1884" w:rsidRPr="00DF1884">
        <w:t xml:space="preserve"> </w:t>
      </w:r>
      <w:r w:rsidRPr="00DF1884">
        <w:t>factors</w:t>
      </w:r>
      <w:r w:rsidR="00DF1884" w:rsidRPr="00DF1884">
        <w:t xml:space="preserve"> </w:t>
      </w:r>
      <w:r w:rsidRPr="00DF1884">
        <w:t>(Davies</w:t>
      </w:r>
      <w:r w:rsidR="00DF1884" w:rsidRPr="00DF1884">
        <w:t xml:space="preserve"> </w:t>
      </w:r>
      <w:r w:rsidRPr="00DF1884">
        <w:t>2001).</w:t>
      </w:r>
      <w:r w:rsidR="00DF1884" w:rsidRPr="00DF1884">
        <w:rPr>
          <w:i/>
        </w:rPr>
        <w:t xml:space="preserve"> </w:t>
      </w:r>
    </w:p>
    <w:p w14:paraId="526562D0" w14:textId="17C74BE9" w:rsidR="00AF6992" w:rsidRPr="00DF1884" w:rsidRDefault="00AF6992" w:rsidP="00AF6992">
      <w:pPr>
        <w:pStyle w:val="Body"/>
      </w:pPr>
      <w:r w:rsidRPr="00DF1884">
        <w:t>Although</w:t>
      </w:r>
      <w:r w:rsidR="00DF1884" w:rsidRPr="00DF1884">
        <w:t xml:space="preserve"> </w:t>
      </w:r>
      <w:r w:rsidR="00FB7739" w:rsidRPr="00DF1884">
        <w:t>many</w:t>
      </w:r>
      <w:r w:rsidR="00DF1884" w:rsidRPr="00DF1884">
        <w:t xml:space="preserve"> </w:t>
      </w:r>
      <w:r w:rsidR="00FB7739" w:rsidRPr="00DF1884">
        <w:t>studies</w:t>
      </w:r>
      <w:r w:rsidR="00DF1884" w:rsidRPr="00DF1884">
        <w:t xml:space="preserve"> </w:t>
      </w:r>
      <w:r w:rsidR="00FB7739" w:rsidRPr="00DF1884">
        <w:t>have</w:t>
      </w:r>
      <w:r w:rsidR="00DF1884" w:rsidRPr="00DF1884">
        <w:t xml:space="preserve"> </w:t>
      </w:r>
      <w:r w:rsidR="00FB7739" w:rsidRPr="00DF1884">
        <w:t>been</w:t>
      </w:r>
      <w:r w:rsidR="00DF1884" w:rsidRPr="00DF1884">
        <w:t xml:space="preserve"> </w:t>
      </w:r>
      <w:r w:rsidR="00FB7739" w:rsidRPr="00DF1884">
        <w:t>published</w:t>
      </w:r>
      <w:r w:rsidR="00DF1884" w:rsidRPr="00DF1884">
        <w:t xml:space="preserve"> </w:t>
      </w:r>
      <w:r w:rsidR="00FB7739" w:rsidRPr="00DF1884">
        <w:t>about</w:t>
      </w:r>
      <w:r w:rsidR="00DF1884" w:rsidRPr="00DF1884">
        <w:t xml:space="preserve"> </w:t>
      </w:r>
      <w:r w:rsidR="00FB7739" w:rsidRPr="00DF1884">
        <w:t>the</w:t>
      </w:r>
      <w:r w:rsidR="00DF1884" w:rsidRPr="00DF1884">
        <w:t xml:space="preserve"> </w:t>
      </w:r>
      <w:r w:rsidR="00FB7739" w:rsidRPr="00DF1884">
        <w:t>association</w:t>
      </w:r>
      <w:r w:rsidR="00DF1884" w:rsidRPr="00DF1884">
        <w:t xml:space="preserve"> </w:t>
      </w:r>
      <w:r w:rsidR="00FB7739" w:rsidRPr="00DF1884">
        <w:t>between</w:t>
      </w:r>
      <w:r w:rsidR="00DF1884" w:rsidRPr="00DF1884">
        <w:t xml:space="preserve"> </w:t>
      </w:r>
      <w:r w:rsidR="00FB7739" w:rsidRPr="00DF1884">
        <w:t>access</w:t>
      </w:r>
      <w:r w:rsidR="00DF1884" w:rsidRPr="00DF1884">
        <w:t xml:space="preserve"> </w:t>
      </w:r>
      <w:r w:rsidR="00FB7739" w:rsidRPr="00DF1884">
        <w:t>to</w:t>
      </w:r>
      <w:r w:rsidR="00DF1884" w:rsidRPr="00DF1884">
        <w:t xml:space="preserve"> </w:t>
      </w:r>
      <w:r w:rsidR="00FB7739" w:rsidRPr="00DF1884">
        <w:t>care</w:t>
      </w:r>
      <w:r w:rsidR="00DF1884" w:rsidRPr="00DF1884">
        <w:t xml:space="preserve"> </w:t>
      </w:r>
      <w:r w:rsidR="00FB7739" w:rsidRPr="00DF1884">
        <w:t>and</w:t>
      </w:r>
      <w:r w:rsidR="00DF1884" w:rsidRPr="00DF1884">
        <w:t xml:space="preserve"> </w:t>
      </w:r>
      <w:r w:rsidR="00FB7739" w:rsidRPr="00DF1884">
        <w:t>ACSC</w:t>
      </w:r>
      <w:r w:rsidR="00DF1884" w:rsidRPr="00DF1884">
        <w:t xml:space="preserve"> </w:t>
      </w:r>
      <w:r w:rsidR="00FB7739" w:rsidRPr="00DF1884">
        <w:t>hospitalization,</w:t>
      </w:r>
      <w:r w:rsidR="00DF1884" w:rsidRPr="00DF1884">
        <w:t xml:space="preserve"> </w:t>
      </w:r>
      <w:r w:rsidR="00FB7739" w:rsidRPr="00DF1884">
        <w:t>AHRQ</w:t>
      </w:r>
      <w:r w:rsidR="00DF1884" w:rsidRPr="00DF1884">
        <w:t xml:space="preserve"> </w:t>
      </w:r>
      <w:r w:rsidR="00FB7739" w:rsidRPr="00DF1884">
        <w:t>found</w:t>
      </w:r>
      <w:r w:rsidR="00DF1884" w:rsidRPr="00DF1884">
        <w:t xml:space="preserve"> </w:t>
      </w:r>
      <w:r w:rsidR="00FB7739" w:rsidRPr="00DF1884">
        <w:t>few</w:t>
      </w:r>
      <w:r w:rsidR="00DF1884" w:rsidRPr="00DF1884">
        <w:t xml:space="preserve"> </w:t>
      </w:r>
      <w:r w:rsidR="00FB7739" w:rsidRPr="00DF1884">
        <w:t>that</w:t>
      </w:r>
      <w:r w:rsidR="00DF1884" w:rsidRPr="00DF1884">
        <w:t xml:space="preserve"> </w:t>
      </w:r>
      <w:r w:rsidR="00FB7739" w:rsidRPr="00DF1884">
        <w:t>tested</w:t>
      </w:r>
      <w:r w:rsidR="00DF1884" w:rsidRPr="00DF1884">
        <w:t xml:space="preserve"> </w:t>
      </w:r>
      <w:r w:rsidR="00FB7739" w:rsidRPr="00DF1884">
        <w:t>true</w:t>
      </w:r>
      <w:r w:rsidR="00DF1884" w:rsidRPr="00DF1884">
        <w:t xml:space="preserve"> </w:t>
      </w:r>
      <w:r w:rsidR="00FB7739" w:rsidRPr="00DF1884">
        <w:t>measures</w:t>
      </w:r>
      <w:r w:rsidR="00DF1884" w:rsidRPr="00DF1884">
        <w:t xml:space="preserve"> </w:t>
      </w:r>
      <w:r w:rsidR="00FB7739" w:rsidRPr="00DF1884">
        <w:t>of</w:t>
      </w:r>
      <w:r w:rsidR="00DF1884" w:rsidRPr="00DF1884">
        <w:t xml:space="preserve"> </w:t>
      </w:r>
      <w:r w:rsidR="00FB7739" w:rsidRPr="00DF1884">
        <w:t>access</w:t>
      </w:r>
      <w:r w:rsidR="00DF1884" w:rsidRPr="00DF1884">
        <w:t xml:space="preserve"> </w:t>
      </w:r>
      <w:r w:rsidR="00FB7739" w:rsidRPr="00DF1884">
        <w:t>to</w:t>
      </w:r>
      <w:r w:rsidR="00DF1884" w:rsidRPr="00DF1884">
        <w:t xml:space="preserve"> </w:t>
      </w:r>
      <w:r w:rsidR="00FB7739" w:rsidRPr="00DF1884">
        <w:t>care</w:t>
      </w:r>
      <w:r w:rsidR="00DF1884" w:rsidRPr="00DF1884">
        <w:t xml:space="preserve"> </w:t>
      </w:r>
      <w:r w:rsidR="00FB7739" w:rsidRPr="00DF1884">
        <w:t>as</w:t>
      </w:r>
      <w:r w:rsidR="00DF1884" w:rsidRPr="00DF1884">
        <w:t xml:space="preserve"> </w:t>
      </w:r>
      <w:r w:rsidR="00FB7739" w:rsidRPr="00DF1884">
        <w:t>opposed</w:t>
      </w:r>
      <w:r w:rsidR="00DF1884" w:rsidRPr="00DF1884">
        <w:t xml:space="preserve"> </w:t>
      </w:r>
      <w:r w:rsidR="00FB7739" w:rsidRPr="00DF1884">
        <w:t>to</w:t>
      </w:r>
      <w:r w:rsidR="00DF1884" w:rsidRPr="00DF1884">
        <w:t xml:space="preserve"> </w:t>
      </w:r>
      <w:r w:rsidR="00FB7739" w:rsidRPr="00DF1884">
        <w:t>socioeconomic</w:t>
      </w:r>
      <w:r w:rsidR="00DF1884" w:rsidRPr="00DF1884">
        <w:t xml:space="preserve"> </w:t>
      </w:r>
      <w:r w:rsidR="00FB7739" w:rsidRPr="00DF1884">
        <w:t>status</w:t>
      </w:r>
      <w:r w:rsidRPr="00DF1884">
        <w:t>.</w:t>
      </w:r>
      <w:r w:rsidR="00DF1884" w:rsidRPr="00DF1884">
        <w:t xml:space="preserve"> </w:t>
      </w:r>
      <w:r w:rsidRPr="00DF1884">
        <w:t>O</w:t>
      </w:r>
      <w:r w:rsidR="00FB7739" w:rsidRPr="00DF1884">
        <w:t>ne</w:t>
      </w:r>
      <w:r w:rsidR="00DF1884" w:rsidRPr="00DF1884">
        <w:t xml:space="preserve"> </w:t>
      </w:r>
      <w:r w:rsidRPr="00DF1884">
        <w:t>study</w:t>
      </w:r>
      <w:r w:rsidR="00DF1884" w:rsidRPr="00DF1884">
        <w:t xml:space="preserve"> </w:t>
      </w:r>
      <w:r w:rsidRPr="00DF1884">
        <w:t>that</w:t>
      </w:r>
      <w:r w:rsidR="00DF1884" w:rsidRPr="00DF1884">
        <w:t xml:space="preserve"> </w:t>
      </w:r>
      <w:r w:rsidR="00FB7739" w:rsidRPr="00DF1884">
        <w:t>used</w:t>
      </w:r>
      <w:r w:rsidR="00DF1884" w:rsidRPr="00DF1884">
        <w:t xml:space="preserve"> </w:t>
      </w:r>
      <w:r w:rsidR="00FB7739" w:rsidRPr="00DF1884">
        <w:t>survey</w:t>
      </w:r>
      <w:r w:rsidR="00DF1884" w:rsidRPr="00DF1884">
        <w:t xml:space="preserve"> </w:t>
      </w:r>
      <w:r w:rsidR="00FB7739" w:rsidRPr="00DF1884">
        <w:t>day</w:t>
      </w:r>
      <w:r w:rsidR="00DF1884" w:rsidRPr="00DF1884">
        <w:t xml:space="preserve"> </w:t>
      </w:r>
      <w:r w:rsidR="00FB7739" w:rsidRPr="00DF1884">
        <w:t>from</w:t>
      </w:r>
      <w:r w:rsidR="00DF1884" w:rsidRPr="00DF1884">
        <w:t xml:space="preserve"> </w:t>
      </w:r>
      <w:r w:rsidR="00FB7739" w:rsidRPr="00DF1884">
        <w:t>the</w:t>
      </w:r>
      <w:r w:rsidR="00DF1884" w:rsidRPr="00DF1884">
        <w:t xml:space="preserve"> </w:t>
      </w:r>
      <w:r w:rsidR="00FB7739" w:rsidRPr="00DF1884">
        <w:t>Medicare</w:t>
      </w:r>
      <w:r w:rsidR="00DF1884" w:rsidRPr="00DF1884">
        <w:t xml:space="preserve"> </w:t>
      </w:r>
      <w:r w:rsidR="00FB7739" w:rsidRPr="00DF1884">
        <w:t>Current</w:t>
      </w:r>
      <w:r w:rsidR="00DF1884" w:rsidRPr="00DF1884">
        <w:t xml:space="preserve"> </w:t>
      </w:r>
      <w:r w:rsidR="00FB7739" w:rsidRPr="00DF1884">
        <w:t>Beneficiaries</w:t>
      </w:r>
      <w:r w:rsidR="00DF1884" w:rsidRPr="00DF1884">
        <w:t xml:space="preserve"> </w:t>
      </w:r>
      <w:r w:rsidR="00FB7739" w:rsidRPr="00DF1884">
        <w:t>Survey</w:t>
      </w:r>
      <w:r w:rsidR="00DF1884" w:rsidRPr="00DF1884">
        <w:t xml:space="preserve"> </w:t>
      </w:r>
      <w:r w:rsidR="00FB7739" w:rsidRPr="00DF1884">
        <w:t>(MCBS)</w:t>
      </w:r>
      <w:r w:rsidR="00DF1884" w:rsidRPr="00DF1884">
        <w:t xml:space="preserve"> </w:t>
      </w:r>
      <w:r w:rsidR="00FB7739" w:rsidRPr="00DF1884">
        <w:t>is</w:t>
      </w:r>
      <w:r w:rsidR="00DF1884" w:rsidRPr="00DF1884">
        <w:t xml:space="preserve"> </w:t>
      </w:r>
      <w:r w:rsidR="00FB7739" w:rsidRPr="00DF1884">
        <w:t>described</w:t>
      </w:r>
      <w:r w:rsidR="00DF1884" w:rsidRPr="00DF1884">
        <w:t xml:space="preserve"> </w:t>
      </w:r>
      <w:r w:rsidR="00FB7739" w:rsidRPr="00DF1884">
        <w:t>above</w:t>
      </w:r>
      <w:r w:rsidR="00DF1884" w:rsidRPr="00DF1884">
        <w:t xml:space="preserve"> </w:t>
      </w:r>
      <w:r w:rsidR="00FB7739" w:rsidRPr="00DF1884">
        <w:t>(McCall</w:t>
      </w:r>
      <w:r w:rsidR="00DF1884" w:rsidRPr="00DF1884">
        <w:t xml:space="preserve"> </w:t>
      </w:r>
      <w:r w:rsidR="00FB7739" w:rsidRPr="00DF1884">
        <w:t>2004).</w:t>
      </w:r>
      <w:r w:rsidR="00DF1884" w:rsidRPr="00DF1884">
        <w:t xml:space="preserve"> </w:t>
      </w:r>
      <w:r w:rsidR="00FB7739" w:rsidRPr="00DF1884">
        <w:t>Bindman</w:t>
      </w:r>
      <w:r w:rsidR="00DF1884" w:rsidRPr="00DF1884">
        <w:t xml:space="preserve"> </w:t>
      </w:r>
      <w:r w:rsidR="00FB7739" w:rsidRPr="00DF1884">
        <w:t>and</w:t>
      </w:r>
      <w:r w:rsidR="00DF1884" w:rsidRPr="00DF1884">
        <w:t xml:space="preserve"> </w:t>
      </w:r>
      <w:r w:rsidR="00FB7739" w:rsidRPr="00DF1884">
        <w:t>colleagues</w:t>
      </w:r>
      <w:r w:rsidR="00DF1884" w:rsidRPr="00DF1884">
        <w:t xml:space="preserve"> </w:t>
      </w:r>
      <w:r w:rsidR="00FB7739" w:rsidRPr="00DF1884">
        <w:t>found</w:t>
      </w:r>
      <w:r w:rsidR="00DF1884" w:rsidRPr="00DF1884">
        <w:t xml:space="preserve"> </w:t>
      </w:r>
      <w:r w:rsidR="00FB7739" w:rsidRPr="00DF1884">
        <w:t>that</w:t>
      </w:r>
      <w:r w:rsidR="00DF1884" w:rsidRPr="00DF1884">
        <w:t xml:space="preserve"> </w:t>
      </w:r>
      <w:r w:rsidR="00FB7739" w:rsidRPr="00DF1884">
        <w:t>patient</w:t>
      </w:r>
      <w:r w:rsidRPr="00DF1884">
        <w:t>-</w:t>
      </w:r>
      <w:r w:rsidR="00FB7739" w:rsidRPr="00DF1884">
        <w:t>reported</w:t>
      </w:r>
      <w:r w:rsidR="00DF1884" w:rsidRPr="00DF1884">
        <w:t xml:space="preserve"> </w:t>
      </w:r>
      <w:r w:rsidR="00FB7739" w:rsidRPr="00DF1884">
        <w:t>“difficulty</w:t>
      </w:r>
      <w:r w:rsidR="00DF1884" w:rsidRPr="00DF1884">
        <w:t xml:space="preserve"> </w:t>
      </w:r>
      <w:r w:rsidR="00FB7739" w:rsidRPr="00DF1884">
        <w:t>in</w:t>
      </w:r>
      <w:r w:rsidR="00DF1884" w:rsidRPr="00DF1884">
        <w:t xml:space="preserve"> </w:t>
      </w:r>
      <w:r w:rsidR="00FB7739" w:rsidRPr="00DF1884">
        <w:t>receiving</w:t>
      </w:r>
      <w:r w:rsidR="00DF1884" w:rsidRPr="00DF1884">
        <w:t xml:space="preserve"> </w:t>
      </w:r>
      <w:r w:rsidR="00FB7739" w:rsidRPr="00DF1884">
        <w:t>medical</w:t>
      </w:r>
      <w:r w:rsidR="00DF1884" w:rsidRPr="00DF1884">
        <w:t xml:space="preserve"> </w:t>
      </w:r>
      <w:r w:rsidR="00FB7739" w:rsidRPr="00DF1884">
        <w:t>care</w:t>
      </w:r>
      <w:r w:rsidR="00DF1884" w:rsidRPr="00DF1884">
        <w:t xml:space="preserve"> </w:t>
      </w:r>
      <w:r w:rsidR="00FB7739" w:rsidRPr="00DF1884">
        <w:t>when</w:t>
      </w:r>
      <w:r w:rsidR="00DF1884" w:rsidRPr="00DF1884">
        <w:t xml:space="preserve"> </w:t>
      </w:r>
      <w:r w:rsidR="00FB7739" w:rsidRPr="00DF1884">
        <w:t>needed”</w:t>
      </w:r>
      <w:r w:rsidR="00DF1884" w:rsidRPr="00DF1884">
        <w:t xml:space="preserve"> </w:t>
      </w:r>
      <w:r w:rsidR="00FB7739" w:rsidRPr="00DF1884">
        <w:t>explained</w:t>
      </w:r>
      <w:r w:rsidR="00DF1884" w:rsidRPr="00DF1884">
        <w:t xml:space="preserve"> </w:t>
      </w:r>
      <w:r w:rsidR="00FB7739" w:rsidRPr="00DF1884">
        <w:t>50</w:t>
      </w:r>
      <w:r w:rsidR="00DF1884" w:rsidRPr="00DF1884">
        <w:t xml:space="preserve"> </w:t>
      </w:r>
      <w:r w:rsidRPr="00DF1884">
        <w:t>percent</w:t>
      </w:r>
      <w:r w:rsidR="00DF1884" w:rsidRPr="00DF1884">
        <w:t xml:space="preserve"> </w:t>
      </w:r>
      <w:r w:rsidR="00FB7739" w:rsidRPr="00DF1884">
        <w:t>of</w:t>
      </w:r>
      <w:r w:rsidR="00DF1884" w:rsidRPr="00DF1884">
        <w:t xml:space="preserve"> </w:t>
      </w:r>
      <w:r w:rsidR="00FB7739" w:rsidRPr="00DF1884">
        <w:t>the</w:t>
      </w:r>
      <w:r w:rsidR="00DF1884" w:rsidRPr="00DF1884">
        <w:t xml:space="preserve"> </w:t>
      </w:r>
      <w:r w:rsidR="00FB7739" w:rsidRPr="00DF1884">
        <w:t>variability</w:t>
      </w:r>
      <w:r w:rsidR="00DF1884" w:rsidRPr="00DF1884">
        <w:t xml:space="preserve"> </w:t>
      </w:r>
      <w:r w:rsidR="00FB7739" w:rsidRPr="00DF1884">
        <w:t>in</w:t>
      </w:r>
      <w:r w:rsidR="00DF1884" w:rsidRPr="00DF1884">
        <w:t xml:space="preserve"> </w:t>
      </w:r>
      <w:r w:rsidR="00FB7739" w:rsidRPr="00DF1884">
        <w:t>hospitalization</w:t>
      </w:r>
      <w:r w:rsidR="00DF1884" w:rsidRPr="00DF1884">
        <w:t xml:space="preserve"> </w:t>
      </w:r>
      <w:r w:rsidR="00FB7739" w:rsidRPr="00DF1884">
        <w:t>rates</w:t>
      </w:r>
      <w:r w:rsidR="00DF1884" w:rsidRPr="00DF1884">
        <w:t xml:space="preserve"> </w:t>
      </w:r>
      <w:r w:rsidR="00FB7739" w:rsidRPr="00DF1884">
        <w:t>for</w:t>
      </w:r>
      <w:r w:rsidR="00DF1884" w:rsidRPr="00DF1884">
        <w:t xml:space="preserve"> </w:t>
      </w:r>
      <w:r w:rsidRPr="00DF1884">
        <w:t>five</w:t>
      </w:r>
      <w:r w:rsidR="00DF1884" w:rsidRPr="00DF1884">
        <w:t xml:space="preserve"> </w:t>
      </w:r>
      <w:r w:rsidR="00FB7739" w:rsidRPr="00DF1884">
        <w:t>chronic</w:t>
      </w:r>
      <w:r w:rsidR="00DF1884" w:rsidRPr="00DF1884">
        <w:t xml:space="preserve"> </w:t>
      </w:r>
      <w:r w:rsidR="00FB7739" w:rsidRPr="00DF1884">
        <w:t>medical</w:t>
      </w:r>
      <w:r w:rsidR="00DF1884" w:rsidRPr="00DF1884">
        <w:t xml:space="preserve"> </w:t>
      </w:r>
      <w:r w:rsidR="00FB7739" w:rsidRPr="00DF1884">
        <w:t>conditions.</w:t>
      </w:r>
      <w:r w:rsidR="00DF1884" w:rsidRPr="00DF1884">
        <w:t xml:space="preserve"> </w:t>
      </w:r>
      <w:r w:rsidR="00FB7739" w:rsidRPr="00DF1884">
        <w:t>Having</w:t>
      </w:r>
      <w:r w:rsidR="00DF1884" w:rsidRPr="00DF1884">
        <w:t xml:space="preserve"> </w:t>
      </w:r>
      <w:r w:rsidR="00FB7739" w:rsidRPr="00DF1884">
        <w:t>a</w:t>
      </w:r>
      <w:r w:rsidR="00DF1884" w:rsidRPr="00DF1884">
        <w:t xml:space="preserve"> </w:t>
      </w:r>
      <w:r w:rsidR="00FB7739" w:rsidRPr="00DF1884">
        <w:t>regular</w:t>
      </w:r>
      <w:r w:rsidR="00DF1884" w:rsidRPr="00DF1884">
        <w:t xml:space="preserve"> </w:t>
      </w:r>
      <w:r w:rsidR="00FB7739" w:rsidRPr="00DF1884">
        <w:t>source</w:t>
      </w:r>
      <w:r w:rsidR="00DF1884" w:rsidRPr="00DF1884">
        <w:t xml:space="preserve"> </w:t>
      </w:r>
      <w:r w:rsidR="00FB7739" w:rsidRPr="00DF1884">
        <w:t>of</w:t>
      </w:r>
      <w:r w:rsidR="00DF1884" w:rsidRPr="00DF1884">
        <w:t xml:space="preserve"> </w:t>
      </w:r>
      <w:r w:rsidR="00FB7739" w:rsidRPr="00DF1884">
        <w:t>care,</w:t>
      </w:r>
      <w:r w:rsidR="00DF1884" w:rsidRPr="00DF1884">
        <w:t xml:space="preserve"> </w:t>
      </w:r>
      <w:r w:rsidR="00FB7739" w:rsidRPr="00DF1884">
        <w:t>and</w:t>
      </w:r>
      <w:r w:rsidR="00DF1884" w:rsidRPr="00DF1884">
        <w:t xml:space="preserve"> </w:t>
      </w:r>
      <w:r w:rsidR="00FB7739" w:rsidRPr="00DF1884">
        <w:t>a</w:t>
      </w:r>
      <w:r w:rsidR="00DF1884" w:rsidRPr="00DF1884">
        <w:t xml:space="preserve"> </w:t>
      </w:r>
      <w:r w:rsidR="00FB7739" w:rsidRPr="00DF1884">
        <w:t>higher</w:t>
      </w:r>
      <w:r w:rsidR="00DF1884" w:rsidRPr="00DF1884">
        <w:t xml:space="preserve"> </w:t>
      </w:r>
      <w:r w:rsidR="00FB7739" w:rsidRPr="00DF1884">
        <w:t>primary</w:t>
      </w:r>
      <w:r w:rsidR="00DF1884" w:rsidRPr="00DF1884">
        <w:t xml:space="preserve"> </w:t>
      </w:r>
      <w:r w:rsidR="00FB7739" w:rsidRPr="00DF1884">
        <w:t>care</w:t>
      </w:r>
      <w:r w:rsidR="00DF1884" w:rsidRPr="00DF1884">
        <w:t xml:space="preserve"> </w:t>
      </w:r>
      <w:r w:rsidR="00FB7739" w:rsidRPr="00DF1884">
        <w:t>physician/population</w:t>
      </w:r>
      <w:r w:rsidR="00DF1884" w:rsidRPr="00DF1884">
        <w:t xml:space="preserve"> </w:t>
      </w:r>
      <w:r w:rsidR="00FB7739" w:rsidRPr="00DF1884">
        <w:t>ratio,</w:t>
      </w:r>
      <w:r w:rsidR="00DF1884" w:rsidRPr="00DF1884">
        <w:t xml:space="preserve"> </w:t>
      </w:r>
      <w:r w:rsidR="00FB7739" w:rsidRPr="00DF1884">
        <w:t>were</w:t>
      </w:r>
      <w:r w:rsidR="00DF1884" w:rsidRPr="00DF1884">
        <w:t xml:space="preserve"> </w:t>
      </w:r>
      <w:r w:rsidR="00FB7739" w:rsidRPr="00DF1884">
        <w:t>also</w:t>
      </w:r>
      <w:r w:rsidR="00DF1884" w:rsidRPr="00DF1884">
        <w:t xml:space="preserve"> </w:t>
      </w:r>
      <w:r w:rsidR="00FB7739" w:rsidRPr="00DF1884">
        <w:t>independently</w:t>
      </w:r>
      <w:r w:rsidR="00DF1884" w:rsidRPr="00DF1884">
        <w:t xml:space="preserve"> </w:t>
      </w:r>
      <w:r w:rsidR="00FB7739" w:rsidRPr="00DF1884">
        <w:t>associated</w:t>
      </w:r>
      <w:r w:rsidR="00DF1884" w:rsidRPr="00DF1884">
        <w:t xml:space="preserve"> </w:t>
      </w:r>
      <w:r w:rsidR="00FB7739" w:rsidRPr="00DF1884">
        <w:t>with</w:t>
      </w:r>
      <w:r w:rsidR="00DF1884" w:rsidRPr="00DF1884">
        <w:t xml:space="preserve"> </w:t>
      </w:r>
      <w:r w:rsidR="00FB7739" w:rsidRPr="00DF1884">
        <w:t>avoidable</w:t>
      </w:r>
      <w:r w:rsidR="00DF1884" w:rsidRPr="00DF1884">
        <w:t xml:space="preserve"> </w:t>
      </w:r>
      <w:r w:rsidR="00FB7739" w:rsidRPr="00DF1884">
        <w:t>hospitalization</w:t>
      </w:r>
      <w:r w:rsidR="00DF1884" w:rsidRPr="00DF1884">
        <w:t xml:space="preserve"> </w:t>
      </w:r>
      <w:r w:rsidR="00FB7739" w:rsidRPr="00DF1884">
        <w:t>rates</w:t>
      </w:r>
      <w:r w:rsidR="00DF1884" w:rsidRPr="00DF1884">
        <w:t xml:space="preserve"> </w:t>
      </w:r>
      <w:r w:rsidR="00FB7739" w:rsidRPr="00DF1884">
        <w:t>(Bindman</w:t>
      </w:r>
      <w:r w:rsidR="00DF1884" w:rsidRPr="00DF1884">
        <w:t xml:space="preserve"> </w:t>
      </w:r>
      <w:r w:rsidR="00FB7739" w:rsidRPr="00DF1884">
        <w:t>1995).</w:t>
      </w:r>
      <w:r w:rsidR="00DF1884" w:rsidRPr="00DF1884">
        <w:t xml:space="preserve"> </w:t>
      </w:r>
    </w:p>
    <w:p w14:paraId="1DA92C7E" w14:textId="2A25BB64" w:rsidR="00FB7739" w:rsidRPr="00DF1884" w:rsidRDefault="00FB7739" w:rsidP="00AF6992">
      <w:pPr>
        <w:pStyle w:val="Body"/>
      </w:pPr>
      <w:r w:rsidRPr="00DF1884">
        <w:t>Other</w:t>
      </w:r>
      <w:r w:rsidR="00DF1884" w:rsidRPr="00DF1884">
        <w:t xml:space="preserve"> </w:t>
      </w:r>
      <w:r w:rsidRPr="00DF1884">
        <w:t>studies</w:t>
      </w:r>
      <w:r w:rsidR="00DF1884" w:rsidRPr="00DF1884">
        <w:t xml:space="preserve"> </w:t>
      </w:r>
      <w:r w:rsidRPr="00DF1884">
        <w:t>have</w:t>
      </w:r>
      <w:r w:rsidR="00DF1884" w:rsidRPr="00DF1884">
        <w:t xml:space="preserve"> </w:t>
      </w:r>
      <w:r w:rsidRPr="00DF1884">
        <w:t>shown</w:t>
      </w:r>
      <w:r w:rsidR="00DF1884" w:rsidRPr="00DF1884">
        <w:t xml:space="preserve"> </w:t>
      </w:r>
      <w:r w:rsidRPr="00DF1884">
        <w:t>that</w:t>
      </w:r>
      <w:r w:rsidR="00DF1884" w:rsidRPr="00DF1884">
        <w:t xml:space="preserve"> </w:t>
      </w:r>
      <w:r w:rsidRPr="00DF1884">
        <w:t>the</w:t>
      </w:r>
      <w:r w:rsidR="00DF1884" w:rsidRPr="00DF1884">
        <w:t xml:space="preserve"> </w:t>
      </w:r>
      <w:r w:rsidRPr="00DF1884">
        <w:t>physician</w:t>
      </w:r>
      <w:r w:rsidR="00AF6992" w:rsidRPr="00DF1884">
        <w:t>-</w:t>
      </w:r>
      <w:r w:rsidRPr="00DF1884">
        <w:t>to</w:t>
      </w:r>
      <w:r w:rsidR="00AF6992" w:rsidRPr="00DF1884">
        <w:t>-</w:t>
      </w:r>
      <w:r w:rsidRPr="00DF1884">
        <w:t>population</w:t>
      </w:r>
      <w:r w:rsidR="00DF1884" w:rsidRPr="00DF1884">
        <w:t xml:space="preserve"> </w:t>
      </w:r>
      <w:r w:rsidRPr="00DF1884">
        <w:t>ratio</w:t>
      </w:r>
      <w:r w:rsidR="00DF1884" w:rsidRPr="00DF1884">
        <w:t xml:space="preserve"> </w:t>
      </w:r>
      <w:r w:rsidRPr="00DF1884">
        <w:t>for</w:t>
      </w:r>
      <w:r w:rsidR="00DF1884" w:rsidRPr="00DF1884">
        <w:t xml:space="preserve"> </w:t>
      </w:r>
      <w:r w:rsidRPr="00DF1884">
        <w:t>family</w:t>
      </w:r>
      <w:r w:rsidR="00DF1884" w:rsidRPr="00DF1884">
        <w:t xml:space="preserve"> </w:t>
      </w:r>
      <w:r w:rsidRPr="00DF1884">
        <w:t>and</w:t>
      </w:r>
      <w:r w:rsidR="00DF1884" w:rsidRPr="00DF1884">
        <w:t xml:space="preserve"> </w:t>
      </w:r>
      <w:r w:rsidRPr="00DF1884">
        <w:t>general</w:t>
      </w:r>
      <w:r w:rsidR="00DF1884" w:rsidRPr="00DF1884">
        <w:t xml:space="preserve"> </w:t>
      </w:r>
      <w:r w:rsidRPr="00DF1884">
        <w:t>physicians</w:t>
      </w:r>
      <w:r w:rsidR="00DF1884" w:rsidRPr="00DF1884">
        <w:t xml:space="preserve"> </w:t>
      </w:r>
      <w:r w:rsidRPr="00DF1884">
        <w:t>is</w:t>
      </w:r>
      <w:r w:rsidR="00DF1884" w:rsidRPr="00DF1884">
        <w:t xml:space="preserve"> </w:t>
      </w:r>
      <w:r w:rsidR="00AF6992" w:rsidRPr="00DF1884">
        <w:t>more</w:t>
      </w:r>
      <w:r w:rsidR="00DF1884" w:rsidRPr="00DF1884">
        <w:t xml:space="preserve"> </w:t>
      </w:r>
      <w:r w:rsidRPr="00DF1884">
        <w:t>associated</w:t>
      </w:r>
      <w:r w:rsidR="00DF1884" w:rsidRPr="00DF1884">
        <w:t xml:space="preserve"> </w:t>
      </w:r>
      <w:r w:rsidRPr="00DF1884">
        <w:t>with</w:t>
      </w:r>
      <w:r w:rsidR="00DF1884" w:rsidRPr="00DF1884">
        <w:t xml:space="preserve"> </w:t>
      </w:r>
      <w:r w:rsidRPr="00DF1884">
        <w:t>avoidable</w:t>
      </w:r>
      <w:r w:rsidR="00DF1884" w:rsidRPr="00DF1884">
        <w:t xml:space="preserve"> </w:t>
      </w:r>
      <w:r w:rsidRPr="00DF1884">
        <w:t>hospitalization</w:t>
      </w:r>
      <w:r w:rsidR="00DF1884" w:rsidRPr="00DF1884">
        <w:t xml:space="preserve"> </w:t>
      </w:r>
      <w:r w:rsidRPr="00DF1884">
        <w:t>rates</w:t>
      </w:r>
      <w:r w:rsidR="00DF1884" w:rsidRPr="00DF1884">
        <w:t xml:space="preserve"> </w:t>
      </w:r>
      <w:r w:rsidRPr="00DF1884">
        <w:t>than</w:t>
      </w:r>
      <w:r w:rsidR="00DF1884" w:rsidRPr="00DF1884">
        <w:t xml:space="preserve"> </w:t>
      </w:r>
      <w:r w:rsidRPr="00DF1884">
        <w:t>measures</w:t>
      </w:r>
      <w:r w:rsidR="00DF1884" w:rsidRPr="00DF1884">
        <w:t xml:space="preserve"> </w:t>
      </w:r>
      <w:r w:rsidRPr="00DF1884">
        <w:t>that</w:t>
      </w:r>
      <w:r w:rsidR="00DF1884" w:rsidRPr="00DF1884">
        <w:t xml:space="preserve"> </w:t>
      </w:r>
      <w:r w:rsidRPr="00DF1884">
        <w:t>include</w:t>
      </w:r>
      <w:r w:rsidR="00DF1884" w:rsidRPr="00DF1884">
        <w:t xml:space="preserve"> </w:t>
      </w:r>
      <w:r w:rsidRPr="00DF1884">
        <w:t>internists,</w:t>
      </w:r>
      <w:r w:rsidR="00DF1884" w:rsidRPr="00DF1884">
        <w:t xml:space="preserve"> </w:t>
      </w:r>
      <w:r w:rsidRPr="00DF1884">
        <w:t>pediatricians</w:t>
      </w:r>
      <w:r w:rsidR="00DF1884" w:rsidRPr="00DF1884">
        <w:t xml:space="preserve"> </w:t>
      </w:r>
      <w:r w:rsidRPr="00DF1884">
        <w:t>or</w:t>
      </w:r>
      <w:r w:rsidR="00DF1884" w:rsidRPr="00DF1884">
        <w:t xml:space="preserve"> </w:t>
      </w:r>
      <w:r w:rsidRPr="00DF1884">
        <w:t>all</w:t>
      </w:r>
      <w:r w:rsidR="00DF1884" w:rsidRPr="00DF1884">
        <w:t xml:space="preserve"> </w:t>
      </w:r>
      <w:r w:rsidRPr="00DF1884">
        <w:t>physicians.</w:t>
      </w:r>
      <w:r w:rsidR="00DF1884" w:rsidRPr="00DF1884">
        <w:t xml:space="preserve"> </w:t>
      </w:r>
      <w:r w:rsidRPr="00DF1884">
        <w:t>Beneficiaries</w:t>
      </w:r>
      <w:r w:rsidR="00DF1884" w:rsidRPr="00DF1884">
        <w:t xml:space="preserve"> </w:t>
      </w:r>
      <w:r w:rsidRPr="00DF1884">
        <w:t>in</w:t>
      </w:r>
      <w:r w:rsidR="00DF1884" w:rsidRPr="00DF1884">
        <w:t xml:space="preserve"> </w:t>
      </w:r>
      <w:r w:rsidRPr="00DF1884">
        <w:t>fair</w:t>
      </w:r>
      <w:r w:rsidR="00DF1884" w:rsidRPr="00DF1884">
        <w:t xml:space="preserve"> </w:t>
      </w:r>
      <w:r w:rsidRPr="00DF1884">
        <w:t>or</w:t>
      </w:r>
      <w:r w:rsidR="00DF1884" w:rsidRPr="00DF1884">
        <w:t xml:space="preserve"> </w:t>
      </w:r>
      <w:r w:rsidRPr="00DF1884">
        <w:t>poor</w:t>
      </w:r>
      <w:r w:rsidR="00DF1884" w:rsidRPr="00DF1884">
        <w:t xml:space="preserve"> </w:t>
      </w:r>
      <w:r w:rsidRPr="00DF1884">
        <w:t>health</w:t>
      </w:r>
      <w:r w:rsidR="00DF1884" w:rsidRPr="00DF1884">
        <w:t xml:space="preserve"> </w:t>
      </w:r>
      <w:r w:rsidRPr="00DF1884">
        <w:t>are</w:t>
      </w:r>
      <w:r w:rsidR="00DF1884" w:rsidRPr="00DF1884">
        <w:t xml:space="preserve"> </w:t>
      </w:r>
      <w:r w:rsidRPr="00DF1884">
        <w:t>at</w:t>
      </w:r>
      <w:r w:rsidR="00DF1884" w:rsidRPr="00DF1884">
        <w:t xml:space="preserve"> </w:t>
      </w:r>
      <w:r w:rsidRPr="00DF1884">
        <w:t>increased</w:t>
      </w:r>
      <w:r w:rsidR="00DF1884" w:rsidRPr="00DF1884">
        <w:t xml:space="preserve"> </w:t>
      </w:r>
      <w:r w:rsidRPr="00DF1884">
        <w:t>risk</w:t>
      </w:r>
      <w:r w:rsidR="00DF1884" w:rsidRPr="00DF1884">
        <w:t xml:space="preserve"> </w:t>
      </w:r>
      <w:r w:rsidRPr="00DF1884">
        <w:t>if</w:t>
      </w:r>
      <w:r w:rsidR="00DF1884" w:rsidRPr="00DF1884">
        <w:t xml:space="preserve"> </w:t>
      </w:r>
      <w:r w:rsidRPr="00DF1884">
        <w:t>they</w:t>
      </w:r>
      <w:r w:rsidR="00DF1884" w:rsidRPr="00DF1884">
        <w:t xml:space="preserve"> </w:t>
      </w:r>
      <w:r w:rsidRPr="00DF1884">
        <w:t>live</w:t>
      </w:r>
      <w:r w:rsidR="00DF1884" w:rsidRPr="00DF1884">
        <w:t xml:space="preserve"> </w:t>
      </w:r>
      <w:r w:rsidRPr="00DF1884">
        <w:t>in</w:t>
      </w:r>
      <w:r w:rsidR="00DF1884" w:rsidRPr="00DF1884">
        <w:t xml:space="preserve"> </w:t>
      </w:r>
      <w:r w:rsidRPr="00DF1884">
        <w:t>a</w:t>
      </w:r>
      <w:r w:rsidR="00AF6992" w:rsidRPr="00DF1884">
        <w:t>n</w:t>
      </w:r>
      <w:r w:rsidR="00DF1884" w:rsidRPr="00DF1884">
        <w:t xml:space="preserve"> </w:t>
      </w:r>
      <w:r w:rsidR="00AF6992" w:rsidRPr="00DF1884">
        <w:t>area</w:t>
      </w:r>
      <w:r w:rsidR="00DF1884" w:rsidRPr="00DF1884">
        <w:t xml:space="preserve"> </w:t>
      </w:r>
      <w:r w:rsidR="00AF6992" w:rsidRPr="00DF1884">
        <w:t>with</w:t>
      </w:r>
      <w:r w:rsidR="00DF1884" w:rsidRPr="00DF1884">
        <w:t xml:space="preserve"> </w:t>
      </w:r>
      <w:r w:rsidR="00AF6992" w:rsidRPr="00DF1884">
        <w:t>a</w:t>
      </w:r>
      <w:r w:rsidR="00DF1884" w:rsidRPr="00DF1884">
        <w:t xml:space="preserve"> </w:t>
      </w:r>
      <w:r w:rsidR="00AF6992" w:rsidRPr="00DF1884">
        <w:t>shortage</w:t>
      </w:r>
      <w:r w:rsidR="00DF1884" w:rsidRPr="00DF1884">
        <w:t xml:space="preserve"> </w:t>
      </w:r>
      <w:r w:rsidR="00AF6992" w:rsidRPr="00DF1884">
        <w:t>of</w:t>
      </w:r>
      <w:r w:rsidR="00DF1884" w:rsidRPr="00DF1884">
        <w:t xml:space="preserve"> </w:t>
      </w:r>
      <w:r w:rsidRPr="00DF1884">
        <w:t>primary</w:t>
      </w:r>
      <w:r w:rsidR="00DF1884" w:rsidRPr="00DF1884">
        <w:t xml:space="preserve"> </w:t>
      </w:r>
      <w:r w:rsidRPr="00DF1884">
        <w:t>care.</w:t>
      </w:r>
      <w:r w:rsidR="00DF1884" w:rsidRPr="00DF1884">
        <w:t xml:space="preserve"> </w:t>
      </w:r>
      <w:r w:rsidR="00AF6992" w:rsidRPr="00DF1884">
        <w:t>R</w:t>
      </w:r>
      <w:r w:rsidRPr="00DF1884">
        <w:t>elationships</w:t>
      </w:r>
      <w:r w:rsidR="00DF1884" w:rsidRPr="00DF1884">
        <w:t xml:space="preserve"> </w:t>
      </w:r>
      <w:r w:rsidRPr="00DF1884">
        <w:t>between</w:t>
      </w:r>
      <w:r w:rsidR="00DF1884" w:rsidRPr="00DF1884">
        <w:t xml:space="preserve"> </w:t>
      </w:r>
      <w:r w:rsidRPr="00DF1884">
        <w:t>access</w:t>
      </w:r>
      <w:r w:rsidR="00DF1884" w:rsidRPr="00DF1884">
        <w:t xml:space="preserve"> </w:t>
      </w:r>
      <w:r w:rsidRPr="00DF1884">
        <w:t>indicators</w:t>
      </w:r>
      <w:r w:rsidR="00DF1884" w:rsidRPr="00DF1884">
        <w:t xml:space="preserve"> </w:t>
      </w:r>
      <w:r w:rsidRPr="00DF1884">
        <w:t>(e.g.</w:t>
      </w:r>
      <w:r w:rsidR="00AF6992" w:rsidRPr="00DF1884">
        <w:t>,</w:t>
      </w:r>
      <w:r w:rsidR="00DF1884" w:rsidRPr="00DF1884">
        <w:t xml:space="preserve"> </w:t>
      </w:r>
      <w:r w:rsidRPr="00DF1884">
        <w:t>patient</w:t>
      </w:r>
      <w:r w:rsidR="00AF6992" w:rsidRPr="00DF1884">
        <w:t>-</w:t>
      </w:r>
      <w:r w:rsidRPr="00DF1884">
        <w:t>reported</w:t>
      </w:r>
      <w:r w:rsidR="00DF1884" w:rsidRPr="00DF1884">
        <w:t xml:space="preserve"> </w:t>
      </w:r>
      <w:r w:rsidRPr="00DF1884">
        <w:t>access,</w:t>
      </w:r>
      <w:r w:rsidR="00DF1884" w:rsidRPr="00DF1884">
        <w:t xml:space="preserve"> </w:t>
      </w:r>
      <w:r w:rsidRPr="00DF1884">
        <w:t>having</w:t>
      </w:r>
      <w:r w:rsidR="00DF1884" w:rsidRPr="00DF1884">
        <w:t xml:space="preserve"> </w:t>
      </w:r>
      <w:r w:rsidRPr="00DF1884">
        <w:t>a</w:t>
      </w:r>
      <w:r w:rsidR="00DF1884" w:rsidRPr="00DF1884">
        <w:t xml:space="preserve"> </w:t>
      </w:r>
      <w:r w:rsidRPr="00DF1884">
        <w:t>regular</w:t>
      </w:r>
      <w:r w:rsidR="00DF1884" w:rsidRPr="00DF1884">
        <w:t xml:space="preserve"> </w:t>
      </w:r>
      <w:r w:rsidRPr="00DF1884">
        <w:t>source</w:t>
      </w:r>
      <w:r w:rsidR="00DF1884" w:rsidRPr="00DF1884">
        <w:t xml:space="preserve"> </w:t>
      </w:r>
      <w:r w:rsidRPr="00DF1884">
        <w:t>of</w:t>
      </w:r>
      <w:r w:rsidR="00DF1884" w:rsidRPr="00DF1884">
        <w:t xml:space="preserve"> </w:t>
      </w:r>
      <w:r w:rsidRPr="00DF1884">
        <w:t>care</w:t>
      </w:r>
      <w:r w:rsidR="00DF1884" w:rsidRPr="00DF1884">
        <w:t xml:space="preserve"> </w:t>
      </w:r>
      <w:r w:rsidRPr="00DF1884">
        <w:t>and</w:t>
      </w:r>
      <w:r w:rsidR="00DF1884" w:rsidRPr="00DF1884">
        <w:t xml:space="preserve"> </w:t>
      </w:r>
      <w:r w:rsidRPr="00DF1884">
        <w:t>the</w:t>
      </w:r>
      <w:r w:rsidR="00DF1884" w:rsidRPr="00DF1884">
        <w:t xml:space="preserve"> </w:t>
      </w:r>
      <w:r w:rsidRPr="00DF1884">
        <w:t>primary</w:t>
      </w:r>
      <w:r w:rsidR="00DF1884" w:rsidRPr="00DF1884">
        <w:t xml:space="preserve"> </w:t>
      </w:r>
      <w:r w:rsidRPr="00DF1884">
        <w:t>care</w:t>
      </w:r>
      <w:r w:rsidR="00DF1884" w:rsidRPr="00DF1884">
        <w:t xml:space="preserve"> </w:t>
      </w:r>
      <w:r w:rsidRPr="00DF1884">
        <w:t>physician</w:t>
      </w:r>
      <w:r w:rsidR="00AF6992" w:rsidRPr="00DF1884">
        <w:t>-</w:t>
      </w:r>
      <w:r w:rsidRPr="00DF1884">
        <w:t>to</w:t>
      </w:r>
      <w:r w:rsidR="00AF6992" w:rsidRPr="00DF1884">
        <w:t>-</w:t>
      </w:r>
      <w:r w:rsidRPr="00DF1884">
        <w:t>population</w:t>
      </w:r>
      <w:r w:rsidR="00DF1884" w:rsidRPr="00DF1884">
        <w:t xml:space="preserve"> </w:t>
      </w:r>
      <w:r w:rsidRPr="00DF1884">
        <w:t>ratio)</w:t>
      </w:r>
      <w:r w:rsidR="00DF1884" w:rsidRPr="00DF1884">
        <w:t xml:space="preserve"> </w:t>
      </w:r>
      <w:r w:rsidRPr="00DF1884">
        <w:t>and</w:t>
      </w:r>
      <w:r w:rsidR="00DF1884" w:rsidRPr="00DF1884">
        <w:t xml:space="preserve"> </w:t>
      </w:r>
      <w:r w:rsidRPr="00DF1884">
        <w:t>hospitalization</w:t>
      </w:r>
      <w:r w:rsidR="00DF1884" w:rsidRPr="00DF1884">
        <w:t xml:space="preserve"> </w:t>
      </w:r>
      <w:r w:rsidRPr="00DF1884">
        <w:t>for</w:t>
      </w:r>
      <w:r w:rsidR="00DF1884" w:rsidRPr="00DF1884">
        <w:t xml:space="preserve"> </w:t>
      </w:r>
      <w:r w:rsidRPr="00DF1884">
        <w:t>ACSC</w:t>
      </w:r>
      <w:r w:rsidR="00DF1884" w:rsidRPr="00DF1884">
        <w:t xml:space="preserve"> </w:t>
      </w:r>
      <w:r w:rsidRPr="00DF1884">
        <w:t>did</w:t>
      </w:r>
      <w:r w:rsidR="00DF1884" w:rsidRPr="00DF1884">
        <w:t xml:space="preserve"> </w:t>
      </w:r>
      <w:r w:rsidRPr="00DF1884">
        <w:t>not</w:t>
      </w:r>
      <w:r w:rsidR="00DF1884" w:rsidRPr="00DF1884">
        <w:t xml:space="preserve"> </w:t>
      </w:r>
      <w:r w:rsidRPr="00DF1884">
        <w:t>hold</w:t>
      </w:r>
      <w:r w:rsidR="00DF1884" w:rsidRPr="00DF1884">
        <w:t xml:space="preserve"> </w:t>
      </w:r>
      <w:r w:rsidRPr="00DF1884">
        <w:t>in</w:t>
      </w:r>
      <w:r w:rsidR="00DF1884" w:rsidRPr="00DF1884">
        <w:t xml:space="preserve"> </w:t>
      </w:r>
      <w:r w:rsidRPr="00DF1884">
        <w:t>two</w:t>
      </w:r>
      <w:r w:rsidR="00DF1884" w:rsidRPr="00DF1884">
        <w:t xml:space="preserve"> </w:t>
      </w:r>
      <w:r w:rsidRPr="00DF1884">
        <w:t>separate</w:t>
      </w:r>
      <w:r w:rsidR="00DF1884" w:rsidRPr="00DF1884">
        <w:t xml:space="preserve"> </w:t>
      </w:r>
      <w:r w:rsidRPr="00DF1884">
        <w:t>studies</w:t>
      </w:r>
      <w:r w:rsidR="00DF1884" w:rsidRPr="00DF1884">
        <w:t xml:space="preserve"> </w:t>
      </w:r>
      <w:r w:rsidRPr="00DF1884">
        <w:t>of</w:t>
      </w:r>
      <w:r w:rsidR="00DF1884" w:rsidRPr="00DF1884">
        <w:t xml:space="preserve"> </w:t>
      </w:r>
      <w:r w:rsidRPr="00DF1884">
        <w:t>rural</w:t>
      </w:r>
      <w:r w:rsidR="00DF1884" w:rsidRPr="00DF1884">
        <w:t xml:space="preserve"> </w:t>
      </w:r>
      <w:r w:rsidRPr="00DF1884">
        <w:t>zip</w:t>
      </w:r>
      <w:r w:rsidR="00DF1884" w:rsidRPr="00DF1884">
        <w:t xml:space="preserve"> </w:t>
      </w:r>
      <w:r w:rsidRPr="00DF1884">
        <w:t>codes,</w:t>
      </w:r>
      <w:r w:rsidR="00DF1884" w:rsidRPr="00DF1884">
        <w:t xml:space="preserve"> </w:t>
      </w:r>
      <w:r w:rsidRPr="00DF1884">
        <w:t>suggesting</w:t>
      </w:r>
      <w:r w:rsidR="00DF1884" w:rsidRPr="00DF1884">
        <w:t xml:space="preserve"> </w:t>
      </w:r>
      <w:r w:rsidRPr="00DF1884">
        <w:t>that</w:t>
      </w:r>
      <w:r w:rsidR="00DF1884" w:rsidRPr="00DF1884">
        <w:t xml:space="preserve"> </w:t>
      </w:r>
      <w:r w:rsidRPr="00DF1884">
        <w:t>avoidable</w:t>
      </w:r>
      <w:r w:rsidR="00DF1884" w:rsidRPr="00DF1884">
        <w:t xml:space="preserve"> </w:t>
      </w:r>
      <w:r w:rsidRPr="00DF1884">
        <w:t>hospitalization</w:t>
      </w:r>
      <w:r w:rsidR="00DF1884" w:rsidRPr="00DF1884">
        <w:t xml:space="preserve"> </w:t>
      </w:r>
      <w:r w:rsidRPr="00DF1884">
        <w:t>rates</w:t>
      </w:r>
      <w:r w:rsidR="00DF1884" w:rsidRPr="00DF1884">
        <w:t xml:space="preserve"> </w:t>
      </w:r>
      <w:r w:rsidRPr="00DF1884">
        <w:t>are</w:t>
      </w:r>
      <w:r w:rsidR="00DF1884" w:rsidRPr="00DF1884">
        <w:t xml:space="preserve"> </w:t>
      </w:r>
      <w:r w:rsidRPr="00DF1884">
        <w:t>invalid</w:t>
      </w:r>
      <w:r w:rsidR="00DF1884" w:rsidRPr="00DF1884">
        <w:t xml:space="preserve"> </w:t>
      </w:r>
      <w:r w:rsidRPr="00DF1884">
        <w:t>indicators</w:t>
      </w:r>
      <w:r w:rsidR="00DF1884" w:rsidRPr="00DF1884">
        <w:t xml:space="preserve"> </w:t>
      </w:r>
      <w:r w:rsidRPr="00DF1884">
        <w:t>of</w:t>
      </w:r>
      <w:r w:rsidR="00DF1884" w:rsidRPr="00DF1884">
        <w:t xml:space="preserve"> </w:t>
      </w:r>
      <w:r w:rsidRPr="00DF1884">
        <w:t>access</w:t>
      </w:r>
      <w:r w:rsidR="00DF1884" w:rsidRPr="00DF1884">
        <w:t xml:space="preserve"> </w:t>
      </w:r>
      <w:r w:rsidRPr="00DF1884">
        <w:t>in</w:t>
      </w:r>
      <w:r w:rsidR="00DF1884" w:rsidRPr="00DF1884">
        <w:t xml:space="preserve"> </w:t>
      </w:r>
      <w:r w:rsidRPr="00DF1884">
        <w:t>rural</w:t>
      </w:r>
      <w:r w:rsidR="00DF1884" w:rsidRPr="00DF1884">
        <w:t xml:space="preserve"> </w:t>
      </w:r>
      <w:r w:rsidRPr="00DF1884">
        <w:t>areas.</w:t>
      </w:r>
    </w:p>
    <w:p w14:paraId="0991433B" w14:textId="092DA7A4" w:rsidR="00FB7739" w:rsidRPr="00DF1884" w:rsidRDefault="00FB7739" w:rsidP="00AF6992">
      <w:pPr>
        <w:pStyle w:val="Body"/>
        <w:rPr>
          <w:szCs w:val="20"/>
        </w:rPr>
      </w:pPr>
      <w:r w:rsidRPr="00DF1884">
        <w:rPr>
          <w:szCs w:val="20"/>
        </w:rPr>
        <w:t>Almost</w:t>
      </w:r>
      <w:r w:rsidR="00DF1884" w:rsidRPr="00DF1884">
        <w:rPr>
          <w:szCs w:val="20"/>
        </w:rPr>
        <w:t xml:space="preserve"> </w:t>
      </w:r>
      <w:r w:rsidRPr="00DF1884">
        <w:rPr>
          <w:szCs w:val="20"/>
        </w:rPr>
        <w:t>all</w:t>
      </w:r>
      <w:r w:rsidR="00DF1884" w:rsidRPr="00DF1884">
        <w:rPr>
          <w:szCs w:val="20"/>
        </w:rPr>
        <w:t xml:space="preserve"> </w:t>
      </w:r>
      <w:r w:rsidRPr="00DF1884">
        <w:rPr>
          <w:szCs w:val="20"/>
        </w:rPr>
        <w:t>of</w:t>
      </w:r>
      <w:r w:rsidR="00DF1884" w:rsidRPr="00DF1884">
        <w:rPr>
          <w:szCs w:val="20"/>
        </w:rPr>
        <w:t xml:space="preserve"> </w:t>
      </w:r>
      <w:r w:rsidRPr="00DF1884">
        <w:rPr>
          <w:szCs w:val="20"/>
        </w:rPr>
        <w:t>the chronic</w:t>
      </w:r>
      <w:r w:rsidR="00DF1884" w:rsidRPr="00DF1884">
        <w:rPr>
          <w:szCs w:val="20"/>
        </w:rPr>
        <w:t xml:space="preserve"> </w:t>
      </w:r>
      <w:r w:rsidRPr="00DF1884">
        <w:rPr>
          <w:szCs w:val="20"/>
        </w:rPr>
        <w:t>ACSCs</w:t>
      </w:r>
      <w:r w:rsidR="00DF1884" w:rsidRPr="00DF1884">
        <w:rPr>
          <w:szCs w:val="20"/>
        </w:rPr>
        <w:t xml:space="preserve"> </w:t>
      </w:r>
      <w:r w:rsidRPr="00DF1884">
        <w:rPr>
          <w:szCs w:val="20"/>
        </w:rPr>
        <w:t>have</w:t>
      </w:r>
      <w:r w:rsidR="00DF1884" w:rsidRPr="00DF1884">
        <w:rPr>
          <w:szCs w:val="20"/>
        </w:rPr>
        <w:t xml:space="preserve"> </w:t>
      </w:r>
      <w:r w:rsidRPr="00DF1884">
        <w:rPr>
          <w:szCs w:val="20"/>
        </w:rPr>
        <w:t>practice</w:t>
      </w:r>
      <w:r w:rsidR="00DF1884" w:rsidRPr="00DF1884">
        <w:rPr>
          <w:szCs w:val="20"/>
        </w:rPr>
        <w:t xml:space="preserve"> </w:t>
      </w:r>
      <w:r w:rsidRPr="00DF1884">
        <w:rPr>
          <w:szCs w:val="20"/>
        </w:rPr>
        <w:t>guidelines</w:t>
      </w:r>
      <w:r w:rsidR="00DF1884" w:rsidRPr="00DF1884">
        <w:rPr>
          <w:szCs w:val="20"/>
        </w:rPr>
        <w:t xml:space="preserve"> </w:t>
      </w:r>
      <w:r w:rsidRPr="00DF1884">
        <w:rPr>
          <w:szCs w:val="20"/>
        </w:rPr>
        <w:t>associated</w:t>
      </w:r>
      <w:r w:rsidR="00DF1884" w:rsidRPr="00DF1884">
        <w:rPr>
          <w:szCs w:val="20"/>
        </w:rPr>
        <w:t xml:space="preserve"> </w:t>
      </w:r>
      <w:r w:rsidRPr="00DF1884">
        <w:rPr>
          <w:szCs w:val="20"/>
        </w:rPr>
        <w:t>with</w:t>
      </w:r>
      <w:r w:rsidR="00DF1884" w:rsidRPr="00DF1884">
        <w:rPr>
          <w:szCs w:val="20"/>
        </w:rPr>
        <w:t xml:space="preserve"> </w:t>
      </w:r>
      <w:r w:rsidRPr="00DF1884">
        <w:rPr>
          <w:szCs w:val="20"/>
        </w:rPr>
        <w:t>them,</w:t>
      </w:r>
      <w:r w:rsidR="00DF1884" w:rsidRPr="00DF1884">
        <w:rPr>
          <w:szCs w:val="20"/>
        </w:rPr>
        <w:t xml:space="preserve"> </w:t>
      </w:r>
      <w:r w:rsidRPr="00DF1884">
        <w:rPr>
          <w:szCs w:val="20"/>
        </w:rPr>
        <w:t>and</w:t>
      </w:r>
      <w:r w:rsidR="00DF1884" w:rsidRPr="00DF1884">
        <w:rPr>
          <w:szCs w:val="20"/>
        </w:rPr>
        <w:t xml:space="preserve"> </w:t>
      </w:r>
      <w:r w:rsidRPr="00DF1884">
        <w:rPr>
          <w:szCs w:val="20"/>
        </w:rPr>
        <w:t>several</w:t>
      </w:r>
      <w:r w:rsidR="00DF1884" w:rsidRPr="00DF1884">
        <w:rPr>
          <w:szCs w:val="20"/>
        </w:rPr>
        <w:t xml:space="preserve"> </w:t>
      </w:r>
      <w:r w:rsidRPr="00DF1884">
        <w:rPr>
          <w:szCs w:val="20"/>
        </w:rPr>
        <w:t>of</w:t>
      </w:r>
      <w:r w:rsidR="00DF1884" w:rsidRPr="00DF1884">
        <w:rPr>
          <w:szCs w:val="20"/>
        </w:rPr>
        <w:t xml:space="preserve"> </w:t>
      </w:r>
      <w:r w:rsidRPr="00DF1884">
        <w:rPr>
          <w:szCs w:val="20"/>
        </w:rPr>
        <w:t>the</w:t>
      </w:r>
      <w:r w:rsidR="00DF1884" w:rsidRPr="00DF1884">
        <w:rPr>
          <w:szCs w:val="20"/>
        </w:rPr>
        <w:t xml:space="preserve"> </w:t>
      </w:r>
      <w:r w:rsidRPr="00DF1884">
        <w:rPr>
          <w:szCs w:val="20"/>
        </w:rPr>
        <w:t>acute</w:t>
      </w:r>
      <w:r w:rsidR="00DF1884" w:rsidRPr="00DF1884">
        <w:rPr>
          <w:szCs w:val="20"/>
        </w:rPr>
        <w:t xml:space="preserve"> </w:t>
      </w:r>
      <w:r w:rsidRPr="00DF1884">
        <w:rPr>
          <w:szCs w:val="20"/>
        </w:rPr>
        <w:t>conditions</w:t>
      </w:r>
      <w:r w:rsidR="00DF1884" w:rsidRPr="00DF1884">
        <w:rPr>
          <w:szCs w:val="20"/>
        </w:rPr>
        <w:t xml:space="preserve"> </w:t>
      </w:r>
      <w:r w:rsidRPr="00DF1884">
        <w:rPr>
          <w:szCs w:val="20"/>
        </w:rPr>
        <w:t>have</w:t>
      </w:r>
      <w:r w:rsidR="00DF1884" w:rsidRPr="00DF1884">
        <w:rPr>
          <w:szCs w:val="20"/>
        </w:rPr>
        <w:t xml:space="preserve"> </w:t>
      </w:r>
      <w:r w:rsidRPr="00DF1884">
        <w:rPr>
          <w:szCs w:val="20"/>
        </w:rPr>
        <w:t>guidelines.</w:t>
      </w:r>
      <w:r w:rsidR="00DF1884" w:rsidRPr="00DF1884">
        <w:rPr>
          <w:szCs w:val="20"/>
        </w:rPr>
        <w:t xml:space="preserve"> </w:t>
      </w:r>
      <w:r w:rsidRPr="00DF1884">
        <w:rPr>
          <w:szCs w:val="20"/>
        </w:rPr>
        <w:t>Studies</w:t>
      </w:r>
      <w:r w:rsidR="00DF1884" w:rsidRPr="00DF1884">
        <w:rPr>
          <w:szCs w:val="20"/>
        </w:rPr>
        <w:t xml:space="preserve"> </w:t>
      </w:r>
      <w:r w:rsidRPr="00DF1884">
        <w:rPr>
          <w:szCs w:val="20"/>
        </w:rPr>
        <w:t>have</w:t>
      </w:r>
      <w:r w:rsidR="00DF1884" w:rsidRPr="00DF1884">
        <w:rPr>
          <w:szCs w:val="20"/>
        </w:rPr>
        <w:t xml:space="preserve"> </w:t>
      </w:r>
      <w:r w:rsidRPr="00DF1884">
        <w:rPr>
          <w:szCs w:val="20"/>
        </w:rPr>
        <w:t>shown</w:t>
      </w:r>
      <w:r w:rsidR="00DF1884" w:rsidRPr="00DF1884">
        <w:rPr>
          <w:szCs w:val="20"/>
        </w:rPr>
        <w:t xml:space="preserve"> </w:t>
      </w:r>
      <w:r w:rsidRPr="00DF1884">
        <w:rPr>
          <w:szCs w:val="20"/>
        </w:rPr>
        <w:t>that</w:t>
      </w:r>
      <w:r w:rsidR="00DF1884" w:rsidRPr="00DF1884">
        <w:rPr>
          <w:szCs w:val="20"/>
        </w:rPr>
        <w:t xml:space="preserve"> </w:t>
      </w:r>
      <w:r w:rsidRPr="00DF1884">
        <w:rPr>
          <w:szCs w:val="20"/>
        </w:rPr>
        <w:t>access</w:t>
      </w:r>
      <w:r w:rsidR="00DF1884" w:rsidRPr="00DF1884">
        <w:rPr>
          <w:szCs w:val="20"/>
        </w:rPr>
        <w:t xml:space="preserve"> </w:t>
      </w:r>
      <w:r w:rsidRPr="00DF1884">
        <w:rPr>
          <w:szCs w:val="20"/>
        </w:rPr>
        <w:t>to</w:t>
      </w:r>
      <w:r w:rsidR="00DF1884" w:rsidRPr="00DF1884">
        <w:rPr>
          <w:szCs w:val="20"/>
        </w:rPr>
        <w:t xml:space="preserve"> </w:t>
      </w:r>
      <w:r w:rsidRPr="00DF1884">
        <w:rPr>
          <w:szCs w:val="20"/>
        </w:rPr>
        <w:t>ambulatory</w:t>
      </w:r>
      <w:r w:rsidR="00DF1884" w:rsidRPr="00DF1884">
        <w:rPr>
          <w:szCs w:val="20"/>
        </w:rPr>
        <w:t xml:space="preserve"> </w:t>
      </w:r>
      <w:r w:rsidRPr="00DF1884">
        <w:rPr>
          <w:szCs w:val="20"/>
        </w:rPr>
        <w:t>care</w:t>
      </w:r>
      <w:r w:rsidR="00DF1884" w:rsidRPr="00DF1884">
        <w:rPr>
          <w:szCs w:val="20"/>
        </w:rPr>
        <w:t xml:space="preserve"> </w:t>
      </w:r>
      <w:r w:rsidRPr="00DF1884">
        <w:rPr>
          <w:szCs w:val="20"/>
        </w:rPr>
        <w:t>and</w:t>
      </w:r>
      <w:r w:rsidR="00DF1884" w:rsidRPr="00DF1884">
        <w:rPr>
          <w:szCs w:val="20"/>
        </w:rPr>
        <w:t xml:space="preserve"> </w:t>
      </w:r>
      <w:r w:rsidRPr="00DF1884">
        <w:rPr>
          <w:szCs w:val="20"/>
        </w:rPr>
        <w:t>adherence</w:t>
      </w:r>
      <w:r w:rsidR="00DF1884" w:rsidRPr="00DF1884">
        <w:rPr>
          <w:szCs w:val="20"/>
        </w:rPr>
        <w:t xml:space="preserve"> </w:t>
      </w:r>
      <w:r w:rsidRPr="00DF1884">
        <w:rPr>
          <w:szCs w:val="20"/>
        </w:rPr>
        <w:t>to</w:t>
      </w:r>
      <w:r w:rsidR="00DF1884" w:rsidRPr="00DF1884">
        <w:rPr>
          <w:szCs w:val="20"/>
        </w:rPr>
        <w:t xml:space="preserve"> </w:t>
      </w:r>
      <w:r w:rsidRPr="00DF1884">
        <w:rPr>
          <w:szCs w:val="20"/>
        </w:rPr>
        <w:t>evidence-based</w:t>
      </w:r>
      <w:r w:rsidR="00DF1884" w:rsidRPr="00DF1884">
        <w:rPr>
          <w:szCs w:val="20"/>
        </w:rPr>
        <w:t xml:space="preserve"> </w:t>
      </w:r>
      <w:r w:rsidRPr="00DF1884">
        <w:rPr>
          <w:szCs w:val="20"/>
        </w:rPr>
        <w:t>treatment</w:t>
      </w:r>
      <w:r w:rsidR="00DF1884" w:rsidRPr="00DF1884">
        <w:rPr>
          <w:szCs w:val="20"/>
        </w:rPr>
        <w:t xml:space="preserve"> </w:t>
      </w:r>
      <w:r w:rsidRPr="00DF1884">
        <w:rPr>
          <w:szCs w:val="20"/>
        </w:rPr>
        <w:t>guidelines</w:t>
      </w:r>
      <w:r w:rsidR="00DF1884" w:rsidRPr="00DF1884">
        <w:rPr>
          <w:szCs w:val="20"/>
        </w:rPr>
        <w:t xml:space="preserve"> </w:t>
      </w:r>
      <w:r w:rsidRPr="00DF1884">
        <w:rPr>
          <w:szCs w:val="20"/>
        </w:rPr>
        <w:t>can</w:t>
      </w:r>
      <w:r w:rsidR="00DF1884" w:rsidRPr="00DF1884">
        <w:rPr>
          <w:szCs w:val="20"/>
        </w:rPr>
        <w:t xml:space="preserve"> </w:t>
      </w:r>
      <w:r w:rsidRPr="00DF1884">
        <w:rPr>
          <w:szCs w:val="20"/>
        </w:rPr>
        <w:t>reduce</w:t>
      </w:r>
      <w:r w:rsidR="00DF1884" w:rsidRPr="00DF1884">
        <w:rPr>
          <w:szCs w:val="20"/>
        </w:rPr>
        <w:t xml:space="preserve"> </w:t>
      </w:r>
      <w:r w:rsidRPr="00DF1884">
        <w:rPr>
          <w:szCs w:val="20"/>
        </w:rPr>
        <w:t>patient</w:t>
      </w:r>
      <w:r w:rsidR="00DF1884" w:rsidRPr="00DF1884">
        <w:rPr>
          <w:szCs w:val="20"/>
        </w:rPr>
        <w:t xml:space="preserve"> </w:t>
      </w:r>
      <w:r w:rsidRPr="00DF1884">
        <w:rPr>
          <w:szCs w:val="20"/>
        </w:rPr>
        <w:t>complication</w:t>
      </w:r>
      <w:r w:rsidR="00DF1884" w:rsidRPr="00DF1884">
        <w:rPr>
          <w:szCs w:val="20"/>
        </w:rPr>
        <w:t xml:space="preserve"> </w:t>
      </w:r>
      <w:r w:rsidRPr="00DF1884">
        <w:rPr>
          <w:szCs w:val="20"/>
        </w:rPr>
        <w:t>rates</w:t>
      </w:r>
      <w:r w:rsidR="00DF1884" w:rsidRPr="00DF1884">
        <w:rPr>
          <w:szCs w:val="20"/>
        </w:rPr>
        <w:t xml:space="preserve"> </w:t>
      </w:r>
      <w:r w:rsidRPr="00DF1884">
        <w:rPr>
          <w:szCs w:val="20"/>
        </w:rPr>
        <w:t>of</w:t>
      </w:r>
      <w:r w:rsidR="00DF1884" w:rsidRPr="00DF1884">
        <w:rPr>
          <w:szCs w:val="20"/>
        </w:rPr>
        <w:t xml:space="preserve"> </w:t>
      </w:r>
      <w:r w:rsidRPr="00DF1884">
        <w:rPr>
          <w:szCs w:val="20"/>
        </w:rPr>
        <w:t>existing</w:t>
      </w:r>
      <w:r w:rsidR="00DF1884" w:rsidRPr="00DF1884">
        <w:rPr>
          <w:szCs w:val="20"/>
        </w:rPr>
        <w:t xml:space="preserve"> </w:t>
      </w:r>
      <w:r w:rsidRPr="00DF1884">
        <w:rPr>
          <w:szCs w:val="20"/>
        </w:rPr>
        <w:t>disease,</w:t>
      </w:r>
      <w:r w:rsidR="00DF1884" w:rsidRPr="00DF1884">
        <w:rPr>
          <w:szCs w:val="20"/>
        </w:rPr>
        <w:t xml:space="preserve"> </w:t>
      </w:r>
      <w:r w:rsidRPr="00DF1884">
        <w:rPr>
          <w:szCs w:val="20"/>
        </w:rPr>
        <w:t>many</w:t>
      </w:r>
      <w:r w:rsidR="00DF1884" w:rsidRPr="00DF1884">
        <w:rPr>
          <w:szCs w:val="20"/>
        </w:rPr>
        <w:t xml:space="preserve"> </w:t>
      </w:r>
      <w:r w:rsidRPr="00DF1884">
        <w:rPr>
          <w:szCs w:val="20"/>
        </w:rPr>
        <w:t>of</w:t>
      </w:r>
      <w:r w:rsidR="00DF1884" w:rsidRPr="00DF1884">
        <w:rPr>
          <w:szCs w:val="20"/>
        </w:rPr>
        <w:t xml:space="preserve"> </w:t>
      </w:r>
      <w:r w:rsidRPr="00DF1884">
        <w:rPr>
          <w:szCs w:val="20"/>
        </w:rPr>
        <w:t>which</w:t>
      </w:r>
      <w:r w:rsidR="00DF1884" w:rsidRPr="00DF1884">
        <w:rPr>
          <w:szCs w:val="20"/>
        </w:rPr>
        <w:t xml:space="preserve"> </w:t>
      </w:r>
      <w:r w:rsidRPr="00DF1884">
        <w:rPr>
          <w:szCs w:val="20"/>
        </w:rPr>
        <w:t>result</w:t>
      </w:r>
      <w:r w:rsidR="00DF1884" w:rsidRPr="00DF1884">
        <w:rPr>
          <w:szCs w:val="20"/>
        </w:rPr>
        <w:t xml:space="preserve"> </w:t>
      </w:r>
      <w:r w:rsidRPr="00DF1884">
        <w:rPr>
          <w:szCs w:val="20"/>
        </w:rPr>
        <w:t>in</w:t>
      </w:r>
      <w:r w:rsidR="00DF1884" w:rsidRPr="00DF1884">
        <w:rPr>
          <w:szCs w:val="20"/>
        </w:rPr>
        <w:t xml:space="preserve"> </w:t>
      </w:r>
      <w:r w:rsidRPr="00DF1884">
        <w:rPr>
          <w:szCs w:val="20"/>
        </w:rPr>
        <w:t>hospitalization.</w:t>
      </w:r>
      <w:r w:rsidR="00DF1884" w:rsidRPr="00DF1884">
        <w:rPr>
          <w:i/>
          <w:szCs w:val="20"/>
        </w:rPr>
        <w:t xml:space="preserve"> </w:t>
      </w:r>
      <w:r w:rsidRPr="00DF1884">
        <w:rPr>
          <w:szCs w:val="20"/>
        </w:rPr>
        <w:t>Since</w:t>
      </w:r>
      <w:r w:rsidR="00DF1884" w:rsidRPr="00DF1884">
        <w:rPr>
          <w:szCs w:val="20"/>
        </w:rPr>
        <w:t xml:space="preserve"> </w:t>
      </w:r>
      <w:r w:rsidRPr="00DF1884">
        <w:rPr>
          <w:szCs w:val="20"/>
        </w:rPr>
        <w:t>many</w:t>
      </w:r>
      <w:r w:rsidR="00DF1884" w:rsidRPr="00DF1884">
        <w:rPr>
          <w:szCs w:val="20"/>
        </w:rPr>
        <w:t xml:space="preserve"> </w:t>
      </w:r>
      <w:r w:rsidRPr="00DF1884">
        <w:rPr>
          <w:szCs w:val="20"/>
        </w:rPr>
        <w:t>hospital</w:t>
      </w:r>
      <w:r w:rsidR="00DF1884" w:rsidRPr="00DF1884">
        <w:rPr>
          <w:szCs w:val="20"/>
        </w:rPr>
        <w:t xml:space="preserve"> </w:t>
      </w:r>
      <w:r w:rsidRPr="00DF1884">
        <w:rPr>
          <w:szCs w:val="20"/>
        </w:rPr>
        <w:t>admission</w:t>
      </w:r>
      <w:r w:rsidR="00DF1884" w:rsidRPr="00DF1884">
        <w:rPr>
          <w:szCs w:val="20"/>
        </w:rPr>
        <w:t xml:space="preserve"> </w:t>
      </w:r>
      <w:r w:rsidRPr="00DF1884">
        <w:rPr>
          <w:szCs w:val="20"/>
        </w:rPr>
        <w:t>rates</w:t>
      </w:r>
      <w:r w:rsidR="00DF1884" w:rsidRPr="00DF1884">
        <w:rPr>
          <w:szCs w:val="20"/>
        </w:rPr>
        <w:t xml:space="preserve"> </w:t>
      </w:r>
      <w:r w:rsidRPr="00DF1884">
        <w:rPr>
          <w:szCs w:val="20"/>
        </w:rPr>
        <w:t>for</w:t>
      </w:r>
      <w:r w:rsidR="00DF1884" w:rsidRPr="00DF1884">
        <w:rPr>
          <w:szCs w:val="20"/>
        </w:rPr>
        <w:t xml:space="preserve"> </w:t>
      </w:r>
      <w:r w:rsidRPr="00DF1884">
        <w:rPr>
          <w:szCs w:val="20"/>
        </w:rPr>
        <w:t>ACSC</w:t>
      </w:r>
      <w:r w:rsidR="00DF1884" w:rsidRPr="00DF1884">
        <w:rPr>
          <w:szCs w:val="20"/>
        </w:rPr>
        <w:t xml:space="preserve"> </w:t>
      </w:r>
      <w:r w:rsidRPr="00DF1884">
        <w:rPr>
          <w:szCs w:val="20"/>
        </w:rPr>
        <w:t>are</w:t>
      </w:r>
      <w:r w:rsidR="00DF1884" w:rsidRPr="00DF1884">
        <w:rPr>
          <w:szCs w:val="20"/>
        </w:rPr>
        <w:t xml:space="preserve"> </w:t>
      </w:r>
      <w:r w:rsidRPr="00DF1884">
        <w:rPr>
          <w:szCs w:val="20"/>
        </w:rPr>
        <w:t>correlated,</w:t>
      </w:r>
      <w:r w:rsidR="00DF1884" w:rsidRPr="00DF1884">
        <w:rPr>
          <w:szCs w:val="20"/>
        </w:rPr>
        <w:t xml:space="preserve"> </w:t>
      </w:r>
      <w:r w:rsidRPr="00DF1884">
        <w:rPr>
          <w:szCs w:val="20"/>
        </w:rPr>
        <w:t>it</w:t>
      </w:r>
      <w:r w:rsidR="00DF1884" w:rsidRPr="00DF1884">
        <w:rPr>
          <w:szCs w:val="20"/>
        </w:rPr>
        <w:t xml:space="preserve"> </w:t>
      </w:r>
      <w:r w:rsidRPr="00DF1884">
        <w:rPr>
          <w:szCs w:val="20"/>
        </w:rPr>
        <w:t>is</w:t>
      </w:r>
      <w:r w:rsidR="00DF1884" w:rsidRPr="00DF1884">
        <w:rPr>
          <w:szCs w:val="20"/>
        </w:rPr>
        <w:t xml:space="preserve"> </w:t>
      </w:r>
      <w:r w:rsidRPr="00DF1884">
        <w:rPr>
          <w:szCs w:val="20"/>
        </w:rPr>
        <w:t>likely</w:t>
      </w:r>
      <w:r w:rsidR="00DF1884" w:rsidRPr="00DF1884">
        <w:rPr>
          <w:szCs w:val="20"/>
        </w:rPr>
        <w:t xml:space="preserve"> </w:t>
      </w:r>
      <w:r w:rsidRPr="00DF1884">
        <w:rPr>
          <w:szCs w:val="20"/>
        </w:rPr>
        <w:t>there</w:t>
      </w:r>
      <w:r w:rsidR="00DF1884" w:rsidRPr="00DF1884">
        <w:rPr>
          <w:szCs w:val="20"/>
        </w:rPr>
        <w:t xml:space="preserve"> </w:t>
      </w:r>
      <w:r w:rsidRPr="00DF1884">
        <w:rPr>
          <w:szCs w:val="20"/>
        </w:rPr>
        <w:t>is</w:t>
      </w:r>
      <w:r w:rsidR="00DF1884" w:rsidRPr="00DF1884">
        <w:rPr>
          <w:szCs w:val="20"/>
        </w:rPr>
        <w:t xml:space="preserve"> </w:t>
      </w:r>
      <w:r w:rsidRPr="00DF1884">
        <w:rPr>
          <w:szCs w:val="20"/>
        </w:rPr>
        <w:t>a</w:t>
      </w:r>
      <w:r w:rsidR="00DF1884" w:rsidRPr="00DF1884">
        <w:rPr>
          <w:szCs w:val="20"/>
        </w:rPr>
        <w:t xml:space="preserve"> </w:t>
      </w:r>
      <w:r w:rsidRPr="00DF1884">
        <w:rPr>
          <w:szCs w:val="20"/>
        </w:rPr>
        <w:t>common</w:t>
      </w:r>
      <w:r w:rsidR="00DF1884" w:rsidRPr="00DF1884">
        <w:rPr>
          <w:szCs w:val="20"/>
        </w:rPr>
        <w:t xml:space="preserve"> </w:t>
      </w:r>
      <w:r w:rsidRPr="00DF1884">
        <w:rPr>
          <w:szCs w:val="20"/>
        </w:rPr>
        <w:t>underlying</w:t>
      </w:r>
      <w:r w:rsidR="00DF1884" w:rsidRPr="00DF1884">
        <w:rPr>
          <w:szCs w:val="20"/>
        </w:rPr>
        <w:t xml:space="preserve"> </w:t>
      </w:r>
      <w:r w:rsidRPr="00DF1884">
        <w:rPr>
          <w:szCs w:val="20"/>
        </w:rPr>
        <w:t>factor</w:t>
      </w:r>
      <w:r w:rsidR="00DF1884" w:rsidRPr="00DF1884">
        <w:rPr>
          <w:szCs w:val="20"/>
        </w:rPr>
        <w:t xml:space="preserve"> </w:t>
      </w:r>
      <w:r w:rsidRPr="00DF1884">
        <w:rPr>
          <w:szCs w:val="20"/>
        </w:rPr>
        <w:t>influencing</w:t>
      </w:r>
      <w:r w:rsidR="00DF1884" w:rsidRPr="00DF1884">
        <w:rPr>
          <w:szCs w:val="20"/>
        </w:rPr>
        <w:t xml:space="preserve"> </w:t>
      </w:r>
      <w:r w:rsidRPr="00DF1884">
        <w:rPr>
          <w:szCs w:val="20"/>
        </w:rPr>
        <w:t>many</w:t>
      </w:r>
      <w:r w:rsidR="00DF1884" w:rsidRPr="00DF1884">
        <w:rPr>
          <w:szCs w:val="20"/>
        </w:rPr>
        <w:t xml:space="preserve"> </w:t>
      </w:r>
      <w:r w:rsidRPr="00DF1884">
        <w:rPr>
          <w:szCs w:val="20"/>
        </w:rPr>
        <w:t>of</w:t>
      </w:r>
      <w:r w:rsidR="00DF1884" w:rsidRPr="00DF1884">
        <w:rPr>
          <w:szCs w:val="20"/>
        </w:rPr>
        <w:t xml:space="preserve"> </w:t>
      </w:r>
      <w:r w:rsidRPr="00DF1884">
        <w:rPr>
          <w:szCs w:val="20"/>
        </w:rPr>
        <w:t>these</w:t>
      </w:r>
      <w:r w:rsidR="00DF1884" w:rsidRPr="00DF1884">
        <w:rPr>
          <w:szCs w:val="20"/>
        </w:rPr>
        <w:t xml:space="preserve"> </w:t>
      </w:r>
      <w:r w:rsidRPr="00DF1884">
        <w:rPr>
          <w:szCs w:val="20"/>
        </w:rPr>
        <w:t>rates</w:t>
      </w:r>
      <w:r w:rsidR="00DF1884" w:rsidRPr="00DF1884">
        <w:rPr>
          <w:szCs w:val="20"/>
        </w:rPr>
        <w:t xml:space="preserve"> </w:t>
      </w:r>
      <w:r w:rsidRPr="00DF1884">
        <w:rPr>
          <w:szCs w:val="20"/>
        </w:rPr>
        <w:t>(AHRQ</w:t>
      </w:r>
      <w:r w:rsidR="00DF1884" w:rsidRPr="00DF1884">
        <w:rPr>
          <w:szCs w:val="20"/>
        </w:rPr>
        <w:t xml:space="preserve"> </w:t>
      </w:r>
      <w:r w:rsidRPr="00DF1884">
        <w:rPr>
          <w:szCs w:val="20"/>
        </w:rPr>
        <w:t>2007).</w:t>
      </w:r>
      <w:r w:rsidR="00DF1884" w:rsidRPr="00DF1884">
        <w:rPr>
          <w:szCs w:val="20"/>
        </w:rPr>
        <w:t xml:space="preserve"> </w:t>
      </w:r>
      <w:r w:rsidRPr="00DF1884">
        <w:rPr>
          <w:szCs w:val="20"/>
        </w:rPr>
        <w:t>For</w:t>
      </w:r>
      <w:r w:rsidR="00DF1884" w:rsidRPr="00DF1884">
        <w:rPr>
          <w:szCs w:val="20"/>
        </w:rPr>
        <w:t xml:space="preserve"> </w:t>
      </w:r>
      <w:r w:rsidRPr="00DF1884">
        <w:rPr>
          <w:szCs w:val="20"/>
        </w:rPr>
        <w:t>specific</w:t>
      </w:r>
      <w:r w:rsidR="00DF1884" w:rsidRPr="00DF1884">
        <w:rPr>
          <w:szCs w:val="20"/>
        </w:rPr>
        <w:t xml:space="preserve"> </w:t>
      </w:r>
      <w:r w:rsidRPr="00DF1884">
        <w:rPr>
          <w:szCs w:val="20"/>
        </w:rPr>
        <w:t>evidence</w:t>
      </w:r>
      <w:r w:rsidR="00DF1884" w:rsidRPr="00DF1884">
        <w:rPr>
          <w:szCs w:val="20"/>
        </w:rPr>
        <w:t xml:space="preserve"> </w:t>
      </w:r>
      <w:r w:rsidRPr="00DF1884">
        <w:rPr>
          <w:szCs w:val="20"/>
        </w:rPr>
        <w:t>on</w:t>
      </w:r>
      <w:r w:rsidR="00DF1884" w:rsidRPr="00DF1884">
        <w:rPr>
          <w:szCs w:val="20"/>
        </w:rPr>
        <w:t xml:space="preserve"> </w:t>
      </w:r>
      <w:r w:rsidRPr="00DF1884">
        <w:rPr>
          <w:szCs w:val="20"/>
        </w:rPr>
        <w:t>each</w:t>
      </w:r>
      <w:r w:rsidR="00DF1884" w:rsidRPr="00DF1884">
        <w:rPr>
          <w:szCs w:val="20"/>
        </w:rPr>
        <w:t xml:space="preserve"> </w:t>
      </w:r>
      <w:r w:rsidRPr="00DF1884">
        <w:rPr>
          <w:szCs w:val="20"/>
        </w:rPr>
        <w:t>PQI,</w:t>
      </w:r>
      <w:r w:rsidR="00DF1884" w:rsidRPr="00DF1884">
        <w:rPr>
          <w:szCs w:val="20"/>
        </w:rPr>
        <w:t xml:space="preserve"> </w:t>
      </w:r>
      <w:r w:rsidRPr="00DF1884">
        <w:rPr>
          <w:szCs w:val="20"/>
        </w:rPr>
        <w:t>refer</w:t>
      </w:r>
      <w:r w:rsidR="00DF1884" w:rsidRPr="00DF1884">
        <w:rPr>
          <w:szCs w:val="20"/>
        </w:rPr>
        <w:t xml:space="preserve"> </w:t>
      </w:r>
      <w:r w:rsidRPr="00DF1884">
        <w:rPr>
          <w:szCs w:val="20"/>
        </w:rPr>
        <w:t>to</w:t>
      </w:r>
      <w:r w:rsidR="00DF1884" w:rsidRPr="00DF1884">
        <w:rPr>
          <w:szCs w:val="20"/>
        </w:rPr>
        <w:t xml:space="preserve"> </w:t>
      </w:r>
      <w:r w:rsidRPr="00DF1884">
        <w:rPr>
          <w:szCs w:val="20"/>
        </w:rPr>
        <w:t>the</w:t>
      </w:r>
      <w:r w:rsidR="00DF1884" w:rsidRPr="00DF1884">
        <w:rPr>
          <w:szCs w:val="20"/>
        </w:rPr>
        <w:t xml:space="preserve"> </w:t>
      </w:r>
      <w:r w:rsidRPr="00DF1884">
        <w:rPr>
          <w:szCs w:val="20"/>
        </w:rPr>
        <w:t>AHRQ</w:t>
      </w:r>
      <w:r w:rsidR="00DF1884" w:rsidRPr="00DF1884">
        <w:rPr>
          <w:szCs w:val="20"/>
        </w:rPr>
        <w:t xml:space="preserve"> </w:t>
      </w:r>
      <w:r w:rsidRPr="00DF1884">
        <w:rPr>
          <w:szCs w:val="20"/>
        </w:rPr>
        <w:t>Guide</w:t>
      </w:r>
      <w:r w:rsidR="00DF1884" w:rsidRPr="00DF1884">
        <w:rPr>
          <w:szCs w:val="20"/>
        </w:rPr>
        <w:t xml:space="preserve"> </w:t>
      </w:r>
      <w:r w:rsidRPr="00DF1884">
        <w:rPr>
          <w:szCs w:val="20"/>
        </w:rPr>
        <w:t>to</w:t>
      </w:r>
      <w:r w:rsidR="00DF1884" w:rsidRPr="00DF1884">
        <w:rPr>
          <w:szCs w:val="20"/>
        </w:rPr>
        <w:t xml:space="preserve"> </w:t>
      </w:r>
      <w:r w:rsidRPr="00DF1884">
        <w:rPr>
          <w:szCs w:val="20"/>
        </w:rPr>
        <w:t>Prevention</w:t>
      </w:r>
      <w:r w:rsidR="00DF1884" w:rsidRPr="00DF1884">
        <w:rPr>
          <w:szCs w:val="20"/>
        </w:rPr>
        <w:t xml:space="preserve"> </w:t>
      </w:r>
      <w:r w:rsidRPr="00DF1884">
        <w:rPr>
          <w:szCs w:val="20"/>
        </w:rPr>
        <w:t>Quality</w:t>
      </w:r>
      <w:r w:rsidR="00DF1884" w:rsidRPr="00DF1884">
        <w:rPr>
          <w:szCs w:val="20"/>
        </w:rPr>
        <w:t xml:space="preserve"> </w:t>
      </w:r>
      <w:r w:rsidRPr="00DF1884">
        <w:rPr>
          <w:szCs w:val="20"/>
        </w:rPr>
        <w:t>Indicators:</w:t>
      </w:r>
      <w:r w:rsidR="00DF1884" w:rsidRPr="00DF1884">
        <w:rPr>
          <w:szCs w:val="20"/>
        </w:rPr>
        <w:t xml:space="preserve"> </w:t>
      </w:r>
      <w:hyperlink r:id="rId75" w:history="1">
        <w:r w:rsidRPr="00DF1884">
          <w:rPr>
            <w:rStyle w:val="Hyperlink"/>
            <w:color w:val="auto"/>
          </w:rPr>
          <w:t>http://www.qualityindicators.ahrq.gov/Downloads/Modules/PQI/V31/pqi_guide_v31.pdf</w:t>
        </w:r>
      </w:hyperlink>
      <w:r w:rsidR="00DF1884" w:rsidRPr="00DF1884">
        <w:rPr>
          <w:szCs w:val="20"/>
        </w:rPr>
        <w:t xml:space="preserve"> </w:t>
      </w:r>
    </w:p>
    <w:p w14:paraId="017804D4" w14:textId="77777777" w:rsidR="00AF6992" w:rsidRPr="00DF1884" w:rsidRDefault="00AF6992" w:rsidP="00FB7739">
      <w:pPr>
        <w:sectPr w:rsidR="00AF6992" w:rsidRPr="00DF1884" w:rsidSect="0039781B">
          <w:pgSz w:w="12240" w:h="15840" w:code="1"/>
          <w:pgMar w:top="1080" w:right="1080" w:bottom="1080" w:left="1440" w:header="720" w:footer="720" w:gutter="0"/>
          <w:cols w:space="720"/>
        </w:sectPr>
      </w:pPr>
    </w:p>
    <w:p w14:paraId="637F13C1" w14:textId="2FE21101" w:rsidR="00FB7739" w:rsidRPr="00DF1884" w:rsidRDefault="00FB7739" w:rsidP="00AF6992">
      <w:pPr>
        <w:pStyle w:val="SubHead"/>
        <w:spacing w:before="0"/>
      </w:pPr>
      <w:r w:rsidRPr="00DF1884">
        <w:lastRenderedPageBreak/>
        <w:t>Expanding</w:t>
      </w:r>
      <w:r w:rsidR="00DF1884" w:rsidRPr="00DF1884">
        <w:t xml:space="preserve"> </w:t>
      </w:r>
      <w:r w:rsidRPr="00DF1884">
        <w:t>the</w:t>
      </w:r>
      <w:r w:rsidR="00DF1884" w:rsidRPr="00DF1884">
        <w:t xml:space="preserve"> </w:t>
      </w:r>
      <w:r w:rsidRPr="00DF1884">
        <w:t>Use</w:t>
      </w:r>
      <w:r w:rsidR="00DF1884" w:rsidRPr="00DF1884">
        <w:t xml:space="preserve"> </w:t>
      </w:r>
      <w:r w:rsidRPr="00DF1884">
        <w:t>of</w:t>
      </w:r>
      <w:r w:rsidR="00DF1884" w:rsidRPr="00DF1884">
        <w:t xml:space="preserve"> </w:t>
      </w:r>
      <w:r w:rsidRPr="00DF1884">
        <w:t>PQI</w:t>
      </w:r>
      <w:r w:rsidR="00DF1884" w:rsidRPr="00DF1884">
        <w:t xml:space="preserve"> </w:t>
      </w:r>
      <w:r w:rsidRPr="00DF1884">
        <w:t>for</w:t>
      </w:r>
      <w:r w:rsidR="00DF1884" w:rsidRPr="00DF1884">
        <w:t xml:space="preserve"> </w:t>
      </w:r>
      <w:r w:rsidRPr="00DF1884">
        <w:t>Performance</w:t>
      </w:r>
      <w:r w:rsidR="00DF1884" w:rsidRPr="00DF1884">
        <w:t xml:space="preserve"> </w:t>
      </w:r>
      <w:r w:rsidRPr="00DF1884">
        <w:t>Measurement:</w:t>
      </w:r>
    </w:p>
    <w:p w14:paraId="6AC4EE7B" w14:textId="3CADCB75" w:rsidR="0039781B" w:rsidRPr="00DF1884" w:rsidRDefault="00AF6992" w:rsidP="00AF6992">
      <w:pPr>
        <w:pStyle w:val="Body"/>
      </w:pPr>
      <w:r w:rsidRPr="00DF1884">
        <w:t>R</w:t>
      </w:r>
      <w:r w:rsidR="00FB7739" w:rsidRPr="00DF1884">
        <w:t>ecently,</w:t>
      </w:r>
      <w:r w:rsidR="00DF1884" w:rsidRPr="00DF1884">
        <w:t xml:space="preserve"> </w:t>
      </w:r>
      <w:r w:rsidR="00FB7739" w:rsidRPr="00DF1884">
        <w:t>AHRQ</w:t>
      </w:r>
      <w:r w:rsidR="00DF1884" w:rsidRPr="00DF1884">
        <w:t xml:space="preserve"> </w:t>
      </w:r>
      <w:r w:rsidR="00FB7739" w:rsidRPr="00DF1884">
        <w:t>convened</w:t>
      </w:r>
      <w:r w:rsidR="00DF1884" w:rsidRPr="00DF1884">
        <w:t xml:space="preserve"> </w:t>
      </w:r>
      <w:r w:rsidR="00FB7739" w:rsidRPr="00DF1884">
        <w:t>a</w:t>
      </w:r>
      <w:r w:rsidR="00DF1884" w:rsidRPr="00DF1884">
        <w:t xml:space="preserve"> </w:t>
      </w:r>
      <w:r w:rsidR="00FB7739" w:rsidRPr="00DF1884">
        <w:t>multi-stakeholder</w:t>
      </w:r>
      <w:r w:rsidR="00DF1884" w:rsidRPr="00DF1884">
        <w:t xml:space="preserve"> </w:t>
      </w:r>
      <w:r w:rsidR="00FB7739" w:rsidRPr="00DF1884">
        <w:t>panel</w:t>
      </w:r>
      <w:r w:rsidR="00DF1884" w:rsidRPr="00DF1884">
        <w:t xml:space="preserve"> </w:t>
      </w:r>
      <w:r w:rsidR="00FB7739" w:rsidRPr="00DF1884">
        <w:t>of</w:t>
      </w:r>
      <w:r w:rsidR="00DF1884" w:rsidRPr="00DF1884">
        <w:t xml:space="preserve"> </w:t>
      </w:r>
      <w:r w:rsidR="00FB7739" w:rsidRPr="00DF1884">
        <w:t>experts</w:t>
      </w:r>
      <w:r w:rsidR="00DF1884" w:rsidRPr="00DF1884">
        <w:t xml:space="preserve"> </w:t>
      </w:r>
      <w:r w:rsidR="00FB7739" w:rsidRPr="00DF1884">
        <w:t>to</w:t>
      </w:r>
      <w:r w:rsidR="00DF1884" w:rsidRPr="00DF1884">
        <w:t xml:space="preserve"> </w:t>
      </w:r>
      <w:r w:rsidR="00FB7739" w:rsidRPr="00DF1884">
        <w:t>review</w:t>
      </w:r>
      <w:r w:rsidR="00DF1884" w:rsidRPr="00DF1884">
        <w:t xml:space="preserve"> </w:t>
      </w:r>
      <w:r w:rsidR="00FB7739" w:rsidRPr="00DF1884">
        <w:t>the</w:t>
      </w:r>
      <w:r w:rsidR="00DF1884" w:rsidRPr="00DF1884">
        <w:t xml:space="preserve"> </w:t>
      </w:r>
      <w:r w:rsidR="00FB7739" w:rsidRPr="00DF1884">
        <w:t>evidence</w:t>
      </w:r>
      <w:r w:rsidR="00DF1884" w:rsidRPr="00DF1884">
        <w:t xml:space="preserve"> </w:t>
      </w:r>
      <w:r w:rsidR="00FB7739" w:rsidRPr="00DF1884">
        <w:t>for</w:t>
      </w:r>
      <w:r w:rsidR="00DF1884" w:rsidRPr="00DF1884">
        <w:t xml:space="preserve"> </w:t>
      </w:r>
      <w:r w:rsidR="00FB7739" w:rsidRPr="00DF1884">
        <w:t>all</w:t>
      </w:r>
      <w:r w:rsidR="00DF1884" w:rsidRPr="00DF1884">
        <w:t xml:space="preserve"> </w:t>
      </w:r>
      <w:r w:rsidR="00FB7739" w:rsidRPr="00DF1884">
        <w:t>AHRQ</w:t>
      </w:r>
      <w:r w:rsidR="00DF1884" w:rsidRPr="00DF1884">
        <w:t xml:space="preserve"> </w:t>
      </w:r>
      <w:r w:rsidR="00FB7739" w:rsidRPr="00DF1884">
        <w:t>PQI</w:t>
      </w:r>
      <w:r w:rsidRPr="00DF1884">
        <w:t>s</w:t>
      </w:r>
      <w:r w:rsidR="00DF1884" w:rsidRPr="00DF1884">
        <w:t xml:space="preserve"> </w:t>
      </w:r>
      <w:r w:rsidR="00FB7739" w:rsidRPr="00DF1884">
        <w:t>and</w:t>
      </w:r>
      <w:r w:rsidR="00DF1884" w:rsidRPr="00DF1884">
        <w:t xml:space="preserve"> </w:t>
      </w:r>
      <w:r w:rsidRPr="00DF1884">
        <w:t>to</w:t>
      </w:r>
      <w:r w:rsidR="00DF1884" w:rsidRPr="00DF1884">
        <w:t xml:space="preserve"> </w:t>
      </w:r>
      <w:r w:rsidR="00FB7739" w:rsidRPr="00DF1884">
        <w:t>assess</w:t>
      </w:r>
      <w:r w:rsidR="00DF1884" w:rsidRPr="00DF1884">
        <w:t xml:space="preserve"> </w:t>
      </w:r>
      <w:r w:rsidR="00FB7739" w:rsidRPr="00DF1884">
        <w:t>the</w:t>
      </w:r>
      <w:r w:rsidR="00DF1884" w:rsidRPr="00DF1884">
        <w:t xml:space="preserve"> </w:t>
      </w:r>
      <w:r w:rsidR="00FB7739" w:rsidRPr="00DF1884">
        <w:t>appropriateness</w:t>
      </w:r>
      <w:r w:rsidR="00DF1884" w:rsidRPr="00DF1884">
        <w:t xml:space="preserve"> </w:t>
      </w:r>
      <w:r w:rsidR="00FB7739" w:rsidRPr="00DF1884">
        <w:t>of</w:t>
      </w:r>
      <w:r w:rsidR="00DF1884" w:rsidRPr="00DF1884">
        <w:t xml:space="preserve"> </w:t>
      </w:r>
      <w:r w:rsidR="00FB7739" w:rsidRPr="00DF1884">
        <w:t>using</w:t>
      </w:r>
      <w:r w:rsidR="00DF1884" w:rsidRPr="00DF1884">
        <w:t xml:space="preserve"> </w:t>
      </w:r>
      <w:r w:rsidR="00FB7739" w:rsidRPr="00DF1884">
        <w:t>the</w:t>
      </w:r>
      <w:r w:rsidR="00DF1884" w:rsidRPr="00DF1884">
        <w:t xml:space="preserve"> </w:t>
      </w:r>
      <w:r w:rsidR="00FB7739" w:rsidRPr="00DF1884">
        <w:t>PQI</w:t>
      </w:r>
      <w:r w:rsidR="00DF1884" w:rsidRPr="00DF1884">
        <w:t xml:space="preserve"> </w:t>
      </w:r>
      <w:r w:rsidR="00FB7739" w:rsidRPr="00DF1884">
        <w:t>for</w:t>
      </w:r>
      <w:r w:rsidR="00DF1884" w:rsidRPr="00DF1884">
        <w:t xml:space="preserve"> </w:t>
      </w:r>
      <w:r w:rsidR="00FB7739" w:rsidRPr="00DF1884">
        <w:t>quality</w:t>
      </w:r>
      <w:r w:rsidR="00DF1884" w:rsidRPr="00DF1884">
        <w:t xml:space="preserve"> </w:t>
      </w:r>
      <w:r w:rsidR="00FB7739" w:rsidRPr="00DF1884">
        <w:t>improvement,</w:t>
      </w:r>
      <w:r w:rsidR="00DF1884" w:rsidRPr="00DF1884">
        <w:t xml:space="preserve"> </w:t>
      </w:r>
      <w:r w:rsidR="00FB7739" w:rsidRPr="00DF1884">
        <w:t>public</w:t>
      </w:r>
      <w:r w:rsidR="00DF1884" w:rsidRPr="00DF1884">
        <w:t xml:space="preserve"> </w:t>
      </w:r>
      <w:r w:rsidR="00FB7739" w:rsidRPr="00DF1884">
        <w:t>reporting</w:t>
      </w:r>
      <w:r w:rsidR="00DF1884" w:rsidRPr="00DF1884">
        <w:t xml:space="preserve"> </w:t>
      </w:r>
      <w:r w:rsidR="00FB7739" w:rsidRPr="00DF1884">
        <w:t>and</w:t>
      </w:r>
      <w:r w:rsidR="00DF1884" w:rsidRPr="00DF1884">
        <w:t xml:space="preserve"> </w:t>
      </w:r>
      <w:r w:rsidR="00FB7739" w:rsidRPr="00DF1884">
        <w:t>pay-for-performance</w:t>
      </w:r>
      <w:r w:rsidR="00DF1884" w:rsidRPr="00DF1884">
        <w:t xml:space="preserve"> </w:t>
      </w:r>
      <w:r w:rsidR="00FB7739" w:rsidRPr="00DF1884">
        <w:t>(Davies</w:t>
      </w:r>
      <w:r w:rsidR="00DF1884" w:rsidRPr="00DF1884">
        <w:t xml:space="preserve"> </w:t>
      </w:r>
      <w:r w:rsidR="00FB7739" w:rsidRPr="00DF1884">
        <w:t>2009).</w:t>
      </w:r>
      <w:r w:rsidR="00DF1884" w:rsidRPr="00DF1884">
        <w:t xml:space="preserve"> </w:t>
      </w:r>
      <w:r w:rsidR="00FB7739" w:rsidRPr="00DF1884">
        <w:t>This</w:t>
      </w:r>
      <w:r w:rsidR="00DF1884" w:rsidRPr="00DF1884">
        <w:t xml:space="preserve"> </w:t>
      </w:r>
      <w:r w:rsidR="00FB7739" w:rsidRPr="00DF1884">
        <w:t>group</w:t>
      </w:r>
      <w:r w:rsidR="00DF1884" w:rsidRPr="00DF1884">
        <w:t xml:space="preserve"> </w:t>
      </w:r>
      <w:r w:rsidR="00FB7739" w:rsidRPr="00DF1884">
        <w:t>used</w:t>
      </w:r>
      <w:r w:rsidR="00DF1884" w:rsidRPr="00DF1884">
        <w:t xml:space="preserve"> </w:t>
      </w:r>
      <w:r w:rsidR="00FB7739" w:rsidRPr="00DF1884">
        <w:t>a</w:t>
      </w:r>
      <w:r w:rsidR="00DF1884" w:rsidRPr="00DF1884">
        <w:t xml:space="preserve"> </w:t>
      </w:r>
      <w:r w:rsidR="00FB7739" w:rsidRPr="00DF1884">
        <w:t>Delphi</w:t>
      </w:r>
      <w:r w:rsidR="00DF1884" w:rsidRPr="00DF1884">
        <w:t xml:space="preserve"> </w:t>
      </w:r>
      <w:r w:rsidR="00FB7739" w:rsidRPr="00DF1884">
        <w:t>and</w:t>
      </w:r>
      <w:r w:rsidR="00DF1884" w:rsidRPr="00DF1884">
        <w:t xml:space="preserve"> </w:t>
      </w:r>
      <w:r w:rsidR="00FB7739" w:rsidRPr="00DF1884">
        <w:t>Nominal</w:t>
      </w:r>
      <w:r w:rsidR="00DF1884" w:rsidRPr="00DF1884">
        <w:t xml:space="preserve"> </w:t>
      </w:r>
      <w:r w:rsidR="00FB7739" w:rsidRPr="00DF1884">
        <w:t>Panel</w:t>
      </w:r>
      <w:r w:rsidR="00DF1884" w:rsidRPr="00DF1884">
        <w:t xml:space="preserve"> </w:t>
      </w:r>
      <w:r w:rsidR="00FB7739" w:rsidRPr="00DF1884">
        <w:t>method</w:t>
      </w:r>
      <w:r w:rsidR="00DF1884" w:rsidRPr="00DF1884">
        <w:t xml:space="preserve"> </w:t>
      </w:r>
      <w:r w:rsidR="00FB7739" w:rsidRPr="00DF1884">
        <w:t>for</w:t>
      </w:r>
      <w:r w:rsidR="00DF1884" w:rsidRPr="00DF1884">
        <w:t xml:space="preserve"> </w:t>
      </w:r>
      <w:r w:rsidR="00FB7739" w:rsidRPr="00DF1884">
        <w:t>soliciting</w:t>
      </w:r>
      <w:r w:rsidR="00DF1884" w:rsidRPr="00DF1884">
        <w:t xml:space="preserve"> </w:t>
      </w:r>
      <w:r w:rsidR="00FB7739" w:rsidRPr="00DF1884">
        <w:t>feedback</w:t>
      </w:r>
      <w:r w:rsidR="00DF1884" w:rsidRPr="00DF1884">
        <w:t xml:space="preserve"> </w:t>
      </w:r>
      <w:r w:rsidR="00FB7739" w:rsidRPr="00DF1884">
        <w:t>from</w:t>
      </w:r>
      <w:r w:rsidR="00DF1884" w:rsidRPr="00DF1884">
        <w:t xml:space="preserve"> </w:t>
      </w:r>
      <w:r w:rsidR="00FB7739" w:rsidRPr="00DF1884">
        <w:t>panel</w:t>
      </w:r>
      <w:r w:rsidR="00DF1884" w:rsidRPr="00DF1884">
        <w:t xml:space="preserve"> </w:t>
      </w:r>
      <w:r w:rsidR="00FB7739" w:rsidRPr="00DF1884">
        <w:t>members</w:t>
      </w:r>
      <w:r w:rsidR="00DF1884" w:rsidRPr="00DF1884">
        <w:t xml:space="preserve"> </w:t>
      </w:r>
      <w:r w:rsidR="00FB7739" w:rsidRPr="00DF1884">
        <w:t>on</w:t>
      </w:r>
      <w:r w:rsidR="00DF1884" w:rsidRPr="00DF1884">
        <w:t xml:space="preserve"> </w:t>
      </w:r>
      <w:r w:rsidR="00FB7739" w:rsidRPr="00DF1884">
        <w:t>the</w:t>
      </w:r>
      <w:r w:rsidR="00DF1884" w:rsidRPr="00DF1884">
        <w:t xml:space="preserve"> </w:t>
      </w:r>
      <w:r w:rsidR="00FB7739" w:rsidRPr="00DF1884">
        <w:t>face</w:t>
      </w:r>
      <w:r w:rsidR="00DF1884" w:rsidRPr="00DF1884">
        <w:t xml:space="preserve"> </w:t>
      </w:r>
      <w:r w:rsidR="00FB7739" w:rsidRPr="00DF1884">
        <w:t>validity</w:t>
      </w:r>
      <w:r w:rsidR="00DF1884" w:rsidRPr="00DF1884">
        <w:t xml:space="preserve"> </w:t>
      </w:r>
      <w:r w:rsidR="00FB7739" w:rsidRPr="00DF1884">
        <w:t>of</w:t>
      </w:r>
      <w:r w:rsidR="00DF1884" w:rsidRPr="00DF1884">
        <w:t xml:space="preserve"> </w:t>
      </w:r>
      <w:r w:rsidR="00FB7739" w:rsidRPr="00DF1884">
        <w:t>the</w:t>
      </w:r>
      <w:r w:rsidR="00DF1884" w:rsidRPr="00DF1884">
        <w:t xml:space="preserve"> </w:t>
      </w:r>
      <w:r w:rsidR="00FB7739" w:rsidRPr="00DF1884">
        <w:t>PQI</w:t>
      </w:r>
      <w:r w:rsidR="00DF1884" w:rsidRPr="00DF1884">
        <w:t xml:space="preserve"> </w:t>
      </w:r>
      <w:r w:rsidR="00FB7739" w:rsidRPr="00DF1884">
        <w:t>for</w:t>
      </w:r>
      <w:r w:rsidR="00DF1884" w:rsidRPr="00DF1884">
        <w:t xml:space="preserve"> </w:t>
      </w:r>
      <w:r w:rsidR="00FB7739" w:rsidRPr="00DF1884">
        <w:t>different</w:t>
      </w:r>
      <w:r w:rsidR="00DF1884" w:rsidRPr="00DF1884">
        <w:t xml:space="preserve"> </w:t>
      </w:r>
      <w:r w:rsidR="00FB7739" w:rsidRPr="00DF1884">
        <w:t>settings</w:t>
      </w:r>
      <w:r w:rsidR="00DF1884" w:rsidRPr="00DF1884">
        <w:t xml:space="preserve"> </w:t>
      </w:r>
      <w:r w:rsidR="00FB7739" w:rsidRPr="00DF1884">
        <w:t>and</w:t>
      </w:r>
      <w:r w:rsidR="00DF1884" w:rsidRPr="00DF1884">
        <w:t xml:space="preserve"> </w:t>
      </w:r>
      <w:r w:rsidR="00FB7739" w:rsidRPr="00DF1884">
        <w:t>uses.</w:t>
      </w:r>
      <w:r w:rsidR="00DF1884" w:rsidRPr="00DF1884">
        <w:t xml:space="preserve"> </w:t>
      </w:r>
      <w:r w:rsidR="00FB7739" w:rsidRPr="00DF1884">
        <w:t>Overall,</w:t>
      </w:r>
      <w:r w:rsidR="00DF1884" w:rsidRPr="00DF1884">
        <w:t xml:space="preserve"> </w:t>
      </w:r>
      <w:r w:rsidR="00FB7739" w:rsidRPr="00DF1884">
        <w:t>the</w:t>
      </w:r>
      <w:r w:rsidR="00DF1884" w:rsidRPr="00DF1884">
        <w:t xml:space="preserve"> </w:t>
      </w:r>
      <w:r w:rsidR="00FB7739" w:rsidRPr="00DF1884">
        <w:t>panelists</w:t>
      </w:r>
      <w:r w:rsidR="00DF1884" w:rsidRPr="00DF1884">
        <w:t xml:space="preserve"> </w:t>
      </w:r>
      <w:r w:rsidR="00FB7739" w:rsidRPr="00DF1884">
        <w:t>rated</w:t>
      </w:r>
      <w:r w:rsidR="00DF1884" w:rsidRPr="00DF1884">
        <w:t xml:space="preserve"> </w:t>
      </w:r>
      <w:r w:rsidR="00FB7739" w:rsidRPr="00DF1884">
        <w:t>most</w:t>
      </w:r>
      <w:r w:rsidR="00DF1884" w:rsidRPr="00DF1884">
        <w:t xml:space="preserve"> </w:t>
      </w:r>
      <w:r w:rsidR="00FB7739" w:rsidRPr="00DF1884">
        <w:t>indicators</w:t>
      </w:r>
      <w:r w:rsidR="00DF1884" w:rsidRPr="00DF1884">
        <w:t xml:space="preserve"> </w:t>
      </w:r>
      <w:r w:rsidR="00FB7739" w:rsidRPr="00DF1884">
        <w:t>as</w:t>
      </w:r>
      <w:r w:rsidR="00DF1884" w:rsidRPr="00DF1884">
        <w:t xml:space="preserve"> </w:t>
      </w:r>
      <w:r w:rsidR="00FB7739" w:rsidRPr="00DF1884">
        <w:t>appropriate</w:t>
      </w:r>
      <w:r w:rsidR="00DF1884" w:rsidRPr="00DF1884">
        <w:t xml:space="preserve"> </w:t>
      </w:r>
      <w:r w:rsidR="00FB7739" w:rsidRPr="00DF1884">
        <w:t>for</w:t>
      </w:r>
      <w:r w:rsidR="00DF1884" w:rsidRPr="00DF1884">
        <w:t xml:space="preserve"> </w:t>
      </w:r>
      <w:r w:rsidR="00FB7739" w:rsidRPr="00DF1884">
        <w:t>many</w:t>
      </w:r>
      <w:r w:rsidR="00DF1884" w:rsidRPr="00DF1884">
        <w:t xml:space="preserve"> </w:t>
      </w:r>
      <w:r w:rsidR="00FB7739" w:rsidRPr="00DF1884">
        <w:t>settings</w:t>
      </w:r>
      <w:r w:rsidR="00DF1884" w:rsidRPr="00DF1884">
        <w:t xml:space="preserve"> </w:t>
      </w:r>
      <w:r w:rsidR="00FB7739" w:rsidRPr="00DF1884">
        <w:t>and</w:t>
      </w:r>
      <w:r w:rsidR="00DF1884" w:rsidRPr="00DF1884">
        <w:t xml:space="preserve"> </w:t>
      </w:r>
      <w:r w:rsidR="00FB7739" w:rsidRPr="00DF1884">
        <w:t>use.</w:t>
      </w:r>
      <w:r w:rsidR="00DF1884" w:rsidRPr="00DF1884">
        <w:t xml:space="preserve"> </w:t>
      </w:r>
    </w:p>
    <w:p w14:paraId="1D25BB1E" w14:textId="00237C68" w:rsidR="00FB7739" w:rsidRPr="00DF1884" w:rsidRDefault="00FB7739" w:rsidP="0039781B">
      <w:pPr>
        <w:pStyle w:val="Body"/>
        <w:spacing w:after="120"/>
      </w:pPr>
      <w:r w:rsidRPr="00DF1884">
        <w:t>The</w:t>
      </w:r>
      <w:r w:rsidR="00DF1884" w:rsidRPr="00DF1884">
        <w:t xml:space="preserve"> </w:t>
      </w:r>
      <w:r w:rsidRPr="00DF1884">
        <w:t>table</w:t>
      </w:r>
      <w:r w:rsidR="00DF1884" w:rsidRPr="00DF1884">
        <w:t xml:space="preserve"> </w:t>
      </w:r>
      <w:r w:rsidRPr="00DF1884">
        <w:t>below</w:t>
      </w:r>
      <w:r w:rsidR="00DF1884" w:rsidRPr="00DF1884">
        <w:t xml:space="preserve"> </w:t>
      </w:r>
      <w:r w:rsidR="0039781B" w:rsidRPr="00DF1884">
        <w:t>summarizes</w:t>
      </w:r>
      <w:r w:rsidR="00DF1884" w:rsidRPr="00DF1884">
        <w:t xml:space="preserve"> </w:t>
      </w:r>
      <w:r w:rsidRPr="00DF1884">
        <w:t>the</w:t>
      </w:r>
      <w:r w:rsidR="00DF1884" w:rsidRPr="00DF1884">
        <w:t xml:space="preserve"> </w:t>
      </w:r>
      <w:r w:rsidRPr="00DF1884">
        <w:t>panel</w:t>
      </w:r>
      <w:r w:rsidR="00DF1884" w:rsidRPr="00DF1884">
        <w:t xml:space="preserve"> </w:t>
      </w:r>
      <w:r w:rsidRPr="00DF1884">
        <w:t>recommendations</w:t>
      </w:r>
      <w:r w:rsidR="00DF1884" w:rsidRPr="00DF1884">
        <w:t xml:space="preserve"> </w:t>
      </w:r>
      <w:r w:rsidRPr="00DF1884">
        <w:t>regarding</w:t>
      </w:r>
      <w:r w:rsidR="00DF1884" w:rsidRPr="00DF1884">
        <w:t xml:space="preserve"> </w:t>
      </w:r>
      <w:r w:rsidRPr="00DF1884">
        <w:t>the</w:t>
      </w:r>
      <w:r w:rsidR="00DF1884" w:rsidRPr="00DF1884">
        <w:t xml:space="preserve"> </w:t>
      </w:r>
      <w:r w:rsidRPr="00DF1884">
        <w:t>use</w:t>
      </w:r>
      <w:r w:rsidR="00DF1884" w:rsidRPr="00DF1884">
        <w:t xml:space="preserve"> </w:t>
      </w:r>
      <w:r w:rsidRPr="00DF1884">
        <w:t>of</w:t>
      </w:r>
      <w:r w:rsidR="00DF1884" w:rsidRPr="00DF1884">
        <w:t xml:space="preserve"> </w:t>
      </w:r>
      <w:r w:rsidRPr="00DF1884">
        <w:t>the</w:t>
      </w:r>
      <w:r w:rsidR="00DF1884" w:rsidRPr="00DF1884">
        <w:t xml:space="preserve"> </w:t>
      </w:r>
      <w:r w:rsidRPr="00DF1884">
        <w:t>indicators</w:t>
      </w:r>
      <w:r w:rsidR="00DF1884" w:rsidRPr="00DF1884">
        <w:t xml:space="preserve"> </w:t>
      </w:r>
      <w:r w:rsidRPr="00DF1884">
        <w:t>for</w:t>
      </w:r>
      <w:r w:rsidR="00DF1884" w:rsidRPr="00DF1884">
        <w:t xml:space="preserve"> </w:t>
      </w:r>
      <w:r w:rsidRPr="00DF1884">
        <w:t>comparative</w:t>
      </w:r>
      <w:r w:rsidR="00DF1884" w:rsidRPr="00DF1884">
        <w:t xml:space="preserve"> </w:t>
      </w:r>
      <w:r w:rsidRPr="00DF1884">
        <w:t>reporting</w:t>
      </w:r>
      <w:r w:rsidR="00DF1884" w:rsidRPr="00DF1884">
        <w:t xml:space="preserve"> </w:t>
      </w:r>
      <w:r w:rsidRPr="00DF1884">
        <w:t>and</w:t>
      </w:r>
      <w:r w:rsidR="00DF1884" w:rsidRPr="00DF1884">
        <w:t xml:space="preserve"> </w:t>
      </w:r>
      <w:r w:rsidRPr="00DF1884">
        <w:t>pay</w:t>
      </w:r>
      <w:r w:rsidR="0039781B" w:rsidRPr="00DF1884">
        <w:t>-</w:t>
      </w:r>
      <w:r w:rsidRPr="00DF1884">
        <w:t>for</w:t>
      </w:r>
      <w:r w:rsidR="0039781B" w:rsidRPr="00DF1884">
        <w:t>-</w:t>
      </w:r>
      <w:r w:rsidRPr="00DF1884">
        <w:t>performance</w:t>
      </w:r>
      <w:r w:rsidR="00DF1884" w:rsidRPr="00DF1884">
        <w:t xml:space="preserve"> </w:t>
      </w:r>
      <w:r w:rsidRPr="00DF1884">
        <w:t>at</w:t>
      </w:r>
      <w:r w:rsidR="00DF1884" w:rsidRPr="00DF1884">
        <w:t xml:space="preserve"> </w:t>
      </w:r>
      <w:r w:rsidRPr="00DF1884">
        <w:t>the</w:t>
      </w:r>
      <w:r w:rsidR="00DF1884" w:rsidRPr="00DF1884">
        <w:t xml:space="preserve"> </w:t>
      </w:r>
      <w:r w:rsidR="008117C8" w:rsidRPr="00DF1884">
        <w:t>payer</w:t>
      </w:r>
      <w:r w:rsidR="00DF1884" w:rsidRPr="00DF1884">
        <w:t xml:space="preserve"> </w:t>
      </w:r>
      <w:r w:rsidRPr="00DF1884">
        <w:t>level.</w:t>
      </w:r>
      <w:r w:rsidR="00DF1884" w:rsidRPr="00DF1884">
        <w:t xml:space="preserve"> </w:t>
      </w:r>
      <w:r w:rsidRPr="00DF1884">
        <w:t>The</w:t>
      </w:r>
      <w:r w:rsidR="00DF1884" w:rsidRPr="00DF1884">
        <w:t xml:space="preserve"> </w:t>
      </w:r>
      <w:r w:rsidRPr="00DF1884">
        <w:t>panel</w:t>
      </w:r>
      <w:r w:rsidR="00DF1884" w:rsidRPr="00DF1884">
        <w:t xml:space="preserve"> </w:t>
      </w:r>
      <w:r w:rsidRPr="00DF1884">
        <w:t>also</w:t>
      </w:r>
      <w:r w:rsidR="00DF1884" w:rsidRPr="00DF1884">
        <w:t xml:space="preserve"> </w:t>
      </w:r>
      <w:r w:rsidRPr="00DF1884">
        <w:t>made</w:t>
      </w:r>
      <w:r w:rsidR="00DF1884" w:rsidRPr="00DF1884">
        <w:t xml:space="preserve"> </w:t>
      </w:r>
      <w:r w:rsidRPr="00DF1884">
        <w:t>recommendations</w:t>
      </w:r>
      <w:r w:rsidR="00DF1884" w:rsidRPr="00DF1884">
        <w:t xml:space="preserve"> </w:t>
      </w:r>
      <w:r w:rsidRPr="00DF1884">
        <w:t>for</w:t>
      </w:r>
      <w:r w:rsidR="00DF1884" w:rsidRPr="00DF1884">
        <w:t xml:space="preserve"> </w:t>
      </w:r>
      <w:r w:rsidRPr="00DF1884">
        <w:t>the</w:t>
      </w:r>
      <w:r w:rsidR="00DF1884" w:rsidRPr="00DF1884">
        <w:t xml:space="preserve"> </w:t>
      </w:r>
      <w:r w:rsidRPr="00DF1884">
        <w:t>provider,</w:t>
      </w:r>
      <w:r w:rsidR="00DF1884" w:rsidRPr="00DF1884">
        <w:t xml:space="preserve"> </w:t>
      </w:r>
      <w:r w:rsidRPr="00DF1884">
        <w:t>area</w:t>
      </w:r>
      <w:r w:rsidR="00DF1884" w:rsidRPr="00DF1884">
        <w:t xml:space="preserve"> </w:t>
      </w:r>
      <w:r w:rsidRPr="00DF1884">
        <w:t>and</w:t>
      </w:r>
      <w:r w:rsidR="00DF1884" w:rsidRPr="00DF1884">
        <w:t xml:space="preserve"> </w:t>
      </w:r>
      <w:r w:rsidRPr="00DF1884">
        <w:t>long</w:t>
      </w:r>
      <w:r w:rsidR="0039781B" w:rsidRPr="00DF1884">
        <w:t>-</w:t>
      </w:r>
      <w:r w:rsidRPr="00DF1884">
        <w:t>term</w:t>
      </w:r>
      <w:r w:rsidR="00DF1884" w:rsidRPr="00DF1884">
        <w:t xml:space="preserve"> </w:t>
      </w:r>
      <w:r w:rsidRPr="00DF1884">
        <w:t>care</w:t>
      </w:r>
      <w:r w:rsidR="00DF1884" w:rsidRPr="00DF1884">
        <w:t xml:space="preserve"> </w:t>
      </w:r>
      <w:r w:rsidRPr="00DF1884">
        <w:t>settings</w:t>
      </w:r>
      <w:r w:rsidR="0039781B" w:rsidRPr="00DF1884">
        <w:t>,</w:t>
      </w:r>
      <w:r w:rsidR="00DF1884" w:rsidRPr="00DF1884">
        <w:t xml:space="preserve"> </w:t>
      </w:r>
      <w:r w:rsidRPr="00DF1884">
        <w:t>which</w:t>
      </w:r>
      <w:r w:rsidR="00DF1884" w:rsidRPr="00DF1884">
        <w:t xml:space="preserve"> </w:t>
      </w:r>
      <w:r w:rsidRPr="00DF1884">
        <w:t>are</w:t>
      </w:r>
      <w:r w:rsidR="00DF1884" w:rsidRPr="00DF1884">
        <w:t xml:space="preserve"> </w:t>
      </w:r>
      <w:r w:rsidRPr="00DF1884">
        <w:t>not</w:t>
      </w:r>
      <w:r w:rsidR="00DF1884" w:rsidRPr="00DF1884">
        <w:t xml:space="preserve"> </w:t>
      </w:r>
      <w:r w:rsidRPr="00DF1884">
        <w:t>listed</w:t>
      </w:r>
      <w:r w:rsidR="00DF1884" w:rsidRPr="00DF1884">
        <w:t xml:space="preserve"> </w:t>
      </w:r>
      <w:r w:rsidRPr="00DF1884">
        <w:t>below.</w:t>
      </w:r>
      <w:r w:rsidR="00DF1884" w:rsidRPr="00DF1884">
        <w:t xml:space="preserve"> </w:t>
      </w:r>
      <w:r w:rsidRPr="00DF1884">
        <w:t>The</w:t>
      </w:r>
      <w:r w:rsidR="00DF1884" w:rsidRPr="00DF1884">
        <w:t xml:space="preserve"> </w:t>
      </w:r>
      <w:r w:rsidRPr="00DF1884">
        <w:t>lowest</w:t>
      </w:r>
      <w:r w:rsidR="00DF1884" w:rsidRPr="00DF1884">
        <w:t xml:space="preserve"> </w:t>
      </w:r>
      <w:r w:rsidRPr="00DF1884">
        <w:t>rated</w:t>
      </w:r>
      <w:r w:rsidR="00DF1884" w:rsidRPr="00DF1884">
        <w:t xml:space="preserve"> </w:t>
      </w:r>
      <w:r w:rsidRPr="00DF1884">
        <w:t>indicators</w:t>
      </w:r>
      <w:r w:rsidR="00DF1884" w:rsidRPr="00DF1884">
        <w:t xml:space="preserve"> </w:t>
      </w:r>
      <w:r w:rsidRPr="00DF1884">
        <w:t>were</w:t>
      </w:r>
      <w:r w:rsidR="00DF1884" w:rsidRPr="00DF1884">
        <w:t xml:space="preserve"> </w:t>
      </w:r>
      <w:r w:rsidRPr="00DF1884">
        <w:t>perforated</w:t>
      </w:r>
      <w:r w:rsidR="00DF1884" w:rsidRPr="00DF1884">
        <w:t xml:space="preserve"> </w:t>
      </w:r>
      <w:r w:rsidRPr="00DF1884">
        <w:t>appendix,</w:t>
      </w:r>
      <w:r w:rsidR="00DF1884" w:rsidRPr="00DF1884">
        <w:t xml:space="preserve"> </w:t>
      </w:r>
      <w:r w:rsidRPr="00DF1884">
        <w:t>dehydration,</w:t>
      </w:r>
      <w:r w:rsidR="00DF1884" w:rsidRPr="00DF1884">
        <w:t xml:space="preserve"> </w:t>
      </w:r>
      <w:r w:rsidRPr="00DF1884">
        <w:t>bacterial</w:t>
      </w:r>
      <w:r w:rsidR="00DF1884" w:rsidRPr="00DF1884">
        <w:t xml:space="preserve"> </w:t>
      </w:r>
      <w:r w:rsidRPr="00DF1884">
        <w:t>pneumonia,</w:t>
      </w:r>
      <w:r w:rsidR="00DF1884" w:rsidRPr="00DF1884">
        <w:t xml:space="preserve"> </w:t>
      </w:r>
      <w:r w:rsidRPr="00DF1884">
        <w:t>UTI</w:t>
      </w:r>
      <w:r w:rsidR="00DF1884" w:rsidRPr="00DF1884">
        <w:t xml:space="preserve"> </w:t>
      </w:r>
      <w:r w:rsidRPr="00DF1884">
        <w:t>and</w:t>
      </w:r>
      <w:r w:rsidR="00DF1884" w:rsidRPr="00DF1884">
        <w:t xml:space="preserve"> </w:t>
      </w:r>
      <w:r w:rsidRPr="00DF1884">
        <w:t>angina.</w:t>
      </w:r>
      <w:r w:rsidR="00DF1884" w:rsidRPr="00DF1884">
        <w:t xml:space="preserve"> </w:t>
      </w:r>
      <w:r w:rsidRPr="00DF1884">
        <w:t>Panel</w:t>
      </w:r>
      <w:r w:rsidR="00DF1884" w:rsidRPr="00DF1884">
        <w:t xml:space="preserve"> </w:t>
      </w:r>
      <w:r w:rsidRPr="00DF1884">
        <w:t>members</w:t>
      </w:r>
      <w:r w:rsidR="00DF1884" w:rsidRPr="00DF1884">
        <w:t xml:space="preserve"> </w:t>
      </w:r>
      <w:r w:rsidRPr="00DF1884">
        <w:t>had</w:t>
      </w:r>
      <w:r w:rsidR="00DF1884" w:rsidRPr="00DF1884">
        <w:t xml:space="preserve"> </w:t>
      </w:r>
      <w:r w:rsidRPr="00DF1884">
        <w:t>“major</w:t>
      </w:r>
      <w:r w:rsidR="00DF1884" w:rsidRPr="00DF1884">
        <w:t xml:space="preserve"> </w:t>
      </w:r>
      <w:r w:rsidRPr="00DF1884">
        <w:t>concerns</w:t>
      </w:r>
      <w:r w:rsidR="00DF1884" w:rsidRPr="00DF1884">
        <w:t xml:space="preserve"> </w:t>
      </w:r>
      <w:r w:rsidRPr="00DF1884">
        <w:t>regarding</w:t>
      </w:r>
      <w:r w:rsidR="00DF1884" w:rsidRPr="00DF1884">
        <w:t xml:space="preserve"> </w:t>
      </w:r>
      <w:r w:rsidRPr="00DF1884">
        <w:t>use”</w:t>
      </w:r>
      <w:r w:rsidR="00DF1884" w:rsidRPr="00DF1884">
        <w:t xml:space="preserve"> </w:t>
      </w:r>
      <w:r w:rsidRPr="00DF1884">
        <w:t>for</w:t>
      </w:r>
      <w:r w:rsidR="00DF1884" w:rsidRPr="00DF1884">
        <w:t xml:space="preserve"> </w:t>
      </w:r>
      <w:r w:rsidRPr="00DF1884">
        <w:t>these</w:t>
      </w:r>
      <w:r w:rsidR="00DF1884" w:rsidRPr="00DF1884">
        <w:t xml:space="preserve"> </w:t>
      </w:r>
      <w:r w:rsidRPr="00DF1884">
        <w:t>measures</w:t>
      </w:r>
      <w:r w:rsidR="00DF1884" w:rsidRPr="00DF1884">
        <w:t xml:space="preserve"> </w:t>
      </w:r>
      <w:r w:rsidRPr="00DF1884">
        <w:t>in</w:t>
      </w:r>
      <w:r w:rsidR="00DF1884" w:rsidRPr="00DF1884">
        <w:t xml:space="preserve"> </w:t>
      </w:r>
      <w:r w:rsidRPr="00DF1884">
        <w:t>either</w:t>
      </w:r>
      <w:r w:rsidR="00DF1884" w:rsidRPr="00DF1884">
        <w:t xml:space="preserve"> </w:t>
      </w:r>
      <w:r w:rsidRPr="00DF1884">
        <w:t>pay-for-performance</w:t>
      </w:r>
      <w:r w:rsidR="00DF1884" w:rsidRPr="00DF1884">
        <w:t xml:space="preserve"> </w:t>
      </w:r>
      <w:r w:rsidRPr="00DF1884">
        <w:t>or</w:t>
      </w:r>
      <w:r w:rsidR="00DF1884" w:rsidRPr="00DF1884">
        <w:t xml:space="preserve"> </w:t>
      </w:r>
      <w:r w:rsidRPr="00DF1884">
        <w:t>comparative</w:t>
      </w:r>
      <w:r w:rsidR="00DF1884" w:rsidRPr="00DF1884">
        <w:t xml:space="preserve"> </w:t>
      </w:r>
      <w:r w:rsidRPr="00DF1884">
        <w:t>reporting</w:t>
      </w:r>
      <w:r w:rsidR="00DF1884" w:rsidRPr="00DF1884">
        <w:t xml:space="preserve"> </w:t>
      </w:r>
      <w:r w:rsidRPr="00DF1884">
        <w:t>at</w:t>
      </w:r>
      <w:r w:rsidR="00DF1884" w:rsidRPr="00DF1884">
        <w:t xml:space="preserve"> </w:t>
      </w:r>
      <w:r w:rsidRPr="00DF1884">
        <w:t>the</w:t>
      </w:r>
      <w:r w:rsidR="00DF1884" w:rsidRPr="00DF1884">
        <w:t xml:space="preserve"> </w:t>
      </w:r>
      <w:r w:rsidRPr="00DF1884">
        <w:t>payer</w:t>
      </w:r>
      <w:r w:rsidR="00DF1884" w:rsidRPr="00DF1884">
        <w:t xml:space="preserve"> </w:t>
      </w:r>
      <w:r w:rsidRPr="00DF1884">
        <w:t>level.</w:t>
      </w:r>
      <w:r w:rsidR="00DF1884" w:rsidRPr="00DF1884">
        <w:rPr>
          <w:i/>
        </w:rPr>
        <w:t xml:space="preserve"> </w:t>
      </w:r>
    </w:p>
    <w:tbl>
      <w:tblPr>
        <w:tblStyle w:val="TableGrid"/>
        <w:tblW w:w="0" w:type="auto"/>
        <w:tblLook w:val="04A0" w:firstRow="1" w:lastRow="0" w:firstColumn="1" w:lastColumn="0" w:noHBand="0" w:noVBand="1"/>
      </w:tblPr>
      <w:tblGrid>
        <w:gridCol w:w="4135"/>
        <w:gridCol w:w="2787"/>
        <w:gridCol w:w="2788"/>
      </w:tblGrid>
      <w:tr w:rsidR="00DF1884" w:rsidRPr="00DF1884" w14:paraId="7997A836" w14:textId="77777777" w:rsidTr="0039781B">
        <w:tc>
          <w:tcPr>
            <w:tcW w:w="4135" w:type="dxa"/>
            <w:shd w:val="clear" w:color="auto" w:fill="D9D9D9" w:themeFill="background1" w:themeFillShade="D9"/>
          </w:tcPr>
          <w:p w14:paraId="4121A9CA" w14:textId="77777777" w:rsidR="00FB7739" w:rsidRPr="00DF1884" w:rsidRDefault="00FB7739" w:rsidP="0039781B">
            <w:pPr>
              <w:spacing w:before="40" w:after="40"/>
              <w:jc w:val="center"/>
              <w:rPr>
                <w:rFonts w:cs="Arial"/>
                <w:b/>
                <w:szCs w:val="20"/>
              </w:rPr>
            </w:pPr>
            <w:r w:rsidRPr="00DF1884">
              <w:rPr>
                <w:rFonts w:cs="Arial"/>
                <w:b/>
                <w:szCs w:val="20"/>
              </w:rPr>
              <w:t>Indicators</w:t>
            </w:r>
          </w:p>
        </w:tc>
        <w:tc>
          <w:tcPr>
            <w:tcW w:w="2787" w:type="dxa"/>
            <w:shd w:val="clear" w:color="auto" w:fill="D9D9D9" w:themeFill="background1" w:themeFillShade="D9"/>
          </w:tcPr>
          <w:p w14:paraId="437B72B0" w14:textId="57B1B320" w:rsidR="00FB7739" w:rsidRPr="00DF1884" w:rsidRDefault="00FB7739" w:rsidP="0039781B">
            <w:pPr>
              <w:spacing w:before="40" w:after="40"/>
              <w:jc w:val="center"/>
              <w:rPr>
                <w:rFonts w:cs="Arial"/>
                <w:b/>
                <w:szCs w:val="20"/>
              </w:rPr>
            </w:pPr>
            <w:r w:rsidRPr="00DF1884">
              <w:rPr>
                <w:rFonts w:cs="Arial"/>
                <w:b/>
                <w:szCs w:val="20"/>
              </w:rPr>
              <w:t>Comparative</w:t>
            </w:r>
            <w:r w:rsidR="00DF1884" w:rsidRPr="00DF1884">
              <w:rPr>
                <w:rFonts w:cs="Arial"/>
                <w:b/>
                <w:szCs w:val="20"/>
              </w:rPr>
              <w:t xml:space="preserve"> </w:t>
            </w:r>
            <w:r w:rsidRPr="00DF1884">
              <w:rPr>
                <w:rFonts w:cs="Arial"/>
                <w:b/>
                <w:szCs w:val="20"/>
              </w:rPr>
              <w:t>Reporting</w:t>
            </w:r>
          </w:p>
        </w:tc>
        <w:tc>
          <w:tcPr>
            <w:tcW w:w="2788" w:type="dxa"/>
            <w:shd w:val="clear" w:color="auto" w:fill="D9D9D9" w:themeFill="background1" w:themeFillShade="D9"/>
          </w:tcPr>
          <w:p w14:paraId="71EBAEA3" w14:textId="0EB4987E" w:rsidR="00FB7739" w:rsidRPr="00DF1884" w:rsidRDefault="00FB7739" w:rsidP="0039781B">
            <w:pPr>
              <w:spacing w:before="40" w:after="40"/>
              <w:jc w:val="center"/>
              <w:rPr>
                <w:rFonts w:cs="Arial"/>
                <w:b/>
                <w:szCs w:val="20"/>
              </w:rPr>
            </w:pPr>
            <w:r w:rsidRPr="00DF1884">
              <w:rPr>
                <w:rFonts w:cs="Arial"/>
                <w:b/>
                <w:szCs w:val="20"/>
              </w:rPr>
              <w:t>Pay</w:t>
            </w:r>
            <w:r w:rsidR="00DF1884" w:rsidRPr="00DF1884">
              <w:rPr>
                <w:rFonts w:cs="Arial"/>
                <w:b/>
                <w:szCs w:val="20"/>
              </w:rPr>
              <w:t xml:space="preserve"> </w:t>
            </w:r>
            <w:r w:rsidRPr="00DF1884">
              <w:rPr>
                <w:rFonts w:cs="Arial"/>
                <w:b/>
                <w:szCs w:val="20"/>
              </w:rPr>
              <w:t>for</w:t>
            </w:r>
            <w:r w:rsidR="00DF1884" w:rsidRPr="00DF1884">
              <w:rPr>
                <w:rFonts w:cs="Arial"/>
                <w:b/>
                <w:szCs w:val="20"/>
              </w:rPr>
              <w:t xml:space="preserve"> </w:t>
            </w:r>
            <w:r w:rsidRPr="00DF1884">
              <w:rPr>
                <w:rFonts w:cs="Arial"/>
                <w:b/>
                <w:szCs w:val="20"/>
              </w:rPr>
              <w:t>Performance</w:t>
            </w:r>
          </w:p>
        </w:tc>
      </w:tr>
      <w:tr w:rsidR="00DF1884" w:rsidRPr="00DF1884" w14:paraId="2C8957C4" w14:textId="77777777" w:rsidTr="0039781B">
        <w:tc>
          <w:tcPr>
            <w:tcW w:w="4135" w:type="dxa"/>
          </w:tcPr>
          <w:p w14:paraId="4A1D0957" w14:textId="77777777" w:rsidR="00FB7739" w:rsidRPr="00DF1884" w:rsidRDefault="00FB7739" w:rsidP="0039781B">
            <w:pPr>
              <w:spacing w:before="40" w:after="40"/>
              <w:rPr>
                <w:rFonts w:cs="Arial"/>
                <w:szCs w:val="20"/>
              </w:rPr>
            </w:pPr>
            <w:r w:rsidRPr="00DF1884">
              <w:rPr>
                <w:rFonts w:cs="Arial"/>
                <w:szCs w:val="20"/>
              </w:rPr>
              <w:t>COPD</w:t>
            </w:r>
          </w:p>
        </w:tc>
        <w:tc>
          <w:tcPr>
            <w:tcW w:w="2787" w:type="dxa"/>
          </w:tcPr>
          <w:p w14:paraId="56FC33D5" w14:textId="77777777" w:rsidR="00FB7739" w:rsidRPr="00DF1884" w:rsidRDefault="00FB7739" w:rsidP="0039781B">
            <w:pPr>
              <w:spacing w:before="40" w:after="40"/>
              <w:ind w:left="1062"/>
              <w:rPr>
                <w:rFonts w:cs="Arial"/>
                <w:szCs w:val="20"/>
              </w:rPr>
            </w:pPr>
            <w:r w:rsidRPr="00DF1884">
              <w:rPr>
                <w:rFonts w:cs="Arial"/>
                <w:szCs w:val="20"/>
              </w:rPr>
              <w:sym w:font="Wingdings" w:char="F074"/>
            </w:r>
            <w:r w:rsidRPr="00DF1884">
              <w:rPr>
                <w:rFonts w:cs="Arial"/>
                <w:szCs w:val="20"/>
              </w:rPr>
              <w:sym w:font="Wingdings" w:char="F074"/>
            </w:r>
          </w:p>
        </w:tc>
        <w:tc>
          <w:tcPr>
            <w:tcW w:w="2788" w:type="dxa"/>
          </w:tcPr>
          <w:p w14:paraId="245D5B6E" w14:textId="77777777" w:rsidR="00FB7739" w:rsidRPr="00DF1884" w:rsidRDefault="00FB7739" w:rsidP="0039781B">
            <w:pPr>
              <w:spacing w:before="40" w:after="40"/>
              <w:ind w:left="1062"/>
              <w:rPr>
                <w:rFonts w:cs="Arial"/>
                <w:szCs w:val="20"/>
              </w:rPr>
            </w:pPr>
            <w:r w:rsidRPr="00DF1884">
              <w:rPr>
                <w:rFonts w:cs="Arial"/>
                <w:szCs w:val="20"/>
              </w:rPr>
              <w:sym w:font="Wingdings" w:char="F074"/>
            </w:r>
            <w:r w:rsidRPr="00DF1884">
              <w:rPr>
                <w:rFonts w:cs="Arial"/>
                <w:szCs w:val="20"/>
              </w:rPr>
              <w:sym w:font="Wingdings" w:char="F074"/>
            </w:r>
            <w:r w:rsidRPr="00DF1884">
              <w:rPr>
                <w:rFonts w:cs="Arial"/>
                <w:szCs w:val="20"/>
              </w:rPr>
              <w:t>+</w:t>
            </w:r>
          </w:p>
        </w:tc>
      </w:tr>
      <w:tr w:rsidR="00DF1884" w:rsidRPr="00DF1884" w14:paraId="7ADBB301" w14:textId="77777777" w:rsidTr="0039781B">
        <w:tc>
          <w:tcPr>
            <w:tcW w:w="4135" w:type="dxa"/>
          </w:tcPr>
          <w:p w14:paraId="2BF8B4A6" w14:textId="6BE4F69D" w:rsidR="00FB7739" w:rsidRPr="00DF1884" w:rsidRDefault="00FB7739" w:rsidP="0039781B">
            <w:pPr>
              <w:spacing w:before="40" w:after="40"/>
              <w:rPr>
                <w:rFonts w:cs="Arial"/>
                <w:szCs w:val="20"/>
              </w:rPr>
            </w:pPr>
            <w:r w:rsidRPr="00DF1884">
              <w:rPr>
                <w:rFonts w:cs="Arial"/>
                <w:szCs w:val="20"/>
              </w:rPr>
              <w:t>Asthma</w:t>
            </w:r>
            <w:r w:rsidR="00DF1884" w:rsidRPr="00DF1884">
              <w:rPr>
                <w:rFonts w:cs="Arial"/>
                <w:szCs w:val="20"/>
              </w:rPr>
              <w:t xml:space="preserve"> </w:t>
            </w:r>
            <w:r w:rsidRPr="00DF1884">
              <w:rPr>
                <w:rFonts w:cs="Arial"/>
                <w:szCs w:val="20"/>
              </w:rPr>
              <w:t>(&lt;39)</w:t>
            </w:r>
          </w:p>
        </w:tc>
        <w:tc>
          <w:tcPr>
            <w:tcW w:w="2787" w:type="dxa"/>
          </w:tcPr>
          <w:p w14:paraId="7F3711DA" w14:textId="77777777" w:rsidR="00FB7739" w:rsidRPr="00DF1884" w:rsidRDefault="00FB7739" w:rsidP="0039781B">
            <w:pPr>
              <w:spacing w:before="40" w:after="40"/>
              <w:ind w:left="1062"/>
              <w:rPr>
                <w:rFonts w:cs="Arial"/>
                <w:szCs w:val="20"/>
              </w:rPr>
            </w:pPr>
            <w:r w:rsidRPr="00DF1884">
              <w:rPr>
                <w:rFonts w:cs="Arial"/>
                <w:szCs w:val="20"/>
              </w:rPr>
              <w:sym w:font="Wingdings" w:char="F074"/>
            </w:r>
            <w:r w:rsidRPr="00DF1884">
              <w:rPr>
                <w:rFonts w:cs="Arial"/>
                <w:szCs w:val="20"/>
              </w:rPr>
              <w:sym w:font="Wingdings" w:char="F074"/>
            </w:r>
            <w:r w:rsidRPr="00DF1884">
              <w:rPr>
                <w:rFonts w:cs="Arial"/>
                <w:szCs w:val="20"/>
              </w:rPr>
              <w:t>+</w:t>
            </w:r>
          </w:p>
        </w:tc>
        <w:tc>
          <w:tcPr>
            <w:tcW w:w="2788" w:type="dxa"/>
          </w:tcPr>
          <w:p w14:paraId="7EB4D852" w14:textId="77777777" w:rsidR="00FB7739" w:rsidRPr="00DF1884" w:rsidRDefault="00FB7739" w:rsidP="0039781B">
            <w:pPr>
              <w:spacing w:before="40" w:after="40"/>
              <w:ind w:left="1062"/>
              <w:rPr>
                <w:rFonts w:cs="Arial"/>
                <w:szCs w:val="20"/>
              </w:rPr>
            </w:pPr>
            <w:r w:rsidRPr="00DF1884">
              <w:rPr>
                <w:rFonts w:cs="Arial"/>
                <w:szCs w:val="20"/>
              </w:rPr>
              <w:sym w:font="Wingdings" w:char="F074"/>
            </w:r>
            <w:r w:rsidRPr="00DF1884">
              <w:rPr>
                <w:rFonts w:cs="Arial"/>
                <w:szCs w:val="20"/>
              </w:rPr>
              <w:sym w:font="Wingdings" w:char="F074"/>
            </w:r>
            <w:r w:rsidRPr="00DF1884">
              <w:rPr>
                <w:rFonts w:cs="Arial"/>
                <w:szCs w:val="20"/>
              </w:rPr>
              <w:t>+</w:t>
            </w:r>
          </w:p>
        </w:tc>
      </w:tr>
      <w:tr w:rsidR="00DF1884" w:rsidRPr="00DF1884" w14:paraId="2B75595C" w14:textId="77777777" w:rsidTr="0039781B">
        <w:tc>
          <w:tcPr>
            <w:tcW w:w="4135" w:type="dxa"/>
          </w:tcPr>
          <w:p w14:paraId="596F18E2" w14:textId="77777777" w:rsidR="00FB7739" w:rsidRPr="00DF1884" w:rsidRDefault="00FB7739" w:rsidP="0039781B">
            <w:pPr>
              <w:spacing w:before="40" w:after="40"/>
              <w:rPr>
                <w:rFonts w:cs="Arial"/>
                <w:szCs w:val="20"/>
              </w:rPr>
            </w:pPr>
            <w:r w:rsidRPr="00DF1884">
              <w:rPr>
                <w:rFonts w:cs="Arial"/>
                <w:szCs w:val="20"/>
              </w:rPr>
              <w:t>Hypertension</w:t>
            </w:r>
          </w:p>
        </w:tc>
        <w:tc>
          <w:tcPr>
            <w:tcW w:w="2787" w:type="dxa"/>
          </w:tcPr>
          <w:p w14:paraId="161A891F" w14:textId="77777777" w:rsidR="00FB7739" w:rsidRPr="00DF1884" w:rsidRDefault="00FB7739" w:rsidP="0039781B">
            <w:pPr>
              <w:spacing w:before="40" w:after="40"/>
              <w:ind w:left="1062"/>
              <w:rPr>
                <w:rFonts w:cs="Arial"/>
                <w:szCs w:val="20"/>
                <w:vertAlign w:val="subscript"/>
              </w:rPr>
            </w:pPr>
            <w:r w:rsidRPr="00DF1884">
              <w:rPr>
                <w:rFonts w:cs="Arial"/>
                <w:szCs w:val="20"/>
              </w:rPr>
              <w:sym w:font="Wingdings" w:char="F074"/>
            </w:r>
            <w:r w:rsidRPr="00DF1884">
              <w:rPr>
                <w:rFonts w:cs="Arial"/>
                <w:szCs w:val="20"/>
              </w:rPr>
              <w:sym w:font="Wingdings" w:char="F074"/>
            </w:r>
            <w:r w:rsidRPr="00DF1884">
              <w:rPr>
                <w:rFonts w:cs="Arial"/>
                <w:szCs w:val="20"/>
              </w:rPr>
              <w:t>+</w:t>
            </w:r>
          </w:p>
        </w:tc>
        <w:tc>
          <w:tcPr>
            <w:tcW w:w="2788" w:type="dxa"/>
          </w:tcPr>
          <w:p w14:paraId="130B16C6" w14:textId="77777777" w:rsidR="00FB7739" w:rsidRPr="00DF1884" w:rsidRDefault="00FB7739" w:rsidP="0039781B">
            <w:pPr>
              <w:spacing w:before="40" w:after="40"/>
              <w:ind w:left="1062"/>
              <w:rPr>
                <w:rFonts w:cs="Arial"/>
                <w:szCs w:val="20"/>
              </w:rPr>
            </w:pPr>
            <w:r w:rsidRPr="00DF1884">
              <w:rPr>
                <w:rFonts w:cs="Arial"/>
                <w:szCs w:val="20"/>
              </w:rPr>
              <w:sym w:font="Wingdings" w:char="F074"/>
            </w:r>
            <w:r w:rsidRPr="00DF1884">
              <w:rPr>
                <w:rFonts w:cs="Arial"/>
                <w:szCs w:val="20"/>
              </w:rPr>
              <w:sym w:font="Wingdings" w:char="F074"/>
            </w:r>
          </w:p>
        </w:tc>
      </w:tr>
      <w:tr w:rsidR="00DF1884" w:rsidRPr="00DF1884" w14:paraId="0ECCFAAE" w14:textId="77777777" w:rsidTr="0039781B">
        <w:tc>
          <w:tcPr>
            <w:tcW w:w="4135" w:type="dxa"/>
          </w:tcPr>
          <w:p w14:paraId="4FF1F770" w14:textId="77777777" w:rsidR="00FB7739" w:rsidRPr="00DF1884" w:rsidRDefault="00FB7739" w:rsidP="0039781B">
            <w:pPr>
              <w:spacing w:before="40" w:after="40"/>
              <w:rPr>
                <w:rFonts w:cs="Arial"/>
                <w:szCs w:val="20"/>
              </w:rPr>
            </w:pPr>
            <w:r w:rsidRPr="00DF1884">
              <w:rPr>
                <w:rFonts w:cs="Arial"/>
                <w:szCs w:val="20"/>
              </w:rPr>
              <w:t>Angina</w:t>
            </w:r>
          </w:p>
        </w:tc>
        <w:tc>
          <w:tcPr>
            <w:tcW w:w="2787" w:type="dxa"/>
          </w:tcPr>
          <w:p w14:paraId="10AE5570" w14:textId="77777777" w:rsidR="00FB7739" w:rsidRPr="00DF1884" w:rsidRDefault="00FB7739" w:rsidP="0039781B">
            <w:pPr>
              <w:spacing w:before="40" w:after="40"/>
              <w:ind w:left="1062"/>
              <w:rPr>
                <w:rFonts w:cs="Arial"/>
                <w:szCs w:val="20"/>
              </w:rPr>
            </w:pPr>
            <w:r w:rsidRPr="00DF1884">
              <w:rPr>
                <w:rFonts w:cs="Arial"/>
                <w:szCs w:val="20"/>
              </w:rPr>
              <w:sym w:font="Wingdings" w:char="F074"/>
            </w:r>
            <w:r w:rsidRPr="00DF1884">
              <w:rPr>
                <w:rFonts w:cs="Arial"/>
                <w:szCs w:val="20"/>
              </w:rPr>
              <w:sym w:font="Wingdings" w:char="F074"/>
            </w:r>
          </w:p>
        </w:tc>
        <w:tc>
          <w:tcPr>
            <w:tcW w:w="2788" w:type="dxa"/>
          </w:tcPr>
          <w:p w14:paraId="0B1063B0" w14:textId="77777777" w:rsidR="00FB7739" w:rsidRPr="00DF1884" w:rsidRDefault="00FB7739" w:rsidP="0039781B">
            <w:pPr>
              <w:spacing w:before="40" w:after="40"/>
              <w:ind w:left="1062"/>
              <w:rPr>
                <w:rFonts w:cs="Arial"/>
                <w:szCs w:val="20"/>
              </w:rPr>
            </w:pPr>
            <w:r w:rsidRPr="00DF1884">
              <w:rPr>
                <w:rFonts w:cs="Arial"/>
                <w:szCs w:val="20"/>
              </w:rPr>
              <w:sym w:font="Wingdings" w:char="F074"/>
            </w:r>
            <w:r w:rsidRPr="00DF1884">
              <w:rPr>
                <w:rFonts w:cs="Arial"/>
                <w:szCs w:val="20"/>
              </w:rPr>
              <w:t>+</w:t>
            </w:r>
          </w:p>
        </w:tc>
      </w:tr>
      <w:tr w:rsidR="00DF1884" w:rsidRPr="00DF1884" w14:paraId="3739C9C0" w14:textId="77777777" w:rsidTr="0039781B">
        <w:tc>
          <w:tcPr>
            <w:tcW w:w="4135" w:type="dxa"/>
          </w:tcPr>
          <w:p w14:paraId="68B9B156" w14:textId="77777777" w:rsidR="00FB7739" w:rsidRPr="00DF1884" w:rsidRDefault="00FB7739" w:rsidP="0039781B">
            <w:pPr>
              <w:spacing w:before="40" w:after="40"/>
              <w:rPr>
                <w:rFonts w:cs="Arial"/>
                <w:szCs w:val="20"/>
              </w:rPr>
            </w:pPr>
            <w:r w:rsidRPr="00DF1884">
              <w:rPr>
                <w:rFonts w:cs="Arial"/>
                <w:szCs w:val="20"/>
              </w:rPr>
              <w:t>CHF</w:t>
            </w:r>
          </w:p>
        </w:tc>
        <w:tc>
          <w:tcPr>
            <w:tcW w:w="2787" w:type="dxa"/>
          </w:tcPr>
          <w:p w14:paraId="36D51F10" w14:textId="77777777" w:rsidR="00FB7739" w:rsidRPr="00DF1884" w:rsidRDefault="00FB7739" w:rsidP="0039781B">
            <w:pPr>
              <w:spacing w:before="40" w:after="40"/>
              <w:ind w:left="1062"/>
              <w:rPr>
                <w:rFonts w:cs="Arial"/>
                <w:szCs w:val="20"/>
              </w:rPr>
            </w:pPr>
            <w:r w:rsidRPr="00DF1884">
              <w:rPr>
                <w:rFonts w:cs="Arial"/>
                <w:szCs w:val="20"/>
              </w:rPr>
              <w:sym w:font="Wingdings" w:char="F074"/>
            </w:r>
            <w:r w:rsidRPr="00DF1884">
              <w:rPr>
                <w:rFonts w:cs="Arial"/>
                <w:szCs w:val="20"/>
              </w:rPr>
              <w:sym w:font="Wingdings" w:char="F074"/>
            </w:r>
            <w:r w:rsidRPr="00DF1884">
              <w:rPr>
                <w:rFonts w:cs="Arial"/>
                <w:szCs w:val="20"/>
              </w:rPr>
              <w:t>+</w:t>
            </w:r>
          </w:p>
        </w:tc>
        <w:tc>
          <w:tcPr>
            <w:tcW w:w="2788" w:type="dxa"/>
          </w:tcPr>
          <w:p w14:paraId="29157517" w14:textId="77777777" w:rsidR="00FB7739" w:rsidRPr="00DF1884" w:rsidRDefault="00FB7739" w:rsidP="0039781B">
            <w:pPr>
              <w:spacing w:before="40" w:after="40"/>
              <w:ind w:left="1062"/>
              <w:rPr>
                <w:rFonts w:cs="Arial"/>
                <w:szCs w:val="20"/>
              </w:rPr>
            </w:pPr>
            <w:r w:rsidRPr="00DF1884">
              <w:rPr>
                <w:rFonts w:cs="Arial"/>
                <w:szCs w:val="20"/>
              </w:rPr>
              <w:sym w:font="Wingdings" w:char="F074"/>
            </w:r>
            <w:r w:rsidRPr="00DF1884">
              <w:rPr>
                <w:rFonts w:cs="Arial"/>
                <w:szCs w:val="20"/>
              </w:rPr>
              <w:sym w:font="Wingdings" w:char="F074"/>
            </w:r>
          </w:p>
        </w:tc>
      </w:tr>
      <w:tr w:rsidR="00DF1884" w:rsidRPr="00DF1884" w14:paraId="366D3F8C" w14:textId="77777777" w:rsidTr="0039781B">
        <w:tc>
          <w:tcPr>
            <w:tcW w:w="4135" w:type="dxa"/>
          </w:tcPr>
          <w:p w14:paraId="3EFD8EC9" w14:textId="290B1D7C" w:rsidR="00FB7739" w:rsidRPr="00DF1884" w:rsidRDefault="00FB7739" w:rsidP="0039781B">
            <w:pPr>
              <w:spacing w:before="40" w:after="40"/>
              <w:rPr>
                <w:rFonts w:cs="Arial"/>
                <w:szCs w:val="20"/>
              </w:rPr>
            </w:pPr>
            <w:r w:rsidRPr="00DF1884">
              <w:rPr>
                <w:rFonts w:cs="Arial"/>
                <w:szCs w:val="20"/>
              </w:rPr>
              <w:t>Perforated</w:t>
            </w:r>
            <w:r w:rsidR="00DF1884" w:rsidRPr="00DF1884">
              <w:rPr>
                <w:rFonts w:cs="Arial"/>
                <w:szCs w:val="20"/>
              </w:rPr>
              <w:t xml:space="preserve"> </w:t>
            </w:r>
            <w:r w:rsidRPr="00DF1884">
              <w:rPr>
                <w:rFonts w:cs="Arial"/>
                <w:szCs w:val="20"/>
              </w:rPr>
              <w:t>Appendix</w:t>
            </w:r>
          </w:p>
        </w:tc>
        <w:tc>
          <w:tcPr>
            <w:tcW w:w="2787" w:type="dxa"/>
          </w:tcPr>
          <w:p w14:paraId="205B8C2A" w14:textId="77777777" w:rsidR="00FB7739" w:rsidRPr="00DF1884" w:rsidRDefault="00FB7739" w:rsidP="0039781B">
            <w:pPr>
              <w:spacing w:before="40" w:after="40"/>
              <w:ind w:left="1062"/>
              <w:rPr>
                <w:rFonts w:cs="Arial"/>
                <w:szCs w:val="20"/>
              </w:rPr>
            </w:pPr>
            <w:r w:rsidRPr="00DF1884">
              <w:rPr>
                <w:rFonts w:cs="Arial"/>
                <w:szCs w:val="20"/>
              </w:rPr>
              <w:sym w:font="Wingdings" w:char="F074"/>
            </w:r>
            <w:r w:rsidRPr="00DF1884">
              <w:rPr>
                <w:rFonts w:cs="Arial"/>
                <w:szCs w:val="20"/>
              </w:rPr>
              <w:t>+</w:t>
            </w:r>
          </w:p>
        </w:tc>
        <w:tc>
          <w:tcPr>
            <w:tcW w:w="2788" w:type="dxa"/>
          </w:tcPr>
          <w:p w14:paraId="731CE43F" w14:textId="77777777" w:rsidR="00FB7739" w:rsidRPr="00DF1884" w:rsidRDefault="00FB7739" w:rsidP="0039781B">
            <w:pPr>
              <w:spacing w:before="40" w:after="40"/>
              <w:ind w:left="1062"/>
              <w:rPr>
                <w:rFonts w:cs="Arial"/>
                <w:szCs w:val="20"/>
              </w:rPr>
            </w:pPr>
            <w:r w:rsidRPr="00DF1884">
              <w:rPr>
                <w:rFonts w:cs="Arial"/>
                <w:szCs w:val="20"/>
              </w:rPr>
              <w:sym w:font="Wingdings" w:char="F074"/>
            </w:r>
            <w:r w:rsidRPr="00DF1884">
              <w:rPr>
                <w:rFonts w:cs="Arial"/>
                <w:szCs w:val="20"/>
              </w:rPr>
              <w:t>+</w:t>
            </w:r>
          </w:p>
        </w:tc>
      </w:tr>
      <w:tr w:rsidR="00DF1884" w:rsidRPr="00DF1884" w14:paraId="7584065F" w14:textId="77777777" w:rsidTr="0039781B">
        <w:tc>
          <w:tcPr>
            <w:tcW w:w="4135" w:type="dxa"/>
          </w:tcPr>
          <w:p w14:paraId="182B9EAD" w14:textId="473E8754" w:rsidR="00FB7739" w:rsidRPr="00DF1884" w:rsidRDefault="0039781B" w:rsidP="0039781B">
            <w:pPr>
              <w:spacing w:before="40" w:after="40"/>
              <w:rPr>
                <w:rFonts w:cs="Arial"/>
                <w:szCs w:val="20"/>
              </w:rPr>
            </w:pPr>
            <w:r w:rsidRPr="00DF1884">
              <w:rPr>
                <w:rFonts w:cs="Arial"/>
                <w:szCs w:val="20"/>
              </w:rPr>
              <w:t>Diabetes</w:t>
            </w:r>
            <w:r w:rsidR="00DF1884" w:rsidRPr="00DF1884">
              <w:rPr>
                <w:rFonts w:cs="Arial"/>
                <w:szCs w:val="20"/>
              </w:rPr>
              <w:t xml:space="preserve"> </w:t>
            </w:r>
            <w:r w:rsidRPr="00DF1884">
              <w:rPr>
                <w:rFonts w:cs="Arial"/>
                <w:szCs w:val="20"/>
              </w:rPr>
              <w:t>Short-</w:t>
            </w:r>
            <w:r w:rsidR="00FB7739" w:rsidRPr="00DF1884">
              <w:rPr>
                <w:rFonts w:cs="Arial"/>
                <w:szCs w:val="20"/>
              </w:rPr>
              <w:t>Term</w:t>
            </w:r>
            <w:r w:rsidR="00DF1884" w:rsidRPr="00DF1884">
              <w:rPr>
                <w:rFonts w:cs="Arial"/>
                <w:szCs w:val="20"/>
              </w:rPr>
              <w:t xml:space="preserve"> </w:t>
            </w:r>
            <w:r w:rsidR="00FB7739" w:rsidRPr="00DF1884">
              <w:rPr>
                <w:rFonts w:cs="Arial"/>
                <w:szCs w:val="20"/>
              </w:rPr>
              <w:t>Complications</w:t>
            </w:r>
          </w:p>
        </w:tc>
        <w:tc>
          <w:tcPr>
            <w:tcW w:w="2787" w:type="dxa"/>
          </w:tcPr>
          <w:p w14:paraId="5C730AE5" w14:textId="77777777" w:rsidR="00FB7739" w:rsidRPr="00DF1884" w:rsidRDefault="00FB7739" w:rsidP="0039781B">
            <w:pPr>
              <w:spacing w:before="40" w:after="40"/>
              <w:ind w:left="1062"/>
              <w:rPr>
                <w:rFonts w:cs="Arial"/>
                <w:szCs w:val="20"/>
              </w:rPr>
            </w:pPr>
            <w:r w:rsidRPr="00DF1884">
              <w:rPr>
                <w:rFonts w:cs="Arial"/>
                <w:szCs w:val="20"/>
              </w:rPr>
              <w:sym w:font="Wingdings" w:char="F074"/>
            </w:r>
            <w:r w:rsidRPr="00DF1884">
              <w:rPr>
                <w:rFonts w:cs="Arial"/>
                <w:szCs w:val="20"/>
              </w:rPr>
              <w:sym w:font="Wingdings" w:char="F074"/>
            </w:r>
            <w:r w:rsidRPr="00DF1884">
              <w:rPr>
                <w:rFonts w:cs="Arial"/>
                <w:szCs w:val="20"/>
              </w:rPr>
              <w:t>+</w:t>
            </w:r>
          </w:p>
        </w:tc>
        <w:tc>
          <w:tcPr>
            <w:tcW w:w="2788" w:type="dxa"/>
          </w:tcPr>
          <w:p w14:paraId="4475C7EF" w14:textId="77777777" w:rsidR="00FB7739" w:rsidRPr="00DF1884" w:rsidRDefault="00FB7739" w:rsidP="0039781B">
            <w:pPr>
              <w:spacing w:before="40" w:after="40"/>
              <w:ind w:left="1062"/>
              <w:rPr>
                <w:rFonts w:cs="Arial"/>
                <w:szCs w:val="20"/>
              </w:rPr>
            </w:pPr>
            <w:r w:rsidRPr="00DF1884">
              <w:rPr>
                <w:rFonts w:cs="Arial"/>
                <w:szCs w:val="20"/>
              </w:rPr>
              <w:sym w:font="Wingdings" w:char="F074"/>
            </w:r>
            <w:r w:rsidRPr="00DF1884">
              <w:rPr>
                <w:rFonts w:cs="Arial"/>
                <w:szCs w:val="20"/>
              </w:rPr>
              <w:sym w:font="Wingdings" w:char="F074"/>
            </w:r>
          </w:p>
        </w:tc>
      </w:tr>
      <w:tr w:rsidR="00DF1884" w:rsidRPr="00DF1884" w14:paraId="578949AA" w14:textId="77777777" w:rsidTr="0039781B">
        <w:tc>
          <w:tcPr>
            <w:tcW w:w="4135" w:type="dxa"/>
          </w:tcPr>
          <w:p w14:paraId="64F54F97" w14:textId="141450A3" w:rsidR="00FB7739" w:rsidRPr="00DF1884" w:rsidRDefault="0039781B" w:rsidP="0039781B">
            <w:pPr>
              <w:spacing w:before="40" w:after="40"/>
              <w:rPr>
                <w:rFonts w:cs="Arial"/>
                <w:szCs w:val="20"/>
              </w:rPr>
            </w:pPr>
            <w:r w:rsidRPr="00DF1884">
              <w:rPr>
                <w:rFonts w:cs="Arial"/>
                <w:szCs w:val="20"/>
              </w:rPr>
              <w:t>Diabetes</w:t>
            </w:r>
            <w:r w:rsidR="00DF1884" w:rsidRPr="00DF1884">
              <w:rPr>
                <w:rFonts w:cs="Arial"/>
                <w:szCs w:val="20"/>
              </w:rPr>
              <w:t xml:space="preserve"> </w:t>
            </w:r>
            <w:r w:rsidRPr="00DF1884">
              <w:rPr>
                <w:rFonts w:cs="Arial"/>
                <w:szCs w:val="20"/>
              </w:rPr>
              <w:t>Long-</w:t>
            </w:r>
            <w:r w:rsidR="00FB7739" w:rsidRPr="00DF1884">
              <w:rPr>
                <w:rFonts w:cs="Arial"/>
                <w:szCs w:val="20"/>
              </w:rPr>
              <w:t>Term</w:t>
            </w:r>
            <w:r w:rsidR="00DF1884" w:rsidRPr="00DF1884">
              <w:rPr>
                <w:rFonts w:cs="Arial"/>
                <w:szCs w:val="20"/>
              </w:rPr>
              <w:t xml:space="preserve"> </w:t>
            </w:r>
            <w:r w:rsidR="00FB7739" w:rsidRPr="00DF1884">
              <w:rPr>
                <w:rFonts w:cs="Arial"/>
                <w:szCs w:val="20"/>
              </w:rPr>
              <w:t>Complications</w:t>
            </w:r>
          </w:p>
        </w:tc>
        <w:tc>
          <w:tcPr>
            <w:tcW w:w="2787" w:type="dxa"/>
          </w:tcPr>
          <w:p w14:paraId="31FB2F0B" w14:textId="77777777" w:rsidR="00FB7739" w:rsidRPr="00DF1884" w:rsidRDefault="00FB7739" w:rsidP="0039781B">
            <w:pPr>
              <w:spacing w:before="40" w:after="40"/>
              <w:ind w:left="1062"/>
              <w:rPr>
                <w:rFonts w:cs="Arial"/>
                <w:szCs w:val="20"/>
              </w:rPr>
            </w:pPr>
            <w:r w:rsidRPr="00DF1884">
              <w:rPr>
                <w:rFonts w:cs="Arial"/>
                <w:szCs w:val="20"/>
              </w:rPr>
              <w:sym w:font="Wingdings" w:char="F074"/>
            </w:r>
            <w:r w:rsidRPr="00DF1884">
              <w:rPr>
                <w:rFonts w:cs="Arial"/>
                <w:szCs w:val="20"/>
              </w:rPr>
              <w:sym w:font="Wingdings" w:char="F074"/>
            </w:r>
          </w:p>
        </w:tc>
        <w:tc>
          <w:tcPr>
            <w:tcW w:w="2788" w:type="dxa"/>
          </w:tcPr>
          <w:p w14:paraId="0C489503" w14:textId="77777777" w:rsidR="00FB7739" w:rsidRPr="00DF1884" w:rsidRDefault="00FB7739" w:rsidP="0039781B">
            <w:pPr>
              <w:spacing w:before="40" w:after="40"/>
              <w:ind w:left="1062"/>
              <w:rPr>
                <w:rFonts w:cs="Arial"/>
                <w:szCs w:val="20"/>
              </w:rPr>
            </w:pPr>
            <w:r w:rsidRPr="00DF1884">
              <w:rPr>
                <w:rFonts w:cs="Arial"/>
                <w:szCs w:val="20"/>
              </w:rPr>
              <w:sym w:font="Wingdings" w:char="F074"/>
            </w:r>
            <w:r w:rsidRPr="00DF1884">
              <w:rPr>
                <w:rFonts w:cs="Arial"/>
                <w:szCs w:val="20"/>
              </w:rPr>
              <w:sym w:font="Wingdings" w:char="F074"/>
            </w:r>
          </w:p>
        </w:tc>
      </w:tr>
      <w:tr w:rsidR="00DF1884" w:rsidRPr="00DF1884" w14:paraId="5F6AA168" w14:textId="77777777" w:rsidTr="0039781B">
        <w:tc>
          <w:tcPr>
            <w:tcW w:w="4135" w:type="dxa"/>
          </w:tcPr>
          <w:p w14:paraId="48DBD3BA" w14:textId="353832C6" w:rsidR="00FB7739" w:rsidRPr="00DF1884" w:rsidRDefault="00FB7739" w:rsidP="0039781B">
            <w:pPr>
              <w:spacing w:before="40" w:after="40"/>
              <w:rPr>
                <w:rFonts w:cs="Arial"/>
                <w:szCs w:val="20"/>
              </w:rPr>
            </w:pPr>
            <w:r w:rsidRPr="00DF1884">
              <w:rPr>
                <w:rFonts w:cs="Arial"/>
                <w:szCs w:val="20"/>
              </w:rPr>
              <w:t>Lower</w:t>
            </w:r>
            <w:r w:rsidR="00DF1884" w:rsidRPr="00DF1884">
              <w:rPr>
                <w:rFonts w:cs="Arial"/>
                <w:szCs w:val="20"/>
              </w:rPr>
              <w:t xml:space="preserve"> </w:t>
            </w:r>
            <w:r w:rsidRPr="00DF1884">
              <w:rPr>
                <w:rFonts w:cs="Arial"/>
                <w:szCs w:val="20"/>
              </w:rPr>
              <w:t>Extremity</w:t>
            </w:r>
            <w:r w:rsidR="00DF1884" w:rsidRPr="00DF1884">
              <w:rPr>
                <w:rFonts w:cs="Arial"/>
                <w:szCs w:val="20"/>
              </w:rPr>
              <w:t xml:space="preserve"> </w:t>
            </w:r>
            <w:r w:rsidRPr="00DF1884">
              <w:rPr>
                <w:rFonts w:cs="Arial"/>
                <w:szCs w:val="20"/>
              </w:rPr>
              <w:t>Amputation</w:t>
            </w:r>
            <w:r w:rsidR="00DF1884" w:rsidRPr="00DF1884">
              <w:rPr>
                <w:rFonts w:cs="Arial"/>
                <w:szCs w:val="20"/>
              </w:rPr>
              <w:t xml:space="preserve"> </w:t>
            </w:r>
            <w:r w:rsidRPr="00DF1884">
              <w:rPr>
                <w:rFonts w:cs="Arial"/>
                <w:szCs w:val="20"/>
              </w:rPr>
              <w:t>in</w:t>
            </w:r>
            <w:r w:rsidR="00DF1884" w:rsidRPr="00DF1884">
              <w:rPr>
                <w:rFonts w:cs="Arial"/>
                <w:szCs w:val="20"/>
              </w:rPr>
              <w:t xml:space="preserve"> </w:t>
            </w:r>
            <w:r w:rsidRPr="00DF1884">
              <w:rPr>
                <w:rFonts w:cs="Arial"/>
                <w:szCs w:val="20"/>
              </w:rPr>
              <w:t>Diabetes</w:t>
            </w:r>
          </w:p>
        </w:tc>
        <w:tc>
          <w:tcPr>
            <w:tcW w:w="2787" w:type="dxa"/>
          </w:tcPr>
          <w:p w14:paraId="34565FA9" w14:textId="77777777" w:rsidR="00FB7739" w:rsidRPr="00DF1884" w:rsidRDefault="00FB7739" w:rsidP="0039781B">
            <w:pPr>
              <w:spacing w:before="40" w:after="40"/>
              <w:ind w:left="1062"/>
              <w:rPr>
                <w:rFonts w:cs="Arial"/>
                <w:szCs w:val="20"/>
              </w:rPr>
            </w:pPr>
            <w:r w:rsidRPr="00DF1884">
              <w:rPr>
                <w:rFonts w:cs="Arial"/>
                <w:szCs w:val="20"/>
              </w:rPr>
              <w:sym w:font="Wingdings" w:char="F074"/>
            </w:r>
            <w:r w:rsidRPr="00DF1884">
              <w:rPr>
                <w:rFonts w:cs="Arial"/>
                <w:szCs w:val="20"/>
              </w:rPr>
              <w:sym w:font="Wingdings" w:char="F074"/>
            </w:r>
            <w:r w:rsidRPr="00DF1884">
              <w:rPr>
                <w:rFonts w:cs="Arial"/>
                <w:szCs w:val="20"/>
              </w:rPr>
              <w:t>+</w:t>
            </w:r>
          </w:p>
        </w:tc>
        <w:tc>
          <w:tcPr>
            <w:tcW w:w="2788" w:type="dxa"/>
          </w:tcPr>
          <w:p w14:paraId="70A0AF1B" w14:textId="77777777" w:rsidR="00FB7739" w:rsidRPr="00DF1884" w:rsidRDefault="00FB7739" w:rsidP="0039781B">
            <w:pPr>
              <w:spacing w:before="40" w:after="40"/>
              <w:ind w:left="1062"/>
              <w:rPr>
                <w:rFonts w:cs="Arial"/>
                <w:szCs w:val="20"/>
              </w:rPr>
            </w:pPr>
            <w:r w:rsidRPr="00DF1884">
              <w:rPr>
                <w:rFonts w:cs="Arial"/>
                <w:szCs w:val="20"/>
              </w:rPr>
              <w:sym w:font="Wingdings" w:char="F074"/>
            </w:r>
            <w:r w:rsidRPr="00DF1884">
              <w:rPr>
                <w:rFonts w:cs="Arial"/>
                <w:szCs w:val="20"/>
              </w:rPr>
              <w:sym w:font="Wingdings" w:char="F074"/>
            </w:r>
          </w:p>
        </w:tc>
      </w:tr>
      <w:tr w:rsidR="00DF1884" w:rsidRPr="00DF1884" w14:paraId="6DA1913B" w14:textId="77777777" w:rsidTr="0039781B">
        <w:tc>
          <w:tcPr>
            <w:tcW w:w="4135" w:type="dxa"/>
          </w:tcPr>
          <w:p w14:paraId="18BF03B3" w14:textId="5EB15B3C" w:rsidR="00FB7739" w:rsidRPr="00DF1884" w:rsidRDefault="00FB7739" w:rsidP="0039781B">
            <w:pPr>
              <w:spacing w:before="40" w:after="40"/>
              <w:rPr>
                <w:rFonts w:cs="Arial"/>
                <w:szCs w:val="20"/>
              </w:rPr>
            </w:pPr>
            <w:r w:rsidRPr="00DF1884">
              <w:rPr>
                <w:rFonts w:cs="Arial"/>
                <w:szCs w:val="20"/>
              </w:rPr>
              <w:t>Bacterial</w:t>
            </w:r>
            <w:r w:rsidR="00DF1884" w:rsidRPr="00DF1884">
              <w:rPr>
                <w:rFonts w:cs="Arial"/>
                <w:szCs w:val="20"/>
              </w:rPr>
              <w:t xml:space="preserve"> </w:t>
            </w:r>
            <w:r w:rsidRPr="00DF1884">
              <w:rPr>
                <w:rFonts w:cs="Arial"/>
                <w:szCs w:val="20"/>
              </w:rPr>
              <w:t>Pneumonia</w:t>
            </w:r>
          </w:p>
        </w:tc>
        <w:tc>
          <w:tcPr>
            <w:tcW w:w="2787" w:type="dxa"/>
          </w:tcPr>
          <w:p w14:paraId="72FDB999" w14:textId="77777777" w:rsidR="00FB7739" w:rsidRPr="00DF1884" w:rsidRDefault="00FB7739" w:rsidP="0039781B">
            <w:pPr>
              <w:spacing w:before="40" w:after="40"/>
              <w:ind w:left="1062"/>
              <w:rPr>
                <w:rFonts w:cs="Arial"/>
                <w:szCs w:val="20"/>
              </w:rPr>
            </w:pPr>
            <w:r w:rsidRPr="00DF1884">
              <w:rPr>
                <w:rFonts w:cs="Arial"/>
                <w:szCs w:val="20"/>
              </w:rPr>
              <w:sym w:font="Wingdings" w:char="F074"/>
            </w:r>
            <w:r w:rsidRPr="00DF1884">
              <w:rPr>
                <w:rFonts w:cs="Arial"/>
                <w:szCs w:val="20"/>
              </w:rPr>
              <w:sym w:font="Wingdings" w:char="F074"/>
            </w:r>
          </w:p>
        </w:tc>
        <w:tc>
          <w:tcPr>
            <w:tcW w:w="2788" w:type="dxa"/>
          </w:tcPr>
          <w:p w14:paraId="0AC61F0B" w14:textId="77777777" w:rsidR="00FB7739" w:rsidRPr="00DF1884" w:rsidRDefault="00FB7739" w:rsidP="0039781B">
            <w:pPr>
              <w:spacing w:before="40" w:after="40"/>
              <w:ind w:left="1062"/>
              <w:rPr>
                <w:rFonts w:cs="Arial"/>
                <w:szCs w:val="20"/>
              </w:rPr>
            </w:pPr>
            <w:r w:rsidRPr="00DF1884">
              <w:rPr>
                <w:rFonts w:cs="Arial"/>
                <w:szCs w:val="20"/>
              </w:rPr>
              <w:sym w:font="Wingdings" w:char="F074"/>
            </w:r>
          </w:p>
        </w:tc>
      </w:tr>
      <w:tr w:rsidR="00DF1884" w:rsidRPr="00DF1884" w14:paraId="689B8B22" w14:textId="77777777" w:rsidTr="0039781B">
        <w:tc>
          <w:tcPr>
            <w:tcW w:w="4135" w:type="dxa"/>
          </w:tcPr>
          <w:p w14:paraId="6A4D7307" w14:textId="77777777" w:rsidR="00FB7739" w:rsidRPr="00DF1884" w:rsidRDefault="00FB7739" w:rsidP="0039781B">
            <w:pPr>
              <w:spacing w:before="40" w:after="40"/>
              <w:rPr>
                <w:rFonts w:cs="Arial"/>
                <w:szCs w:val="20"/>
              </w:rPr>
            </w:pPr>
            <w:r w:rsidRPr="00DF1884">
              <w:rPr>
                <w:rFonts w:cs="Arial"/>
                <w:szCs w:val="20"/>
              </w:rPr>
              <w:t>UTI</w:t>
            </w:r>
          </w:p>
        </w:tc>
        <w:tc>
          <w:tcPr>
            <w:tcW w:w="2787" w:type="dxa"/>
          </w:tcPr>
          <w:p w14:paraId="3842B147" w14:textId="77777777" w:rsidR="00FB7739" w:rsidRPr="00DF1884" w:rsidRDefault="00FB7739" w:rsidP="0039781B">
            <w:pPr>
              <w:spacing w:before="40" w:after="40"/>
              <w:ind w:left="1062"/>
              <w:rPr>
                <w:rFonts w:cs="Arial"/>
                <w:szCs w:val="20"/>
              </w:rPr>
            </w:pPr>
            <w:r w:rsidRPr="00DF1884">
              <w:rPr>
                <w:rFonts w:cs="Arial"/>
                <w:szCs w:val="20"/>
              </w:rPr>
              <w:sym w:font="Wingdings" w:char="F074"/>
            </w:r>
            <w:r w:rsidRPr="00DF1884">
              <w:rPr>
                <w:rFonts w:cs="Arial"/>
                <w:szCs w:val="20"/>
              </w:rPr>
              <w:sym w:font="Wingdings" w:char="F074"/>
            </w:r>
          </w:p>
        </w:tc>
        <w:tc>
          <w:tcPr>
            <w:tcW w:w="2788" w:type="dxa"/>
          </w:tcPr>
          <w:p w14:paraId="7197D38C" w14:textId="77777777" w:rsidR="00FB7739" w:rsidRPr="00DF1884" w:rsidRDefault="00FB7739" w:rsidP="0039781B">
            <w:pPr>
              <w:spacing w:before="40" w:after="40"/>
              <w:ind w:left="1062"/>
              <w:rPr>
                <w:rFonts w:cs="Arial"/>
                <w:szCs w:val="20"/>
                <w:vertAlign w:val="subscript"/>
              </w:rPr>
            </w:pPr>
            <w:r w:rsidRPr="00DF1884">
              <w:rPr>
                <w:rFonts w:cs="Arial"/>
                <w:szCs w:val="20"/>
              </w:rPr>
              <w:sym w:font="Wingdings" w:char="F074"/>
            </w:r>
            <w:r w:rsidRPr="00DF1884">
              <w:rPr>
                <w:rFonts w:cs="Arial"/>
                <w:szCs w:val="20"/>
              </w:rPr>
              <w:t>+</w:t>
            </w:r>
          </w:p>
        </w:tc>
      </w:tr>
      <w:tr w:rsidR="00DF1884" w:rsidRPr="00DF1884" w14:paraId="06A2EF0E" w14:textId="77777777" w:rsidTr="0039781B">
        <w:tc>
          <w:tcPr>
            <w:tcW w:w="4135" w:type="dxa"/>
          </w:tcPr>
          <w:p w14:paraId="32357922" w14:textId="77777777" w:rsidR="00FB7739" w:rsidRPr="00DF1884" w:rsidRDefault="00FB7739" w:rsidP="0039781B">
            <w:pPr>
              <w:spacing w:before="40" w:after="40"/>
              <w:rPr>
                <w:rFonts w:cs="Arial"/>
                <w:szCs w:val="20"/>
              </w:rPr>
            </w:pPr>
            <w:r w:rsidRPr="00DF1884">
              <w:rPr>
                <w:rFonts w:cs="Arial"/>
                <w:szCs w:val="20"/>
              </w:rPr>
              <w:t>Dehydration</w:t>
            </w:r>
          </w:p>
        </w:tc>
        <w:tc>
          <w:tcPr>
            <w:tcW w:w="2787" w:type="dxa"/>
          </w:tcPr>
          <w:p w14:paraId="4874E8C4" w14:textId="77777777" w:rsidR="00FB7739" w:rsidRPr="00DF1884" w:rsidRDefault="00FB7739" w:rsidP="0039781B">
            <w:pPr>
              <w:spacing w:before="40" w:after="40"/>
              <w:ind w:left="1062"/>
              <w:rPr>
                <w:rFonts w:cs="Arial"/>
                <w:szCs w:val="20"/>
              </w:rPr>
            </w:pPr>
            <w:r w:rsidRPr="00DF1884">
              <w:rPr>
                <w:rFonts w:cs="Arial"/>
                <w:szCs w:val="20"/>
              </w:rPr>
              <w:sym w:font="Wingdings" w:char="F074"/>
            </w:r>
            <w:r w:rsidRPr="00DF1884">
              <w:rPr>
                <w:rFonts w:cs="Arial"/>
                <w:szCs w:val="20"/>
              </w:rPr>
              <w:t>+</w:t>
            </w:r>
          </w:p>
        </w:tc>
        <w:tc>
          <w:tcPr>
            <w:tcW w:w="2788" w:type="dxa"/>
          </w:tcPr>
          <w:p w14:paraId="481271C2" w14:textId="77777777" w:rsidR="00FB7739" w:rsidRPr="00DF1884" w:rsidRDefault="00FB7739" w:rsidP="0039781B">
            <w:pPr>
              <w:spacing w:before="40" w:after="40"/>
              <w:ind w:left="1062"/>
              <w:rPr>
                <w:rFonts w:cs="Arial"/>
                <w:szCs w:val="20"/>
              </w:rPr>
            </w:pPr>
            <w:r w:rsidRPr="00DF1884">
              <w:rPr>
                <w:rFonts w:cs="Arial"/>
                <w:szCs w:val="20"/>
              </w:rPr>
              <w:sym w:font="Wingdings" w:char="F074"/>
            </w:r>
          </w:p>
        </w:tc>
      </w:tr>
    </w:tbl>
    <w:p w14:paraId="33B99BD1" w14:textId="3CA0C717" w:rsidR="00FB7739" w:rsidRPr="00DF1884" w:rsidRDefault="00FB7739" w:rsidP="0039781B">
      <w:pPr>
        <w:spacing w:before="60"/>
        <w:rPr>
          <w:rFonts w:cs="Arial"/>
          <w:sz w:val="18"/>
          <w:szCs w:val="18"/>
        </w:rPr>
      </w:pPr>
      <w:r w:rsidRPr="00DF1884">
        <w:rPr>
          <w:rFonts w:cs="Arial"/>
          <w:sz w:val="18"/>
          <w:szCs w:val="18"/>
        </w:rPr>
        <w:sym w:font="Wingdings" w:char="F074"/>
      </w:r>
      <w:r w:rsidR="00DF1884" w:rsidRPr="00DF1884">
        <w:rPr>
          <w:rFonts w:cs="Arial"/>
          <w:sz w:val="18"/>
          <w:szCs w:val="18"/>
        </w:rPr>
        <w:t xml:space="preserve"> </w:t>
      </w:r>
      <w:r w:rsidRPr="00DF1884">
        <w:rPr>
          <w:rFonts w:cs="Arial"/>
          <w:sz w:val="18"/>
          <w:szCs w:val="18"/>
        </w:rPr>
        <w:t>Major</w:t>
      </w:r>
      <w:r w:rsidR="00DF1884" w:rsidRPr="00DF1884">
        <w:rPr>
          <w:rFonts w:cs="Arial"/>
          <w:sz w:val="18"/>
          <w:szCs w:val="18"/>
        </w:rPr>
        <w:t xml:space="preserve"> </w:t>
      </w:r>
      <w:r w:rsidRPr="00DF1884">
        <w:rPr>
          <w:rFonts w:cs="Arial"/>
          <w:sz w:val="18"/>
          <w:szCs w:val="18"/>
        </w:rPr>
        <w:t>concern</w:t>
      </w:r>
      <w:r w:rsidR="00DF1884" w:rsidRPr="00DF1884">
        <w:rPr>
          <w:rFonts w:cs="Arial"/>
          <w:sz w:val="18"/>
          <w:szCs w:val="18"/>
        </w:rPr>
        <w:t xml:space="preserve"> </w:t>
      </w:r>
      <w:r w:rsidRPr="00DF1884">
        <w:rPr>
          <w:rFonts w:cs="Arial"/>
          <w:sz w:val="18"/>
          <w:szCs w:val="18"/>
        </w:rPr>
        <w:t>regarding</w:t>
      </w:r>
      <w:r w:rsidR="00DF1884" w:rsidRPr="00DF1884">
        <w:rPr>
          <w:rFonts w:cs="Arial"/>
          <w:sz w:val="18"/>
          <w:szCs w:val="18"/>
        </w:rPr>
        <w:t xml:space="preserve"> </w:t>
      </w:r>
      <w:r w:rsidRPr="00DF1884">
        <w:rPr>
          <w:rFonts w:cs="Arial"/>
          <w:sz w:val="18"/>
          <w:szCs w:val="18"/>
        </w:rPr>
        <w:t>use</w:t>
      </w:r>
    </w:p>
    <w:p w14:paraId="729B6F73" w14:textId="22B20CD0" w:rsidR="00FB7739" w:rsidRPr="00DF1884" w:rsidRDefault="00FB7739" w:rsidP="0039781B">
      <w:pPr>
        <w:spacing w:before="60"/>
        <w:rPr>
          <w:rFonts w:cs="Arial"/>
          <w:sz w:val="18"/>
          <w:szCs w:val="18"/>
        </w:rPr>
      </w:pPr>
      <w:r w:rsidRPr="00DF1884">
        <w:rPr>
          <w:rFonts w:cs="Arial"/>
          <w:sz w:val="18"/>
          <w:szCs w:val="18"/>
        </w:rPr>
        <w:sym w:font="Wingdings" w:char="F074"/>
      </w:r>
      <w:r w:rsidRPr="00DF1884">
        <w:rPr>
          <w:rFonts w:cs="Arial"/>
          <w:sz w:val="18"/>
          <w:szCs w:val="18"/>
        </w:rPr>
        <w:sym w:font="Wingdings" w:char="F074"/>
      </w:r>
      <w:r w:rsidR="00DF1884" w:rsidRPr="00DF1884">
        <w:rPr>
          <w:rFonts w:cs="Arial"/>
          <w:sz w:val="18"/>
          <w:szCs w:val="18"/>
        </w:rPr>
        <w:t xml:space="preserve"> </w:t>
      </w:r>
      <w:r w:rsidRPr="00DF1884">
        <w:rPr>
          <w:rFonts w:cs="Arial"/>
          <w:sz w:val="18"/>
          <w:szCs w:val="18"/>
        </w:rPr>
        <w:t>Some</w:t>
      </w:r>
      <w:r w:rsidR="00DF1884" w:rsidRPr="00DF1884">
        <w:rPr>
          <w:rFonts w:cs="Arial"/>
          <w:sz w:val="18"/>
          <w:szCs w:val="18"/>
        </w:rPr>
        <w:t xml:space="preserve"> </w:t>
      </w:r>
      <w:r w:rsidRPr="00DF1884">
        <w:rPr>
          <w:rFonts w:cs="Arial"/>
          <w:sz w:val="18"/>
          <w:szCs w:val="18"/>
        </w:rPr>
        <w:t>concern</w:t>
      </w:r>
    </w:p>
    <w:p w14:paraId="500F7667" w14:textId="0D665D07" w:rsidR="00FB7739" w:rsidRPr="00DF1884" w:rsidRDefault="00FB7739" w:rsidP="0039781B">
      <w:pPr>
        <w:spacing w:before="60"/>
        <w:rPr>
          <w:rFonts w:cs="Arial"/>
          <w:sz w:val="18"/>
          <w:szCs w:val="18"/>
        </w:rPr>
      </w:pPr>
      <w:r w:rsidRPr="00DF1884">
        <w:rPr>
          <w:rFonts w:cs="Arial"/>
          <w:sz w:val="18"/>
          <w:szCs w:val="18"/>
        </w:rPr>
        <w:t>+One</w:t>
      </w:r>
      <w:r w:rsidR="00DF1884" w:rsidRPr="00DF1884">
        <w:rPr>
          <w:rFonts w:cs="Arial"/>
          <w:sz w:val="18"/>
          <w:szCs w:val="18"/>
        </w:rPr>
        <w:t xml:space="preserve"> </w:t>
      </w:r>
      <w:r w:rsidRPr="00DF1884">
        <w:rPr>
          <w:rFonts w:cs="Arial"/>
          <w:sz w:val="18"/>
          <w:szCs w:val="18"/>
        </w:rPr>
        <w:t>of</w:t>
      </w:r>
      <w:r w:rsidR="00DF1884" w:rsidRPr="00DF1884">
        <w:rPr>
          <w:rFonts w:cs="Arial"/>
          <w:sz w:val="18"/>
          <w:szCs w:val="18"/>
        </w:rPr>
        <w:t xml:space="preserve"> </w:t>
      </w:r>
      <w:r w:rsidRPr="00DF1884">
        <w:rPr>
          <w:rFonts w:cs="Arial"/>
          <w:sz w:val="18"/>
          <w:szCs w:val="18"/>
        </w:rPr>
        <w:t>the</w:t>
      </w:r>
      <w:r w:rsidR="00DF1884" w:rsidRPr="00DF1884">
        <w:rPr>
          <w:rFonts w:cs="Arial"/>
          <w:sz w:val="18"/>
          <w:szCs w:val="18"/>
        </w:rPr>
        <w:t xml:space="preserve"> </w:t>
      </w:r>
      <w:r w:rsidRPr="00DF1884">
        <w:rPr>
          <w:rFonts w:cs="Arial"/>
          <w:sz w:val="18"/>
          <w:szCs w:val="18"/>
        </w:rPr>
        <w:t>two</w:t>
      </w:r>
      <w:r w:rsidR="00DF1884" w:rsidRPr="00DF1884">
        <w:rPr>
          <w:rFonts w:cs="Arial"/>
          <w:sz w:val="18"/>
          <w:szCs w:val="18"/>
        </w:rPr>
        <w:t xml:space="preserve"> </w:t>
      </w:r>
      <w:r w:rsidRPr="00DF1884">
        <w:rPr>
          <w:rFonts w:cs="Arial"/>
          <w:sz w:val="18"/>
          <w:szCs w:val="18"/>
        </w:rPr>
        <w:t>panels</w:t>
      </w:r>
      <w:r w:rsidR="00DF1884" w:rsidRPr="00DF1884">
        <w:rPr>
          <w:rFonts w:cs="Arial"/>
          <w:sz w:val="18"/>
          <w:szCs w:val="18"/>
        </w:rPr>
        <w:t xml:space="preserve"> </w:t>
      </w:r>
      <w:r w:rsidRPr="00DF1884">
        <w:rPr>
          <w:rFonts w:cs="Arial"/>
          <w:sz w:val="18"/>
          <w:szCs w:val="18"/>
        </w:rPr>
        <w:t>reported</w:t>
      </w:r>
      <w:r w:rsidR="00DF1884" w:rsidRPr="00DF1884">
        <w:rPr>
          <w:rFonts w:cs="Arial"/>
          <w:sz w:val="18"/>
          <w:szCs w:val="18"/>
        </w:rPr>
        <w:t xml:space="preserve"> </w:t>
      </w:r>
      <w:r w:rsidRPr="00DF1884">
        <w:rPr>
          <w:rFonts w:cs="Arial"/>
          <w:sz w:val="18"/>
          <w:szCs w:val="18"/>
        </w:rPr>
        <w:t>a</w:t>
      </w:r>
      <w:r w:rsidR="00DF1884" w:rsidRPr="00DF1884">
        <w:rPr>
          <w:rFonts w:cs="Arial"/>
          <w:sz w:val="18"/>
          <w:szCs w:val="18"/>
        </w:rPr>
        <w:t xml:space="preserve"> </w:t>
      </w:r>
      <w:r w:rsidRPr="00DF1884">
        <w:rPr>
          <w:rFonts w:cs="Arial"/>
          <w:sz w:val="18"/>
          <w:szCs w:val="18"/>
        </w:rPr>
        <w:t>higher</w:t>
      </w:r>
      <w:r w:rsidR="00DF1884" w:rsidRPr="00DF1884">
        <w:rPr>
          <w:rFonts w:cs="Arial"/>
          <w:sz w:val="18"/>
          <w:szCs w:val="18"/>
        </w:rPr>
        <w:t xml:space="preserve"> </w:t>
      </w:r>
      <w:r w:rsidRPr="00DF1884">
        <w:rPr>
          <w:rFonts w:cs="Arial"/>
          <w:sz w:val="18"/>
          <w:szCs w:val="18"/>
        </w:rPr>
        <w:t>level</w:t>
      </w:r>
      <w:r w:rsidR="00DF1884" w:rsidRPr="00DF1884">
        <w:rPr>
          <w:rFonts w:cs="Arial"/>
          <w:sz w:val="18"/>
          <w:szCs w:val="18"/>
        </w:rPr>
        <w:t xml:space="preserve"> </w:t>
      </w:r>
      <w:r w:rsidRPr="00DF1884">
        <w:rPr>
          <w:rFonts w:cs="Arial"/>
          <w:sz w:val="18"/>
          <w:szCs w:val="18"/>
        </w:rPr>
        <w:t>of</w:t>
      </w:r>
      <w:r w:rsidR="00DF1884" w:rsidRPr="00DF1884">
        <w:rPr>
          <w:rFonts w:cs="Arial"/>
          <w:sz w:val="18"/>
          <w:szCs w:val="18"/>
        </w:rPr>
        <w:t xml:space="preserve"> </w:t>
      </w:r>
      <w:r w:rsidRPr="00DF1884">
        <w:rPr>
          <w:rFonts w:cs="Arial"/>
          <w:sz w:val="18"/>
          <w:szCs w:val="18"/>
        </w:rPr>
        <w:t>support</w:t>
      </w:r>
      <w:r w:rsidR="00DF1884" w:rsidRPr="00DF1884">
        <w:rPr>
          <w:rFonts w:cs="Arial"/>
          <w:sz w:val="18"/>
          <w:szCs w:val="18"/>
        </w:rPr>
        <w:t xml:space="preserve"> </w:t>
      </w:r>
      <w:r w:rsidRPr="00DF1884">
        <w:rPr>
          <w:rFonts w:cs="Arial"/>
          <w:sz w:val="18"/>
          <w:szCs w:val="18"/>
        </w:rPr>
        <w:t>for</w:t>
      </w:r>
      <w:r w:rsidR="00DF1884" w:rsidRPr="00DF1884">
        <w:rPr>
          <w:rFonts w:cs="Arial"/>
          <w:sz w:val="18"/>
          <w:szCs w:val="18"/>
        </w:rPr>
        <w:t xml:space="preserve"> </w:t>
      </w:r>
      <w:r w:rsidRPr="00DF1884">
        <w:rPr>
          <w:rFonts w:cs="Arial"/>
          <w:sz w:val="18"/>
          <w:szCs w:val="18"/>
        </w:rPr>
        <w:t>the</w:t>
      </w:r>
      <w:r w:rsidR="00DF1884" w:rsidRPr="00DF1884">
        <w:rPr>
          <w:rFonts w:cs="Arial"/>
          <w:sz w:val="18"/>
          <w:szCs w:val="18"/>
        </w:rPr>
        <w:t xml:space="preserve"> </w:t>
      </w:r>
      <w:r w:rsidRPr="00DF1884">
        <w:rPr>
          <w:rFonts w:cs="Arial"/>
          <w:sz w:val="18"/>
          <w:szCs w:val="18"/>
        </w:rPr>
        <w:t>measure</w:t>
      </w:r>
      <w:r w:rsidR="00DF1884" w:rsidRPr="00DF1884">
        <w:rPr>
          <w:rFonts w:cs="Arial"/>
          <w:sz w:val="18"/>
          <w:szCs w:val="18"/>
        </w:rPr>
        <w:t xml:space="preserve"> </w:t>
      </w:r>
      <w:r w:rsidRPr="00DF1884">
        <w:rPr>
          <w:rFonts w:cs="Arial"/>
          <w:sz w:val="18"/>
          <w:szCs w:val="18"/>
        </w:rPr>
        <w:t>than</w:t>
      </w:r>
      <w:r w:rsidR="00DF1884" w:rsidRPr="00DF1884">
        <w:rPr>
          <w:rFonts w:cs="Arial"/>
          <w:sz w:val="18"/>
          <w:szCs w:val="18"/>
        </w:rPr>
        <w:t xml:space="preserve"> </w:t>
      </w:r>
      <w:r w:rsidRPr="00DF1884">
        <w:rPr>
          <w:rFonts w:cs="Arial"/>
          <w:sz w:val="18"/>
          <w:szCs w:val="18"/>
        </w:rPr>
        <w:t>shown</w:t>
      </w:r>
    </w:p>
    <w:p w14:paraId="78AB52AE" w14:textId="7700CC07" w:rsidR="00FB7739" w:rsidRPr="00DF1884" w:rsidRDefault="00FB7739" w:rsidP="0039781B">
      <w:pPr>
        <w:spacing w:before="240"/>
        <w:rPr>
          <w:rFonts w:cs="Arial"/>
          <w:szCs w:val="20"/>
        </w:rPr>
      </w:pPr>
      <w:r w:rsidRPr="00DF1884">
        <w:rPr>
          <w:rFonts w:cs="Arial"/>
          <w:szCs w:val="20"/>
        </w:rPr>
        <w:t>Below</w:t>
      </w:r>
      <w:r w:rsidR="00DF1884" w:rsidRPr="00DF1884">
        <w:rPr>
          <w:rFonts w:cs="Arial"/>
          <w:szCs w:val="20"/>
        </w:rPr>
        <w:t xml:space="preserve"> </w:t>
      </w:r>
      <w:r w:rsidRPr="00DF1884">
        <w:rPr>
          <w:rFonts w:cs="Arial"/>
          <w:szCs w:val="20"/>
        </w:rPr>
        <w:t>we</w:t>
      </w:r>
      <w:r w:rsidR="00DF1884" w:rsidRPr="00DF1884">
        <w:rPr>
          <w:rFonts w:cs="Arial"/>
          <w:szCs w:val="20"/>
        </w:rPr>
        <w:t xml:space="preserve"> </w:t>
      </w:r>
      <w:r w:rsidRPr="00DF1884">
        <w:rPr>
          <w:rFonts w:cs="Arial"/>
          <w:szCs w:val="20"/>
        </w:rPr>
        <w:t>summarize</w:t>
      </w:r>
      <w:r w:rsidR="00DF1884" w:rsidRPr="00DF1884">
        <w:rPr>
          <w:rFonts w:cs="Arial"/>
          <w:szCs w:val="20"/>
        </w:rPr>
        <w:t xml:space="preserve"> </w:t>
      </w:r>
      <w:r w:rsidRPr="00DF1884">
        <w:rPr>
          <w:rFonts w:cs="Arial"/>
          <w:szCs w:val="20"/>
        </w:rPr>
        <w:t>the</w:t>
      </w:r>
      <w:r w:rsidR="00DF1884" w:rsidRPr="00DF1884">
        <w:rPr>
          <w:rFonts w:cs="Arial"/>
          <w:szCs w:val="20"/>
        </w:rPr>
        <w:t xml:space="preserve"> </w:t>
      </w:r>
      <w:r w:rsidRPr="00DF1884">
        <w:rPr>
          <w:rFonts w:cs="Arial"/>
          <w:szCs w:val="20"/>
        </w:rPr>
        <w:t>qualitative</w:t>
      </w:r>
      <w:r w:rsidR="00DF1884" w:rsidRPr="00DF1884">
        <w:rPr>
          <w:rFonts w:cs="Arial"/>
          <w:szCs w:val="20"/>
        </w:rPr>
        <w:t xml:space="preserve"> </w:t>
      </w:r>
      <w:r w:rsidRPr="00DF1884">
        <w:rPr>
          <w:rFonts w:cs="Arial"/>
          <w:szCs w:val="20"/>
        </w:rPr>
        <w:t>recommendations</w:t>
      </w:r>
      <w:r w:rsidR="00DF1884" w:rsidRPr="00DF1884">
        <w:rPr>
          <w:rFonts w:cs="Arial"/>
          <w:szCs w:val="20"/>
        </w:rPr>
        <w:t xml:space="preserve"> </w:t>
      </w:r>
      <w:r w:rsidRPr="00DF1884">
        <w:rPr>
          <w:rFonts w:cs="Arial"/>
          <w:szCs w:val="20"/>
        </w:rPr>
        <w:t>of</w:t>
      </w:r>
      <w:r w:rsidR="00DF1884" w:rsidRPr="00DF1884">
        <w:rPr>
          <w:rFonts w:cs="Arial"/>
          <w:szCs w:val="20"/>
        </w:rPr>
        <w:t xml:space="preserve"> </w:t>
      </w:r>
      <w:r w:rsidRPr="00DF1884">
        <w:rPr>
          <w:rFonts w:cs="Arial"/>
          <w:szCs w:val="20"/>
        </w:rPr>
        <w:t>the</w:t>
      </w:r>
      <w:r w:rsidR="00DF1884" w:rsidRPr="00DF1884">
        <w:rPr>
          <w:rFonts w:cs="Arial"/>
          <w:szCs w:val="20"/>
        </w:rPr>
        <w:t xml:space="preserve"> </w:t>
      </w:r>
      <w:r w:rsidRPr="00DF1884">
        <w:rPr>
          <w:rFonts w:cs="Arial"/>
          <w:szCs w:val="20"/>
        </w:rPr>
        <w:t>panelists</w:t>
      </w:r>
      <w:r w:rsidR="00DF1884" w:rsidRPr="00DF1884">
        <w:rPr>
          <w:rFonts w:cs="Arial"/>
          <w:szCs w:val="20"/>
        </w:rPr>
        <w:t xml:space="preserve"> </w:t>
      </w:r>
      <w:r w:rsidRPr="00DF1884">
        <w:rPr>
          <w:rFonts w:cs="Arial"/>
          <w:szCs w:val="20"/>
        </w:rPr>
        <w:t>regarding</w:t>
      </w:r>
      <w:r w:rsidR="00DF1884" w:rsidRPr="00DF1884">
        <w:rPr>
          <w:rFonts w:cs="Arial"/>
          <w:szCs w:val="20"/>
        </w:rPr>
        <w:t xml:space="preserve"> </w:t>
      </w:r>
      <w:r w:rsidRPr="00DF1884">
        <w:rPr>
          <w:rFonts w:cs="Arial"/>
          <w:szCs w:val="20"/>
        </w:rPr>
        <w:t>each</w:t>
      </w:r>
      <w:r w:rsidR="00DF1884" w:rsidRPr="00DF1884">
        <w:rPr>
          <w:rFonts w:cs="Arial"/>
          <w:szCs w:val="20"/>
        </w:rPr>
        <w:t xml:space="preserve"> </w:t>
      </w:r>
      <w:r w:rsidRPr="00DF1884">
        <w:rPr>
          <w:rFonts w:cs="Arial"/>
          <w:szCs w:val="20"/>
        </w:rPr>
        <w:t>conditions</w:t>
      </w:r>
      <w:r w:rsidR="00DF1884" w:rsidRPr="00DF1884">
        <w:rPr>
          <w:rFonts w:cs="Arial"/>
          <w:szCs w:val="20"/>
        </w:rPr>
        <w:t xml:space="preserve"> </w:t>
      </w:r>
      <w:r w:rsidRPr="00DF1884">
        <w:rPr>
          <w:rFonts w:cs="Arial"/>
          <w:szCs w:val="20"/>
        </w:rPr>
        <w:t>and</w:t>
      </w:r>
      <w:r w:rsidR="00DF1884" w:rsidRPr="00DF1884">
        <w:rPr>
          <w:rFonts w:cs="Arial"/>
          <w:szCs w:val="20"/>
        </w:rPr>
        <w:t xml:space="preserve"> </w:t>
      </w:r>
      <w:r w:rsidRPr="00DF1884">
        <w:rPr>
          <w:rFonts w:cs="Arial"/>
          <w:szCs w:val="20"/>
        </w:rPr>
        <w:t>pathway</w:t>
      </w:r>
      <w:r w:rsidR="00DF1884" w:rsidRPr="00DF1884">
        <w:rPr>
          <w:rFonts w:cs="Arial"/>
          <w:szCs w:val="20"/>
        </w:rPr>
        <w:t xml:space="preserve"> </w:t>
      </w:r>
      <w:r w:rsidRPr="00DF1884">
        <w:rPr>
          <w:rFonts w:cs="Arial"/>
          <w:szCs w:val="20"/>
        </w:rPr>
        <w:t>for</w:t>
      </w:r>
      <w:r w:rsidR="00DF1884" w:rsidRPr="00DF1884">
        <w:rPr>
          <w:rFonts w:cs="Arial"/>
          <w:szCs w:val="20"/>
        </w:rPr>
        <w:t xml:space="preserve"> </w:t>
      </w:r>
      <w:r w:rsidR="0039781B" w:rsidRPr="00DF1884">
        <w:rPr>
          <w:rFonts w:cs="Arial"/>
          <w:szCs w:val="20"/>
        </w:rPr>
        <w:t>payers</w:t>
      </w:r>
      <w:r w:rsidR="00DF1884" w:rsidRPr="00DF1884">
        <w:rPr>
          <w:rFonts w:cs="Arial"/>
          <w:szCs w:val="20"/>
        </w:rPr>
        <w:t xml:space="preserve"> </w:t>
      </w:r>
      <w:r w:rsidRPr="00DF1884">
        <w:rPr>
          <w:rFonts w:cs="Arial"/>
          <w:szCs w:val="20"/>
        </w:rPr>
        <w:t>and</w:t>
      </w:r>
      <w:r w:rsidR="00DF1884" w:rsidRPr="00DF1884">
        <w:rPr>
          <w:rFonts w:cs="Arial"/>
          <w:szCs w:val="20"/>
        </w:rPr>
        <w:t xml:space="preserve"> </w:t>
      </w:r>
      <w:r w:rsidRPr="00DF1884">
        <w:rPr>
          <w:rFonts w:cs="Arial"/>
          <w:szCs w:val="20"/>
        </w:rPr>
        <w:t>providers</w:t>
      </w:r>
      <w:r w:rsidR="00DF1884" w:rsidRPr="00DF1884">
        <w:rPr>
          <w:rFonts w:cs="Arial"/>
          <w:szCs w:val="20"/>
        </w:rPr>
        <w:t xml:space="preserve"> </w:t>
      </w:r>
      <w:r w:rsidRPr="00DF1884">
        <w:rPr>
          <w:rFonts w:cs="Arial"/>
          <w:szCs w:val="20"/>
        </w:rPr>
        <w:t>to</w:t>
      </w:r>
      <w:r w:rsidR="00DF1884" w:rsidRPr="00DF1884">
        <w:rPr>
          <w:rFonts w:cs="Arial"/>
          <w:szCs w:val="20"/>
        </w:rPr>
        <w:t xml:space="preserve"> </w:t>
      </w:r>
      <w:r w:rsidRPr="00DF1884">
        <w:rPr>
          <w:rFonts w:cs="Arial"/>
          <w:szCs w:val="20"/>
        </w:rPr>
        <w:t>influence</w:t>
      </w:r>
      <w:r w:rsidR="00DF1884" w:rsidRPr="00DF1884">
        <w:rPr>
          <w:rFonts w:cs="Arial"/>
          <w:szCs w:val="20"/>
        </w:rPr>
        <w:t xml:space="preserve"> </w:t>
      </w:r>
      <w:r w:rsidRPr="00DF1884">
        <w:rPr>
          <w:rFonts w:cs="Arial"/>
          <w:szCs w:val="20"/>
        </w:rPr>
        <w:t>hospitalization</w:t>
      </w:r>
      <w:r w:rsidR="00DF1884" w:rsidRPr="00DF1884">
        <w:rPr>
          <w:rFonts w:cs="Arial"/>
          <w:szCs w:val="20"/>
        </w:rPr>
        <w:t xml:space="preserve"> </w:t>
      </w:r>
      <w:r w:rsidRPr="00DF1884">
        <w:rPr>
          <w:rFonts w:cs="Arial"/>
          <w:szCs w:val="20"/>
        </w:rPr>
        <w:t>(Davies</w:t>
      </w:r>
      <w:r w:rsidR="00DF1884" w:rsidRPr="00DF1884">
        <w:rPr>
          <w:rFonts w:cs="Arial"/>
          <w:szCs w:val="20"/>
        </w:rPr>
        <w:t xml:space="preserve"> </w:t>
      </w:r>
      <w:r w:rsidRPr="00DF1884">
        <w:rPr>
          <w:rFonts w:cs="Arial"/>
          <w:szCs w:val="20"/>
        </w:rPr>
        <w:t>2009).</w:t>
      </w:r>
    </w:p>
    <w:p w14:paraId="29AD259B" w14:textId="2B8EB473" w:rsidR="00FB7739" w:rsidRPr="00DF1884" w:rsidRDefault="00FB7739" w:rsidP="0039781B">
      <w:pPr>
        <w:pStyle w:val="Bullet"/>
        <w:rPr>
          <w:szCs w:val="20"/>
        </w:rPr>
      </w:pPr>
      <w:r w:rsidRPr="00DF1884">
        <w:rPr>
          <w:b/>
          <w:szCs w:val="20"/>
        </w:rPr>
        <w:t>Diabetes</w:t>
      </w:r>
      <w:r w:rsidR="00DF1884" w:rsidRPr="00DF1884">
        <w:rPr>
          <w:b/>
          <w:szCs w:val="20"/>
        </w:rPr>
        <w:t xml:space="preserve"> </w:t>
      </w:r>
      <w:r w:rsidRPr="00DF1884">
        <w:rPr>
          <w:b/>
          <w:szCs w:val="20"/>
        </w:rPr>
        <w:t>Related</w:t>
      </w:r>
      <w:r w:rsidR="00DF1884" w:rsidRPr="00DF1884">
        <w:rPr>
          <w:b/>
          <w:szCs w:val="20"/>
        </w:rPr>
        <w:t xml:space="preserve"> </w:t>
      </w:r>
      <w:r w:rsidRPr="00DF1884">
        <w:rPr>
          <w:b/>
          <w:szCs w:val="20"/>
        </w:rPr>
        <w:t>Indicators:</w:t>
      </w:r>
      <w:r w:rsidR="00DF1884" w:rsidRPr="00DF1884">
        <w:rPr>
          <w:szCs w:val="20"/>
        </w:rPr>
        <w:t xml:space="preserve"> </w:t>
      </w:r>
      <w:r w:rsidRPr="00DF1884">
        <w:rPr>
          <w:szCs w:val="20"/>
        </w:rPr>
        <w:t>Pay</w:t>
      </w:r>
      <w:r w:rsidR="0039781B" w:rsidRPr="00DF1884">
        <w:rPr>
          <w:szCs w:val="20"/>
        </w:rPr>
        <w:t>e</w:t>
      </w:r>
      <w:r w:rsidRPr="00DF1884">
        <w:rPr>
          <w:szCs w:val="20"/>
        </w:rPr>
        <w:t>r</w:t>
      </w:r>
      <w:r w:rsidR="00DF1884" w:rsidRPr="00DF1884">
        <w:rPr>
          <w:szCs w:val="20"/>
        </w:rPr>
        <w:t xml:space="preserve"> </w:t>
      </w:r>
      <w:r w:rsidRPr="00DF1884">
        <w:rPr>
          <w:szCs w:val="20"/>
        </w:rPr>
        <w:t>and</w:t>
      </w:r>
      <w:r w:rsidR="00DF1884" w:rsidRPr="00DF1884">
        <w:rPr>
          <w:szCs w:val="20"/>
        </w:rPr>
        <w:t xml:space="preserve"> </w:t>
      </w:r>
      <w:r w:rsidRPr="00DF1884">
        <w:rPr>
          <w:szCs w:val="20"/>
        </w:rPr>
        <w:t>provider</w:t>
      </w:r>
      <w:r w:rsidR="00DF1884" w:rsidRPr="00DF1884">
        <w:rPr>
          <w:szCs w:val="20"/>
        </w:rPr>
        <w:t xml:space="preserve"> </w:t>
      </w:r>
      <w:r w:rsidRPr="00DF1884">
        <w:rPr>
          <w:szCs w:val="20"/>
        </w:rPr>
        <w:t>organizations</w:t>
      </w:r>
      <w:r w:rsidR="00DF1884" w:rsidRPr="00DF1884">
        <w:rPr>
          <w:szCs w:val="20"/>
        </w:rPr>
        <w:t xml:space="preserve"> </w:t>
      </w:r>
      <w:r w:rsidRPr="00DF1884">
        <w:rPr>
          <w:szCs w:val="20"/>
        </w:rPr>
        <w:t>may</w:t>
      </w:r>
      <w:r w:rsidR="00DF1884" w:rsidRPr="00DF1884">
        <w:rPr>
          <w:szCs w:val="20"/>
        </w:rPr>
        <w:t xml:space="preserve"> </w:t>
      </w:r>
      <w:r w:rsidRPr="00DF1884">
        <w:rPr>
          <w:szCs w:val="20"/>
        </w:rPr>
        <w:t>be</w:t>
      </w:r>
      <w:r w:rsidR="00DF1884" w:rsidRPr="00DF1884">
        <w:rPr>
          <w:szCs w:val="20"/>
        </w:rPr>
        <w:t xml:space="preserve"> </w:t>
      </w:r>
      <w:r w:rsidRPr="00DF1884">
        <w:rPr>
          <w:szCs w:val="20"/>
        </w:rPr>
        <w:t>able</w:t>
      </w:r>
      <w:r w:rsidR="00DF1884" w:rsidRPr="00DF1884">
        <w:rPr>
          <w:szCs w:val="20"/>
        </w:rPr>
        <w:t xml:space="preserve"> </w:t>
      </w:r>
      <w:r w:rsidRPr="00DF1884">
        <w:rPr>
          <w:szCs w:val="20"/>
        </w:rPr>
        <w:t>to</w:t>
      </w:r>
      <w:r w:rsidR="00DF1884" w:rsidRPr="00DF1884">
        <w:rPr>
          <w:szCs w:val="20"/>
        </w:rPr>
        <w:t xml:space="preserve"> </w:t>
      </w:r>
      <w:r w:rsidRPr="00DF1884">
        <w:rPr>
          <w:szCs w:val="20"/>
        </w:rPr>
        <w:t>reduce</w:t>
      </w:r>
      <w:r w:rsidR="00DF1884" w:rsidRPr="00DF1884">
        <w:rPr>
          <w:szCs w:val="20"/>
        </w:rPr>
        <w:t xml:space="preserve"> </w:t>
      </w:r>
      <w:r w:rsidRPr="00DF1884">
        <w:rPr>
          <w:szCs w:val="20"/>
        </w:rPr>
        <w:t>hospitalization</w:t>
      </w:r>
      <w:r w:rsidR="00DF1884" w:rsidRPr="00DF1884">
        <w:rPr>
          <w:szCs w:val="20"/>
        </w:rPr>
        <w:t xml:space="preserve"> </w:t>
      </w:r>
      <w:r w:rsidRPr="00DF1884">
        <w:rPr>
          <w:szCs w:val="20"/>
        </w:rPr>
        <w:t>for</w:t>
      </w:r>
      <w:r w:rsidR="00DF1884" w:rsidRPr="00DF1884">
        <w:rPr>
          <w:szCs w:val="20"/>
        </w:rPr>
        <w:t xml:space="preserve"> </w:t>
      </w:r>
      <w:r w:rsidRPr="00DF1884">
        <w:rPr>
          <w:szCs w:val="20"/>
        </w:rPr>
        <w:t>diabetes</w:t>
      </w:r>
      <w:r w:rsidR="00DF1884" w:rsidRPr="00DF1884">
        <w:rPr>
          <w:szCs w:val="20"/>
        </w:rPr>
        <w:t xml:space="preserve"> </w:t>
      </w:r>
      <w:r w:rsidRPr="00DF1884">
        <w:rPr>
          <w:szCs w:val="20"/>
        </w:rPr>
        <w:t>(</w:t>
      </w:r>
      <w:r w:rsidR="008117C8" w:rsidRPr="00DF1884">
        <w:rPr>
          <w:szCs w:val="20"/>
        </w:rPr>
        <w:t>short-term</w:t>
      </w:r>
      <w:r w:rsidR="00DF1884" w:rsidRPr="00DF1884">
        <w:rPr>
          <w:szCs w:val="20"/>
        </w:rPr>
        <w:t xml:space="preserve"> </w:t>
      </w:r>
      <w:r w:rsidRPr="00DF1884">
        <w:rPr>
          <w:szCs w:val="20"/>
        </w:rPr>
        <w:t>complications,</w:t>
      </w:r>
      <w:r w:rsidR="00DF1884" w:rsidRPr="00DF1884">
        <w:rPr>
          <w:szCs w:val="20"/>
        </w:rPr>
        <w:t xml:space="preserve"> </w:t>
      </w:r>
      <w:r w:rsidR="008117C8" w:rsidRPr="00DF1884">
        <w:rPr>
          <w:szCs w:val="20"/>
        </w:rPr>
        <w:t>long-term</w:t>
      </w:r>
      <w:r w:rsidR="00DF1884" w:rsidRPr="00DF1884">
        <w:rPr>
          <w:szCs w:val="20"/>
        </w:rPr>
        <w:t xml:space="preserve"> </w:t>
      </w:r>
      <w:r w:rsidRPr="00DF1884">
        <w:rPr>
          <w:szCs w:val="20"/>
        </w:rPr>
        <w:t>complications</w:t>
      </w:r>
      <w:r w:rsidR="00DF1884" w:rsidRPr="00DF1884">
        <w:rPr>
          <w:szCs w:val="20"/>
        </w:rPr>
        <w:t xml:space="preserve"> </w:t>
      </w:r>
      <w:r w:rsidRPr="00DF1884">
        <w:rPr>
          <w:szCs w:val="20"/>
        </w:rPr>
        <w:t>and</w:t>
      </w:r>
      <w:r w:rsidR="00DF1884" w:rsidRPr="00DF1884">
        <w:rPr>
          <w:szCs w:val="20"/>
        </w:rPr>
        <w:t xml:space="preserve"> </w:t>
      </w:r>
      <w:r w:rsidRPr="00DF1884">
        <w:rPr>
          <w:szCs w:val="20"/>
        </w:rPr>
        <w:t>uncontrolled</w:t>
      </w:r>
      <w:r w:rsidR="00DF1884" w:rsidRPr="00DF1884">
        <w:rPr>
          <w:szCs w:val="20"/>
        </w:rPr>
        <w:t xml:space="preserve"> </w:t>
      </w:r>
      <w:r w:rsidRPr="00DF1884">
        <w:rPr>
          <w:szCs w:val="20"/>
        </w:rPr>
        <w:t>diabetes)</w:t>
      </w:r>
      <w:r w:rsidR="00DF1884" w:rsidRPr="00DF1884">
        <w:rPr>
          <w:szCs w:val="20"/>
        </w:rPr>
        <w:t xml:space="preserve"> </w:t>
      </w:r>
      <w:r w:rsidRPr="00DF1884">
        <w:rPr>
          <w:szCs w:val="20"/>
        </w:rPr>
        <w:t>by</w:t>
      </w:r>
      <w:r w:rsidR="00DF1884" w:rsidRPr="00DF1884">
        <w:rPr>
          <w:szCs w:val="20"/>
        </w:rPr>
        <w:t xml:space="preserve"> </w:t>
      </w:r>
      <w:r w:rsidRPr="00DF1884">
        <w:rPr>
          <w:szCs w:val="20"/>
        </w:rPr>
        <w:t>enhancing</w:t>
      </w:r>
      <w:r w:rsidR="00DF1884" w:rsidRPr="00DF1884">
        <w:rPr>
          <w:szCs w:val="20"/>
        </w:rPr>
        <w:t xml:space="preserve"> </w:t>
      </w:r>
      <w:r w:rsidRPr="00DF1884">
        <w:rPr>
          <w:szCs w:val="20"/>
        </w:rPr>
        <w:t>coverage</w:t>
      </w:r>
      <w:r w:rsidR="00DF1884" w:rsidRPr="00DF1884">
        <w:rPr>
          <w:szCs w:val="20"/>
        </w:rPr>
        <w:t xml:space="preserve"> </w:t>
      </w:r>
      <w:r w:rsidRPr="00DF1884">
        <w:rPr>
          <w:szCs w:val="20"/>
        </w:rPr>
        <w:t>for</w:t>
      </w:r>
      <w:r w:rsidR="00DF1884" w:rsidRPr="00DF1884">
        <w:rPr>
          <w:szCs w:val="20"/>
        </w:rPr>
        <w:t xml:space="preserve"> </w:t>
      </w:r>
      <w:r w:rsidRPr="00DF1884">
        <w:rPr>
          <w:szCs w:val="20"/>
        </w:rPr>
        <w:t>medication</w:t>
      </w:r>
      <w:r w:rsidR="00DF1884" w:rsidRPr="00DF1884">
        <w:rPr>
          <w:szCs w:val="20"/>
        </w:rPr>
        <w:t xml:space="preserve"> </w:t>
      </w:r>
      <w:r w:rsidRPr="00DF1884">
        <w:rPr>
          <w:szCs w:val="20"/>
        </w:rPr>
        <w:t>supplied</w:t>
      </w:r>
      <w:r w:rsidR="00DF1884" w:rsidRPr="00DF1884">
        <w:rPr>
          <w:szCs w:val="20"/>
        </w:rPr>
        <w:t xml:space="preserve"> </w:t>
      </w:r>
      <w:r w:rsidRPr="00DF1884">
        <w:rPr>
          <w:szCs w:val="20"/>
        </w:rPr>
        <w:t>for</w:t>
      </w:r>
      <w:r w:rsidR="00DF1884" w:rsidRPr="00DF1884">
        <w:rPr>
          <w:szCs w:val="20"/>
        </w:rPr>
        <w:t xml:space="preserve"> </w:t>
      </w:r>
      <w:r w:rsidRPr="00DF1884">
        <w:rPr>
          <w:szCs w:val="20"/>
        </w:rPr>
        <w:t>blood</w:t>
      </w:r>
      <w:r w:rsidR="00DF1884" w:rsidRPr="00DF1884">
        <w:rPr>
          <w:szCs w:val="20"/>
        </w:rPr>
        <w:t xml:space="preserve"> </w:t>
      </w:r>
      <w:r w:rsidRPr="00DF1884">
        <w:rPr>
          <w:szCs w:val="20"/>
        </w:rPr>
        <w:t>glucose</w:t>
      </w:r>
      <w:r w:rsidR="00DF1884" w:rsidRPr="00DF1884">
        <w:rPr>
          <w:szCs w:val="20"/>
        </w:rPr>
        <w:t xml:space="preserve"> </w:t>
      </w:r>
      <w:r w:rsidRPr="00DF1884">
        <w:rPr>
          <w:szCs w:val="20"/>
        </w:rPr>
        <w:t>monitoring</w:t>
      </w:r>
      <w:r w:rsidR="00DF1884" w:rsidRPr="00DF1884">
        <w:rPr>
          <w:szCs w:val="20"/>
        </w:rPr>
        <w:t xml:space="preserve"> </w:t>
      </w:r>
      <w:r w:rsidRPr="00DF1884">
        <w:rPr>
          <w:szCs w:val="20"/>
        </w:rPr>
        <w:t>and</w:t>
      </w:r>
      <w:r w:rsidR="00DF1884" w:rsidRPr="00DF1884">
        <w:rPr>
          <w:szCs w:val="20"/>
        </w:rPr>
        <w:t xml:space="preserve"> </w:t>
      </w:r>
      <w:r w:rsidRPr="00DF1884">
        <w:rPr>
          <w:szCs w:val="20"/>
        </w:rPr>
        <w:t>care</w:t>
      </w:r>
      <w:r w:rsidR="00DF1884" w:rsidRPr="00DF1884">
        <w:rPr>
          <w:szCs w:val="20"/>
        </w:rPr>
        <w:t xml:space="preserve"> </w:t>
      </w:r>
      <w:r w:rsidRPr="00DF1884">
        <w:rPr>
          <w:szCs w:val="20"/>
        </w:rPr>
        <w:t>coordination</w:t>
      </w:r>
      <w:r w:rsidR="00DF1884" w:rsidRPr="00DF1884">
        <w:rPr>
          <w:szCs w:val="20"/>
        </w:rPr>
        <w:t xml:space="preserve"> </w:t>
      </w:r>
      <w:r w:rsidRPr="00DF1884">
        <w:rPr>
          <w:szCs w:val="20"/>
        </w:rPr>
        <w:t>for</w:t>
      </w:r>
      <w:r w:rsidR="00DF1884" w:rsidRPr="00DF1884">
        <w:rPr>
          <w:szCs w:val="20"/>
        </w:rPr>
        <w:t xml:space="preserve"> </w:t>
      </w:r>
      <w:r w:rsidRPr="00DF1884">
        <w:rPr>
          <w:szCs w:val="20"/>
        </w:rPr>
        <w:t>diabetes</w:t>
      </w:r>
      <w:r w:rsidR="00DF1884" w:rsidRPr="00DF1884">
        <w:rPr>
          <w:szCs w:val="20"/>
        </w:rPr>
        <w:t xml:space="preserve"> </w:t>
      </w:r>
      <w:r w:rsidRPr="00DF1884">
        <w:rPr>
          <w:szCs w:val="20"/>
        </w:rPr>
        <w:t>patients.</w:t>
      </w:r>
      <w:r w:rsidR="00DF1884" w:rsidRPr="00DF1884">
        <w:rPr>
          <w:szCs w:val="20"/>
        </w:rPr>
        <w:t xml:space="preserve"> </w:t>
      </w:r>
      <w:r w:rsidRPr="00DF1884">
        <w:rPr>
          <w:szCs w:val="20"/>
        </w:rPr>
        <w:t>Ongoing</w:t>
      </w:r>
      <w:r w:rsidR="00DF1884" w:rsidRPr="00DF1884">
        <w:rPr>
          <w:szCs w:val="20"/>
        </w:rPr>
        <w:t xml:space="preserve"> </w:t>
      </w:r>
      <w:r w:rsidRPr="00DF1884">
        <w:rPr>
          <w:szCs w:val="20"/>
        </w:rPr>
        <w:t>patient</w:t>
      </w:r>
      <w:r w:rsidR="00DF1884" w:rsidRPr="00DF1884">
        <w:rPr>
          <w:szCs w:val="20"/>
        </w:rPr>
        <w:t xml:space="preserve"> </w:t>
      </w:r>
      <w:r w:rsidRPr="00DF1884">
        <w:rPr>
          <w:szCs w:val="20"/>
        </w:rPr>
        <w:t>education</w:t>
      </w:r>
      <w:r w:rsidR="00DF1884" w:rsidRPr="00DF1884">
        <w:rPr>
          <w:szCs w:val="20"/>
        </w:rPr>
        <w:t xml:space="preserve"> </w:t>
      </w:r>
      <w:r w:rsidRPr="00DF1884">
        <w:rPr>
          <w:szCs w:val="20"/>
        </w:rPr>
        <w:t>and</w:t>
      </w:r>
      <w:r w:rsidR="00DF1884" w:rsidRPr="00DF1884">
        <w:rPr>
          <w:szCs w:val="20"/>
        </w:rPr>
        <w:t xml:space="preserve"> </w:t>
      </w:r>
      <w:r w:rsidRPr="00DF1884">
        <w:rPr>
          <w:szCs w:val="20"/>
        </w:rPr>
        <w:t>promotion</w:t>
      </w:r>
      <w:r w:rsidR="00DF1884" w:rsidRPr="00DF1884">
        <w:rPr>
          <w:szCs w:val="20"/>
        </w:rPr>
        <w:t xml:space="preserve"> </w:t>
      </w:r>
      <w:r w:rsidRPr="00DF1884">
        <w:rPr>
          <w:szCs w:val="20"/>
        </w:rPr>
        <w:t>of</w:t>
      </w:r>
      <w:r w:rsidR="00DF1884" w:rsidRPr="00DF1884">
        <w:rPr>
          <w:szCs w:val="20"/>
        </w:rPr>
        <w:t xml:space="preserve"> </w:t>
      </w:r>
      <w:r w:rsidRPr="00DF1884">
        <w:rPr>
          <w:szCs w:val="20"/>
        </w:rPr>
        <w:t>self-management</w:t>
      </w:r>
      <w:r w:rsidR="00DF1884" w:rsidRPr="00DF1884">
        <w:rPr>
          <w:szCs w:val="20"/>
        </w:rPr>
        <w:t xml:space="preserve"> </w:t>
      </w:r>
      <w:r w:rsidRPr="00DF1884">
        <w:rPr>
          <w:szCs w:val="20"/>
        </w:rPr>
        <w:t>might</w:t>
      </w:r>
      <w:r w:rsidR="00DF1884" w:rsidRPr="00DF1884">
        <w:rPr>
          <w:szCs w:val="20"/>
        </w:rPr>
        <w:t xml:space="preserve"> </w:t>
      </w:r>
      <w:r w:rsidRPr="00DF1884">
        <w:rPr>
          <w:szCs w:val="20"/>
        </w:rPr>
        <w:t>also</w:t>
      </w:r>
      <w:r w:rsidR="00DF1884" w:rsidRPr="00DF1884">
        <w:rPr>
          <w:szCs w:val="20"/>
        </w:rPr>
        <w:t xml:space="preserve"> </w:t>
      </w:r>
      <w:r w:rsidRPr="00DF1884">
        <w:rPr>
          <w:szCs w:val="20"/>
        </w:rPr>
        <w:t>reduce</w:t>
      </w:r>
      <w:r w:rsidR="00DF1884" w:rsidRPr="00DF1884">
        <w:rPr>
          <w:szCs w:val="20"/>
        </w:rPr>
        <w:t xml:space="preserve"> </w:t>
      </w:r>
      <w:r w:rsidRPr="00DF1884">
        <w:rPr>
          <w:szCs w:val="20"/>
        </w:rPr>
        <w:t>rates</w:t>
      </w:r>
      <w:r w:rsidR="00DF1884" w:rsidRPr="00DF1884">
        <w:rPr>
          <w:szCs w:val="20"/>
        </w:rPr>
        <w:t xml:space="preserve"> </w:t>
      </w:r>
      <w:r w:rsidRPr="00DF1884">
        <w:rPr>
          <w:szCs w:val="20"/>
        </w:rPr>
        <w:t>of</w:t>
      </w:r>
      <w:r w:rsidR="00DF1884" w:rsidRPr="00DF1884">
        <w:rPr>
          <w:szCs w:val="20"/>
        </w:rPr>
        <w:t xml:space="preserve"> </w:t>
      </w:r>
      <w:r w:rsidRPr="00DF1884">
        <w:rPr>
          <w:szCs w:val="20"/>
        </w:rPr>
        <w:t>hospitalization</w:t>
      </w:r>
      <w:r w:rsidR="00DF1884" w:rsidRPr="00DF1884">
        <w:rPr>
          <w:szCs w:val="20"/>
        </w:rPr>
        <w:t xml:space="preserve"> </w:t>
      </w:r>
      <w:r w:rsidRPr="00DF1884">
        <w:rPr>
          <w:szCs w:val="20"/>
        </w:rPr>
        <w:t>for</w:t>
      </w:r>
      <w:r w:rsidR="00DF1884" w:rsidRPr="00DF1884">
        <w:rPr>
          <w:szCs w:val="20"/>
        </w:rPr>
        <w:t xml:space="preserve"> </w:t>
      </w:r>
      <w:r w:rsidRPr="00DF1884">
        <w:rPr>
          <w:szCs w:val="20"/>
        </w:rPr>
        <w:t>diabetes.</w:t>
      </w:r>
    </w:p>
    <w:p w14:paraId="72887915" w14:textId="7737BCC1" w:rsidR="00FB7739" w:rsidRPr="00DF1884" w:rsidRDefault="00FB7739" w:rsidP="0039781B">
      <w:pPr>
        <w:pStyle w:val="Bullet"/>
        <w:rPr>
          <w:szCs w:val="20"/>
        </w:rPr>
      </w:pPr>
      <w:r w:rsidRPr="00DF1884">
        <w:rPr>
          <w:b/>
          <w:szCs w:val="20"/>
        </w:rPr>
        <w:t>Perforated</w:t>
      </w:r>
      <w:r w:rsidR="00DF1884" w:rsidRPr="00DF1884">
        <w:rPr>
          <w:b/>
          <w:szCs w:val="20"/>
        </w:rPr>
        <w:t xml:space="preserve"> </w:t>
      </w:r>
      <w:r w:rsidRPr="00DF1884">
        <w:rPr>
          <w:b/>
          <w:szCs w:val="20"/>
        </w:rPr>
        <w:t>Appendix:</w:t>
      </w:r>
      <w:r w:rsidR="00DF1884" w:rsidRPr="00DF1884">
        <w:rPr>
          <w:szCs w:val="20"/>
        </w:rPr>
        <w:t xml:space="preserve"> </w:t>
      </w:r>
      <w:r w:rsidRPr="00DF1884">
        <w:rPr>
          <w:szCs w:val="20"/>
        </w:rPr>
        <w:t>Panelists</w:t>
      </w:r>
      <w:r w:rsidR="00DF1884" w:rsidRPr="00DF1884">
        <w:rPr>
          <w:szCs w:val="20"/>
        </w:rPr>
        <w:t xml:space="preserve"> </w:t>
      </w:r>
      <w:r w:rsidRPr="00DF1884">
        <w:rPr>
          <w:szCs w:val="20"/>
        </w:rPr>
        <w:t>did</w:t>
      </w:r>
      <w:r w:rsidR="00DF1884" w:rsidRPr="00DF1884">
        <w:rPr>
          <w:szCs w:val="20"/>
        </w:rPr>
        <w:t xml:space="preserve"> </w:t>
      </w:r>
      <w:r w:rsidRPr="00DF1884">
        <w:rPr>
          <w:szCs w:val="20"/>
        </w:rPr>
        <w:t>not</w:t>
      </w:r>
      <w:r w:rsidR="00DF1884" w:rsidRPr="00DF1884">
        <w:rPr>
          <w:szCs w:val="20"/>
        </w:rPr>
        <w:t xml:space="preserve"> </w:t>
      </w:r>
      <w:r w:rsidRPr="00DF1884">
        <w:rPr>
          <w:szCs w:val="20"/>
        </w:rPr>
        <w:t>feel</w:t>
      </w:r>
      <w:r w:rsidR="00DF1884" w:rsidRPr="00DF1884">
        <w:rPr>
          <w:szCs w:val="20"/>
        </w:rPr>
        <w:t xml:space="preserve"> </w:t>
      </w:r>
      <w:r w:rsidRPr="00DF1884">
        <w:rPr>
          <w:szCs w:val="20"/>
        </w:rPr>
        <w:t>this</w:t>
      </w:r>
      <w:r w:rsidR="00DF1884" w:rsidRPr="00DF1884">
        <w:rPr>
          <w:szCs w:val="20"/>
        </w:rPr>
        <w:t xml:space="preserve"> </w:t>
      </w:r>
      <w:r w:rsidRPr="00DF1884">
        <w:rPr>
          <w:szCs w:val="20"/>
        </w:rPr>
        <w:t>indicator</w:t>
      </w:r>
      <w:r w:rsidR="00DF1884" w:rsidRPr="00DF1884">
        <w:rPr>
          <w:szCs w:val="20"/>
        </w:rPr>
        <w:t xml:space="preserve"> </w:t>
      </w:r>
      <w:r w:rsidR="008117C8" w:rsidRPr="00DF1884">
        <w:rPr>
          <w:szCs w:val="20"/>
        </w:rPr>
        <w:t>reflected</w:t>
      </w:r>
      <w:r w:rsidR="00DF1884" w:rsidRPr="00DF1884">
        <w:rPr>
          <w:szCs w:val="20"/>
        </w:rPr>
        <w:t xml:space="preserve"> </w:t>
      </w:r>
      <w:r w:rsidR="008117C8" w:rsidRPr="00DF1884">
        <w:rPr>
          <w:szCs w:val="20"/>
        </w:rPr>
        <w:t>high-quality</w:t>
      </w:r>
      <w:r w:rsidR="00DF1884" w:rsidRPr="00DF1884">
        <w:rPr>
          <w:szCs w:val="20"/>
        </w:rPr>
        <w:t xml:space="preserve"> </w:t>
      </w:r>
      <w:r w:rsidRPr="00DF1884">
        <w:rPr>
          <w:szCs w:val="20"/>
        </w:rPr>
        <w:t>outpatient</w:t>
      </w:r>
      <w:r w:rsidR="00DF1884" w:rsidRPr="00DF1884">
        <w:rPr>
          <w:szCs w:val="20"/>
        </w:rPr>
        <w:t xml:space="preserve"> </w:t>
      </w:r>
      <w:r w:rsidRPr="00DF1884">
        <w:rPr>
          <w:szCs w:val="20"/>
        </w:rPr>
        <w:t>care</w:t>
      </w:r>
      <w:r w:rsidR="00DF1884" w:rsidRPr="00DF1884">
        <w:rPr>
          <w:szCs w:val="20"/>
        </w:rPr>
        <w:t xml:space="preserve"> </w:t>
      </w:r>
      <w:r w:rsidR="008117C8" w:rsidRPr="00DF1884">
        <w:rPr>
          <w:szCs w:val="20"/>
        </w:rPr>
        <w:t>because</w:t>
      </w:r>
      <w:r w:rsidR="00DF1884" w:rsidRPr="00DF1884">
        <w:rPr>
          <w:szCs w:val="20"/>
        </w:rPr>
        <w:t xml:space="preserve"> </w:t>
      </w:r>
      <w:r w:rsidRPr="00DF1884">
        <w:rPr>
          <w:szCs w:val="20"/>
        </w:rPr>
        <w:t>most</w:t>
      </w:r>
      <w:r w:rsidR="00DF1884" w:rsidRPr="00DF1884">
        <w:rPr>
          <w:szCs w:val="20"/>
        </w:rPr>
        <w:t xml:space="preserve"> </w:t>
      </w:r>
      <w:r w:rsidRPr="00DF1884">
        <w:rPr>
          <w:szCs w:val="20"/>
        </w:rPr>
        <w:t>appendicitis</w:t>
      </w:r>
      <w:r w:rsidR="00DF1884" w:rsidRPr="00DF1884">
        <w:rPr>
          <w:szCs w:val="20"/>
        </w:rPr>
        <w:t xml:space="preserve"> </w:t>
      </w:r>
      <w:r w:rsidRPr="00DF1884">
        <w:rPr>
          <w:szCs w:val="20"/>
        </w:rPr>
        <w:t>patients</w:t>
      </w:r>
      <w:r w:rsidR="00DF1884" w:rsidRPr="00DF1884">
        <w:rPr>
          <w:szCs w:val="20"/>
        </w:rPr>
        <w:t xml:space="preserve"> </w:t>
      </w:r>
      <w:r w:rsidRPr="00DF1884">
        <w:rPr>
          <w:szCs w:val="20"/>
        </w:rPr>
        <w:t>present</w:t>
      </w:r>
      <w:r w:rsidR="00DF1884" w:rsidRPr="00DF1884">
        <w:rPr>
          <w:szCs w:val="20"/>
        </w:rPr>
        <w:t xml:space="preserve"> </w:t>
      </w:r>
      <w:r w:rsidRPr="00DF1884">
        <w:rPr>
          <w:szCs w:val="20"/>
        </w:rPr>
        <w:t>directly</w:t>
      </w:r>
      <w:r w:rsidR="00DF1884" w:rsidRPr="00DF1884">
        <w:rPr>
          <w:szCs w:val="20"/>
        </w:rPr>
        <w:t xml:space="preserve"> </w:t>
      </w:r>
      <w:r w:rsidRPr="00DF1884">
        <w:rPr>
          <w:szCs w:val="20"/>
        </w:rPr>
        <w:t>to</w:t>
      </w:r>
      <w:r w:rsidR="00DF1884" w:rsidRPr="00DF1884">
        <w:rPr>
          <w:szCs w:val="20"/>
        </w:rPr>
        <w:t xml:space="preserve"> </w:t>
      </w:r>
      <w:r w:rsidRPr="00DF1884">
        <w:rPr>
          <w:szCs w:val="20"/>
        </w:rPr>
        <w:t>the</w:t>
      </w:r>
      <w:r w:rsidR="00DF1884" w:rsidRPr="00DF1884">
        <w:rPr>
          <w:szCs w:val="20"/>
        </w:rPr>
        <w:t xml:space="preserve"> </w:t>
      </w:r>
      <w:r w:rsidR="008117C8" w:rsidRPr="00DF1884">
        <w:rPr>
          <w:szCs w:val="20"/>
        </w:rPr>
        <w:t>ER</w:t>
      </w:r>
      <w:r w:rsidRPr="00DF1884">
        <w:rPr>
          <w:szCs w:val="20"/>
        </w:rPr>
        <w:t>.</w:t>
      </w:r>
      <w:r w:rsidR="00DF1884" w:rsidRPr="00DF1884">
        <w:rPr>
          <w:szCs w:val="20"/>
        </w:rPr>
        <w:t xml:space="preserve"> </w:t>
      </w:r>
      <w:r w:rsidRPr="00DF1884">
        <w:rPr>
          <w:szCs w:val="20"/>
        </w:rPr>
        <w:t>The</w:t>
      </w:r>
      <w:r w:rsidR="00DF1884" w:rsidRPr="00DF1884">
        <w:rPr>
          <w:szCs w:val="20"/>
        </w:rPr>
        <w:t xml:space="preserve"> </w:t>
      </w:r>
      <w:r w:rsidRPr="00DF1884">
        <w:rPr>
          <w:szCs w:val="20"/>
        </w:rPr>
        <w:t>panelists</w:t>
      </w:r>
      <w:r w:rsidR="00DF1884" w:rsidRPr="00DF1884">
        <w:rPr>
          <w:szCs w:val="20"/>
        </w:rPr>
        <w:t xml:space="preserve"> </w:t>
      </w:r>
      <w:r w:rsidRPr="00DF1884">
        <w:rPr>
          <w:szCs w:val="20"/>
        </w:rPr>
        <w:t>felt</w:t>
      </w:r>
      <w:r w:rsidR="00DF1884" w:rsidRPr="00DF1884">
        <w:rPr>
          <w:szCs w:val="20"/>
        </w:rPr>
        <w:t xml:space="preserve"> </w:t>
      </w:r>
      <w:r w:rsidRPr="00DF1884">
        <w:rPr>
          <w:szCs w:val="20"/>
        </w:rPr>
        <w:t>that</w:t>
      </w:r>
      <w:r w:rsidR="00DF1884" w:rsidRPr="00DF1884">
        <w:rPr>
          <w:szCs w:val="20"/>
        </w:rPr>
        <w:t xml:space="preserve"> </w:t>
      </w:r>
      <w:r w:rsidRPr="00DF1884">
        <w:rPr>
          <w:szCs w:val="20"/>
        </w:rPr>
        <w:t>time</w:t>
      </w:r>
      <w:r w:rsidR="00DF1884" w:rsidRPr="00DF1884">
        <w:rPr>
          <w:szCs w:val="20"/>
        </w:rPr>
        <w:t xml:space="preserve"> </w:t>
      </w:r>
      <w:r w:rsidRPr="00DF1884">
        <w:rPr>
          <w:szCs w:val="20"/>
        </w:rPr>
        <w:t>to</w:t>
      </w:r>
      <w:r w:rsidR="00DF1884" w:rsidRPr="00DF1884">
        <w:rPr>
          <w:szCs w:val="20"/>
        </w:rPr>
        <w:t xml:space="preserve"> </w:t>
      </w:r>
      <w:r w:rsidRPr="00DF1884">
        <w:rPr>
          <w:szCs w:val="20"/>
        </w:rPr>
        <w:t>presentation,</w:t>
      </w:r>
      <w:r w:rsidR="00DF1884" w:rsidRPr="00DF1884">
        <w:rPr>
          <w:szCs w:val="20"/>
        </w:rPr>
        <w:t xml:space="preserve"> </w:t>
      </w:r>
      <w:r w:rsidRPr="00DF1884">
        <w:rPr>
          <w:szCs w:val="20"/>
        </w:rPr>
        <w:t>the</w:t>
      </w:r>
      <w:r w:rsidR="00DF1884" w:rsidRPr="00DF1884">
        <w:rPr>
          <w:szCs w:val="20"/>
        </w:rPr>
        <w:t xml:space="preserve"> </w:t>
      </w:r>
      <w:r w:rsidRPr="00DF1884">
        <w:rPr>
          <w:szCs w:val="20"/>
        </w:rPr>
        <w:t>highest</w:t>
      </w:r>
      <w:r w:rsidR="00DF1884" w:rsidRPr="00DF1884">
        <w:rPr>
          <w:szCs w:val="20"/>
        </w:rPr>
        <w:t xml:space="preserve"> </w:t>
      </w:r>
      <w:r w:rsidRPr="00DF1884">
        <w:rPr>
          <w:szCs w:val="20"/>
        </w:rPr>
        <w:t>predictor</w:t>
      </w:r>
      <w:r w:rsidR="00DF1884" w:rsidRPr="00DF1884">
        <w:rPr>
          <w:szCs w:val="20"/>
        </w:rPr>
        <w:t xml:space="preserve"> </w:t>
      </w:r>
      <w:r w:rsidRPr="00DF1884">
        <w:rPr>
          <w:szCs w:val="20"/>
        </w:rPr>
        <w:t>of</w:t>
      </w:r>
      <w:r w:rsidR="00DF1884" w:rsidRPr="00DF1884">
        <w:rPr>
          <w:szCs w:val="20"/>
        </w:rPr>
        <w:t xml:space="preserve"> </w:t>
      </w:r>
      <w:r w:rsidRPr="00DF1884">
        <w:rPr>
          <w:szCs w:val="20"/>
        </w:rPr>
        <w:t>appendicitis,</w:t>
      </w:r>
      <w:r w:rsidR="00DF1884" w:rsidRPr="00DF1884">
        <w:rPr>
          <w:szCs w:val="20"/>
        </w:rPr>
        <w:t xml:space="preserve"> </w:t>
      </w:r>
      <w:r w:rsidRPr="00DF1884">
        <w:rPr>
          <w:szCs w:val="20"/>
        </w:rPr>
        <w:t>was</w:t>
      </w:r>
      <w:r w:rsidR="00DF1884" w:rsidRPr="00DF1884">
        <w:rPr>
          <w:szCs w:val="20"/>
        </w:rPr>
        <w:t xml:space="preserve"> </w:t>
      </w:r>
      <w:r w:rsidRPr="00DF1884">
        <w:rPr>
          <w:szCs w:val="20"/>
        </w:rPr>
        <w:t>not</w:t>
      </w:r>
      <w:r w:rsidR="00DF1884" w:rsidRPr="00DF1884">
        <w:rPr>
          <w:szCs w:val="20"/>
        </w:rPr>
        <w:t xml:space="preserve"> </w:t>
      </w:r>
      <w:r w:rsidRPr="00DF1884">
        <w:rPr>
          <w:szCs w:val="20"/>
        </w:rPr>
        <w:t>in</w:t>
      </w:r>
      <w:r w:rsidR="00DF1884" w:rsidRPr="00DF1884">
        <w:rPr>
          <w:szCs w:val="20"/>
        </w:rPr>
        <w:t xml:space="preserve"> </w:t>
      </w:r>
      <w:r w:rsidRPr="00DF1884">
        <w:rPr>
          <w:szCs w:val="20"/>
        </w:rPr>
        <w:t>the</w:t>
      </w:r>
      <w:r w:rsidR="00DF1884" w:rsidRPr="00DF1884">
        <w:rPr>
          <w:szCs w:val="20"/>
        </w:rPr>
        <w:t xml:space="preserve"> </w:t>
      </w:r>
      <w:r w:rsidRPr="00DF1884">
        <w:rPr>
          <w:szCs w:val="20"/>
        </w:rPr>
        <w:t>health</w:t>
      </w:r>
      <w:r w:rsidR="00DF1884" w:rsidRPr="00DF1884">
        <w:rPr>
          <w:szCs w:val="20"/>
        </w:rPr>
        <w:t xml:space="preserve"> </w:t>
      </w:r>
      <w:r w:rsidRPr="00DF1884">
        <w:rPr>
          <w:szCs w:val="20"/>
        </w:rPr>
        <w:t>system’s</w:t>
      </w:r>
      <w:r w:rsidR="00DF1884" w:rsidRPr="00DF1884">
        <w:rPr>
          <w:szCs w:val="20"/>
        </w:rPr>
        <w:t xml:space="preserve"> </w:t>
      </w:r>
      <w:r w:rsidRPr="00DF1884">
        <w:rPr>
          <w:szCs w:val="20"/>
        </w:rPr>
        <w:t>control.</w:t>
      </w:r>
      <w:r w:rsidR="00DF1884" w:rsidRPr="00DF1884">
        <w:rPr>
          <w:szCs w:val="20"/>
        </w:rPr>
        <w:t xml:space="preserve"> </w:t>
      </w:r>
      <w:r w:rsidRPr="00DF1884">
        <w:rPr>
          <w:szCs w:val="20"/>
        </w:rPr>
        <w:t>They</w:t>
      </w:r>
      <w:r w:rsidR="00DF1884" w:rsidRPr="00DF1884">
        <w:rPr>
          <w:szCs w:val="20"/>
        </w:rPr>
        <w:t xml:space="preserve"> </w:t>
      </w:r>
      <w:r w:rsidRPr="00DF1884">
        <w:rPr>
          <w:szCs w:val="20"/>
        </w:rPr>
        <w:t>also</w:t>
      </w:r>
      <w:r w:rsidR="00DF1884" w:rsidRPr="00DF1884">
        <w:rPr>
          <w:szCs w:val="20"/>
        </w:rPr>
        <w:t xml:space="preserve"> </w:t>
      </w:r>
      <w:r w:rsidRPr="00DF1884">
        <w:rPr>
          <w:szCs w:val="20"/>
        </w:rPr>
        <w:t>expressed</w:t>
      </w:r>
      <w:r w:rsidR="00DF1884" w:rsidRPr="00DF1884">
        <w:rPr>
          <w:szCs w:val="20"/>
        </w:rPr>
        <w:t xml:space="preserve"> </w:t>
      </w:r>
      <w:r w:rsidRPr="00DF1884">
        <w:rPr>
          <w:szCs w:val="20"/>
        </w:rPr>
        <w:t>concerns</w:t>
      </w:r>
      <w:r w:rsidR="00DF1884" w:rsidRPr="00DF1884">
        <w:rPr>
          <w:szCs w:val="20"/>
        </w:rPr>
        <w:t xml:space="preserve"> </w:t>
      </w:r>
      <w:r w:rsidRPr="00DF1884">
        <w:rPr>
          <w:szCs w:val="20"/>
        </w:rPr>
        <w:t>that</w:t>
      </w:r>
      <w:r w:rsidR="00DF1884" w:rsidRPr="00DF1884">
        <w:rPr>
          <w:szCs w:val="20"/>
        </w:rPr>
        <w:t xml:space="preserve"> </w:t>
      </w:r>
      <w:r w:rsidRPr="00DF1884">
        <w:rPr>
          <w:szCs w:val="20"/>
        </w:rPr>
        <w:t>older</w:t>
      </w:r>
      <w:r w:rsidR="00DF1884" w:rsidRPr="00DF1884">
        <w:rPr>
          <w:szCs w:val="20"/>
        </w:rPr>
        <w:t xml:space="preserve"> </w:t>
      </w:r>
      <w:r w:rsidRPr="00DF1884">
        <w:rPr>
          <w:szCs w:val="20"/>
        </w:rPr>
        <w:t>adults</w:t>
      </w:r>
      <w:r w:rsidR="00DF1884" w:rsidRPr="00DF1884">
        <w:rPr>
          <w:szCs w:val="20"/>
        </w:rPr>
        <w:t xml:space="preserve"> </w:t>
      </w:r>
      <w:r w:rsidRPr="00DF1884">
        <w:rPr>
          <w:szCs w:val="20"/>
        </w:rPr>
        <w:t>tend</w:t>
      </w:r>
      <w:r w:rsidR="00DF1884" w:rsidRPr="00DF1884">
        <w:rPr>
          <w:szCs w:val="20"/>
        </w:rPr>
        <w:t xml:space="preserve"> </w:t>
      </w:r>
      <w:r w:rsidRPr="00DF1884">
        <w:rPr>
          <w:szCs w:val="20"/>
        </w:rPr>
        <w:t>to</w:t>
      </w:r>
      <w:r w:rsidR="00DF1884" w:rsidRPr="00DF1884">
        <w:rPr>
          <w:szCs w:val="20"/>
        </w:rPr>
        <w:t xml:space="preserve"> </w:t>
      </w:r>
      <w:r w:rsidRPr="00DF1884">
        <w:rPr>
          <w:szCs w:val="20"/>
        </w:rPr>
        <w:t>present</w:t>
      </w:r>
      <w:r w:rsidR="00DF1884" w:rsidRPr="00DF1884">
        <w:rPr>
          <w:szCs w:val="20"/>
        </w:rPr>
        <w:t xml:space="preserve"> </w:t>
      </w:r>
      <w:r w:rsidRPr="00DF1884">
        <w:rPr>
          <w:szCs w:val="20"/>
        </w:rPr>
        <w:t>atypical</w:t>
      </w:r>
      <w:r w:rsidR="00DF1884" w:rsidRPr="00DF1884">
        <w:rPr>
          <w:szCs w:val="20"/>
        </w:rPr>
        <w:t xml:space="preserve"> </w:t>
      </w:r>
      <w:r w:rsidRPr="00DF1884">
        <w:rPr>
          <w:szCs w:val="20"/>
        </w:rPr>
        <w:t>symptoms</w:t>
      </w:r>
      <w:r w:rsidR="00DF1884" w:rsidRPr="00DF1884">
        <w:rPr>
          <w:szCs w:val="20"/>
        </w:rPr>
        <w:t xml:space="preserve"> </w:t>
      </w:r>
      <w:r w:rsidRPr="00DF1884">
        <w:rPr>
          <w:szCs w:val="20"/>
        </w:rPr>
        <w:t>of</w:t>
      </w:r>
      <w:r w:rsidR="00DF1884" w:rsidRPr="00DF1884">
        <w:rPr>
          <w:szCs w:val="20"/>
        </w:rPr>
        <w:t xml:space="preserve"> </w:t>
      </w:r>
      <w:r w:rsidRPr="00DF1884">
        <w:rPr>
          <w:szCs w:val="20"/>
        </w:rPr>
        <w:t>appendicitis</w:t>
      </w:r>
      <w:r w:rsidR="00DF1884" w:rsidRPr="00DF1884">
        <w:rPr>
          <w:szCs w:val="20"/>
        </w:rPr>
        <w:t xml:space="preserve"> </w:t>
      </w:r>
      <w:r w:rsidRPr="00DF1884">
        <w:rPr>
          <w:szCs w:val="20"/>
        </w:rPr>
        <w:t>and</w:t>
      </w:r>
      <w:r w:rsidR="00DF1884" w:rsidRPr="00DF1884">
        <w:rPr>
          <w:szCs w:val="20"/>
        </w:rPr>
        <w:t xml:space="preserve"> </w:t>
      </w:r>
      <w:r w:rsidRPr="00DF1884">
        <w:rPr>
          <w:szCs w:val="20"/>
        </w:rPr>
        <w:t>therefore</w:t>
      </w:r>
      <w:r w:rsidR="00DF1884" w:rsidRPr="00DF1884">
        <w:rPr>
          <w:szCs w:val="20"/>
        </w:rPr>
        <w:t xml:space="preserve"> </w:t>
      </w:r>
      <w:r w:rsidRPr="00DF1884">
        <w:rPr>
          <w:szCs w:val="20"/>
        </w:rPr>
        <w:t>may</w:t>
      </w:r>
      <w:r w:rsidR="00DF1884" w:rsidRPr="00DF1884">
        <w:rPr>
          <w:szCs w:val="20"/>
        </w:rPr>
        <w:t xml:space="preserve"> </w:t>
      </w:r>
      <w:r w:rsidRPr="00DF1884">
        <w:rPr>
          <w:szCs w:val="20"/>
        </w:rPr>
        <w:t>be</w:t>
      </w:r>
      <w:r w:rsidR="00DF1884" w:rsidRPr="00DF1884">
        <w:rPr>
          <w:szCs w:val="20"/>
        </w:rPr>
        <w:t xml:space="preserve"> </w:t>
      </w:r>
      <w:r w:rsidRPr="00DF1884">
        <w:rPr>
          <w:szCs w:val="20"/>
        </w:rPr>
        <w:t>more</w:t>
      </w:r>
      <w:r w:rsidR="00DF1884" w:rsidRPr="00DF1884">
        <w:rPr>
          <w:szCs w:val="20"/>
        </w:rPr>
        <w:t xml:space="preserve"> </w:t>
      </w:r>
      <w:r w:rsidRPr="00DF1884">
        <w:rPr>
          <w:szCs w:val="20"/>
        </w:rPr>
        <w:t>difficult</w:t>
      </w:r>
      <w:r w:rsidR="00DF1884" w:rsidRPr="00DF1884">
        <w:rPr>
          <w:szCs w:val="20"/>
        </w:rPr>
        <w:t xml:space="preserve"> </w:t>
      </w:r>
      <w:r w:rsidRPr="00DF1884">
        <w:rPr>
          <w:szCs w:val="20"/>
        </w:rPr>
        <w:t>to</w:t>
      </w:r>
      <w:r w:rsidR="00DF1884" w:rsidRPr="00DF1884">
        <w:rPr>
          <w:szCs w:val="20"/>
        </w:rPr>
        <w:t xml:space="preserve"> </w:t>
      </w:r>
      <w:r w:rsidRPr="00DF1884">
        <w:rPr>
          <w:szCs w:val="20"/>
        </w:rPr>
        <w:t>diagnosis.</w:t>
      </w:r>
      <w:r w:rsidR="00DF1884" w:rsidRPr="00DF1884">
        <w:rPr>
          <w:i/>
          <w:szCs w:val="20"/>
        </w:rPr>
        <w:t xml:space="preserve"> </w:t>
      </w:r>
    </w:p>
    <w:p w14:paraId="38E4134C" w14:textId="38043DFB" w:rsidR="008117C8" w:rsidRPr="00DF1884" w:rsidRDefault="00FB7739" w:rsidP="0039781B">
      <w:pPr>
        <w:pStyle w:val="Bullet"/>
        <w:sectPr w:rsidR="008117C8" w:rsidRPr="00DF1884" w:rsidSect="0039781B">
          <w:pgSz w:w="12240" w:h="15840" w:code="1"/>
          <w:pgMar w:top="1080" w:right="1080" w:bottom="1080" w:left="1440" w:header="720" w:footer="720" w:gutter="0"/>
          <w:cols w:space="720"/>
        </w:sectPr>
      </w:pPr>
      <w:r w:rsidRPr="00DF1884">
        <w:rPr>
          <w:b/>
          <w:szCs w:val="20"/>
        </w:rPr>
        <w:t>COPD</w:t>
      </w:r>
      <w:r w:rsidR="00DF1884" w:rsidRPr="00DF1884">
        <w:rPr>
          <w:b/>
          <w:szCs w:val="20"/>
        </w:rPr>
        <w:t xml:space="preserve"> </w:t>
      </w:r>
      <w:r w:rsidRPr="00DF1884">
        <w:rPr>
          <w:b/>
          <w:szCs w:val="20"/>
        </w:rPr>
        <w:t>and</w:t>
      </w:r>
      <w:r w:rsidR="00DF1884" w:rsidRPr="00DF1884">
        <w:rPr>
          <w:b/>
          <w:szCs w:val="20"/>
        </w:rPr>
        <w:t xml:space="preserve"> </w:t>
      </w:r>
      <w:r w:rsidRPr="00DF1884">
        <w:rPr>
          <w:b/>
          <w:szCs w:val="20"/>
        </w:rPr>
        <w:t>Asthma:</w:t>
      </w:r>
      <w:r w:rsidR="00DF1884" w:rsidRPr="00DF1884">
        <w:rPr>
          <w:szCs w:val="20"/>
        </w:rPr>
        <w:t xml:space="preserve"> </w:t>
      </w:r>
      <w:r w:rsidRPr="00DF1884">
        <w:rPr>
          <w:szCs w:val="20"/>
        </w:rPr>
        <w:t>Panelists</w:t>
      </w:r>
      <w:r w:rsidR="00DF1884" w:rsidRPr="00DF1884">
        <w:rPr>
          <w:szCs w:val="20"/>
        </w:rPr>
        <w:t xml:space="preserve"> </w:t>
      </w:r>
      <w:r w:rsidRPr="00DF1884">
        <w:rPr>
          <w:szCs w:val="20"/>
        </w:rPr>
        <w:t>cited</w:t>
      </w:r>
      <w:r w:rsidR="00DF1884" w:rsidRPr="00DF1884">
        <w:rPr>
          <w:szCs w:val="20"/>
        </w:rPr>
        <w:t xml:space="preserve"> </w:t>
      </w:r>
      <w:r w:rsidRPr="00DF1884">
        <w:rPr>
          <w:szCs w:val="20"/>
        </w:rPr>
        <w:t>several</w:t>
      </w:r>
      <w:r w:rsidR="00DF1884" w:rsidRPr="00DF1884">
        <w:rPr>
          <w:szCs w:val="20"/>
        </w:rPr>
        <w:t xml:space="preserve"> </w:t>
      </w:r>
      <w:r w:rsidRPr="00DF1884">
        <w:rPr>
          <w:szCs w:val="20"/>
        </w:rPr>
        <w:t>mechanisms</w:t>
      </w:r>
      <w:r w:rsidR="00DF1884" w:rsidRPr="00DF1884">
        <w:rPr>
          <w:szCs w:val="20"/>
        </w:rPr>
        <w:t xml:space="preserve"> </w:t>
      </w:r>
      <w:r w:rsidRPr="00DF1884">
        <w:rPr>
          <w:szCs w:val="20"/>
        </w:rPr>
        <w:t>health</w:t>
      </w:r>
      <w:r w:rsidR="00DF1884" w:rsidRPr="00DF1884">
        <w:rPr>
          <w:szCs w:val="20"/>
        </w:rPr>
        <w:t xml:space="preserve"> </w:t>
      </w:r>
      <w:r w:rsidRPr="00DF1884">
        <w:rPr>
          <w:szCs w:val="20"/>
        </w:rPr>
        <w:t>systems</w:t>
      </w:r>
      <w:r w:rsidR="00DF1884" w:rsidRPr="00DF1884">
        <w:rPr>
          <w:szCs w:val="20"/>
        </w:rPr>
        <w:t xml:space="preserve"> </w:t>
      </w:r>
      <w:r w:rsidRPr="00DF1884">
        <w:rPr>
          <w:szCs w:val="20"/>
        </w:rPr>
        <w:t>could</w:t>
      </w:r>
      <w:r w:rsidR="00DF1884" w:rsidRPr="00DF1884">
        <w:rPr>
          <w:szCs w:val="20"/>
        </w:rPr>
        <w:t xml:space="preserve"> </w:t>
      </w:r>
      <w:r w:rsidR="008117C8" w:rsidRPr="00DF1884">
        <w:rPr>
          <w:szCs w:val="20"/>
        </w:rPr>
        <w:t>use</w:t>
      </w:r>
      <w:r w:rsidR="00DF1884" w:rsidRPr="00DF1884">
        <w:rPr>
          <w:szCs w:val="20"/>
        </w:rPr>
        <w:t xml:space="preserve"> </w:t>
      </w:r>
      <w:r w:rsidR="008117C8" w:rsidRPr="00DF1884">
        <w:rPr>
          <w:szCs w:val="20"/>
        </w:rPr>
        <w:t>to</w:t>
      </w:r>
      <w:r w:rsidR="00DF1884" w:rsidRPr="00DF1884">
        <w:rPr>
          <w:szCs w:val="20"/>
        </w:rPr>
        <w:t xml:space="preserve"> </w:t>
      </w:r>
      <w:r w:rsidRPr="00DF1884">
        <w:rPr>
          <w:szCs w:val="20"/>
        </w:rPr>
        <w:t>reduce</w:t>
      </w:r>
      <w:r w:rsidR="00DF1884" w:rsidRPr="00DF1884">
        <w:rPr>
          <w:szCs w:val="20"/>
        </w:rPr>
        <w:t xml:space="preserve"> </w:t>
      </w:r>
      <w:r w:rsidRPr="00DF1884">
        <w:rPr>
          <w:szCs w:val="20"/>
        </w:rPr>
        <w:t>hospitalization</w:t>
      </w:r>
      <w:r w:rsidR="00DF1884" w:rsidRPr="00DF1884">
        <w:rPr>
          <w:szCs w:val="20"/>
        </w:rPr>
        <w:t xml:space="preserve"> </w:t>
      </w:r>
      <w:r w:rsidRPr="00DF1884">
        <w:rPr>
          <w:szCs w:val="20"/>
        </w:rPr>
        <w:t>for</w:t>
      </w:r>
      <w:r w:rsidR="00DF1884" w:rsidRPr="00DF1884">
        <w:rPr>
          <w:szCs w:val="20"/>
        </w:rPr>
        <w:t xml:space="preserve"> </w:t>
      </w:r>
      <w:r w:rsidRPr="00DF1884">
        <w:rPr>
          <w:szCs w:val="20"/>
        </w:rPr>
        <w:t>COPD</w:t>
      </w:r>
      <w:r w:rsidR="00DF1884" w:rsidRPr="00DF1884">
        <w:rPr>
          <w:szCs w:val="20"/>
        </w:rPr>
        <w:t xml:space="preserve"> </w:t>
      </w:r>
      <w:r w:rsidRPr="00DF1884">
        <w:rPr>
          <w:szCs w:val="20"/>
        </w:rPr>
        <w:t>and</w:t>
      </w:r>
      <w:r w:rsidR="00DF1884" w:rsidRPr="00DF1884">
        <w:rPr>
          <w:szCs w:val="20"/>
        </w:rPr>
        <w:t xml:space="preserve"> </w:t>
      </w:r>
      <w:r w:rsidR="008117C8" w:rsidRPr="00DF1884">
        <w:rPr>
          <w:szCs w:val="20"/>
        </w:rPr>
        <w:t>a</w:t>
      </w:r>
      <w:r w:rsidRPr="00DF1884">
        <w:rPr>
          <w:szCs w:val="20"/>
        </w:rPr>
        <w:t>sthma</w:t>
      </w:r>
      <w:r w:rsidR="008117C8" w:rsidRPr="00DF1884">
        <w:rPr>
          <w:szCs w:val="20"/>
        </w:rPr>
        <w:t>,</w:t>
      </w:r>
      <w:r w:rsidR="00DF1884" w:rsidRPr="00DF1884">
        <w:rPr>
          <w:szCs w:val="20"/>
        </w:rPr>
        <w:t xml:space="preserve"> </w:t>
      </w:r>
      <w:r w:rsidRPr="00DF1884">
        <w:rPr>
          <w:szCs w:val="20"/>
        </w:rPr>
        <w:t>including</w:t>
      </w:r>
      <w:r w:rsidR="00DF1884" w:rsidRPr="00DF1884">
        <w:rPr>
          <w:szCs w:val="20"/>
        </w:rPr>
        <w:t xml:space="preserve"> </w:t>
      </w:r>
      <w:r w:rsidRPr="00DF1884">
        <w:rPr>
          <w:szCs w:val="20"/>
        </w:rPr>
        <w:t>increase</w:t>
      </w:r>
      <w:r w:rsidR="00DF1884" w:rsidRPr="00DF1884">
        <w:rPr>
          <w:szCs w:val="20"/>
        </w:rPr>
        <w:t xml:space="preserve"> </w:t>
      </w:r>
      <w:r w:rsidRPr="00DF1884">
        <w:rPr>
          <w:szCs w:val="20"/>
        </w:rPr>
        <w:t>reimbursement</w:t>
      </w:r>
      <w:r w:rsidR="00DF1884" w:rsidRPr="00DF1884">
        <w:rPr>
          <w:szCs w:val="20"/>
        </w:rPr>
        <w:t xml:space="preserve"> </w:t>
      </w:r>
      <w:r w:rsidRPr="00DF1884">
        <w:rPr>
          <w:szCs w:val="20"/>
        </w:rPr>
        <w:t>for</w:t>
      </w:r>
      <w:r w:rsidR="00DF1884" w:rsidRPr="00DF1884">
        <w:rPr>
          <w:szCs w:val="20"/>
        </w:rPr>
        <w:t xml:space="preserve"> </w:t>
      </w:r>
      <w:r w:rsidRPr="00DF1884">
        <w:rPr>
          <w:szCs w:val="20"/>
        </w:rPr>
        <w:t>smoking</w:t>
      </w:r>
      <w:r w:rsidR="00DF1884" w:rsidRPr="00DF1884">
        <w:rPr>
          <w:szCs w:val="20"/>
        </w:rPr>
        <w:t xml:space="preserve"> </w:t>
      </w:r>
      <w:r w:rsidRPr="00DF1884">
        <w:rPr>
          <w:szCs w:val="20"/>
        </w:rPr>
        <w:t>cessation</w:t>
      </w:r>
      <w:r w:rsidR="00DF1884" w:rsidRPr="00DF1884">
        <w:rPr>
          <w:szCs w:val="20"/>
        </w:rPr>
        <w:t xml:space="preserve"> </w:t>
      </w:r>
      <w:r w:rsidRPr="00DF1884">
        <w:rPr>
          <w:szCs w:val="20"/>
        </w:rPr>
        <w:t>programs,</w:t>
      </w:r>
      <w:r w:rsidR="00DF1884" w:rsidRPr="00DF1884">
        <w:rPr>
          <w:szCs w:val="20"/>
        </w:rPr>
        <w:t xml:space="preserve"> </w:t>
      </w:r>
      <w:r w:rsidRPr="00DF1884">
        <w:rPr>
          <w:szCs w:val="20"/>
        </w:rPr>
        <w:t>medication,</w:t>
      </w:r>
      <w:r w:rsidR="00DF1884" w:rsidRPr="00DF1884">
        <w:rPr>
          <w:szCs w:val="20"/>
        </w:rPr>
        <w:t xml:space="preserve"> </w:t>
      </w:r>
      <w:r w:rsidRPr="00DF1884">
        <w:rPr>
          <w:szCs w:val="20"/>
        </w:rPr>
        <w:t>access</w:t>
      </w:r>
      <w:r w:rsidR="00DF1884" w:rsidRPr="00DF1884">
        <w:rPr>
          <w:szCs w:val="20"/>
        </w:rPr>
        <w:t xml:space="preserve"> </w:t>
      </w:r>
      <w:r w:rsidRPr="00DF1884">
        <w:rPr>
          <w:szCs w:val="20"/>
        </w:rPr>
        <w:t>to</w:t>
      </w:r>
      <w:r w:rsidR="00DF1884" w:rsidRPr="00DF1884">
        <w:rPr>
          <w:szCs w:val="20"/>
        </w:rPr>
        <w:t xml:space="preserve"> </w:t>
      </w:r>
      <w:r w:rsidRPr="00DF1884">
        <w:rPr>
          <w:szCs w:val="20"/>
        </w:rPr>
        <w:t>pulmonary</w:t>
      </w:r>
      <w:r w:rsidR="00DF1884" w:rsidRPr="00DF1884">
        <w:rPr>
          <w:szCs w:val="20"/>
        </w:rPr>
        <w:t xml:space="preserve"> </w:t>
      </w:r>
      <w:r w:rsidRPr="00DF1884">
        <w:rPr>
          <w:szCs w:val="20"/>
        </w:rPr>
        <w:t>rehabilitation</w:t>
      </w:r>
      <w:r w:rsidR="00DF1884" w:rsidRPr="00DF1884">
        <w:rPr>
          <w:szCs w:val="20"/>
        </w:rPr>
        <w:t xml:space="preserve"> </w:t>
      </w:r>
      <w:r w:rsidRPr="00DF1884">
        <w:rPr>
          <w:szCs w:val="20"/>
        </w:rPr>
        <w:t>and</w:t>
      </w:r>
      <w:r w:rsidR="00DF1884" w:rsidRPr="00DF1884">
        <w:rPr>
          <w:szCs w:val="20"/>
        </w:rPr>
        <w:t xml:space="preserve"> </w:t>
      </w:r>
      <w:r w:rsidRPr="00DF1884">
        <w:rPr>
          <w:szCs w:val="20"/>
        </w:rPr>
        <w:t>oxygen</w:t>
      </w:r>
      <w:r w:rsidR="00DF1884" w:rsidRPr="00DF1884">
        <w:rPr>
          <w:szCs w:val="20"/>
        </w:rPr>
        <w:t xml:space="preserve"> </w:t>
      </w:r>
      <w:r w:rsidRPr="00DF1884">
        <w:rPr>
          <w:szCs w:val="20"/>
        </w:rPr>
        <w:t>therapy</w:t>
      </w:r>
      <w:r w:rsidR="008117C8" w:rsidRPr="00DF1884">
        <w:rPr>
          <w:szCs w:val="20"/>
        </w:rPr>
        <w:t>,</w:t>
      </w:r>
      <w:r w:rsidR="00DF1884" w:rsidRPr="00DF1884">
        <w:rPr>
          <w:szCs w:val="20"/>
        </w:rPr>
        <w:t xml:space="preserve"> </w:t>
      </w:r>
      <w:r w:rsidRPr="00DF1884">
        <w:rPr>
          <w:szCs w:val="20"/>
        </w:rPr>
        <w:t>patient</w:t>
      </w:r>
      <w:r w:rsidR="00DF1884" w:rsidRPr="00DF1884">
        <w:rPr>
          <w:szCs w:val="20"/>
        </w:rPr>
        <w:t xml:space="preserve"> </w:t>
      </w:r>
      <w:r w:rsidRPr="00DF1884">
        <w:rPr>
          <w:szCs w:val="20"/>
        </w:rPr>
        <w:t>education</w:t>
      </w:r>
      <w:r w:rsidR="00DF1884" w:rsidRPr="00DF1884">
        <w:rPr>
          <w:szCs w:val="20"/>
        </w:rPr>
        <w:t xml:space="preserve"> </w:t>
      </w:r>
      <w:r w:rsidRPr="00DF1884">
        <w:rPr>
          <w:szCs w:val="20"/>
        </w:rPr>
        <w:t>and</w:t>
      </w:r>
      <w:r w:rsidR="00DF1884" w:rsidRPr="00DF1884">
        <w:rPr>
          <w:szCs w:val="20"/>
        </w:rPr>
        <w:t xml:space="preserve"> </w:t>
      </w:r>
      <w:r w:rsidRPr="00DF1884">
        <w:rPr>
          <w:szCs w:val="20"/>
        </w:rPr>
        <w:t>improved</w:t>
      </w:r>
      <w:r w:rsidR="00DF1884" w:rsidRPr="00DF1884">
        <w:rPr>
          <w:szCs w:val="20"/>
        </w:rPr>
        <w:t xml:space="preserve"> </w:t>
      </w:r>
      <w:r w:rsidRPr="00DF1884">
        <w:rPr>
          <w:szCs w:val="20"/>
        </w:rPr>
        <w:t>care</w:t>
      </w:r>
      <w:r w:rsidR="00DF1884" w:rsidRPr="00DF1884">
        <w:rPr>
          <w:szCs w:val="20"/>
        </w:rPr>
        <w:t xml:space="preserve"> </w:t>
      </w:r>
      <w:r w:rsidRPr="00DF1884">
        <w:rPr>
          <w:szCs w:val="20"/>
        </w:rPr>
        <w:t>coordination.</w:t>
      </w:r>
      <w:r w:rsidR="00DF1884" w:rsidRPr="00DF1884">
        <w:rPr>
          <w:szCs w:val="20"/>
        </w:rPr>
        <w:t xml:space="preserve"> </w:t>
      </w:r>
      <w:r w:rsidRPr="00DF1884">
        <w:rPr>
          <w:szCs w:val="20"/>
        </w:rPr>
        <w:t>Panelists</w:t>
      </w:r>
      <w:r w:rsidR="00DF1884" w:rsidRPr="00DF1884">
        <w:rPr>
          <w:szCs w:val="20"/>
        </w:rPr>
        <w:t xml:space="preserve"> </w:t>
      </w:r>
      <w:r w:rsidRPr="00DF1884">
        <w:rPr>
          <w:szCs w:val="20"/>
        </w:rPr>
        <w:t>also</w:t>
      </w:r>
      <w:r w:rsidR="00DF1884" w:rsidRPr="00DF1884">
        <w:rPr>
          <w:szCs w:val="20"/>
        </w:rPr>
        <w:t xml:space="preserve"> </w:t>
      </w:r>
      <w:r w:rsidRPr="00DF1884">
        <w:rPr>
          <w:szCs w:val="20"/>
        </w:rPr>
        <w:t>expressed</w:t>
      </w:r>
      <w:r w:rsidR="00DF1884" w:rsidRPr="00DF1884">
        <w:rPr>
          <w:szCs w:val="20"/>
        </w:rPr>
        <w:t xml:space="preserve"> </w:t>
      </w:r>
      <w:r w:rsidRPr="00DF1884">
        <w:rPr>
          <w:szCs w:val="20"/>
        </w:rPr>
        <w:t>concern</w:t>
      </w:r>
      <w:r w:rsidR="00DF1884" w:rsidRPr="00DF1884">
        <w:rPr>
          <w:szCs w:val="20"/>
        </w:rPr>
        <w:t xml:space="preserve"> </w:t>
      </w:r>
      <w:r w:rsidRPr="00DF1884">
        <w:rPr>
          <w:szCs w:val="20"/>
        </w:rPr>
        <w:t>that</w:t>
      </w:r>
      <w:r w:rsidR="00DF1884" w:rsidRPr="00DF1884">
        <w:rPr>
          <w:szCs w:val="20"/>
        </w:rPr>
        <w:t xml:space="preserve"> </w:t>
      </w:r>
      <w:r w:rsidRPr="00DF1884">
        <w:rPr>
          <w:szCs w:val="20"/>
        </w:rPr>
        <w:t>this</w:t>
      </w:r>
      <w:r w:rsidR="00DF1884" w:rsidRPr="00DF1884">
        <w:rPr>
          <w:szCs w:val="20"/>
        </w:rPr>
        <w:t xml:space="preserve"> </w:t>
      </w:r>
      <w:r w:rsidRPr="00DF1884">
        <w:rPr>
          <w:szCs w:val="20"/>
        </w:rPr>
        <w:t>rate</w:t>
      </w:r>
      <w:r w:rsidR="00DF1884" w:rsidRPr="00DF1884">
        <w:rPr>
          <w:szCs w:val="20"/>
        </w:rPr>
        <w:t xml:space="preserve"> </w:t>
      </w:r>
      <w:r w:rsidRPr="00DF1884">
        <w:rPr>
          <w:szCs w:val="20"/>
        </w:rPr>
        <w:t>may</w:t>
      </w:r>
      <w:r w:rsidR="00DF1884" w:rsidRPr="00DF1884">
        <w:rPr>
          <w:szCs w:val="20"/>
        </w:rPr>
        <w:t xml:space="preserve"> </w:t>
      </w:r>
      <w:r w:rsidRPr="00DF1884">
        <w:rPr>
          <w:szCs w:val="20"/>
        </w:rPr>
        <w:t>reflect</w:t>
      </w:r>
      <w:r w:rsidR="00DF1884" w:rsidRPr="00DF1884">
        <w:rPr>
          <w:szCs w:val="20"/>
        </w:rPr>
        <w:t xml:space="preserve"> </w:t>
      </w:r>
      <w:r w:rsidR="008117C8" w:rsidRPr="00DF1884">
        <w:rPr>
          <w:szCs w:val="20"/>
        </w:rPr>
        <w:t>a</w:t>
      </w:r>
      <w:r w:rsidR="00DF1884" w:rsidRPr="00DF1884">
        <w:rPr>
          <w:szCs w:val="20"/>
        </w:rPr>
        <w:t xml:space="preserve"> </w:t>
      </w:r>
      <w:r w:rsidRPr="00DF1884">
        <w:rPr>
          <w:szCs w:val="20"/>
        </w:rPr>
        <w:t>level</w:t>
      </w:r>
      <w:r w:rsidR="00DF1884" w:rsidRPr="00DF1884">
        <w:rPr>
          <w:szCs w:val="20"/>
        </w:rPr>
        <w:t xml:space="preserve"> </w:t>
      </w:r>
      <w:r w:rsidRPr="00DF1884">
        <w:rPr>
          <w:szCs w:val="20"/>
        </w:rPr>
        <w:t>of</w:t>
      </w:r>
      <w:r w:rsidR="00DF1884" w:rsidRPr="00DF1884">
        <w:rPr>
          <w:szCs w:val="20"/>
        </w:rPr>
        <w:t xml:space="preserve"> </w:t>
      </w:r>
      <w:r w:rsidRPr="00DF1884">
        <w:rPr>
          <w:szCs w:val="20"/>
        </w:rPr>
        <w:t>“social</w:t>
      </w:r>
      <w:r w:rsidR="00DF1884" w:rsidRPr="00DF1884">
        <w:rPr>
          <w:szCs w:val="20"/>
        </w:rPr>
        <w:t xml:space="preserve"> </w:t>
      </w:r>
      <w:r w:rsidRPr="00DF1884">
        <w:rPr>
          <w:szCs w:val="20"/>
        </w:rPr>
        <w:t>hospitalization”</w:t>
      </w:r>
      <w:r w:rsidR="00DF1884" w:rsidRPr="00DF1884">
        <w:rPr>
          <w:szCs w:val="20"/>
        </w:rPr>
        <w:t xml:space="preserve"> </w:t>
      </w:r>
      <w:r w:rsidRPr="00DF1884">
        <w:rPr>
          <w:szCs w:val="20"/>
        </w:rPr>
        <w:t>for</w:t>
      </w:r>
      <w:r w:rsidR="00DF1884" w:rsidRPr="00DF1884">
        <w:rPr>
          <w:szCs w:val="20"/>
        </w:rPr>
        <w:t xml:space="preserve"> </w:t>
      </w:r>
      <w:r w:rsidRPr="00DF1884">
        <w:rPr>
          <w:szCs w:val="20"/>
        </w:rPr>
        <w:t>situations</w:t>
      </w:r>
      <w:r w:rsidR="00DF1884" w:rsidRPr="00DF1884">
        <w:rPr>
          <w:szCs w:val="20"/>
        </w:rPr>
        <w:t xml:space="preserve"> </w:t>
      </w:r>
      <w:r w:rsidRPr="00DF1884">
        <w:rPr>
          <w:szCs w:val="20"/>
        </w:rPr>
        <w:t>where</w:t>
      </w:r>
      <w:r w:rsidR="00DF1884" w:rsidRPr="00DF1884">
        <w:rPr>
          <w:szCs w:val="20"/>
        </w:rPr>
        <w:t xml:space="preserve"> </w:t>
      </w:r>
      <w:r w:rsidRPr="00DF1884">
        <w:rPr>
          <w:szCs w:val="20"/>
        </w:rPr>
        <w:t>the</w:t>
      </w:r>
      <w:r w:rsidR="00DF1884" w:rsidRPr="00DF1884">
        <w:rPr>
          <w:szCs w:val="20"/>
        </w:rPr>
        <w:t xml:space="preserve"> </w:t>
      </w:r>
      <w:r w:rsidRPr="00DF1884">
        <w:rPr>
          <w:szCs w:val="20"/>
        </w:rPr>
        <w:t>provider</w:t>
      </w:r>
      <w:r w:rsidR="00DF1884" w:rsidRPr="00DF1884">
        <w:rPr>
          <w:szCs w:val="20"/>
        </w:rPr>
        <w:t xml:space="preserve"> </w:t>
      </w:r>
      <w:r w:rsidRPr="00DF1884">
        <w:rPr>
          <w:szCs w:val="20"/>
        </w:rPr>
        <w:t>feels</w:t>
      </w:r>
      <w:r w:rsidR="00DF1884" w:rsidRPr="00DF1884">
        <w:rPr>
          <w:szCs w:val="20"/>
        </w:rPr>
        <w:t xml:space="preserve"> </w:t>
      </w:r>
      <w:r w:rsidRPr="00DF1884">
        <w:rPr>
          <w:szCs w:val="20"/>
        </w:rPr>
        <w:t>the</w:t>
      </w:r>
      <w:r w:rsidR="00DF1884" w:rsidRPr="00DF1884">
        <w:rPr>
          <w:szCs w:val="20"/>
        </w:rPr>
        <w:t xml:space="preserve"> </w:t>
      </w:r>
      <w:r w:rsidRPr="00DF1884">
        <w:rPr>
          <w:szCs w:val="20"/>
        </w:rPr>
        <w:t>support</w:t>
      </w:r>
      <w:r w:rsidR="00DF1884" w:rsidRPr="00DF1884">
        <w:rPr>
          <w:szCs w:val="20"/>
        </w:rPr>
        <w:t xml:space="preserve"> </w:t>
      </w:r>
      <w:r w:rsidRPr="00DF1884">
        <w:rPr>
          <w:szCs w:val="20"/>
        </w:rPr>
        <w:t>in</w:t>
      </w:r>
      <w:r w:rsidR="00DF1884" w:rsidRPr="00DF1884">
        <w:rPr>
          <w:szCs w:val="20"/>
        </w:rPr>
        <w:t xml:space="preserve"> </w:t>
      </w:r>
      <w:r w:rsidRPr="00DF1884">
        <w:rPr>
          <w:szCs w:val="20"/>
        </w:rPr>
        <w:t>the</w:t>
      </w:r>
      <w:r w:rsidR="00DF1884" w:rsidRPr="00DF1884">
        <w:rPr>
          <w:szCs w:val="20"/>
        </w:rPr>
        <w:t xml:space="preserve"> </w:t>
      </w:r>
      <w:r w:rsidRPr="00DF1884">
        <w:rPr>
          <w:szCs w:val="20"/>
        </w:rPr>
        <w:t>ho</w:t>
      </w:r>
      <w:r w:rsidRPr="00DF1884">
        <w:t>me</w:t>
      </w:r>
      <w:r w:rsidR="00DF1884" w:rsidRPr="00DF1884">
        <w:t xml:space="preserve"> </w:t>
      </w:r>
      <w:r w:rsidRPr="00DF1884">
        <w:t>environment</w:t>
      </w:r>
      <w:r w:rsidR="00DF1884" w:rsidRPr="00DF1884">
        <w:t xml:space="preserve"> </w:t>
      </w:r>
      <w:r w:rsidRPr="00DF1884">
        <w:t>is</w:t>
      </w:r>
      <w:r w:rsidR="00DF1884" w:rsidRPr="00DF1884">
        <w:t xml:space="preserve"> </w:t>
      </w:r>
      <w:r w:rsidRPr="00DF1884">
        <w:t>insufficient</w:t>
      </w:r>
      <w:r w:rsidR="00DF1884" w:rsidRPr="00DF1884">
        <w:t xml:space="preserve"> </w:t>
      </w:r>
      <w:r w:rsidRPr="00DF1884">
        <w:t>for</w:t>
      </w:r>
      <w:r w:rsidR="00DF1884" w:rsidRPr="00DF1884">
        <w:t xml:space="preserve"> </w:t>
      </w:r>
      <w:r w:rsidRPr="00DF1884">
        <w:t>recovery.</w:t>
      </w:r>
    </w:p>
    <w:p w14:paraId="48638D63" w14:textId="41A195FE" w:rsidR="00FB7739" w:rsidRPr="00DF1884" w:rsidRDefault="00FB7739" w:rsidP="008117C8">
      <w:pPr>
        <w:pStyle w:val="Bullet"/>
        <w:spacing w:before="0"/>
      </w:pPr>
      <w:r w:rsidRPr="00DF1884">
        <w:rPr>
          <w:b/>
        </w:rPr>
        <w:lastRenderedPageBreak/>
        <w:t>Hypertension:</w:t>
      </w:r>
      <w:r w:rsidR="00DF1884" w:rsidRPr="00DF1884">
        <w:t xml:space="preserve"> </w:t>
      </w:r>
      <w:r w:rsidR="008117C8" w:rsidRPr="00DF1884">
        <w:t>Paye</w:t>
      </w:r>
      <w:r w:rsidRPr="00DF1884">
        <w:t>r</w:t>
      </w:r>
      <w:r w:rsidR="00DF1884" w:rsidRPr="00DF1884">
        <w:t xml:space="preserve"> </w:t>
      </w:r>
      <w:r w:rsidRPr="00DF1884">
        <w:t>and</w:t>
      </w:r>
      <w:r w:rsidR="00DF1884" w:rsidRPr="00DF1884">
        <w:t xml:space="preserve"> </w:t>
      </w:r>
      <w:r w:rsidRPr="00DF1884">
        <w:t>provider</w:t>
      </w:r>
      <w:r w:rsidR="00DF1884" w:rsidRPr="00DF1884">
        <w:t xml:space="preserve"> </w:t>
      </w:r>
      <w:r w:rsidRPr="00DF1884">
        <w:t>organizations</w:t>
      </w:r>
      <w:r w:rsidR="00DF1884" w:rsidRPr="00DF1884">
        <w:t xml:space="preserve"> </w:t>
      </w:r>
      <w:r w:rsidRPr="00DF1884">
        <w:t>may</w:t>
      </w:r>
      <w:r w:rsidR="00DF1884" w:rsidRPr="00DF1884">
        <w:t xml:space="preserve"> </w:t>
      </w:r>
      <w:r w:rsidRPr="00DF1884">
        <w:t>be</w:t>
      </w:r>
      <w:r w:rsidR="00DF1884" w:rsidRPr="00DF1884">
        <w:t xml:space="preserve"> </w:t>
      </w:r>
      <w:r w:rsidRPr="00DF1884">
        <w:t>able</w:t>
      </w:r>
      <w:r w:rsidR="00DF1884" w:rsidRPr="00DF1884">
        <w:t xml:space="preserve"> </w:t>
      </w:r>
      <w:r w:rsidRPr="00DF1884">
        <w:t>to</w:t>
      </w:r>
      <w:r w:rsidR="00DF1884" w:rsidRPr="00DF1884">
        <w:t xml:space="preserve"> </w:t>
      </w:r>
      <w:r w:rsidRPr="00DF1884">
        <w:t>reduce</w:t>
      </w:r>
      <w:r w:rsidR="00DF1884" w:rsidRPr="00DF1884">
        <w:t xml:space="preserve"> </w:t>
      </w:r>
      <w:r w:rsidRPr="00DF1884">
        <w:t>hypertension</w:t>
      </w:r>
      <w:r w:rsidR="00CA0676" w:rsidRPr="00DF1884">
        <w:t>-</w:t>
      </w:r>
      <w:r w:rsidRPr="00DF1884">
        <w:t>related</w:t>
      </w:r>
      <w:r w:rsidR="00DF1884" w:rsidRPr="00DF1884">
        <w:t xml:space="preserve"> </w:t>
      </w:r>
      <w:r w:rsidRPr="00DF1884">
        <w:t>hospitalizations</w:t>
      </w:r>
      <w:r w:rsidR="00DF1884" w:rsidRPr="00DF1884">
        <w:t xml:space="preserve"> </w:t>
      </w:r>
      <w:r w:rsidRPr="00DF1884">
        <w:t>through</w:t>
      </w:r>
      <w:r w:rsidR="00DF1884" w:rsidRPr="00DF1884">
        <w:t xml:space="preserve"> </w:t>
      </w:r>
      <w:r w:rsidRPr="00DF1884">
        <w:t>enhanced</w:t>
      </w:r>
      <w:r w:rsidR="00DF1884" w:rsidRPr="00DF1884">
        <w:t xml:space="preserve"> </w:t>
      </w:r>
      <w:r w:rsidRPr="00DF1884">
        <w:t>coverage</w:t>
      </w:r>
      <w:r w:rsidR="00DF1884" w:rsidRPr="00DF1884">
        <w:t xml:space="preserve"> </w:t>
      </w:r>
      <w:r w:rsidRPr="00DF1884">
        <w:t>of</w:t>
      </w:r>
      <w:r w:rsidR="00DF1884" w:rsidRPr="00DF1884">
        <w:t xml:space="preserve"> </w:t>
      </w:r>
      <w:r w:rsidRPr="00DF1884">
        <w:t>preventive</w:t>
      </w:r>
      <w:r w:rsidR="00DF1884" w:rsidRPr="00DF1884">
        <w:t xml:space="preserve"> </w:t>
      </w:r>
      <w:r w:rsidRPr="00DF1884">
        <w:t>primary</w:t>
      </w:r>
      <w:r w:rsidR="00DF1884" w:rsidRPr="00DF1884">
        <w:t xml:space="preserve"> </w:t>
      </w:r>
      <w:r w:rsidRPr="00DF1884">
        <w:t>care</w:t>
      </w:r>
      <w:r w:rsidR="00DF1884" w:rsidRPr="00DF1884">
        <w:t xml:space="preserve"> </w:t>
      </w:r>
      <w:r w:rsidRPr="00DF1884">
        <w:t>visits,</w:t>
      </w:r>
      <w:r w:rsidR="00DF1884" w:rsidRPr="00DF1884">
        <w:t xml:space="preserve"> </w:t>
      </w:r>
      <w:r w:rsidRPr="00DF1884">
        <w:t>patient</w:t>
      </w:r>
      <w:r w:rsidR="00DF1884" w:rsidRPr="00DF1884">
        <w:t xml:space="preserve"> </w:t>
      </w:r>
      <w:r w:rsidRPr="00DF1884">
        <w:t>education</w:t>
      </w:r>
      <w:r w:rsidR="00DF1884" w:rsidRPr="00DF1884">
        <w:t xml:space="preserve"> </w:t>
      </w:r>
      <w:r w:rsidRPr="00DF1884">
        <w:t>and</w:t>
      </w:r>
      <w:r w:rsidR="00DF1884" w:rsidRPr="00DF1884">
        <w:t xml:space="preserve"> </w:t>
      </w:r>
      <w:r w:rsidRPr="00DF1884">
        <w:t>antihypertensive</w:t>
      </w:r>
      <w:r w:rsidR="00DF1884" w:rsidRPr="00DF1884">
        <w:t xml:space="preserve"> </w:t>
      </w:r>
      <w:r w:rsidRPr="00DF1884">
        <w:t>medication.</w:t>
      </w:r>
      <w:r w:rsidR="00DF1884" w:rsidRPr="00DF1884">
        <w:t xml:space="preserve"> </w:t>
      </w:r>
      <w:r w:rsidRPr="00DF1884">
        <w:t>Improved</w:t>
      </w:r>
      <w:r w:rsidR="00DF1884" w:rsidRPr="00DF1884">
        <w:t xml:space="preserve"> </w:t>
      </w:r>
      <w:r w:rsidRPr="00DF1884">
        <w:t>rates</w:t>
      </w:r>
      <w:r w:rsidR="00DF1884" w:rsidRPr="00DF1884">
        <w:t xml:space="preserve"> </w:t>
      </w:r>
      <w:r w:rsidRPr="00DF1884">
        <w:t>of</w:t>
      </w:r>
      <w:r w:rsidR="00DF1884" w:rsidRPr="00DF1884">
        <w:t xml:space="preserve"> </w:t>
      </w:r>
      <w:r w:rsidRPr="00DF1884">
        <w:t>blood</w:t>
      </w:r>
      <w:r w:rsidR="00DF1884" w:rsidRPr="00DF1884">
        <w:t xml:space="preserve"> </w:t>
      </w:r>
      <w:r w:rsidRPr="00DF1884">
        <w:t>pressure</w:t>
      </w:r>
      <w:r w:rsidR="00DF1884" w:rsidRPr="00DF1884">
        <w:t xml:space="preserve"> </w:t>
      </w:r>
      <w:r w:rsidRPr="00DF1884">
        <w:t>screening</w:t>
      </w:r>
      <w:r w:rsidR="00DF1884" w:rsidRPr="00DF1884">
        <w:t xml:space="preserve"> </w:t>
      </w:r>
      <w:r w:rsidRPr="00DF1884">
        <w:t>may</w:t>
      </w:r>
      <w:r w:rsidR="00DF1884" w:rsidRPr="00DF1884">
        <w:t xml:space="preserve"> </w:t>
      </w:r>
      <w:r w:rsidRPr="00DF1884">
        <w:t>also</w:t>
      </w:r>
      <w:r w:rsidR="00DF1884" w:rsidRPr="00DF1884">
        <w:t xml:space="preserve"> </w:t>
      </w:r>
      <w:r w:rsidRPr="00DF1884">
        <w:t>reduce</w:t>
      </w:r>
      <w:r w:rsidR="00DF1884" w:rsidRPr="00DF1884">
        <w:t xml:space="preserve"> </w:t>
      </w:r>
      <w:r w:rsidRPr="00DF1884">
        <w:t>rates</w:t>
      </w:r>
      <w:r w:rsidR="00DF1884" w:rsidRPr="00DF1884">
        <w:t xml:space="preserve"> </w:t>
      </w:r>
      <w:r w:rsidRPr="00DF1884">
        <w:t>of</w:t>
      </w:r>
      <w:r w:rsidR="00DF1884" w:rsidRPr="00DF1884">
        <w:t xml:space="preserve"> </w:t>
      </w:r>
      <w:r w:rsidRPr="00DF1884">
        <w:t>hospitalization.</w:t>
      </w:r>
    </w:p>
    <w:p w14:paraId="2E33F4A5" w14:textId="080036A9" w:rsidR="00FB7739" w:rsidRPr="00DF1884" w:rsidRDefault="00FB7739" w:rsidP="0039781B">
      <w:pPr>
        <w:pStyle w:val="Bullet"/>
        <w:rPr>
          <w:rFonts w:cs="Arial"/>
        </w:rPr>
      </w:pPr>
      <w:r w:rsidRPr="00DF1884">
        <w:rPr>
          <w:rFonts w:cs="Arial"/>
          <w:b/>
        </w:rPr>
        <w:t>Congestive</w:t>
      </w:r>
      <w:r w:rsidR="00DF1884" w:rsidRPr="00DF1884">
        <w:rPr>
          <w:rFonts w:cs="Arial"/>
          <w:b/>
        </w:rPr>
        <w:t xml:space="preserve"> </w:t>
      </w:r>
      <w:r w:rsidRPr="00DF1884">
        <w:rPr>
          <w:rFonts w:cs="Arial"/>
          <w:b/>
        </w:rPr>
        <w:t>Heart</w:t>
      </w:r>
      <w:r w:rsidR="00DF1884" w:rsidRPr="00DF1884">
        <w:rPr>
          <w:rFonts w:cs="Arial"/>
          <w:b/>
        </w:rPr>
        <w:t xml:space="preserve"> </w:t>
      </w:r>
      <w:r w:rsidRPr="00DF1884">
        <w:rPr>
          <w:rFonts w:cs="Arial"/>
          <w:b/>
        </w:rPr>
        <w:t>Failure:</w:t>
      </w:r>
      <w:r w:rsidR="00DF1884" w:rsidRPr="00DF1884">
        <w:rPr>
          <w:rFonts w:cs="Arial"/>
        </w:rPr>
        <w:t xml:space="preserve"> </w:t>
      </w:r>
      <w:r w:rsidRPr="00DF1884">
        <w:rPr>
          <w:rFonts w:cs="Arial"/>
        </w:rPr>
        <w:t>Similar</w:t>
      </w:r>
      <w:r w:rsidR="00DF1884" w:rsidRPr="00DF1884">
        <w:rPr>
          <w:rFonts w:cs="Arial"/>
        </w:rPr>
        <w:t xml:space="preserve"> </w:t>
      </w:r>
      <w:r w:rsidRPr="00DF1884">
        <w:rPr>
          <w:rFonts w:cs="Arial"/>
        </w:rPr>
        <w:t>to</w:t>
      </w:r>
      <w:r w:rsidR="00DF1884" w:rsidRPr="00DF1884">
        <w:rPr>
          <w:rFonts w:cs="Arial"/>
        </w:rPr>
        <w:t xml:space="preserve"> </w:t>
      </w:r>
      <w:r w:rsidRPr="00DF1884">
        <w:rPr>
          <w:rFonts w:cs="Arial"/>
        </w:rPr>
        <w:t>the</w:t>
      </w:r>
      <w:r w:rsidR="00DF1884" w:rsidRPr="00DF1884">
        <w:rPr>
          <w:rFonts w:cs="Arial"/>
        </w:rPr>
        <w:t xml:space="preserve"> </w:t>
      </w:r>
      <w:r w:rsidRPr="00DF1884">
        <w:rPr>
          <w:rFonts w:cs="Arial"/>
        </w:rPr>
        <w:t>other</w:t>
      </w:r>
      <w:r w:rsidR="00DF1884" w:rsidRPr="00DF1884">
        <w:rPr>
          <w:rFonts w:cs="Arial"/>
        </w:rPr>
        <w:t xml:space="preserve"> </w:t>
      </w:r>
      <w:r w:rsidRPr="00DF1884">
        <w:rPr>
          <w:rFonts w:cs="Arial"/>
        </w:rPr>
        <w:t>chronic</w:t>
      </w:r>
      <w:r w:rsidR="00DF1884" w:rsidRPr="00DF1884">
        <w:rPr>
          <w:rFonts w:cs="Arial"/>
        </w:rPr>
        <w:t xml:space="preserve"> </w:t>
      </w:r>
      <w:r w:rsidRPr="00DF1884">
        <w:rPr>
          <w:rFonts w:cs="Arial"/>
        </w:rPr>
        <w:t>conditions,</w:t>
      </w:r>
      <w:r w:rsidR="00DF1884" w:rsidRPr="00DF1884">
        <w:rPr>
          <w:rFonts w:cs="Arial"/>
        </w:rPr>
        <w:t xml:space="preserve"> </w:t>
      </w:r>
      <w:r w:rsidRPr="00DF1884">
        <w:rPr>
          <w:rFonts w:cs="Arial"/>
        </w:rPr>
        <w:t>panelists</w:t>
      </w:r>
      <w:r w:rsidR="00DF1884" w:rsidRPr="00DF1884">
        <w:rPr>
          <w:rFonts w:cs="Arial"/>
        </w:rPr>
        <w:t xml:space="preserve"> </w:t>
      </w:r>
      <w:r w:rsidRPr="00DF1884">
        <w:rPr>
          <w:rFonts w:cs="Arial"/>
        </w:rPr>
        <w:t>cited</w:t>
      </w:r>
      <w:r w:rsidR="00DF1884" w:rsidRPr="00DF1884">
        <w:rPr>
          <w:rFonts w:cs="Arial"/>
        </w:rPr>
        <w:t xml:space="preserve"> </w:t>
      </w:r>
      <w:r w:rsidRPr="00DF1884">
        <w:rPr>
          <w:rFonts w:cs="Arial"/>
        </w:rPr>
        <w:t>enhanced</w:t>
      </w:r>
      <w:r w:rsidR="00DF1884" w:rsidRPr="00DF1884">
        <w:rPr>
          <w:rFonts w:cs="Arial"/>
        </w:rPr>
        <w:t xml:space="preserve"> </w:t>
      </w:r>
      <w:r w:rsidRPr="00DF1884">
        <w:rPr>
          <w:rFonts w:cs="Arial"/>
        </w:rPr>
        <w:t>coverage</w:t>
      </w:r>
      <w:r w:rsidR="00DF1884" w:rsidRPr="00DF1884">
        <w:rPr>
          <w:rFonts w:cs="Arial"/>
        </w:rPr>
        <w:t xml:space="preserve"> </w:t>
      </w:r>
      <w:r w:rsidRPr="00DF1884">
        <w:rPr>
          <w:rFonts w:cs="Arial"/>
        </w:rPr>
        <w:t>of</w:t>
      </w:r>
      <w:r w:rsidR="00DF1884" w:rsidRPr="00DF1884">
        <w:rPr>
          <w:rFonts w:cs="Arial"/>
        </w:rPr>
        <w:t xml:space="preserve"> </w:t>
      </w:r>
      <w:r w:rsidRPr="00DF1884">
        <w:rPr>
          <w:rFonts w:cs="Arial"/>
        </w:rPr>
        <w:t>medications,</w:t>
      </w:r>
      <w:r w:rsidR="00DF1884" w:rsidRPr="00DF1884">
        <w:rPr>
          <w:rFonts w:cs="Arial"/>
        </w:rPr>
        <w:t xml:space="preserve"> </w:t>
      </w:r>
      <w:r w:rsidRPr="00DF1884">
        <w:rPr>
          <w:rFonts w:cs="Arial"/>
        </w:rPr>
        <w:t>access</w:t>
      </w:r>
      <w:r w:rsidR="00DF1884" w:rsidRPr="00DF1884">
        <w:rPr>
          <w:rFonts w:cs="Arial"/>
        </w:rPr>
        <w:t xml:space="preserve"> </w:t>
      </w:r>
      <w:r w:rsidRPr="00DF1884">
        <w:rPr>
          <w:rFonts w:cs="Arial"/>
        </w:rPr>
        <w:t>to</w:t>
      </w:r>
      <w:r w:rsidR="00DF1884" w:rsidRPr="00DF1884">
        <w:rPr>
          <w:rFonts w:cs="Arial"/>
        </w:rPr>
        <w:t xml:space="preserve"> </w:t>
      </w:r>
      <w:r w:rsidRPr="00DF1884">
        <w:rPr>
          <w:rFonts w:cs="Arial"/>
        </w:rPr>
        <w:t>primary</w:t>
      </w:r>
      <w:r w:rsidR="00DF1884" w:rsidRPr="00DF1884">
        <w:rPr>
          <w:rFonts w:cs="Arial"/>
        </w:rPr>
        <w:t xml:space="preserve"> </w:t>
      </w:r>
      <w:r w:rsidRPr="00DF1884">
        <w:rPr>
          <w:rFonts w:cs="Arial"/>
        </w:rPr>
        <w:t>care</w:t>
      </w:r>
      <w:r w:rsidR="00DF1884" w:rsidRPr="00DF1884">
        <w:rPr>
          <w:rFonts w:cs="Arial"/>
        </w:rPr>
        <w:t xml:space="preserve"> </w:t>
      </w:r>
      <w:r w:rsidRPr="00DF1884">
        <w:rPr>
          <w:rFonts w:cs="Arial"/>
        </w:rPr>
        <w:t>and</w:t>
      </w:r>
      <w:r w:rsidR="00DF1884" w:rsidRPr="00DF1884">
        <w:rPr>
          <w:rFonts w:cs="Arial"/>
        </w:rPr>
        <w:t xml:space="preserve"> </w:t>
      </w:r>
      <w:r w:rsidRPr="00DF1884">
        <w:rPr>
          <w:rFonts w:cs="Arial"/>
        </w:rPr>
        <w:t>patient</w:t>
      </w:r>
      <w:r w:rsidR="00DF1884" w:rsidRPr="00DF1884">
        <w:rPr>
          <w:rFonts w:cs="Arial"/>
        </w:rPr>
        <w:t xml:space="preserve"> </w:t>
      </w:r>
      <w:r w:rsidRPr="00DF1884">
        <w:rPr>
          <w:rFonts w:cs="Arial"/>
        </w:rPr>
        <w:t>education</w:t>
      </w:r>
      <w:r w:rsidR="00DF1884" w:rsidRPr="00DF1884">
        <w:rPr>
          <w:rFonts w:cs="Arial"/>
        </w:rPr>
        <w:t xml:space="preserve"> </w:t>
      </w:r>
      <w:r w:rsidRPr="00DF1884">
        <w:rPr>
          <w:rFonts w:cs="Arial"/>
        </w:rPr>
        <w:t>as</w:t>
      </w:r>
      <w:r w:rsidR="00DF1884" w:rsidRPr="00DF1884">
        <w:rPr>
          <w:rFonts w:cs="Arial"/>
        </w:rPr>
        <w:t xml:space="preserve"> </w:t>
      </w:r>
      <w:r w:rsidRPr="00DF1884">
        <w:rPr>
          <w:rFonts w:cs="Arial"/>
        </w:rPr>
        <w:t>the</w:t>
      </w:r>
      <w:r w:rsidR="00DF1884" w:rsidRPr="00DF1884">
        <w:rPr>
          <w:rFonts w:cs="Arial"/>
        </w:rPr>
        <w:t xml:space="preserve"> </w:t>
      </w:r>
      <w:r w:rsidRPr="00DF1884">
        <w:rPr>
          <w:rFonts w:cs="Arial"/>
        </w:rPr>
        <w:t>main</w:t>
      </w:r>
      <w:r w:rsidR="00DF1884" w:rsidRPr="00DF1884">
        <w:rPr>
          <w:rFonts w:cs="Arial"/>
        </w:rPr>
        <w:t xml:space="preserve"> </w:t>
      </w:r>
      <w:r w:rsidRPr="00DF1884">
        <w:rPr>
          <w:rFonts w:cs="Arial"/>
        </w:rPr>
        <w:t>mechanisms</w:t>
      </w:r>
      <w:r w:rsidR="00DF1884" w:rsidRPr="00DF1884">
        <w:rPr>
          <w:rFonts w:cs="Arial"/>
        </w:rPr>
        <w:t xml:space="preserve"> </w:t>
      </w:r>
      <w:r w:rsidR="00CA0676" w:rsidRPr="00DF1884">
        <w:rPr>
          <w:rFonts w:cs="Arial"/>
        </w:rPr>
        <w:t>for</w:t>
      </w:r>
      <w:r w:rsidR="00DF1884" w:rsidRPr="00DF1884">
        <w:rPr>
          <w:rFonts w:cs="Arial"/>
        </w:rPr>
        <w:t xml:space="preserve"> </w:t>
      </w:r>
      <w:r w:rsidR="00CA0676" w:rsidRPr="00DF1884">
        <w:rPr>
          <w:rFonts w:cs="Arial"/>
        </w:rPr>
        <w:t>plans</w:t>
      </w:r>
      <w:r w:rsidR="00DF1884" w:rsidRPr="00DF1884">
        <w:rPr>
          <w:rFonts w:cs="Arial"/>
        </w:rPr>
        <w:t xml:space="preserve"> </w:t>
      </w:r>
      <w:r w:rsidR="00CA0676" w:rsidRPr="00DF1884">
        <w:rPr>
          <w:rFonts w:cs="Arial"/>
        </w:rPr>
        <w:t>to</w:t>
      </w:r>
      <w:r w:rsidR="00DF1884" w:rsidRPr="00DF1884">
        <w:rPr>
          <w:rFonts w:cs="Arial"/>
        </w:rPr>
        <w:t xml:space="preserve"> </w:t>
      </w:r>
      <w:r w:rsidR="00CA0676" w:rsidRPr="00DF1884">
        <w:rPr>
          <w:rFonts w:cs="Arial"/>
        </w:rPr>
        <w:t>use</w:t>
      </w:r>
      <w:r w:rsidR="00DF1884" w:rsidRPr="00DF1884">
        <w:rPr>
          <w:rFonts w:cs="Arial"/>
        </w:rPr>
        <w:t xml:space="preserve"> </w:t>
      </w:r>
      <w:r w:rsidR="00CA0676" w:rsidRPr="00DF1884">
        <w:rPr>
          <w:rFonts w:cs="Arial"/>
        </w:rPr>
        <w:t>to</w:t>
      </w:r>
      <w:r w:rsidR="00DF1884" w:rsidRPr="00DF1884">
        <w:rPr>
          <w:rFonts w:cs="Arial"/>
        </w:rPr>
        <w:t xml:space="preserve"> </w:t>
      </w:r>
      <w:r w:rsidRPr="00DF1884">
        <w:rPr>
          <w:rFonts w:cs="Arial"/>
        </w:rPr>
        <w:t>mitigate</w:t>
      </w:r>
      <w:r w:rsidR="00DF1884" w:rsidRPr="00DF1884">
        <w:rPr>
          <w:rFonts w:cs="Arial"/>
        </w:rPr>
        <w:t xml:space="preserve"> </w:t>
      </w:r>
      <w:r w:rsidRPr="00DF1884">
        <w:rPr>
          <w:rFonts w:cs="Arial"/>
        </w:rPr>
        <w:t>hospitalization</w:t>
      </w:r>
      <w:r w:rsidR="00DF1884" w:rsidRPr="00DF1884">
        <w:rPr>
          <w:rFonts w:cs="Arial"/>
        </w:rPr>
        <w:t xml:space="preserve"> </w:t>
      </w:r>
      <w:r w:rsidRPr="00DF1884">
        <w:rPr>
          <w:rFonts w:cs="Arial"/>
        </w:rPr>
        <w:t>for</w:t>
      </w:r>
      <w:r w:rsidR="00DF1884" w:rsidRPr="00DF1884">
        <w:rPr>
          <w:rFonts w:cs="Arial"/>
        </w:rPr>
        <w:t xml:space="preserve"> </w:t>
      </w:r>
      <w:r w:rsidRPr="00DF1884">
        <w:rPr>
          <w:rFonts w:cs="Arial"/>
        </w:rPr>
        <w:t>CHF.</w:t>
      </w:r>
      <w:r w:rsidR="00DF1884" w:rsidRPr="00DF1884">
        <w:rPr>
          <w:rFonts w:cs="Arial"/>
        </w:rPr>
        <w:t xml:space="preserve"> </w:t>
      </w:r>
      <w:r w:rsidRPr="00DF1884">
        <w:rPr>
          <w:rFonts w:cs="Arial"/>
        </w:rPr>
        <w:t>They</w:t>
      </w:r>
      <w:r w:rsidR="00DF1884" w:rsidRPr="00DF1884">
        <w:rPr>
          <w:rFonts w:cs="Arial"/>
        </w:rPr>
        <w:t xml:space="preserve"> </w:t>
      </w:r>
      <w:r w:rsidRPr="00DF1884">
        <w:rPr>
          <w:rFonts w:cs="Arial"/>
        </w:rPr>
        <w:t>also</w:t>
      </w:r>
      <w:r w:rsidR="00DF1884" w:rsidRPr="00DF1884">
        <w:rPr>
          <w:rFonts w:cs="Arial"/>
        </w:rPr>
        <w:t xml:space="preserve"> </w:t>
      </w:r>
      <w:r w:rsidRPr="00DF1884">
        <w:rPr>
          <w:rFonts w:cs="Arial"/>
        </w:rPr>
        <w:t>suggested</w:t>
      </w:r>
      <w:r w:rsidR="00DF1884" w:rsidRPr="00DF1884">
        <w:rPr>
          <w:rFonts w:cs="Arial"/>
        </w:rPr>
        <w:t xml:space="preserve"> </w:t>
      </w:r>
      <w:r w:rsidRPr="00DF1884">
        <w:rPr>
          <w:rFonts w:cs="Arial"/>
        </w:rPr>
        <w:t>outreach</w:t>
      </w:r>
      <w:r w:rsidR="00DF1884" w:rsidRPr="00DF1884">
        <w:rPr>
          <w:rFonts w:cs="Arial"/>
        </w:rPr>
        <w:t xml:space="preserve"> </w:t>
      </w:r>
      <w:r w:rsidRPr="00DF1884">
        <w:rPr>
          <w:rFonts w:cs="Arial"/>
        </w:rPr>
        <w:t>to</w:t>
      </w:r>
      <w:r w:rsidR="00DF1884" w:rsidRPr="00DF1884">
        <w:rPr>
          <w:rFonts w:cs="Arial"/>
        </w:rPr>
        <w:t xml:space="preserve"> </w:t>
      </w:r>
      <w:r w:rsidRPr="00DF1884">
        <w:rPr>
          <w:rFonts w:cs="Arial"/>
        </w:rPr>
        <w:t>at-risk</w:t>
      </w:r>
      <w:r w:rsidR="00DF1884" w:rsidRPr="00DF1884">
        <w:rPr>
          <w:rFonts w:cs="Arial"/>
        </w:rPr>
        <w:t xml:space="preserve"> </w:t>
      </w:r>
      <w:r w:rsidRPr="00DF1884">
        <w:rPr>
          <w:rFonts w:cs="Arial"/>
        </w:rPr>
        <w:t>patients</w:t>
      </w:r>
      <w:r w:rsidR="00DF1884" w:rsidRPr="00DF1884">
        <w:rPr>
          <w:rFonts w:cs="Arial"/>
        </w:rPr>
        <w:t xml:space="preserve"> </w:t>
      </w:r>
      <w:r w:rsidRPr="00DF1884">
        <w:rPr>
          <w:rFonts w:cs="Arial"/>
        </w:rPr>
        <w:t>through</w:t>
      </w:r>
      <w:r w:rsidR="00DF1884" w:rsidRPr="00DF1884">
        <w:rPr>
          <w:rFonts w:cs="Arial"/>
        </w:rPr>
        <w:t xml:space="preserve"> </w:t>
      </w:r>
      <w:r w:rsidRPr="00DF1884">
        <w:rPr>
          <w:rFonts w:cs="Arial"/>
        </w:rPr>
        <w:t>teleconferencing</w:t>
      </w:r>
      <w:r w:rsidR="00DF1884" w:rsidRPr="00DF1884">
        <w:rPr>
          <w:rFonts w:cs="Arial"/>
        </w:rPr>
        <w:t xml:space="preserve"> </w:t>
      </w:r>
      <w:r w:rsidRPr="00DF1884">
        <w:rPr>
          <w:rFonts w:cs="Arial"/>
        </w:rPr>
        <w:t>and</w:t>
      </w:r>
      <w:r w:rsidR="00DF1884" w:rsidRPr="00DF1884">
        <w:rPr>
          <w:rFonts w:cs="Arial"/>
        </w:rPr>
        <w:t xml:space="preserve"> </w:t>
      </w:r>
      <w:r w:rsidRPr="00DF1884">
        <w:rPr>
          <w:rFonts w:cs="Arial"/>
        </w:rPr>
        <w:t>home</w:t>
      </w:r>
      <w:r w:rsidR="00DF1884" w:rsidRPr="00DF1884">
        <w:rPr>
          <w:rFonts w:cs="Arial"/>
        </w:rPr>
        <w:t xml:space="preserve"> </w:t>
      </w:r>
      <w:r w:rsidRPr="00DF1884">
        <w:rPr>
          <w:rFonts w:cs="Arial"/>
        </w:rPr>
        <w:t>visits</w:t>
      </w:r>
      <w:r w:rsidR="00DF1884" w:rsidRPr="00DF1884">
        <w:rPr>
          <w:rFonts w:cs="Arial"/>
        </w:rPr>
        <w:t xml:space="preserve"> </w:t>
      </w:r>
      <w:r w:rsidRPr="00DF1884">
        <w:rPr>
          <w:rFonts w:cs="Arial"/>
        </w:rPr>
        <w:t>had</w:t>
      </w:r>
      <w:r w:rsidR="00DF1884" w:rsidRPr="00DF1884">
        <w:rPr>
          <w:rFonts w:cs="Arial"/>
        </w:rPr>
        <w:t xml:space="preserve"> </w:t>
      </w:r>
      <w:r w:rsidRPr="00DF1884">
        <w:rPr>
          <w:rFonts w:cs="Arial"/>
        </w:rPr>
        <w:t>the</w:t>
      </w:r>
      <w:r w:rsidR="00DF1884" w:rsidRPr="00DF1884">
        <w:rPr>
          <w:rFonts w:cs="Arial"/>
        </w:rPr>
        <w:t xml:space="preserve"> </w:t>
      </w:r>
      <w:r w:rsidRPr="00DF1884">
        <w:rPr>
          <w:rFonts w:cs="Arial"/>
        </w:rPr>
        <w:t>potential</w:t>
      </w:r>
      <w:r w:rsidR="00DF1884" w:rsidRPr="00DF1884">
        <w:rPr>
          <w:rFonts w:cs="Arial"/>
        </w:rPr>
        <w:t xml:space="preserve"> </w:t>
      </w:r>
      <w:r w:rsidRPr="00DF1884">
        <w:rPr>
          <w:rFonts w:cs="Arial"/>
        </w:rPr>
        <w:t>to</w:t>
      </w:r>
      <w:r w:rsidR="00DF1884" w:rsidRPr="00DF1884">
        <w:rPr>
          <w:rFonts w:cs="Arial"/>
        </w:rPr>
        <w:t xml:space="preserve"> </w:t>
      </w:r>
      <w:r w:rsidRPr="00DF1884">
        <w:rPr>
          <w:rFonts w:cs="Arial"/>
        </w:rPr>
        <w:t>significantly</w:t>
      </w:r>
      <w:r w:rsidR="00DF1884" w:rsidRPr="00DF1884">
        <w:rPr>
          <w:rFonts w:cs="Arial"/>
        </w:rPr>
        <w:t xml:space="preserve"> </w:t>
      </w:r>
      <w:r w:rsidRPr="00DF1884">
        <w:rPr>
          <w:rFonts w:cs="Arial"/>
        </w:rPr>
        <w:t>reduce</w:t>
      </w:r>
      <w:r w:rsidR="00DF1884" w:rsidRPr="00DF1884">
        <w:rPr>
          <w:rFonts w:cs="Arial"/>
        </w:rPr>
        <w:t xml:space="preserve"> </w:t>
      </w:r>
      <w:r w:rsidRPr="00DF1884">
        <w:rPr>
          <w:rFonts w:cs="Arial"/>
        </w:rPr>
        <w:t>hospitalization.</w:t>
      </w:r>
    </w:p>
    <w:p w14:paraId="1A3D2414" w14:textId="278D57AE" w:rsidR="00FB7739" w:rsidRPr="00DF1884" w:rsidRDefault="00FB7739" w:rsidP="0039781B">
      <w:pPr>
        <w:pStyle w:val="Bullet"/>
      </w:pPr>
      <w:r w:rsidRPr="00DF1884">
        <w:rPr>
          <w:b/>
        </w:rPr>
        <w:t>Dehydration:</w:t>
      </w:r>
      <w:r w:rsidR="00DF1884" w:rsidRPr="00DF1884">
        <w:t xml:space="preserve"> </w:t>
      </w:r>
      <w:r w:rsidRPr="00DF1884">
        <w:t>In</w:t>
      </w:r>
      <w:r w:rsidR="00DF1884" w:rsidRPr="00DF1884">
        <w:t xml:space="preserve"> </w:t>
      </w:r>
      <w:r w:rsidRPr="00DF1884">
        <w:t>general</w:t>
      </w:r>
      <w:r w:rsidR="00DF1884" w:rsidRPr="00DF1884">
        <w:t xml:space="preserve"> </w:t>
      </w:r>
      <w:r w:rsidRPr="00DF1884">
        <w:t>panelists</w:t>
      </w:r>
      <w:r w:rsidR="00DF1884" w:rsidRPr="00DF1884">
        <w:t xml:space="preserve"> </w:t>
      </w:r>
      <w:r w:rsidRPr="00DF1884">
        <w:t>expressed</w:t>
      </w:r>
      <w:r w:rsidR="00DF1884" w:rsidRPr="00DF1884">
        <w:t xml:space="preserve"> </w:t>
      </w:r>
      <w:r w:rsidRPr="00DF1884">
        <w:t>concern</w:t>
      </w:r>
      <w:r w:rsidR="00DF1884" w:rsidRPr="00DF1884">
        <w:t xml:space="preserve"> </w:t>
      </w:r>
      <w:r w:rsidRPr="00DF1884">
        <w:t>about</w:t>
      </w:r>
      <w:r w:rsidR="00DF1884" w:rsidRPr="00DF1884">
        <w:t xml:space="preserve"> </w:t>
      </w:r>
      <w:r w:rsidRPr="00DF1884">
        <w:t>the</w:t>
      </w:r>
      <w:r w:rsidR="00DF1884" w:rsidRPr="00DF1884">
        <w:t xml:space="preserve"> </w:t>
      </w:r>
      <w:r w:rsidRPr="00DF1884">
        <w:t>state</w:t>
      </w:r>
      <w:r w:rsidR="00DF1884" w:rsidRPr="00DF1884">
        <w:t xml:space="preserve"> </w:t>
      </w:r>
      <w:r w:rsidRPr="00DF1884">
        <w:t>of</w:t>
      </w:r>
      <w:r w:rsidR="00DF1884" w:rsidRPr="00DF1884">
        <w:t xml:space="preserve"> </w:t>
      </w:r>
      <w:r w:rsidRPr="00DF1884">
        <w:t>evidence</w:t>
      </w:r>
      <w:r w:rsidR="00DF1884" w:rsidRPr="00DF1884">
        <w:t xml:space="preserve"> </w:t>
      </w:r>
      <w:r w:rsidRPr="00DF1884">
        <w:t>linking</w:t>
      </w:r>
      <w:r w:rsidR="00DF1884" w:rsidRPr="00DF1884">
        <w:t xml:space="preserve"> </w:t>
      </w:r>
      <w:r w:rsidR="008117C8" w:rsidRPr="00DF1884">
        <w:t>payer</w:t>
      </w:r>
      <w:r w:rsidR="00DF1884" w:rsidRPr="00DF1884">
        <w:t xml:space="preserve"> </w:t>
      </w:r>
      <w:r w:rsidRPr="00DF1884">
        <w:t>and</w:t>
      </w:r>
      <w:r w:rsidR="00DF1884" w:rsidRPr="00DF1884">
        <w:t xml:space="preserve"> </w:t>
      </w:r>
      <w:r w:rsidRPr="00DF1884">
        <w:t>provider</w:t>
      </w:r>
      <w:r w:rsidR="00DF1884" w:rsidRPr="00DF1884">
        <w:t xml:space="preserve"> </w:t>
      </w:r>
      <w:r w:rsidRPr="00DF1884">
        <w:t>organization</w:t>
      </w:r>
      <w:r w:rsidR="00DF1884" w:rsidRPr="00DF1884">
        <w:t xml:space="preserve"> </w:t>
      </w:r>
      <w:r w:rsidRPr="00DF1884">
        <w:t>intervention</w:t>
      </w:r>
      <w:r w:rsidR="00DF1884" w:rsidRPr="00DF1884">
        <w:t xml:space="preserve"> </w:t>
      </w:r>
      <w:r w:rsidRPr="00DF1884">
        <w:t>to</w:t>
      </w:r>
      <w:r w:rsidR="00DF1884" w:rsidRPr="00DF1884">
        <w:t xml:space="preserve"> </w:t>
      </w:r>
      <w:r w:rsidRPr="00DF1884">
        <w:t>reduction</w:t>
      </w:r>
      <w:r w:rsidR="00DF1884" w:rsidRPr="00DF1884">
        <w:t xml:space="preserve"> </w:t>
      </w:r>
      <w:r w:rsidRPr="00DF1884">
        <w:t>of</w:t>
      </w:r>
      <w:r w:rsidR="00DF1884" w:rsidRPr="00DF1884">
        <w:t xml:space="preserve"> </w:t>
      </w:r>
      <w:r w:rsidRPr="00DF1884">
        <w:t>admission</w:t>
      </w:r>
      <w:r w:rsidR="00DF1884" w:rsidRPr="00DF1884">
        <w:t xml:space="preserve"> </w:t>
      </w:r>
      <w:r w:rsidRPr="00DF1884">
        <w:t>for</w:t>
      </w:r>
      <w:r w:rsidR="00DF1884" w:rsidRPr="00DF1884">
        <w:t xml:space="preserve"> </w:t>
      </w:r>
      <w:r w:rsidRPr="00DF1884">
        <w:t>dehydration.</w:t>
      </w:r>
      <w:r w:rsidR="00DF1884" w:rsidRPr="00DF1884">
        <w:t xml:space="preserve"> </w:t>
      </w:r>
      <w:r w:rsidRPr="00DF1884">
        <w:t>They</w:t>
      </w:r>
      <w:r w:rsidR="00DF1884" w:rsidRPr="00DF1884">
        <w:t xml:space="preserve"> </w:t>
      </w:r>
      <w:r w:rsidRPr="00DF1884">
        <w:t>cited</w:t>
      </w:r>
      <w:r w:rsidR="00DF1884" w:rsidRPr="00DF1884">
        <w:t xml:space="preserve"> </w:t>
      </w:r>
      <w:r w:rsidRPr="00DF1884">
        <w:t>that</w:t>
      </w:r>
      <w:r w:rsidR="00DF1884" w:rsidRPr="00DF1884">
        <w:t xml:space="preserve"> </w:t>
      </w:r>
      <w:r w:rsidRPr="00DF1884">
        <w:t>many</w:t>
      </w:r>
      <w:r w:rsidR="00DF1884" w:rsidRPr="00DF1884">
        <w:t xml:space="preserve"> </w:t>
      </w:r>
      <w:r w:rsidRPr="00DF1884">
        <w:t>older</w:t>
      </w:r>
      <w:r w:rsidR="00DF1884" w:rsidRPr="00DF1884">
        <w:t xml:space="preserve"> </w:t>
      </w:r>
      <w:r w:rsidRPr="00DF1884">
        <w:t>adults</w:t>
      </w:r>
      <w:r w:rsidR="00DF1884" w:rsidRPr="00DF1884">
        <w:t xml:space="preserve"> </w:t>
      </w:r>
      <w:r w:rsidRPr="00DF1884">
        <w:t>do</w:t>
      </w:r>
      <w:r w:rsidR="00DF1884" w:rsidRPr="00DF1884">
        <w:t xml:space="preserve"> </w:t>
      </w:r>
      <w:r w:rsidRPr="00DF1884">
        <w:t>not</w:t>
      </w:r>
      <w:r w:rsidR="00DF1884" w:rsidRPr="00DF1884">
        <w:t xml:space="preserve"> </w:t>
      </w:r>
      <w:r w:rsidRPr="00DF1884">
        <w:t>present</w:t>
      </w:r>
      <w:r w:rsidR="00DF1884" w:rsidRPr="00DF1884">
        <w:t xml:space="preserve"> </w:t>
      </w:r>
      <w:r w:rsidRPr="00DF1884">
        <w:t>in</w:t>
      </w:r>
      <w:r w:rsidR="00DF1884" w:rsidRPr="00DF1884">
        <w:t xml:space="preserve"> </w:t>
      </w:r>
      <w:r w:rsidRPr="00DF1884">
        <w:t>a</w:t>
      </w:r>
      <w:r w:rsidR="00DF1884" w:rsidRPr="00DF1884">
        <w:t xml:space="preserve"> </w:t>
      </w:r>
      <w:r w:rsidRPr="00DF1884">
        <w:t>timely</w:t>
      </w:r>
      <w:r w:rsidR="00DF1884" w:rsidRPr="00DF1884">
        <w:t xml:space="preserve"> </w:t>
      </w:r>
      <w:r w:rsidRPr="00DF1884">
        <w:t>manner</w:t>
      </w:r>
      <w:r w:rsidR="00DF1884" w:rsidRPr="00DF1884">
        <w:t xml:space="preserve"> </w:t>
      </w:r>
      <w:r w:rsidRPr="00DF1884">
        <w:t>to</w:t>
      </w:r>
      <w:r w:rsidR="00DF1884" w:rsidRPr="00DF1884">
        <w:t xml:space="preserve"> </w:t>
      </w:r>
      <w:r w:rsidRPr="00DF1884">
        <w:t>the</w:t>
      </w:r>
      <w:r w:rsidR="00DF1884" w:rsidRPr="00DF1884">
        <w:t xml:space="preserve"> </w:t>
      </w:r>
      <w:r w:rsidRPr="00DF1884">
        <w:t>outpatient</w:t>
      </w:r>
      <w:r w:rsidR="00DF1884" w:rsidRPr="00DF1884">
        <w:t xml:space="preserve"> </w:t>
      </w:r>
      <w:r w:rsidRPr="00DF1884">
        <w:t>setting</w:t>
      </w:r>
      <w:r w:rsidR="00DF1884" w:rsidRPr="00DF1884">
        <w:t xml:space="preserve"> </w:t>
      </w:r>
      <w:r w:rsidRPr="00DF1884">
        <w:t>and</w:t>
      </w:r>
      <w:r w:rsidR="00DF1884" w:rsidRPr="00DF1884">
        <w:t xml:space="preserve"> </w:t>
      </w:r>
      <w:r w:rsidRPr="00DF1884">
        <w:t>patients</w:t>
      </w:r>
      <w:r w:rsidR="00DF1884" w:rsidRPr="00DF1884">
        <w:t xml:space="preserve"> </w:t>
      </w:r>
      <w:r w:rsidRPr="00DF1884">
        <w:t>are</w:t>
      </w:r>
      <w:r w:rsidR="00DF1884" w:rsidRPr="00DF1884">
        <w:t xml:space="preserve"> </w:t>
      </w:r>
      <w:r w:rsidRPr="00DF1884">
        <w:t>rarely</w:t>
      </w:r>
      <w:r w:rsidR="00DF1884" w:rsidRPr="00DF1884">
        <w:t xml:space="preserve"> </w:t>
      </w:r>
      <w:r w:rsidRPr="00DF1884">
        <w:t>sent</w:t>
      </w:r>
      <w:r w:rsidR="00DF1884" w:rsidRPr="00DF1884">
        <w:t xml:space="preserve"> </w:t>
      </w:r>
      <w:r w:rsidRPr="00DF1884">
        <w:t>home</w:t>
      </w:r>
      <w:r w:rsidR="00DF1884" w:rsidRPr="00DF1884">
        <w:t xml:space="preserve"> </w:t>
      </w:r>
      <w:r w:rsidRPr="00DF1884">
        <w:t>from</w:t>
      </w:r>
      <w:r w:rsidR="00DF1884" w:rsidRPr="00DF1884">
        <w:t xml:space="preserve"> </w:t>
      </w:r>
      <w:r w:rsidRPr="00DF1884">
        <w:t>ambulatory</w:t>
      </w:r>
      <w:r w:rsidR="00DF1884" w:rsidRPr="00DF1884">
        <w:t xml:space="preserve"> </w:t>
      </w:r>
      <w:r w:rsidRPr="00DF1884">
        <w:t>care</w:t>
      </w:r>
      <w:r w:rsidR="00DF1884" w:rsidRPr="00DF1884">
        <w:t xml:space="preserve"> </w:t>
      </w:r>
      <w:r w:rsidRPr="00DF1884">
        <w:t>with</w:t>
      </w:r>
      <w:r w:rsidR="00DF1884" w:rsidRPr="00DF1884">
        <w:t xml:space="preserve"> </w:t>
      </w:r>
      <w:r w:rsidRPr="00DF1884">
        <w:t>hypovolemia.</w:t>
      </w:r>
      <w:r w:rsidR="00DF1884" w:rsidRPr="00DF1884">
        <w:rPr>
          <w:i/>
        </w:rPr>
        <w:t xml:space="preserve"> </w:t>
      </w:r>
    </w:p>
    <w:p w14:paraId="369DC757" w14:textId="57DC45D2" w:rsidR="00FB7739" w:rsidRPr="00DF1884" w:rsidRDefault="00FB7739" w:rsidP="0039781B">
      <w:pPr>
        <w:pStyle w:val="Bullet"/>
        <w:rPr>
          <w:rFonts w:eastAsiaTheme="minorHAnsi"/>
        </w:rPr>
      </w:pPr>
      <w:r w:rsidRPr="00DF1884">
        <w:rPr>
          <w:b/>
        </w:rPr>
        <w:t>Bacterial</w:t>
      </w:r>
      <w:r w:rsidR="00DF1884" w:rsidRPr="00DF1884">
        <w:rPr>
          <w:b/>
        </w:rPr>
        <w:t xml:space="preserve"> </w:t>
      </w:r>
      <w:r w:rsidRPr="00DF1884">
        <w:rPr>
          <w:b/>
        </w:rPr>
        <w:t>Pneumonia:</w:t>
      </w:r>
      <w:r w:rsidR="00DF1884" w:rsidRPr="00DF1884">
        <w:t xml:space="preserve"> </w:t>
      </w:r>
      <w:r w:rsidRPr="00DF1884">
        <w:t>Panelists</w:t>
      </w:r>
      <w:r w:rsidR="00DF1884" w:rsidRPr="00DF1884">
        <w:t xml:space="preserve"> </w:t>
      </w:r>
      <w:r w:rsidRPr="00DF1884">
        <w:t>agreed</w:t>
      </w:r>
      <w:r w:rsidR="00DF1884" w:rsidRPr="00DF1884">
        <w:t xml:space="preserve"> </w:t>
      </w:r>
      <w:r w:rsidRPr="00DF1884">
        <w:t>that</w:t>
      </w:r>
      <w:r w:rsidR="00DF1884" w:rsidRPr="00DF1884">
        <w:t xml:space="preserve"> </w:t>
      </w:r>
      <w:r w:rsidR="008117C8" w:rsidRPr="00DF1884">
        <w:t>payer</w:t>
      </w:r>
      <w:r w:rsidRPr="00DF1884">
        <w:t>s</w:t>
      </w:r>
      <w:r w:rsidR="00DF1884" w:rsidRPr="00DF1884">
        <w:t xml:space="preserve"> </w:t>
      </w:r>
      <w:r w:rsidRPr="00DF1884">
        <w:t>could</w:t>
      </w:r>
      <w:r w:rsidR="00DF1884" w:rsidRPr="00DF1884">
        <w:t xml:space="preserve"> </w:t>
      </w:r>
      <w:r w:rsidRPr="00DF1884">
        <w:t>influence</w:t>
      </w:r>
      <w:r w:rsidR="00DF1884" w:rsidRPr="00DF1884">
        <w:t xml:space="preserve"> </w:t>
      </w:r>
      <w:r w:rsidRPr="00DF1884">
        <w:t>hospitalization</w:t>
      </w:r>
      <w:r w:rsidR="00DF1884" w:rsidRPr="00DF1884">
        <w:t xml:space="preserve"> </w:t>
      </w:r>
      <w:r w:rsidRPr="00DF1884">
        <w:t>for</w:t>
      </w:r>
      <w:r w:rsidR="00DF1884" w:rsidRPr="00DF1884">
        <w:t xml:space="preserve"> </w:t>
      </w:r>
      <w:r w:rsidRPr="00DF1884">
        <w:t>bacterial</w:t>
      </w:r>
      <w:r w:rsidR="00DF1884" w:rsidRPr="00DF1884">
        <w:t xml:space="preserve"> </w:t>
      </w:r>
      <w:r w:rsidRPr="00DF1884">
        <w:t>pneumonia</w:t>
      </w:r>
      <w:r w:rsidR="00DF1884" w:rsidRPr="00DF1884">
        <w:t xml:space="preserve"> </w:t>
      </w:r>
      <w:r w:rsidRPr="00DF1884">
        <w:t>by</w:t>
      </w:r>
      <w:r w:rsidR="00DF1884" w:rsidRPr="00DF1884">
        <w:t xml:space="preserve"> </w:t>
      </w:r>
      <w:r w:rsidRPr="00DF1884">
        <w:rPr>
          <w:rFonts w:eastAsiaTheme="minorHAnsi"/>
        </w:rPr>
        <w:t>ensuring</w:t>
      </w:r>
      <w:r w:rsidR="00DF1884" w:rsidRPr="00DF1884">
        <w:rPr>
          <w:rFonts w:eastAsiaTheme="minorHAnsi"/>
        </w:rPr>
        <w:t xml:space="preserve"> </w:t>
      </w:r>
      <w:r w:rsidRPr="00DF1884">
        <w:rPr>
          <w:rFonts w:eastAsiaTheme="minorHAnsi"/>
        </w:rPr>
        <w:t>access</w:t>
      </w:r>
      <w:r w:rsidR="00DF1884" w:rsidRPr="00DF1884">
        <w:rPr>
          <w:rFonts w:eastAsiaTheme="minorHAnsi"/>
        </w:rPr>
        <w:t xml:space="preserve"> </w:t>
      </w:r>
      <w:r w:rsidRPr="00DF1884">
        <w:rPr>
          <w:rFonts w:eastAsiaTheme="minorHAnsi"/>
        </w:rPr>
        <w:t>to</w:t>
      </w:r>
      <w:r w:rsidR="00DF1884" w:rsidRPr="00DF1884">
        <w:rPr>
          <w:rFonts w:eastAsiaTheme="minorHAnsi"/>
        </w:rPr>
        <w:t xml:space="preserve"> </w:t>
      </w:r>
      <w:r w:rsidRPr="00DF1884">
        <w:rPr>
          <w:rFonts w:eastAsiaTheme="minorHAnsi"/>
        </w:rPr>
        <w:t>immunizations</w:t>
      </w:r>
      <w:r w:rsidR="00DF1884" w:rsidRPr="00DF1884">
        <w:rPr>
          <w:rFonts w:eastAsiaTheme="minorHAnsi"/>
        </w:rPr>
        <w:t xml:space="preserve"> </w:t>
      </w:r>
      <w:r w:rsidRPr="00DF1884">
        <w:rPr>
          <w:rFonts w:eastAsiaTheme="minorHAnsi"/>
        </w:rPr>
        <w:t>and</w:t>
      </w:r>
      <w:r w:rsidR="00DF1884" w:rsidRPr="00DF1884">
        <w:rPr>
          <w:rFonts w:eastAsiaTheme="minorHAnsi"/>
        </w:rPr>
        <w:t xml:space="preserve"> </w:t>
      </w:r>
      <w:r w:rsidRPr="00DF1884">
        <w:rPr>
          <w:rFonts w:eastAsiaTheme="minorHAnsi"/>
        </w:rPr>
        <w:t>antibiotics</w:t>
      </w:r>
      <w:r w:rsidR="00CA0676" w:rsidRPr="00DF1884">
        <w:rPr>
          <w:rFonts w:eastAsiaTheme="minorHAnsi"/>
        </w:rPr>
        <w:t>,</w:t>
      </w:r>
      <w:r w:rsidR="00DF1884" w:rsidRPr="00DF1884">
        <w:rPr>
          <w:rFonts w:eastAsiaTheme="minorHAnsi"/>
        </w:rPr>
        <w:t xml:space="preserve"> </w:t>
      </w:r>
      <w:r w:rsidR="00CA0676" w:rsidRPr="00DF1884">
        <w:rPr>
          <w:rFonts w:eastAsiaTheme="minorHAnsi"/>
        </w:rPr>
        <w:t>although</w:t>
      </w:r>
      <w:r w:rsidR="00DF1884" w:rsidRPr="00DF1884">
        <w:rPr>
          <w:rFonts w:eastAsiaTheme="minorHAnsi"/>
        </w:rPr>
        <w:t xml:space="preserve"> </w:t>
      </w:r>
      <w:r w:rsidR="00CA0676" w:rsidRPr="00DF1884">
        <w:rPr>
          <w:rFonts w:eastAsiaTheme="minorHAnsi"/>
        </w:rPr>
        <w:t>they</w:t>
      </w:r>
      <w:r w:rsidR="00DF1884" w:rsidRPr="00DF1884">
        <w:rPr>
          <w:rFonts w:eastAsiaTheme="minorHAnsi"/>
        </w:rPr>
        <w:t xml:space="preserve"> </w:t>
      </w:r>
      <w:r w:rsidR="00CA0676" w:rsidRPr="00DF1884">
        <w:rPr>
          <w:rFonts w:eastAsiaTheme="minorHAnsi"/>
        </w:rPr>
        <w:t>were</w:t>
      </w:r>
      <w:r w:rsidR="00DF1884" w:rsidRPr="00DF1884">
        <w:rPr>
          <w:rFonts w:eastAsiaTheme="minorHAnsi"/>
        </w:rPr>
        <w:t xml:space="preserve"> </w:t>
      </w:r>
      <w:r w:rsidR="00CA0676" w:rsidRPr="00DF1884">
        <w:rPr>
          <w:rFonts w:eastAsiaTheme="minorHAnsi"/>
        </w:rPr>
        <w:t>uncertain</w:t>
      </w:r>
      <w:r w:rsidR="00DF1884" w:rsidRPr="00DF1884">
        <w:rPr>
          <w:rFonts w:eastAsiaTheme="minorHAnsi"/>
        </w:rPr>
        <w:t xml:space="preserve"> </w:t>
      </w:r>
      <w:r w:rsidRPr="00DF1884">
        <w:rPr>
          <w:rFonts w:eastAsiaTheme="minorHAnsi"/>
        </w:rPr>
        <w:t>about</w:t>
      </w:r>
      <w:r w:rsidR="00DF1884" w:rsidRPr="00DF1884">
        <w:rPr>
          <w:rFonts w:eastAsiaTheme="minorHAnsi"/>
        </w:rPr>
        <w:t xml:space="preserve"> </w:t>
      </w:r>
      <w:r w:rsidRPr="00DF1884">
        <w:rPr>
          <w:rFonts w:eastAsiaTheme="minorHAnsi"/>
        </w:rPr>
        <w:t>the</w:t>
      </w:r>
      <w:r w:rsidR="00DF1884" w:rsidRPr="00DF1884">
        <w:rPr>
          <w:rFonts w:eastAsiaTheme="minorHAnsi"/>
        </w:rPr>
        <w:t xml:space="preserve"> </w:t>
      </w:r>
      <w:r w:rsidRPr="00DF1884">
        <w:rPr>
          <w:rFonts w:eastAsiaTheme="minorHAnsi"/>
        </w:rPr>
        <w:t>degree</w:t>
      </w:r>
      <w:r w:rsidR="00DF1884" w:rsidRPr="00DF1884">
        <w:rPr>
          <w:rFonts w:eastAsiaTheme="minorHAnsi"/>
        </w:rPr>
        <w:t xml:space="preserve"> </w:t>
      </w:r>
      <w:r w:rsidRPr="00DF1884">
        <w:rPr>
          <w:rFonts w:eastAsiaTheme="minorHAnsi"/>
        </w:rPr>
        <w:t>to</w:t>
      </w:r>
      <w:r w:rsidR="00DF1884" w:rsidRPr="00DF1884">
        <w:rPr>
          <w:rFonts w:eastAsiaTheme="minorHAnsi"/>
        </w:rPr>
        <w:t xml:space="preserve"> </w:t>
      </w:r>
      <w:r w:rsidRPr="00DF1884">
        <w:rPr>
          <w:rFonts w:eastAsiaTheme="minorHAnsi"/>
        </w:rPr>
        <w:t>which</w:t>
      </w:r>
      <w:r w:rsidR="00DF1884" w:rsidRPr="00DF1884">
        <w:rPr>
          <w:rFonts w:eastAsiaTheme="minorHAnsi"/>
        </w:rPr>
        <w:t xml:space="preserve"> </w:t>
      </w:r>
      <w:r w:rsidRPr="00DF1884">
        <w:rPr>
          <w:rFonts w:eastAsiaTheme="minorHAnsi"/>
        </w:rPr>
        <w:t>increased</w:t>
      </w:r>
      <w:r w:rsidR="00DF1884" w:rsidRPr="00DF1884">
        <w:rPr>
          <w:rFonts w:eastAsiaTheme="minorHAnsi"/>
        </w:rPr>
        <w:t xml:space="preserve"> </w:t>
      </w:r>
      <w:r w:rsidRPr="00DF1884">
        <w:rPr>
          <w:rFonts w:eastAsiaTheme="minorHAnsi"/>
        </w:rPr>
        <w:t>access</w:t>
      </w:r>
      <w:r w:rsidR="00DF1884" w:rsidRPr="00DF1884">
        <w:rPr>
          <w:rFonts w:eastAsiaTheme="minorHAnsi"/>
        </w:rPr>
        <w:t xml:space="preserve"> </w:t>
      </w:r>
      <w:r w:rsidRPr="00DF1884">
        <w:rPr>
          <w:rFonts w:eastAsiaTheme="minorHAnsi"/>
        </w:rPr>
        <w:t>could</w:t>
      </w:r>
      <w:r w:rsidR="00DF1884" w:rsidRPr="00DF1884">
        <w:rPr>
          <w:rFonts w:eastAsiaTheme="minorHAnsi"/>
        </w:rPr>
        <w:t xml:space="preserve"> </w:t>
      </w:r>
      <w:r w:rsidRPr="00DF1884">
        <w:rPr>
          <w:rFonts w:eastAsiaTheme="minorHAnsi"/>
        </w:rPr>
        <w:t>reduce</w:t>
      </w:r>
      <w:r w:rsidR="00DF1884" w:rsidRPr="00DF1884">
        <w:rPr>
          <w:rFonts w:eastAsiaTheme="minorHAnsi"/>
        </w:rPr>
        <w:t xml:space="preserve"> </w:t>
      </w:r>
      <w:r w:rsidRPr="00DF1884">
        <w:rPr>
          <w:rFonts w:eastAsiaTheme="minorHAnsi"/>
        </w:rPr>
        <w:t>hospitalization</w:t>
      </w:r>
      <w:r w:rsidR="00DF1884" w:rsidRPr="00DF1884">
        <w:rPr>
          <w:rFonts w:eastAsiaTheme="minorHAnsi"/>
        </w:rPr>
        <w:t xml:space="preserve"> </w:t>
      </w:r>
      <w:r w:rsidRPr="00DF1884">
        <w:rPr>
          <w:rFonts w:eastAsiaTheme="minorHAnsi"/>
        </w:rPr>
        <w:t>in</w:t>
      </w:r>
      <w:r w:rsidR="00DF1884" w:rsidRPr="00DF1884">
        <w:rPr>
          <w:rFonts w:eastAsiaTheme="minorHAnsi"/>
        </w:rPr>
        <w:t xml:space="preserve"> </w:t>
      </w:r>
      <w:r w:rsidRPr="00DF1884">
        <w:rPr>
          <w:rFonts w:eastAsiaTheme="minorHAnsi"/>
        </w:rPr>
        <w:t>particularly</w:t>
      </w:r>
      <w:r w:rsidR="00DF1884" w:rsidRPr="00DF1884">
        <w:rPr>
          <w:rFonts w:eastAsiaTheme="minorHAnsi"/>
        </w:rPr>
        <w:t xml:space="preserve"> </w:t>
      </w:r>
      <w:r w:rsidRPr="00DF1884">
        <w:rPr>
          <w:rFonts w:eastAsiaTheme="minorHAnsi"/>
        </w:rPr>
        <w:t>high</w:t>
      </w:r>
      <w:r w:rsidR="00CA0676" w:rsidRPr="00DF1884">
        <w:rPr>
          <w:rFonts w:eastAsiaTheme="minorHAnsi"/>
        </w:rPr>
        <w:t>-</w:t>
      </w:r>
      <w:r w:rsidRPr="00DF1884">
        <w:rPr>
          <w:rFonts w:eastAsiaTheme="minorHAnsi"/>
        </w:rPr>
        <w:t>risk</w:t>
      </w:r>
      <w:r w:rsidR="00DF1884" w:rsidRPr="00DF1884">
        <w:rPr>
          <w:rFonts w:eastAsiaTheme="minorHAnsi"/>
        </w:rPr>
        <w:t xml:space="preserve"> </w:t>
      </w:r>
      <w:r w:rsidRPr="00DF1884">
        <w:rPr>
          <w:rFonts w:eastAsiaTheme="minorHAnsi"/>
        </w:rPr>
        <w:t>populations.</w:t>
      </w:r>
      <w:r w:rsidR="00DF1884" w:rsidRPr="00DF1884">
        <w:rPr>
          <w:rFonts w:eastAsiaTheme="minorHAnsi"/>
          <w:i/>
        </w:rPr>
        <w:t xml:space="preserve"> </w:t>
      </w:r>
    </w:p>
    <w:p w14:paraId="5DF537A9" w14:textId="55827665" w:rsidR="00FB7739" w:rsidRPr="00DF1884" w:rsidRDefault="00FB7739" w:rsidP="0039781B">
      <w:pPr>
        <w:pStyle w:val="Bullet"/>
        <w:rPr>
          <w:rFonts w:eastAsiaTheme="minorHAnsi"/>
        </w:rPr>
      </w:pPr>
      <w:r w:rsidRPr="00DF1884">
        <w:rPr>
          <w:rFonts w:eastAsiaTheme="minorHAnsi"/>
          <w:b/>
        </w:rPr>
        <w:t>Urinary</w:t>
      </w:r>
      <w:r w:rsidR="00DF1884" w:rsidRPr="00DF1884">
        <w:rPr>
          <w:rFonts w:eastAsiaTheme="minorHAnsi"/>
          <w:b/>
        </w:rPr>
        <w:t xml:space="preserve"> </w:t>
      </w:r>
      <w:r w:rsidRPr="00DF1884">
        <w:rPr>
          <w:rFonts w:eastAsiaTheme="minorHAnsi"/>
          <w:b/>
        </w:rPr>
        <w:t>Tract</w:t>
      </w:r>
      <w:r w:rsidR="00DF1884" w:rsidRPr="00DF1884">
        <w:rPr>
          <w:rFonts w:eastAsiaTheme="minorHAnsi"/>
          <w:b/>
        </w:rPr>
        <w:t xml:space="preserve"> </w:t>
      </w:r>
      <w:r w:rsidRPr="00DF1884">
        <w:rPr>
          <w:rFonts w:eastAsiaTheme="minorHAnsi"/>
          <w:b/>
        </w:rPr>
        <w:t>Infection:</w:t>
      </w:r>
      <w:r w:rsidR="00DF1884" w:rsidRPr="00DF1884">
        <w:rPr>
          <w:rFonts w:eastAsiaTheme="minorHAnsi"/>
        </w:rPr>
        <w:t xml:space="preserve"> </w:t>
      </w:r>
      <w:r w:rsidRPr="00DF1884">
        <w:rPr>
          <w:rFonts w:eastAsiaTheme="minorHAnsi"/>
        </w:rPr>
        <w:t>Some</w:t>
      </w:r>
      <w:r w:rsidR="00DF1884" w:rsidRPr="00DF1884">
        <w:rPr>
          <w:rFonts w:eastAsiaTheme="minorHAnsi"/>
        </w:rPr>
        <w:t xml:space="preserve"> </w:t>
      </w:r>
      <w:r w:rsidRPr="00DF1884">
        <w:rPr>
          <w:rFonts w:eastAsiaTheme="minorHAnsi"/>
        </w:rPr>
        <w:t>panelists</w:t>
      </w:r>
      <w:r w:rsidR="00DF1884" w:rsidRPr="00DF1884">
        <w:rPr>
          <w:rFonts w:eastAsiaTheme="minorHAnsi"/>
        </w:rPr>
        <w:t xml:space="preserve"> </w:t>
      </w:r>
      <w:r w:rsidRPr="00DF1884">
        <w:rPr>
          <w:rFonts w:eastAsiaTheme="minorHAnsi"/>
        </w:rPr>
        <w:t>expressed</w:t>
      </w:r>
      <w:r w:rsidR="00DF1884" w:rsidRPr="00DF1884">
        <w:rPr>
          <w:rFonts w:eastAsiaTheme="minorHAnsi"/>
        </w:rPr>
        <w:t xml:space="preserve"> </w:t>
      </w:r>
      <w:r w:rsidRPr="00DF1884">
        <w:rPr>
          <w:rFonts w:eastAsiaTheme="minorHAnsi"/>
        </w:rPr>
        <w:t>concern</w:t>
      </w:r>
      <w:r w:rsidR="00DF1884" w:rsidRPr="00DF1884">
        <w:rPr>
          <w:rFonts w:eastAsiaTheme="minorHAnsi"/>
        </w:rPr>
        <w:t xml:space="preserve"> </w:t>
      </w:r>
      <w:r w:rsidRPr="00DF1884">
        <w:rPr>
          <w:rFonts w:eastAsiaTheme="minorHAnsi"/>
        </w:rPr>
        <w:t>about</w:t>
      </w:r>
      <w:r w:rsidR="00DF1884" w:rsidRPr="00DF1884">
        <w:rPr>
          <w:rFonts w:eastAsiaTheme="minorHAnsi"/>
        </w:rPr>
        <w:t xml:space="preserve"> </w:t>
      </w:r>
      <w:r w:rsidRPr="00DF1884">
        <w:rPr>
          <w:rFonts w:eastAsiaTheme="minorHAnsi"/>
        </w:rPr>
        <w:t>the</w:t>
      </w:r>
      <w:r w:rsidR="00DF1884" w:rsidRPr="00DF1884">
        <w:rPr>
          <w:rFonts w:eastAsiaTheme="minorHAnsi"/>
        </w:rPr>
        <w:t xml:space="preserve"> </w:t>
      </w:r>
      <w:r w:rsidRPr="00DF1884">
        <w:rPr>
          <w:rFonts w:eastAsiaTheme="minorHAnsi"/>
        </w:rPr>
        <w:t>lack</w:t>
      </w:r>
      <w:r w:rsidR="00DF1884" w:rsidRPr="00DF1884">
        <w:rPr>
          <w:rFonts w:eastAsiaTheme="minorHAnsi"/>
        </w:rPr>
        <w:t xml:space="preserve"> </w:t>
      </w:r>
      <w:r w:rsidRPr="00DF1884">
        <w:rPr>
          <w:rFonts w:eastAsiaTheme="minorHAnsi"/>
        </w:rPr>
        <w:t>of</w:t>
      </w:r>
      <w:r w:rsidR="00DF1884" w:rsidRPr="00DF1884">
        <w:rPr>
          <w:rFonts w:eastAsiaTheme="minorHAnsi"/>
        </w:rPr>
        <w:t xml:space="preserve"> </w:t>
      </w:r>
      <w:r w:rsidRPr="00DF1884">
        <w:rPr>
          <w:rFonts w:eastAsiaTheme="minorHAnsi"/>
        </w:rPr>
        <w:t>evidence</w:t>
      </w:r>
      <w:r w:rsidR="00DF1884" w:rsidRPr="00DF1884">
        <w:rPr>
          <w:rFonts w:eastAsiaTheme="minorHAnsi"/>
        </w:rPr>
        <w:t xml:space="preserve"> </w:t>
      </w:r>
      <w:r w:rsidRPr="00DF1884">
        <w:rPr>
          <w:rFonts w:eastAsiaTheme="minorHAnsi"/>
        </w:rPr>
        <w:t>directly</w:t>
      </w:r>
      <w:r w:rsidR="00DF1884" w:rsidRPr="00DF1884">
        <w:rPr>
          <w:rFonts w:eastAsiaTheme="minorHAnsi"/>
        </w:rPr>
        <w:t xml:space="preserve"> </w:t>
      </w:r>
      <w:r w:rsidRPr="00DF1884">
        <w:rPr>
          <w:rFonts w:eastAsiaTheme="minorHAnsi"/>
        </w:rPr>
        <w:t>linking</w:t>
      </w:r>
      <w:r w:rsidR="00DF1884" w:rsidRPr="00DF1884">
        <w:rPr>
          <w:rFonts w:eastAsiaTheme="minorHAnsi"/>
        </w:rPr>
        <w:t xml:space="preserve"> </w:t>
      </w:r>
      <w:r w:rsidRPr="00DF1884">
        <w:rPr>
          <w:rFonts w:eastAsiaTheme="minorHAnsi"/>
        </w:rPr>
        <w:t>care</w:t>
      </w:r>
      <w:r w:rsidR="00DF1884" w:rsidRPr="00DF1884">
        <w:rPr>
          <w:rFonts w:eastAsiaTheme="minorHAnsi"/>
        </w:rPr>
        <w:t xml:space="preserve"> </w:t>
      </w:r>
      <w:r w:rsidRPr="00DF1884">
        <w:rPr>
          <w:rFonts w:eastAsiaTheme="minorHAnsi"/>
        </w:rPr>
        <w:t>in</w:t>
      </w:r>
      <w:r w:rsidR="00DF1884" w:rsidRPr="00DF1884">
        <w:rPr>
          <w:rFonts w:eastAsiaTheme="minorHAnsi"/>
        </w:rPr>
        <w:t xml:space="preserve"> </w:t>
      </w:r>
      <w:r w:rsidRPr="00DF1884">
        <w:rPr>
          <w:rFonts w:eastAsiaTheme="minorHAnsi"/>
        </w:rPr>
        <w:t>the</w:t>
      </w:r>
      <w:r w:rsidR="00DF1884" w:rsidRPr="00DF1884">
        <w:rPr>
          <w:rFonts w:eastAsiaTheme="minorHAnsi"/>
        </w:rPr>
        <w:t xml:space="preserve"> </w:t>
      </w:r>
      <w:r w:rsidRPr="00DF1884">
        <w:rPr>
          <w:rFonts w:eastAsiaTheme="minorHAnsi"/>
        </w:rPr>
        <w:t>outpatient</w:t>
      </w:r>
      <w:r w:rsidR="00DF1884" w:rsidRPr="00DF1884">
        <w:rPr>
          <w:rFonts w:eastAsiaTheme="minorHAnsi"/>
        </w:rPr>
        <w:t xml:space="preserve"> </w:t>
      </w:r>
      <w:r w:rsidRPr="00DF1884">
        <w:rPr>
          <w:rFonts w:eastAsiaTheme="minorHAnsi"/>
        </w:rPr>
        <w:t>setting</w:t>
      </w:r>
      <w:r w:rsidR="00DF1884" w:rsidRPr="00DF1884">
        <w:rPr>
          <w:rFonts w:eastAsiaTheme="minorHAnsi"/>
        </w:rPr>
        <w:t xml:space="preserve"> </w:t>
      </w:r>
      <w:r w:rsidRPr="00DF1884">
        <w:rPr>
          <w:rFonts w:eastAsiaTheme="minorHAnsi"/>
        </w:rPr>
        <w:t>to</w:t>
      </w:r>
      <w:r w:rsidR="00DF1884" w:rsidRPr="00DF1884">
        <w:rPr>
          <w:rFonts w:eastAsiaTheme="minorHAnsi"/>
        </w:rPr>
        <w:t xml:space="preserve"> </w:t>
      </w:r>
      <w:r w:rsidRPr="00DF1884">
        <w:rPr>
          <w:rFonts w:eastAsiaTheme="minorHAnsi"/>
        </w:rPr>
        <w:t>hospitalization</w:t>
      </w:r>
      <w:r w:rsidR="00DF1884" w:rsidRPr="00DF1884">
        <w:rPr>
          <w:rFonts w:eastAsiaTheme="minorHAnsi"/>
        </w:rPr>
        <w:t xml:space="preserve"> </w:t>
      </w:r>
      <w:r w:rsidRPr="00DF1884">
        <w:rPr>
          <w:rFonts w:eastAsiaTheme="minorHAnsi"/>
        </w:rPr>
        <w:t>for</w:t>
      </w:r>
      <w:r w:rsidR="00DF1884" w:rsidRPr="00DF1884">
        <w:rPr>
          <w:rFonts w:eastAsiaTheme="minorHAnsi"/>
        </w:rPr>
        <w:t xml:space="preserve"> </w:t>
      </w:r>
      <w:r w:rsidRPr="00DF1884">
        <w:rPr>
          <w:rFonts w:eastAsiaTheme="minorHAnsi"/>
        </w:rPr>
        <w:t>UTI.</w:t>
      </w:r>
      <w:r w:rsidR="00DF1884" w:rsidRPr="00DF1884">
        <w:rPr>
          <w:rFonts w:eastAsiaTheme="minorHAnsi"/>
        </w:rPr>
        <w:t xml:space="preserve"> </w:t>
      </w:r>
      <w:r w:rsidRPr="00DF1884">
        <w:rPr>
          <w:rFonts w:eastAsiaTheme="minorHAnsi"/>
        </w:rPr>
        <w:t>Others</w:t>
      </w:r>
      <w:r w:rsidR="00DF1884" w:rsidRPr="00DF1884">
        <w:rPr>
          <w:rFonts w:eastAsiaTheme="minorHAnsi"/>
        </w:rPr>
        <w:t xml:space="preserve"> </w:t>
      </w:r>
      <w:r w:rsidRPr="00DF1884">
        <w:rPr>
          <w:rFonts w:eastAsiaTheme="minorHAnsi"/>
        </w:rPr>
        <w:t>suggested</w:t>
      </w:r>
      <w:r w:rsidR="00DF1884" w:rsidRPr="00DF1884">
        <w:rPr>
          <w:rFonts w:eastAsiaTheme="minorHAnsi"/>
        </w:rPr>
        <w:t xml:space="preserve"> </w:t>
      </w:r>
      <w:r w:rsidRPr="00DF1884">
        <w:rPr>
          <w:rFonts w:eastAsiaTheme="minorHAnsi"/>
        </w:rPr>
        <w:t>that</w:t>
      </w:r>
      <w:r w:rsidR="00DF1884" w:rsidRPr="00DF1884">
        <w:rPr>
          <w:rFonts w:eastAsiaTheme="minorHAnsi"/>
        </w:rPr>
        <w:t xml:space="preserve"> </w:t>
      </w:r>
      <w:r w:rsidRPr="00DF1884">
        <w:rPr>
          <w:rFonts w:eastAsiaTheme="minorHAnsi"/>
        </w:rPr>
        <w:t>enhanced</w:t>
      </w:r>
      <w:r w:rsidR="00DF1884" w:rsidRPr="00DF1884">
        <w:rPr>
          <w:rFonts w:eastAsiaTheme="minorHAnsi"/>
        </w:rPr>
        <w:t xml:space="preserve"> </w:t>
      </w:r>
      <w:r w:rsidRPr="00DF1884">
        <w:rPr>
          <w:rFonts w:eastAsiaTheme="minorHAnsi"/>
        </w:rPr>
        <w:t>coverage</w:t>
      </w:r>
      <w:r w:rsidR="00DF1884" w:rsidRPr="00DF1884">
        <w:rPr>
          <w:rFonts w:eastAsiaTheme="minorHAnsi"/>
        </w:rPr>
        <w:t xml:space="preserve"> </w:t>
      </w:r>
      <w:r w:rsidRPr="00DF1884">
        <w:rPr>
          <w:rFonts w:eastAsiaTheme="minorHAnsi"/>
        </w:rPr>
        <w:t>of</w:t>
      </w:r>
      <w:r w:rsidR="00DF1884" w:rsidRPr="00DF1884">
        <w:rPr>
          <w:rFonts w:eastAsiaTheme="minorHAnsi"/>
        </w:rPr>
        <w:t xml:space="preserve"> </w:t>
      </w:r>
      <w:r w:rsidRPr="00DF1884">
        <w:rPr>
          <w:rFonts w:eastAsiaTheme="minorHAnsi"/>
        </w:rPr>
        <w:t>antibiotics</w:t>
      </w:r>
      <w:r w:rsidR="00DF1884" w:rsidRPr="00DF1884">
        <w:rPr>
          <w:rFonts w:eastAsiaTheme="minorHAnsi"/>
        </w:rPr>
        <w:t xml:space="preserve"> </w:t>
      </w:r>
      <w:r w:rsidRPr="00DF1884">
        <w:rPr>
          <w:rFonts w:eastAsiaTheme="minorHAnsi"/>
        </w:rPr>
        <w:t>and</w:t>
      </w:r>
      <w:r w:rsidR="00DF1884" w:rsidRPr="00DF1884">
        <w:rPr>
          <w:rFonts w:eastAsiaTheme="minorHAnsi"/>
        </w:rPr>
        <w:t xml:space="preserve"> </w:t>
      </w:r>
      <w:r w:rsidRPr="00DF1884">
        <w:rPr>
          <w:rFonts w:eastAsiaTheme="minorHAnsi"/>
        </w:rPr>
        <w:t>careful</w:t>
      </w:r>
      <w:r w:rsidR="00DF1884" w:rsidRPr="00DF1884">
        <w:rPr>
          <w:rFonts w:eastAsiaTheme="minorHAnsi"/>
        </w:rPr>
        <w:t xml:space="preserve"> </w:t>
      </w:r>
      <w:r w:rsidRPr="00DF1884">
        <w:rPr>
          <w:rFonts w:eastAsiaTheme="minorHAnsi"/>
        </w:rPr>
        <w:t>attention</w:t>
      </w:r>
      <w:r w:rsidR="00DF1884" w:rsidRPr="00DF1884">
        <w:rPr>
          <w:rFonts w:eastAsiaTheme="minorHAnsi"/>
        </w:rPr>
        <w:t xml:space="preserve"> </w:t>
      </w:r>
      <w:r w:rsidRPr="00DF1884">
        <w:rPr>
          <w:rFonts w:eastAsiaTheme="minorHAnsi"/>
        </w:rPr>
        <w:t>to</w:t>
      </w:r>
      <w:r w:rsidR="00DF1884" w:rsidRPr="00DF1884">
        <w:rPr>
          <w:rFonts w:eastAsiaTheme="minorHAnsi"/>
        </w:rPr>
        <w:t xml:space="preserve"> </w:t>
      </w:r>
      <w:r w:rsidRPr="00DF1884">
        <w:rPr>
          <w:rFonts w:eastAsiaTheme="minorHAnsi"/>
        </w:rPr>
        <w:t>inappropriate</w:t>
      </w:r>
      <w:r w:rsidR="00DF1884" w:rsidRPr="00DF1884">
        <w:rPr>
          <w:rFonts w:eastAsiaTheme="minorHAnsi"/>
        </w:rPr>
        <w:t xml:space="preserve"> </w:t>
      </w:r>
      <w:r w:rsidRPr="00DF1884">
        <w:rPr>
          <w:rFonts w:eastAsiaTheme="minorHAnsi"/>
        </w:rPr>
        <w:t>use</w:t>
      </w:r>
      <w:r w:rsidR="00DF1884" w:rsidRPr="00DF1884">
        <w:rPr>
          <w:rFonts w:eastAsiaTheme="minorHAnsi"/>
        </w:rPr>
        <w:t xml:space="preserve"> </w:t>
      </w:r>
      <w:r w:rsidRPr="00DF1884">
        <w:rPr>
          <w:rFonts w:eastAsiaTheme="minorHAnsi"/>
        </w:rPr>
        <w:t>of</w:t>
      </w:r>
      <w:r w:rsidR="00DF1884" w:rsidRPr="00DF1884">
        <w:rPr>
          <w:rFonts w:eastAsiaTheme="minorHAnsi"/>
        </w:rPr>
        <w:t xml:space="preserve"> </w:t>
      </w:r>
      <w:r w:rsidRPr="00DF1884">
        <w:rPr>
          <w:rFonts w:eastAsiaTheme="minorHAnsi"/>
        </w:rPr>
        <w:t>Foley/suprapubic</w:t>
      </w:r>
      <w:r w:rsidR="00DF1884" w:rsidRPr="00DF1884">
        <w:rPr>
          <w:rFonts w:eastAsiaTheme="minorHAnsi"/>
        </w:rPr>
        <w:t xml:space="preserve"> </w:t>
      </w:r>
      <w:r w:rsidRPr="00DF1884">
        <w:rPr>
          <w:rFonts w:eastAsiaTheme="minorHAnsi"/>
        </w:rPr>
        <w:t>catheters</w:t>
      </w:r>
      <w:r w:rsidR="00DF1884" w:rsidRPr="00DF1884">
        <w:rPr>
          <w:rFonts w:eastAsiaTheme="minorHAnsi"/>
        </w:rPr>
        <w:t xml:space="preserve"> </w:t>
      </w:r>
      <w:r w:rsidRPr="00DF1884">
        <w:rPr>
          <w:rFonts w:eastAsiaTheme="minorHAnsi"/>
        </w:rPr>
        <w:t>could</w:t>
      </w:r>
      <w:r w:rsidR="00DF1884" w:rsidRPr="00DF1884">
        <w:rPr>
          <w:rFonts w:eastAsiaTheme="minorHAnsi"/>
        </w:rPr>
        <w:t xml:space="preserve"> </w:t>
      </w:r>
      <w:r w:rsidRPr="00DF1884">
        <w:rPr>
          <w:rFonts w:eastAsiaTheme="minorHAnsi"/>
        </w:rPr>
        <w:t>impact</w:t>
      </w:r>
      <w:r w:rsidR="00DF1884" w:rsidRPr="00DF1884">
        <w:rPr>
          <w:rFonts w:eastAsiaTheme="minorHAnsi"/>
        </w:rPr>
        <w:t xml:space="preserve"> </w:t>
      </w:r>
      <w:r w:rsidRPr="00DF1884">
        <w:rPr>
          <w:rFonts w:eastAsiaTheme="minorHAnsi"/>
        </w:rPr>
        <w:t>rates</w:t>
      </w:r>
      <w:r w:rsidR="00DF1884" w:rsidRPr="00DF1884">
        <w:rPr>
          <w:rFonts w:eastAsiaTheme="minorHAnsi"/>
        </w:rPr>
        <w:t xml:space="preserve"> </w:t>
      </w:r>
      <w:r w:rsidRPr="00DF1884">
        <w:rPr>
          <w:rFonts w:eastAsiaTheme="minorHAnsi"/>
        </w:rPr>
        <w:t>of</w:t>
      </w:r>
      <w:r w:rsidR="00DF1884" w:rsidRPr="00DF1884">
        <w:rPr>
          <w:rFonts w:eastAsiaTheme="minorHAnsi"/>
        </w:rPr>
        <w:t xml:space="preserve"> </w:t>
      </w:r>
      <w:r w:rsidRPr="00DF1884">
        <w:rPr>
          <w:rFonts w:eastAsiaTheme="minorHAnsi"/>
        </w:rPr>
        <w:t>hospitalization.</w:t>
      </w:r>
      <w:r w:rsidR="00DF1884" w:rsidRPr="00DF1884">
        <w:rPr>
          <w:rFonts w:eastAsiaTheme="minorHAnsi"/>
          <w:i/>
        </w:rPr>
        <w:t xml:space="preserve"> </w:t>
      </w:r>
    </w:p>
    <w:p w14:paraId="23652D2E" w14:textId="3829C3E7" w:rsidR="00FB7739" w:rsidRPr="00DF1884" w:rsidRDefault="00FB7739" w:rsidP="0039781B">
      <w:pPr>
        <w:pStyle w:val="Bullet"/>
        <w:rPr>
          <w:rFonts w:eastAsiaTheme="minorHAnsi"/>
        </w:rPr>
      </w:pPr>
      <w:r w:rsidRPr="00DF1884">
        <w:rPr>
          <w:rFonts w:eastAsiaTheme="minorHAnsi"/>
          <w:b/>
        </w:rPr>
        <w:t>Angina</w:t>
      </w:r>
      <w:r w:rsidR="00DF1884" w:rsidRPr="00DF1884">
        <w:rPr>
          <w:rFonts w:eastAsiaTheme="minorHAnsi"/>
          <w:b/>
        </w:rPr>
        <w:t xml:space="preserve"> </w:t>
      </w:r>
      <w:r w:rsidR="008117C8" w:rsidRPr="00DF1884">
        <w:rPr>
          <w:rFonts w:eastAsiaTheme="minorHAnsi"/>
          <w:b/>
        </w:rPr>
        <w:t>Without</w:t>
      </w:r>
      <w:r w:rsidR="00DF1884" w:rsidRPr="00DF1884">
        <w:rPr>
          <w:rFonts w:eastAsiaTheme="minorHAnsi"/>
          <w:b/>
        </w:rPr>
        <w:t xml:space="preserve"> </w:t>
      </w:r>
      <w:r w:rsidR="008117C8" w:rsidRPr="00DF1884">
        <w:rPr>
          <w:rFonts w:eastAsiaTheme="minorHAnsi"/>
          <w:b/>
        </w:rPr>
        <w:t>Cardiac</w:t>
      </w:r>
      <w:r w:rsidR="00DF1884" w:rsidRPr="00DF1884">
        <w:rPr>
          <w:rFonts w:eastAsiaTheme="minorHAnsi"/>
          <w:b/>
        </w:rPr>
        <w:t xml:space="preserve"> </w:t>
      </w:r>
      <w:r w:rsidR="008117C8" w:rsidRPr="00DF1884">
        <w:rPr>
          <w:rFonts w:eastAsiaTheme="minorHAnsi"/>
          <w:b/>
        </w:rPr>
        <w:t>Pr</w:t>
      </w:r>
      <w:r w:rsidRPr="00DF1884">
        <w:rPr>
          <w:rFonts w:eastAsiaTheme="minorHAnsi"/>
          <w:b/>
        </w:rPr>
        <w:t>ocedure:</w:t>
      </w:r>
      <w:r w:rsidR="00DF1884" w:rsidRPr="00DF1884">
        <w:rPr>
          <w:rFonts w:eastAsiaTheme="minorHAnsi"/>
        </w:rPr>
        <w:t xml:space="preserve"> </w:t>
      </w:r>
      <w:r w:rsidRPr="00DF1884">
        <w:rPr>
          <w:rFonts w:eastAsiaTheme="minorHAnsi"/>
        </w:rPr>
        <w:t>Panelists</w:t>
      </w:r>
      <w:r w:rsidR="00DF1884" w:rsidRPr="00DF1884">
        <w:rPr>
          <w:rFonts w:eastAsiaTheme="minorHAnsi"/>
        </w:rPr>
        <w:t xml:space="preserve"> </w:t>
      </w:r>
      <w:r w:rsidRPr="00DF1884">
        <w:rPr>
          <w:rFonts w:eastAsiaTheme="minorHAnsi"/>
        </w:rPr>
        <w:t>were</w:t>
      </w:r>
      <w:r w:rsidR="00DF1884" w:rsidRPr="00DF1884">
        <w:rPr>
          <w:rFonts w:eastAsiaTheme="minorHAnsi"/>
        </w:rPr>
        <w:t xml:space="preserve"> </w:t>
      </w:r>
      <w:r w:rsidRPr="00DF1884">
        <w:rPr>
          <w:rFonts w:eastAsiaTheme="minorHAnsi"/>
        </w:rPr>
        <w:t>divided</w:t>
      </w:r>
      <w:r w:rsidR="00DF1884" w:rsidRPr="00DF1884">
        <w:rPr>
          <w:rFonts w:eastAsiaTheme="minorHAnsi"/>
        </w:rPr>
        <w:t xml:space="preserve"> </w:t>
      </w:r>
      <w:r w:rsidR="008117C8" w:rsidRPr="00DF1884">
        <w:rPr>
          <w:rFonts w:eastAsiaTheme="minorHAnsi"/>
        </w:rPr>
        <w:t>about</w:t>
      </w:r>
      <w:r w:rsidR="00DF1884" w:rsidRPr="00DF1884">
        <w:rPr>
          <w:rFonts w:eastAsiaTheme="minorHAnsi"/>
        </w:rPr>
        <w:t xml:space="preserve"> </w:t>
      </w:r>
      <w:r w:rsidR="00CA0676" w:rsidRPr="00DF1884">
        <w:rPr>
          <w:rFonts w:eastAsiaTheme="minorHAnsi"/>
        </w:rPr>
        <w:t>how</w:t>
      </w:r>
      <w:r w:rsidR="00DF1884" w:rsidRPr="00DF1884">
        <w:rPr>
          <w:rFonts w:eastAsiaTheme="minorHAnsi"/>
        </w:rPr>
        <w:t xml:space="preserve"> </w:t>
      </w:r>
      <w:r w:rsidR="00CA0676" w:rsidRPr="00DF1884">
        <w:rPr>
          <w:rFonts w:eastAsiaTheme="minorHAnsi"/>
        </w:rPr>
        <w:t>much</w:t>
      </w:r>
      <w:r w:rsidR="00DF1884" w:rsidRPr="00DF1884">
        <w:rPr>
          <w:rFonts w:eastAsiaTheme="minorHAnsi"/>
        </w:rPr>
        <w:t xml:space="preserve"> </w:t>
      </w:r>
      <w:r w:rsidR="008117C8" w:rsidRPr="00DF1884">
        <w:rPr>
          <w:rFonts w:eastAsiaTheme="minorHAnsi"/>
        </w:rPr>
        <w:t>payer</w:t>
      </w:r>
      <w:r w:rsidRPr="00DF1884">
        <w:rPr>
          <w:rFonts w:eastAsiaTheme="minorHAnsi"/>
        </w:rPr>
        <w:t>s</w:t>
      </w:r>
      <w:r w:rsidR="00DF1884" w:rsidRPr="00DF1884">
        <w:rPr>
          <w:rFonts w:eastAsiaTheme="minorHAnsi"/>
        </w:rPr>
        <w:t xml:space="preserve"> </w:t>
      </w:r>
      <w:r w:rsidRPr="00DF1884">
        <w:rPr>
          <w:rFonts w:eastAsiaTheme="minorHAnsi"/>
        </w:rPr>
        <w:t>and</w:t>
      </w:r>
      <w:r w:rsidR="00DF1884" w:rsidRPr="00DF1884">
        <w:rPr>
          <w:rFonts w:eastAsiaTheme="minorHAnsi"/>
        </w:rPr>
        <w:t xml:space="preserve"> </w:t>
      </w:r>
      <w:r w:rsidRPr="00DF1884">
        <w:rPr>
          <w:rFonts w:eastAsiaTheme="minorHAnsi"/>
        </w:rPr>
        <w:t>providers</w:t>
      </w:r>
      <w:r w:rsidR="00DF1884" w:rsidRPr="00DF1884">
        <w:rPr>
          <w:rFonts w:eastAsiaTheme="minorHAnsi"/>
        </w:rPr>
        <w:t xml:space="preserve"> </w:t>
      </w:r>
      <w:r w:rsidRPr="00DF1884">
        <w:rPr>
          <w:rFonts w:eastAsiaTheme="minorHAnsi"/>
        </w:rPr>
        <w:t>could</w:t>
      </w:r>
      <w:r w:rsidR="00DF1884" w:rsidRPr="00DF1884">
        <w:rPr>
          <w:rFonts w:eastAsiaTheme="minorHAnsi"/>
        </w:rPr>
        <w:t xml:space="preserve"> </w:t>
      </w:r>
      <w:r w:rsidRPr="00DF1884">
        <w:rPr>
          <w:rFonts w:eastAsiaTheme="minorHAnsi"/>
        </w:rPr>
        <w:t>influence</w:t>
      </w:r>
      <w:r w:rsidR="00DF1884" w:rsidRPr="00DF1884">
        <w:rPr>
          <w:rFonts w:eastAsiaTheme="minorHAnsi"/>
        </w:rPr>
        <w:t xml:space="preserve"> </w:t>
      </w:r>
      <w:r w:rsidRPr="00DF1884">
        <w:rPr>
          <w:rFonts w:eastAsiaTheme="minorHAnsi"/>
        </w:rPr>
        <w:t>hospitalization</w:t>
      </w:r>
      <w:r w:rsidR="00DF1884" w:rsidRPr="00DF1884">
        <w:rPr>
          <w:rFonts w:eastAsiaTheme="minorHAnsi"/>
        </w:rPr>
        <w:t xml:space="preserve"> </w:t>
      </w:r>
      <w:r w:rsidRPr="00DF1884">
        <w:rPr>
          <w:rFonts w:eastAsiaTheme="minorHAnsi"/>
        </w:rPr>
        <w:t>for</w:t>
      </w:r>
      <w:r w:rsidR="00DF1884" w:rsidRPr="00DF1884">
        <w:rPr>
          <w:rFonts w:eastAsiaTheme="minorHAnsi"/>
        </w:rPr>
        <w:t xml:space="preserve"> </w:t>
      </w:r>
      <w:r w:rsidRPr="00DF1884">
        <w:rPr>
          <w:rFonts w:eastAsiaTheme="minorHAnsi"/>
        </w:rPr>
        <w:t>angina.</w:t>
      </w:r>
      <w:r w:rsidR="00DF1884" w:rsidRPr="00DF1884">
        <w:rPr>
          <w:rFonts w:eastAsiaTheme="minorHAnsi"/>
        </w:rPr>
        <w:t xml:space="preserve"> </w:t>
      </w:r>
      <w:r w:rsidR="008117C8" w:rsidRPr="00DF1884">
        <w:rPr>
          <w:rFonts w:eastAsiaTheme="minorHAnsi"/>
        </w:rPr>
        <w:t>Payer</w:t>
      </w:r>
      <w:r w:rsidRPr="00DF1884">
        <w:rPr>
          <w:rFonts w:eastAsiaTheme="minorHAnsi"/>
        </w:rPr>
        <w:t>s</w:t>
      </w:r>
      <w:r w:rsidR="00DF1884" w:rsidRPr="00DF1884">
        <w:rPr>
          <w:rFonts w:eastAsiaTheme="minorHAnsi"/>
        </w:rPr>
        <w:t xml:space="preserve"> </w:t>
      </w:r>
      <w:r w:rsidRPr="00DF1884">
        <w:rPr>
          <w:rFonts w:eastAsiaTheme="minorHAnsi"/>
        </w:rPr>
        <w:t>may</w:t>
      </w:r>
      <w:r w:rsidR="00DF1884" w:rsidRPr="00DF1884">
        <w:rPr>
          <w:rFonts w:eastAsiaTheme="minorHAnsi"/>
        </w:rPr>
        <w:t xml:space="preserve"> </w:t>
      </w:r>
      <w:r w:rsidRPr="00DF1884">
        <w:rPr>
          <w:rFonts w:eastAsiaTheme="minorHAnsi"/>
        </w:rPr>
        <w:t>promote</w:t>
      </w:r>
      <w:r w:rsidR="00DF1884" w:rsidRPr="00DF1884">
        <w:rPr>
          <w:rFonts w:eastAsiaTheme="minorHAnsi"/>
        </w:rPr>
        <w:t xml:space="preserve"> </w:t>
      </w:r>
      <w:r w:rsidRPr="00DF1884">
        <w:rPr>
          <w:rFonts w:eastAsiaTheme="minorHAnsi"/>
        </w:rPr>
        <w:t>education</w:t>
      </w:r>
      <w:r w:rsidR="00DF1884" w:rsidRPr="00DF1884">
        <w:rPr>
          <w:rFonts w:eastAsiaTheme="minorHAnsi"/>
        </w:rPr>
        <w:t xml:space="preserve"> </w:t>
      </w:r>
      <w:r w:rsidRPr="00DF1884">
        <w:rPr>
          <w:rFonts w:eastAsiaTheme="minorHAnsi"/>
        </w:rPr>
        <w:t>and</w:t>
      </w:r>
      <w:r w:rsidR="00DF1884" w:rsidRPr="00DF1884">
        <w:rPr>
          <w:rFonts w:eastAsiaTheme="minorHAnsi"/>
        </w:rPr>
        <w:t xml:space="preserve"> </w:t>
      </w:r>
      <w:r w:rsidRPr="00DF1884">
        <w:rPr>
          <w:rFonts w:eastAsiaTheme="minorHAnsi"/>
        </w:rPr>
        <w:t>lifestyle</w:t>
      </w:r>
      <w:r w:rsidR="00DF1884" w:rsidRPr="00DF1884">
        <w:rPr>
          <w:rFonts w:eastAsiaTheme="minorHAnsi"/>
        </w:rPr>
        <w:t xml:space="preserve"> </w:t>
      </w:r>
      <w:r w:rsidRPr="00DF1884">
        <w:rPr>
          <w:rFonts w:eastAsiaTheme="minorHAnsi"/>
        </w:rPr>
        <w:t>change</w:t>
      </w:r>
      <w:r w:rsidR="00DF1884" w:rsidRPr="00DF1884">
        <w:rPr>
          <w:rFonts w:eastAsiaTheme="minorHAnsi"/>
        </w:rPr>
        <w:t xml:space="preserve"> </w:t>
      </w:r>
      <w:r w:rsidRPr="00DF1884">
        <w:rPr>
          <w:rFonts w:eastAsiaTheme="minorHAnsi"/>
        </w:rPr>
        <w:t>(smoking</w:t>
      </w:r>
      <w:r w:rsidR="00DF1884" w:rsidRPr="00DF1884">
        <w:rPr>
          <w:rFonts w:eastAsiaTheme="minorHAnsi"/>
        </w:rPr>
        <w:t xml:space="preserve"> </w:t>
      </w:r>
      <w:r w:rsidRPr="00DF1884">
        <w:rPr>
          <w:rFonts w:eastAsiaTheme="minorHAnsi"/>
        </w:rPr>
        <w:t>cessation,</w:t>
      </w:r>
      <w:r w:rsidR="00DF1884" w:rsidRPr="00DF1884">
        <w:rPr>
          <w:rFonts w:eastAsiaTheme="minorHAnsi"/>
        </w:rPr>
        <w:t xml:space="preserve"> </w:t>
      </w:r>
      <w:r w:rsidRPr="00DF1884">
        <w:rPr>
          <w:rFonts w:eastAsiaTheme="minorHAnsi"/>
        </w:rPr>
        <w:t>self-care,</w:t>
      </w:r>
      <w:r w:rsidR="00DF1884" w:rsidRPr="00DF1884">
        <w:rPr>
          <w:rFonts w:eastAsiaTheme="minorHAnsi"/>
        </w:rPr>
        <w:t xml:space="preserve"> </w:t>
      </w:r>
      <w:r w:rsidRPr="00DF1884">
        <w:rPr>
          <w:rFonts w:eastAsiaTheme="minorHAnsi"/>
        </w:rPr>
        <w:t>regular</w:t>
      </w:r>
      <w:r w:rsidR="00DF1884" w:rsidRPr="00DF1884">
        <w:rPr>
          <w:rFonts w:eastAsiaTheme="minorHAnsi"/>
        </w:rPr>
        <w:t xml:space="preserve"> </w:t>
      </w:r>
      <w:r w:rsidRPr="00DF1884">
        <w:rPr>
          <w:rFonts w:eastAsiaTheme="minorHAnsi"/>
        </w:rPr>
        <w:t>primary</w:t>
      </w:r>
      <w:r w:rsidR="00DF1884" w:rsidRPr="00DF1884">
        <w:rPr>
          <w:rFonts w:eastAsiaTheme="minorHAnsi"/>
        </w:rPr>
        <w:t xml:space="preserve"> </w:t>
      </w:r>
      <w:r w:rsidRPr="00DF1884">
        <w:rPr>
          <w:rFonts w:eastAsiaTheme="minorHAnsi"/>
        </w:rPr>
        <w:t>care</w:t>
      </w:r>
      <w:r w:rsidR="00DF1884" w:rsidRPr="00DF1884">
        <w:rPr>
          <w:rFonts w:eastAsiaTheme="minorHAnsi"/>
        </w:rPr>
        <w:t xml:space="preserve"> </w:t>
      </w:r>
      <w:r w:rsidRPr="00DF1884">
        <w:rPr>
          <w:rFonts w:eastAsiaTheme="minorHAnsi"/>
        </w:rPr>
        <w:t>visits),</w:t>
      </w:r>
      <w:r w:rsidR="00DF1884" w:rsidRPr="00DF1884">
        <w:rPr>
          <w:rFonts w:eastAsiaTheme="minorHAnsi"/>
        </w:rPr>
        <w:t xml:space="preserve"> </w:t>
      </w:r>
      <w:r w:rsidRPr="00DF1884">
        <w:rPr>
          <w:rFonts w:eastAsiaTheme="minorHAnsi"/>
        </w:rPr>
        <w:t>but</w:t>
      </w:r>
      <w:r w:rsidR="00DF1884" w:rsidRPr="00DF1884">
        <w:rPr>
          <w:rFonts w:eastAsiaTheme="minorHAnsi"/>
        </w:rPr>
        <w:t xml:space="preserve"> </w:t>
      </w:r>
      <w:r w:rsidRPr="00DF1884">
        <w:rPr>
          <w:rFonts w:eastAsiaTheme="minorHAnsi"/>
        </w:rPr>
        <w:t>panelists</w:t>
      </w:r>
      <w:r w:rsidR="00DF1884" w:rsidRPr="00DF1884">
        <w:rPr>
          <w:rFonts w:eastAsiaTheme="minorHAnsi"/>
        </w:rPr>
        <w:t xml:space="preserve"> </w:t>
      </w:r>
      <w:r w:rsidRPr="00DF1884">
        <w:rPr>
          <w:rFonts w:eastAsiaTheme="minorHAnsi"/>
        </w:rPr>
        <w:t>did</w:t>
      </w:r>
      <w:r w:rsidR="00DF1884" w:rsidRPr="00DF1884">
        <w:rPr>
          <w:rFonts w:eastAsiaTheme="minorHAnsi"/>
        </w:rPr>
        <w:t xml:space="preserve"> </w:t>
      </w:r>
      <w:r w:rsidRPr="00DF1884">
        <w:rPr>
          <w:rFonts w:eastAsiaTheme="minorHAnsi"/>
        </w:rPr>
        <w:t>not</w:t>
      </w:r>
      <w:r w:rsidR="00DF1884" w:rsidRPr="00DF1884">
        <w:rPr>
          <w:rFonts w:eastAsiaTheme="minorHAnsi"/>
        </w:rPr>
        <w:t xml:space="preserve"> </w:t>
      </w:r>
      <w:r w:rsidRPr="00DF1884">
        <w:rPr>
          <w:rFonts w:eastAsiaTheme="minorHAnsi"/>
        </w:rPr>
        <w:t>express</w:t>
      </w:r>
      <w:r w:rsidR="00DF1884" w:rsidRPr="00DF1884">
        <w:rPr>
          <w:rFonts w:eastAsiaTheme="minorHAnsi"/>
        </w:rPr>
        <w:t xml:space="preserve"> </w:t>
      </w:r>
      <w:r w:rsidRPr="00DF1884">
        <w:rPr>
          <w:rFonts w:eastAsiaTheme="minorHAnsi"/>
        </w:rPr>
        <w:t>confidence</w:t>
      </w:r>
      <w:r w:rsidR="00DF1884" w:rsidRPr="00DF1884">
        <w:rPr>
          <w:rFonts w:eastAsiaTheme="minorHAnsi"/>
        </w:rPr>
        <w:t xml:space="preserve"> </w:t>
      </w:r>
      <w:r w:rsidRPr="00DF1884">
        <w:rPr>
          <w:rFonts w:eastAsiaTheme="minorHAnsi"/>
        </w:rPr>
        <w:t>that</w:t>
      </w:r>
      <w:r w:rsidR="00DF1884" w:rsidRPr="00DF1884">
        <w:rPr>
          <w:rFonts w:eastAsiaTheme="minorHAnsi"/>
        </w:rPr>
        <w:t xml:space="preserve"> </w:t>
      </w:r>
      <w:r w:rsidRPr="00DF1884">
        <w:rPr>
          <w:rFonts w:eastAsiaTheme="minorHAnsi"/>
        </w:rPr>
        <w:t>such</w:t>
      </w:r>
      <w:r w:rsidR="00DF1884" w:rsidRPr="00DF1884">
        <w:rPr>
          <w:rFonts w:eastAsiaTheme="minorHAnsi"/>
        </w:rPr>
        <w:t xml:space="preserve"> </w:t>
      </w:r>
      <w:r w:rsidRPr="00DF1884">
        <w:rPr>
          <w:rFonts w:eastAsiaTheme="minorHAnsi"/>
        </w:rPr>
        <w:t>interventions</w:t>
      </w:r>
      <w:r w:rsidR="00DF1884" w:rsidRPr="00DF1884">
        <w:rPr>
          <w:rFonts w:eastAsiaTheme="minorHAnsi"/>
        </w:rPr>
        <w:t xml:space="preserve"> </w:t>
      </w:r>
      <w:r w:rsidRPr="00DF1884">
        <w:rPr>
          <w:rFonts w:eastAsiaTheme="minorHAnsi"/>
        </w:rPr>
        <w:t>would</w:t>
      </w:r>
      <w:r w:rsidR="00DF1884" w:rsidRPr="00DF1884">
        <w:rPr>
          <w:rFonts w:eastAsiaTheme="minorHAnsi"/>
        </w:rPr>
        <w:t xml:space="preserve"> </w:t>
      </w:r>
      <w:r w:rsidRPr="00DF1884">
        <w:rPr>
          <w:rFonts w:eastAsiaTheme="minorHAnsi"/>
        </w:rPr>
        <w:t>reduce</w:t>
      </w:r>
      <w:r w:rsidR="00DF1884" w:rsidRPr="00DF1884">
        <w:rPr>
          <w:rFonts w:eastAsiaTheme="minorHAnsi"/>
        </w:rPr>
        <w:t xml:space="preserve"> </w:t>
      </w:r>
      <w:r w:rsidRPr="00DF1884">
        <w:rPr>
          <w:rFonts w:eastAsiaTheme="minorHAnsi"/>
        </w:rPr>
        <w:t>the</w:t>
      </w:r>
      <w:r w:rsidR="00DF1884" w:rsidRPr="00DF1884">
        <w:rPr>
          <w:rFonts w:eastAsiaTheme="minorHAnsi"/>
        </w:rPr>
        <w:t xml:space="preserve"> </w:t>
      </w:r>
      <w:r w:rsidRPr="00DF1884">
        <w:rPr>
          <w:rFonts w:eastAsiaTheme="minorHAnsi"/>
        </w:rPr>
        <w:t>rate</w:t>
      </w:r>
      <w:r w:rsidR="00DF1884" w:rsidRPr="00DF1884">
        <w:rPr>
          <w:rFonts w:eastAsiaTheme="minorHAnsi"/>
        </w:rPr>
        <w:t xml:space="preserve"> </w:t>
      </w:r>
      <w:r w:rsidRPr="00DF1884">
        <w:rPr>
          <w:rFonts w:eastAsiaTheme="minorHAnsi"/>
        </w:rPr>
        <w:t>of</w:t>
      </w:r>
      <w:r w:rsidR="00DF1884" w:rsidRPr="00DF1884">
        <w:rPr>
          <w:rFonts w:eastAsiaTheme="minorHAnsi"/>
        </w:rPr>
        <w:t xml:space="preserve"> </w:t>
      </w:r>
      <w:r w:rsidRPr="00DF1884">
        <w:rPr>
          <w:rFonts w:eastAsiaTheme="minorHAnsi"/>
        </w:rPr>
        <w:t>hospitalization.</w:t>
      </w:r>
      <w:r w:rsidR="00DF1884" w:rsidRPr="00DF1884">
        <w:rPr>
          <w:rFonts w:eastAsiaTheme="minorHAnsi"/>
        </w:rPr>
        <w:t xml:space="preserve"> </w:t>
      </w:r>
      <w:r w:rsidRPr="00DF1884">
        <w:rPr>
          <w:rFonts w:eastAsiaTheme="minorHAnsi"/>
        </w:rPr>
        <w:t>Panelists</w:t>
      </w:r>
      <w:r w:rsidR="00DF1884" w:rsidRPr="00DF1884">
        <w:rPr>
          <w:rFonts w:eastAsiaTheme="minorHAnsi"/>
        </w:rPr>
        <w:t xml:space="preserve"> </w:t>
      </w:r>
      <w:r w:rsidRPr="00DF1884">
        <w:rPr>
          <w:rFonts w:eastAsiaTheme="minorHAnsi"/>
        </w:rPr>
        <w:t>expressed</w:t>
      </w:r>
      <w:r w:rsidR="00DF1884" w:rsidRPr="00DF1884">
        <w:rPr>
          <w:rFonts w:eastAsiaTheme="minorHAnsi"/>
        </w:rPr>
        <w:t xml:space="preserve"> </w:t>
      </w:r>
      <w:r w:rsidRPr="00DF1884">
        <w:rPr>
          <w:rFonts w:eastAsiaTheme="minorHAnsi"/>
        </w:rPr>
        <w:t>concern</w:t>
      </w:r>
      <w:r w:rsidR="00DF1884" w:rsidRPr="00DF1884">
        <w:rPr>
          <w:rFonts w:eastAsiaTheme="minorHAnsi"/>
        </w:rPr>
        <w:t xml:space="preserve"> </w:t>
      </w:r>
      <w:r w:rsidRPr="00DF1884">
        <w:rPr>
          <w:rFonts w:eastAsiaTheme="minorHAnsi"/>
        </w:rPr>
        <w:t>that</w:t>
      </w:r>
      <w:r w:rsidR="00DF1884" w:rsidRPr="00DF1884">
        <w:rPr>
          <w:rFonts w:eastAsiaTheme="minorHAnsi"/>
        </w:rPr>
        <w:t xml:space="preserve"> </w:t>
      </w:r>
      <w:r w:rsidRPr="00DF1884">
        <w:rPr>
          <w:rFonts w:eastAsiaTheme="minorHAnsi"/>
        </w:rPr>
        <w:t>many</w:t>
      </w:r>
      <w:r w:rsidR="00DF1884" w:rsidRPr="00DF1884">
        <w:rPr>
          <w:rFonts w:eastAsiaTheme="minorHAnsi"/>
        </w:rPr>
        <w:t xml:space="preserve"> </w:t>
      </w:r>
      <w:r w:rsidRPr="00DF1884">
        <w:rPr>
          <w:rFonts w:eastAsiaTheme="minorHAnsi"/>
        </w:rPr>
        <w:t>individuals</w:t>
      </w:r>
      <w:r w:rsidR="00DF1884" w:rsidRPr="00DF1884">
        <w:rPr>
          <w:rFonts w:eastAsiaTheme="minorHAnsi"/>
        </w:rPr>
        <w:t xml:space="preserve"> </w:t>
      </w:r>
      <w:r w:rsidR="00CA0676" w:rsidRPr="00DF1884">
        <w:rPr>
          <w:rFonts w:eastAsiaTheme="minorHAnsi"/>
        </w:rPr>
        <w:t>with</w:t>
      </w:r>
      <w:r w:rsidR="00DF1884" w:rsidRPr="00DF1884">
        <w:rPr>
          <w:rFonts w:eastAsiaTheme="minorHAnsi"/>
        </w:rPr>
        <w:t xml:space="preserve"> </w:t>
      </w:r>
      <w:r w:rsidRPr="00DF1884">
        <w:rPr>
          <w:rFonts w:eastAsiaTheme="minorHAnsi"/>
        </w:rPr>
        <w:t>angina</w:t>
      </w:r>
      <w:r w:rsidR="00DF1884" w:rsidRPr="00DF1884">
        <w:rPr>
          <w:rFonts w:eastAsiaTheme="minorHAnsi"/>
        </w:rPr>
        <w:t xml:space="preserve"> </w:t>
      </w:r>
      <w:r w:rsidRPr="00DF1884">
        <w:rPr>
          <w:rFonts w:eastAsiaTheme="minorHAnsi"/>
        </w:rPr>
        <w:t>are</w:t>
      </w:r>
      <w:r w:rsidR="00DF1884" w:rsidRPr="00DF1884">
        <w:rPr>
          <w:rFonts w:eastAsiaTheme="minorHAnsi"/>
        </w:rPr>
        <w:t xml:space="preserve"> </w:t>
      </w:r>
      <w:r w:rsidRPr="00DF1884">
        <w:rPr>
          <w:rFonts w:eastAsiaTheme="minorHAnsi"/>
        </w:rPr>
        <w:t>directed</w:t>
      </w:r>
      <w:r w:rsidR="00DF1884" w:rsidRPr="00DF1884">
        <w:rPr>
          <w:rFonts w:eastAsiaTheme="minorHAnsi"/>
        </w:rPr>
        <w:t xml:space="preserve"> </w:t>
      </w:r>
      <w:r w:rsidRPr="00DF1884">
        <w:rPr>
          <w:rFonts w:eastAsiaTheme="minorHAnsi"/>
        </w:rPr>
        <w:t>to</w:t>
      </w:r>
      <w:r w:rsidR="00DF1884" w:rsidRPr="00DF1884">
        <w:rPr>
          <w:rFonts w:eastAsiaTheme="minorHAnsi"/>
        </w:rPr>
        <w:t xml:space="preserve"> </w:t>
      </w:r>
      <w:r w:rsidRPr="00DF1884">
        <w:rPr>
          <w:rFonts w:eastAsiaTheme="minorHAnsi"/>
        </w:rPr>
        <w:t>the</w:t>
      </w:r>
      <w:r w:rsidR="00DF1884" w:rsidRPr="00DF1884">
        <w:rPr>
          <w:rFonts w:eastAsiaTheme="minorHAnsi"/>
        </w:rPr>
        <w:t xml:space="preserve"> </w:t>
      </w:r>
      <w:r w:rsidR="00CA0676" w:rsidRPr="00DF1884">
        <w:rPr>
          <w:rFonts w:eastAsiaTheme="minorHAnsi"/>
        </w:rPr>
        <w:t>ER,</w:t>
      </w:r>
      <w:r w:rsidR="00DF1884" w:rsidRPr="00DF1884">
        <w:rPr>
          <w:rFonts w:eastAsiaTheme="minorHAnsi"/>
        </w:rPr>
        <w:t xml:space="preserve"> </w:t>
      </w:r>
      <w:r w:rsidRPr="00DF1884">
        <w:rPr>
          <w:rFonts w:eastAsiaTheme="minorHAnsi"/>
        </w:rPr>
        <w:t>where</w:t>
      </w:r>
      <w:r w:rsidR="00DF1884" w:rsidRPr="00DF1884">
        <w:rPr>
          <w:rFonts w:eastAsiaTheme="minorHAnsi"/>
        </w:rPr>
        <w:t xml:space="preserve"> </w:t>
      </w:r>
      <w:r w:rsidRPr="00DF1884">
        <w:rPr>
          <w:rFonts w:eastAsiaTheme="minorHAnsi"/>
        </w:rPr>
        <w:t>thresholds</w:t>
      </w:r>
      <w:r w:rsidR="00DF1884" w:rsidRPr="00DF1884">
        <w:rPr>
          <w:rFonts w:eastAsiaTheme="minorHAnsi"/>
        </w:rPr>
        <w:t xml:space="preserve"> </w:t>
      </w:r>
      <w:r w:rsidRPr="00DF1884">
        <w:rPr>
          <w:rFonts w:eastAsiaTheme="minorHAnsi"/>
        </w:rPr>
        <w:t>for</w:t>
      </w:r>
      <w:r w:rsidR="00DF1884" w:rsidRPr="00DF1884">
        <w:rPr>
          <w:rFonts w:eastAsiaTheme="minorHAnsi"/>
        </w:rPr>
        <w:t xml:space="preserve"> </w:t>
      </w:r>
      <w:r w:rsidRPr="00DF1884">
        <w:rPr>
          <w:rFonts w:eastAsiaTheme="minorHAnsi"/>
        </w:rPr>
        <w:t>admission</w:t>
      </w:r>
      <w:r w:rsidR="00DF1884" w:rsidRPr="00DF1884">
        <w:rPr>
          <w:rFonts w:eastAsiaTheme="minorHAnsi"/>
        </w:rPr>
        <w:t xml:space="preserve"> </w:t>
      </w:r>
      <w:r w:rsidRPr="00DF1884">
        <w:rPr>
          <w:rFonts w:eastAsiaTheme="minorHAnsi"/>
        </w:rPr>
        <w:t>for</w:t>
      </w:r>
      <w:r w:rsidR="00DF1884" w:rsidRPr="00DF1884">
        <w:rPr>
          <w:rFonts w:eastAsiaTheme="minorHAnsi"/>
        </w:rPr>
        <w:t xml:space="preserve"> </w:t>
      </w:r>
      <w:r w:rsidRPr="00DF1884">
        <w:rPr>
          <w:rFonts w:eastAsiaTheme="minorHAnsi"/>
        </w:rPr>
        <w:t>chest</w:t>
      </w:r>
      <w:r w:rsidR="00DF1884" w:rsidRPr="00DF1884">
        <w:rPr>
          <w:rFonts w:eastAsiaTheme="minorHAnsi"/>
        </w:rPr>
        <w:t xml:space="preserve"> </w:t>
      </w:r>
      <w:r w:rsidRPr="00DF1884">
        <w:rPr>
          <w:rFonts w:eastAsiaTheme="minorHAnsi"/>
        </w:rPr>
        <w:t>pain</w:t>
      </w:r>
      <w:r w:rsidR="00DF1884" w:rsidRPr="00DF1884">
        <w:rPr>
          <w:rFonts w:eastAsiaTheme="minorHAnsi"/>
        </w:rPr>
        <w:t xml:space="preserve"> </w:t>
      </w:r>
      <w:r w:rsidRPr="00DF1884">
        <w:rPr>
          <w:rFonts w:eastAsiaTheme="minorHAnsi"/>
        </w:rPr>
        <w:t>are</w:t>
      </w:r>
      <w:r w:rsidR="00DF1884" w:rsidRPr="00DF1884">
        <w:rPr>
          <w:rFonts w:eastAsiaTheme="minorHAnsi"/>
        </w:rPr>
        <w:t xml:space="preserve"> </w:t>
      </w:r>
      <w:r w:rsidRPr="00DF1884">
        <w:rPr>
          <w:rFonts w:eastAsiaTheme="minorHAnsi"/>
        </w:rPr>
        <w:t>low</w:t>
      </w:r>
      <w:r w:rsidR="00DF1884" w:rsidRPr="00DF1884">
        <w:rPr>
          <w:rFonts w:eastAsiaTheme="minorHAnsi"/>
        </w:rPr>
        <w:t xml:space="preserve"> </w:t>
      </w:r>
      <w:r w:rsidRPr="00DF1884">
        <w:rPr>
          <w:rFonts w:eastAsiaTheme="minorHAnsi"/>
        </w:rPr>
        <w:t>due</w:t>
      </w:r>
      <w:r w:rsidR="00DF1884" w:rsidRPr="00DF1884">
        <w:rPr>
          <w:rFonts w:eastAsiaTheme="minorHAnsi"/>
        </w:rPr>
        <w:t xml:space="preserve"> </w:t>
      </w:r>
      <w:r w:rsidRPr="00DF1884">
        <w:rPr>
          <w:rFonts w:eastAsiaTheme="minorHAnsi"/>
        </w:rPr>
        <w:t>to</w:t>
      </w:r>
      <w:r w:rsidR="00DF1884" w:rsidRPr="00DF1884">
        <w:rPr>
          <w:rFonts w:eastAsiaTheme="minorHAnsi"/>
        </w:rPr>
        <w:t xml:space="preserve"> </w:t>
      </w:r>
      <w:r w:rsidRPr="00DF1884">
        <w:rPr>
          <w:rFonts w:eastAsiaTheme="minorHAnsi"/>
        </w:rPr>
        <w:t>the</w:t>
      </w:r>
      <w:r w:rsidR="00DF1884" w:rsidRPr="00DF1884">
        <w:rPr>
          <w:rFonts w:eastAsiaTheme="minorHAnsi"/>
        </w:rPr>
        <w:t xml:space="preserve"> </w:t>
      </w:r>
      <w:r w:rsidRPr="00DF1884">
        <w:rPr>
          <w:rFonts w:eastAsiaTheme="minorHAnsi"/>
        </w:rPr>
        <w:t>fear</w:t>
      </w:r>
      <w:r w:rsidR="00DF1884" w:rsidRPr="00DF1884">
        <w:rPr>
          <w:rFonts w:eastAsiaTheme="minorHAnsi"/>
        </w:rPr>
        <w:t xml:space="preserve"> </w:t>
      </w:r>
      <w:r w:rsidRPr="00DF1884">
        <w:rPr>
          <w:rFonts w:eastAsiaTheme="minorHAnsi"/>
        </w:rPr>
        <w:t>of</w:t>
      </w:r>
      <w:r w:rsidR="00DF1884" w:rsidRPr="00DF1884">
        <w:rPr>
          <w:rFonts w:eastAsiaTheme="minorHAnsi"/>
        </w:rPr>
        <w:t xml:space="preserve"> </w:t>
      </w:r>
      <w:r w:rsidRPr="00DF1884">
        <w:rPr>
          <w:rFonts w:eastAsiaTheme="minorHAnsi"/>
        </w:rPr>
        <w:t>possible</w:t>
      </w:r>
      <w:r w:rsidR="00DF1884" w:rsidRPr="00DF1884">
        <w:rPr>
          <w:rFonts w:eastAsiaTheme="minorHAnsi"/>
        </w:rPr>
        <w:t xml:space="preserve"> </w:t>
      </w:r>
      <w:r w:rsidRPr="00DF1884">
        <w:rPr>
          <w:rFonts w:eastAsiaTheme="minorHAnsi"/>
        </w:rPr>
        <w:t>legal</w:t>
      </w:r>
      <w:r w:rsidR="00DF1884" w:rsidRPr="00DF1884">
        <w:rPr>
          <w:rFonts w:eastAsiaTheme="minorHAnsi"/>
        </w:rPr>
        <w:t xml:space="preserve"> </w:t>
      </w:r>
      <w:r w:rsidRPr="00DF1884">
        <w:rPr>
          <w:rFonts w:eastAsiaTheme="minorHAnsi"/>
        </w:rPr>
        <w:t>action.</w:t>
      </w:r>
    </w:p>
    <w:p w14:paraId="7B830EEE" w14:textId="6CC8EE03" w:rsidR="00FB7739" w:rsidRPr="00DF1884" w:rsidRDefault="00FB7739" w:rsidP="0039781B">
      <w:pPr>
        <w:pStyle w:val="Bullet"/>
        <w:rPr>
          <w:rFonts w:cs="Arial"/>
        </w:rPr>
      </w:pPr>
      <w:r w:rsidRPr="00DF1884">
        <w:rPr>
          <w:rFonts w:cs="Arial"/>
          <w:b/>
        </w:rPr>
        <w:t>Lower</w:t>
      </w:r>
      <w:r w:rsidR="00DF1884" w:rsidRPr="00DF1884">
        <w:rPr>
          <w:rFonts w:cs="Arial"/>
          <w:b/>
        </w:rPr>
        <w:t xml:space="preserve"> </w:t>
      </w:r>
      <w:r w:rsidRPr="00DF1884">
        <w:rPr>
          <w:rFonts w:cs="Arial"/>
          <w:b/>
        </w:rPr>
        <w:t>Extremity</w:t>
      </w:r>
      <w:r w:rsidR="00DF1884" w:rsidRPr="00DF1884">
        <w:rPr>
          <w:rFonts w:cs="Arial"/>
          <w:b/>
        </w:rPr>
        <w:t xml:space="preserve"> </w:t>
      </w:r>
      <w:r w:rsidRPr="00DF1884">
        <w:rPr>
          <w:rFonts w:cs="Arial"/>
          <w:b/>
        </w:rPr>
        <w:t>Amputation:</w:t>
      </w:r>
      <w:r w:rsidR="00DF1884" w:rsidRPr="00DF1884">
        <w:rPr>
          <w:rFonts w:cs="Arial"/>
        </w:rPr>
        <w:t xml:space="preserve"> </w:t>
      </w:r>
      <w:r w:rsidRPr="00DF1884">
        <w:rPr>
          <w:rFonts w:cs="Arial"/>
        </w:rPr>
        <w:t>Minor</w:t>
      </w:r>
      <w:r w:rsidR="00DF1884" w:rsidRPr="00DF1884">
        <w:rPr>
          <w:rFonts w:cs="Arial"/>
        </w:rPr>
        <w:t xml:space="preserve"> </w:t>
      </w:r>
      <w:r w:rsidRPr="00DF1884">
        <w:rPr>
          <w:rFonts w:cs="Arial"/>
        </w:rPr>
        <w:t>problems</w:t>
      </w:r>
      <w:r w:rsidR="00DF1884" w:rsidRPr="00DF1884">
        <w:rPr>
          <w:rFonts w:cs="Arial"/>
        </w:rPr>
        <w:t xml:space="preserve"> </w:t>
      </w:r>
      <w:r w:rsidRPr="00DF1884">
        <w:rPr>
          <w:rFonts w:cs="Arial"/>
        </w:rPr>
        <w:t>in</w:t>
      </w:r>
      <w:r w:rsidR="00DF1884" w:rsidRPr="00DF1884">
        <w:rPr>
          <w:rFonts w:cs="Arial"/>
        </w:rPr>
        <w:t xml:space="preserve"> </w:t>
      </w:r>
      <w:r w:rsidRPr="00DF1884">
        <w:rPr>
          <w:rFonts w:cs="Arial"/>
        </w:rPr>
        <w:t>the</w:t>
      </w:r>
      <w:r w:rsidR="00DF1884" w:rsidRPr="00DF1884">
        <w:rPr>
          <w:rFonts w:cs="Arial"/>
        </w:rPr>
        <w:t xml:space="preserve"> </w:t>
      </w:r>
      <w:r w:rsidRPr="00DF1884">
        <w:rPr>
          <w:rFonts w:cs="Arial"/>
        </w:rPr>
        <w:t>lower</w:t>
      </w:r>
      <w:r w:rsidR="00DF1884" w:rsidRPr="00DF1884">
        <w:rPr>
          <w:rFonts w:cs="Arial"/>
        </w:rPr>
        <w:t xml:space="preserve"> </w:t>
      </w:r>
      <w:r w:rsidRPr="00DF1884">
        <w:rPr>
          <w:rFonts w:cs="Arial"/>
        </w:rPr>
        <w:t>extremities</w:t>
      </w:r>
      <w:r w:rsidR="00DF1884" w:rsidRPr="00DF1884">
        <w:rPr>
          <w:rFonts w:cs="Arial"/>
        </w:rPr>
        <w:t xml:space="preserve"> </w:t>
      </w:r>
      <w:r w:rsidRPr="00DF1884">
        <w:rPr>
          <w:rFonts w:cs="Arial"/>
        </w:rPr>
        <w:t>can</w:t>
      </w:r>
      <w:r w:rsidR="00DF1884" w:rsidRPr="00DF1884">
        <w:rPr>
          <w:rFonts w:cs="Arial"/>
        </w:rPr>
        <w:t xml:space="preserve"> </w:t>
      </w:r>
      <w:r w:rsidRPr="00DF1884">
        <w:rPr>
          <w:rFonts w:cs="Arial"/>
        </w:rPr>
        <w:t>be</w:t>
      </w:r>
      <w:r w:rsidR="00DF1884" w:rsidRPr="00DF1884">
        <w:rPr>
          <w:rFonts w:cs="Arial"/>
        </w:rPr>
        <w:t xml:space="preserve"> </w:t>
      </w:r>
      <w:r w:rsidRPr="00DF1884">
        <w:rPr>
          <w:rFonts w:cs="Arial"/>
        </w:rPr>
        <w:t>treated</w:t>
      </w:r>
      <w:r w:rsidR="00DF1884" w:rsidRPr="00DF1884">
        <w:rPr>
          <w:rFonts w:cs="Arial"/>
        </w:rPr>
        <w:t xml:space="preserve"> </w:t>
      </w:r>
      <w:r w:rsidRPr="00DF1884">
        <w:rPr>
          <w:rFonts w:cs="Arial"/>
        </w:rPr>
        <w:t>in</w:t>
      </w:r>
      <w:r w:rsidR="00DF1884" w:rsidRPr="00DF1884">
        <w:rPr>
          <w:rFonts w:cs="Arial"/>
        </w:rPr>
        <w:t xml:space="preserve"> </w:t>
      </w:r>
      <w:r w:rsidRPr="00DF1884">
        <w:rPr>
          <w:rFonts w:cs="Arial"/>
        </w:rPr>
        <w:t>outpatient</w:t>
      </w:r>
      <w:r w:rsidR="00DF1884" w:rsidRPr="00DF1884">
        <w:rPr>
          <w:rFonts w:cs="Arial"/>
        </w:rPr>
        <w:t xml:space="preserve"> </w:t>
      </w:r>
      <w:r w:rsidRPr="00DF1884">
        <w:rPr>
          <w:rFonts w:cs="Arial"/>
        </w:rPr>
        <w:t>care</w:t>
      </w:r>
      <w:r w:rsidR="00CA0676" w:rsidRPr="00DF1884">
        <w:rPr>
          <w:rFonts w:cs="Arial"/>
        </w:rPr>
        <w:t>,</w:t>
      </w:r>
      <w:r w:rsidR="00DF1884" w:rsidRPr="00DF1884">
        <w:rPr>
          <w:rFonts w:cs="Arial"/>
        </w:rPr>
        <w:t xml:space="preserve"> </w:t>
      </w:r>
      <w:r w:rsidRPr="00DF1884">
        <w:rPr>
          <w:rFonts w:cs="Arial"/>
        </w:rPr>
        <w:t>limiting</w:t>
      </w:r>
      <w:r w:rsidR="00DF1884" w:rsidRPr="00DF1884">
        <w:rPr>
          <w:rFonts w:cs="Arial"/>
        </w:rPr>
        <w:t xml:space="preserve"> </w:t>
      </w:r>
      <w:r w:rsidRPr="00DF1884">
        <w:rPr>
          <w:rFonts w:cs="Arial"/>
        </w:rPr>
        <w:t>the</w:t>
      </w:r>
      <w:r w:rsidR="00DF1884" w:rsidRPr="00DF1884">
        <w:rPr>
          <w:rFonts w:cs="Arial"/>
        </w:rPr>
        <w:t xml:space="preserve"> </w:t>
      </w:r>
      <w:r w:rsidRPr="00DF1884">
        <w:rPr>
          <w:rFonts w:cs="Arial"/>
        </w:rPr>
        <w:t>progression</w:t>
      </w:r>
      <w:r w:rsidR="00DF1884" w:rsidRPr="00DF1884">
        <w:rPr>
          <w:rFonts w:cs="Arial"/>
        </w:rPr>
        <w:t xml:space="preserve"> </w:t>
      </w:r>
      <w:r w:rsidRPr="00DF1884">
        <w:rPr>
          <w:rFonts w:cs="Arial"/>
        </w:rPr>
        <w:t>of</w:t>
      </w:r>
      <w:r w:rsidR="00DF1884" w:rsidRPr="00DF1884">
        <w:rPr>
          <w:rFonts w:cs="Arial"/>
        </w:rPr>
        <w:t xml:space="preserve"> </w:t>
      </w:r>
      <w:r w:rsidRPr="00DF1884">
        <w:rPr>
          <w:rFonts w:cs="Arial"/>
        </w:rPr>
        <w:t>the</w:t>
      </w:r>
      <w:r w:rsidR="00DF1884" w:rsidRPr="00DF1884">
        <w:rPr>
          <w:rFonts w:cs="Arial"/>
        </w:rPr>
        <w:t xml:space="preserve"> </w:t>
      </w:r>
      <w:r w:rsidRPr="00DF1884">
        <w:rPr>
          <w:rFonts w:cs="Arial"/>
        </w:rPr>
        <w:t>disease.</w:t>
      </w:r>
      <w:r w:rsidR="00DF1884" w:rsidRPr="00DF1884">
        <w:rPr>
          <w:rFonts w:cs="Arial"/>
        </w:rPr>
        <w:t xml:space="preserve"> </w:t>
      </w:r>
      <w:r w:rsidR="008117C8" w:rsidRPr="00DF1884">
        <w:rPr>
          <w:rFonts w:cs="Arial"/>
        </w:rPr>
        <w:t>Payer</w:t>
      </w:r>
      <w:r w:rsidR="00DF1884" w:rsidRPr="00DF1884">
        <w:rPr>
          <w:rFonts w:cs="Arial"/>
        </w:rPr>
        <w:t xml:space="preserve"> </w:t>
      </w:r>
      <w:r w:rsidRPr="00DF1884">
        <w:rPr>
          <w:rFonts w:cs="Arial"/>
        </w:rPr>
        <w:t>organizations</w:t>
      </w:r>
      <w:r w:rsidR="00DF1884" w:rsidRPr="00DF1884">
        <w:rPr>
          <w:rFonts w:cs="Arial"/>
        </w:rPr>
        <w:t xml:space="preserve"> </w:t>
      </w:r>
      <w:r w:rsidRPr="00DF1884">
        <w:rPr>
          <w:rFonts w:cs="Arial"/>
        </w:rPr>
        <w:t>may</w:t>
      </w:r>
      <w:r w:rsidR="00DF1884" w:rsidRPr="00DF1884">
        <w:rPr>
          <w:rFonts w:cs="Arial"/>
        </w:rPr>
        <w:t xml:space="preserve"> </w:t>
      </w:r>
      <w:r w:rsidRPr="00DF1884">
        <w:rPr>
          <w:rFonts w:cs="Arial"/>
        </w:rPr>
        <w:t>be</w:t>
      </w:r>
      <w:r w:rsidR="00DF1884" w:rsidRPr="00DF1884">
        <w:rPr>
          <w:rFonts w:cs="Arial"/>
        </w:rPr>
        <w:t xml:space="preserve"> </w:t>
      </w:r>
      <w:r w:rsidRPr="00DF1884">
        <w:rPr>
          <w:rFonts w:cs="Arial"/>
        </w:rPr>
        <w:t>able</w:t>
      </w:r>
      <w:r w:rsidR="00DF1884" w:rsidRPr="00DF1884">
        <w:rPr>
          <w:rFonts w:cs="Arial"/>
        </w:rPr>
        <w:t xml:space="preserve"> </w:t>
      </w:r>
      <w:r w:rsidRPr="00DF1884">
        <w:rPr>
          <w:rFonts w:cs="Arial"/>
        </w:rPr>
        <w:t>to</w:t>
      </w:r>
      <w:r w:rsidR="00DF1884" w:rsidRPr="00DF1884">
        <w:rPr>
          <w:rFonts w:cs="Arial"/>
        </w:rPr>
        <w:t xml:space="preserve"> </w:t>
      </w:r>
      <w:r w:rsidRPr="00DF1884">
        <w:rPr>
          <w:rFonts w:cs="Arial"/>
        </w:rPr>
        <w:t>enhance</w:t>
      </w:r>
      <w:r w:rsidR="00DF1884" w:rsidRPr="00DF1884">
        <w:rPr>
          <w:rFonts w:cs="Arial"/>
        </w:rPr>
        <w:t xml:space="preserve"> </w:t>
      </w:r>
      <w:r w:rsidRPr="00DF1884">
        <w:rPr>
          <w:rFonts w:cs="Arial"/>
        </w:rPr>
        <w:t>coverage</w:t>
      </w:r>
      <w:r w:rsidR="00DF1884" w:rsidRPr="00DF1884">
        <w:rPr>
          <w:rFonts w:cs="Arial"/>
        </w:rPr>
        <w:t xml:space="preserve"> </w:t>
      </w:r>
      <w:r w:rsidRPr="00DF1884">
        <w:rPr>
          <w:rFonts w:cs="Arial"/>
        </w:rPr>
        <w:t>of</w:t>
      </w:r>
      <w:r w:rsidR="00DF1884" w:rsidRPr="00DF1884">
        <w:rPr>
          <w:rFonts w:cs="Arial"/>
        </w:rPr>
        <w:t xml:space="preserve"> </w:t>
      </w:r>
      <w:r w:rsidRPr="00DF1884">
        <w:rPr>
          <w:rFonts w:cs="Arial"/>
        </w:rPr>
        <w:t>medication</w:t>
      </w:r>
      <w:r w:rsidR="00DF1884" w:rsidRPr="00DF1884">
        <w:rPr>
          <w:rFonts w:cs="Arial"/>
        </w:rPr>
        <w:t xml:space="preserve"> </w:t>
      </w:r>
      <w:r w:rsidR="00CA0676" w:rsidRPr="00DF1884">
        <w:rPr>
          <w:rFonts w:cs="Arial"/>
        </w:rPr>
        <w:t>and</w:t>
      </w:r>
      <w:r w:rsidR="00DF1884" w:rsidRPr="00DF1884">
        <w:rPr>
          <w:rFonts w:cs="Arial"/>
        </w:rPr>
        <w:t xml:space="preserve"> </w:t>
      </w:r>
      <w:r w:rsidRPr="00DF1884">
        <w:rPr>
          <w:rFonts w:cs="Arial"/>
        </w:rPr>
        <w:t>supplies</w:t>
      </w:r>
      <w:r w:rsidR="00DF1884" w:rsidRPr="00DF1884">
        <w:rPr>
          <w:rFonts w:cs="Arial"/>
        </w:rPr>
        <w:t xml:space="preserve"> </w:t>
      </w:r>
      <w:r w:rsidRPr="00DF1884">
        <w:rPr>
          <w:rFonts w:cs="Arial"/>
        </w:rPr>
        <w:t>for</w:t>
      </w:r>
      <w:r w:rsidR="00DF1884" w:rsidRPr="00DF1884">
        <w:rPr>
          <w:rFonts w:cs="Arial"/>
        </w:rPr>
        <w:t xml:space="preserve"> </w:t>
      </w:r>
      <w:r w:rsidRPr="00DF1884">
        <w:rPr>
          <w:rFonts w:cs="Arial"/>
        </w:rPr>
        <w:t>diabetes</w:t>
      </w:r>
      <w:r w:rsidR="00DF1884" w:rsidRPr="00DF1884">
        <w:rPr>
          <w:rFonts w:cs="Arial"/>
        </w:rPr>
        <w:t xml:space="preserve"> </w:t>
      </w:r>
      <w:r w:rsidRPr="00DF1884">
        <w:rPr>
          <w:rFonts w:cs="Arial"/>
        </w:rPr>
        <w:t>self-management</w:t>
      </w:r>
      <w:r w:rsidR="00CA0676" w:rsidRPr="00DF1884">
        <w:rPr>
          <w:rFonts w:cs="Arial"/>
        </w:rPr>
        <w:t>,</w:t>
      </w:r>
      <w:r w:rsidR="00DF1884" w:rsidRPr="00DF1884">
        <w:rPr>
          <w:rFonts w:cs="Arial"/>
        </w:rPr>
        <w:t xml:space="preserve"> </w:t>
      </w:r>
      <w:r w:rsidRPr="00DF1884">
        <w:rPr>
          <w:rFonts w:cs="Arial"/>
        </w:rPr>
        <w:t>and</w:t>
      </w:r>
      <w:r w:rsidR="00DF1884" w:rsidRPr="00DF1884">
        <w:rPr>
          <w:rFonts w:cs="Arial"/>
        </w:rPr>
        <w:t xml:space="preserve"> </w:t>
      </w:r>
      <w:r w:rsidRPr="00DF1884">
        <w:rPr>
          <w:rFonts w:cs="Arial"/>
        </w:rPr>
        <w:t>promote</w:t>
      </w:r>
      <w:r w:rsidR="00DF1884" w:rsidRPr="00DF1884">
        <w:rPr>
          <w:rFonts w:cs="Arial"/>
        </w:rPr>
        <w:t xml:space="preserve"> </w:t>
      </w:r>
      <w:r w:rsidRPr="00DF1884">
        <w:rPr>
          <w:rFonts w:cs="Arial"/>
        </w:rPr>
        <w:t>care</w:t>
      </w:r>
      <w:r w:rsidR="00DF1884" w:rsidRPr="00DF1884">
        <w:rPr>
          <w:rFonts w:cs="Arial"/>
        </w:rPr>
        <w:t xml:space="preserve"> </w:t>
      </w:r>
      <w:r w:rsidRPr="00DF1884">
        <w:rPr>
          <w:rFonts w:cs="Arial"/>
        </w:rPr>
        <w:t>coordination.</w:t>
      </w:r>
      <w:r w:rsidR="00DF1884" w:rsidRPr="00DF1884">
        <w:rPr>
          <w:rFonts w:cs="Arial"/>
          <w:i/>
        </w:rPr>
        <w:t xml:space="preserve"> </w:t>
      </w:r>
      <w:r w:rsidRPr="00DF1884">
        <w:rPr>
          <w:rFonts w:cs="Arial"/>
        </w:rPr>
        <w:t>There</w:t>
      </w:r>
      <w:r w:rsidR="00DF1884" w:rsidRPr="00DF1884">
        <w:rPr>
          <w:rFonts w:cs="Arial"/>
        </w:rPr>
        <w:t xml:space="preserve"> </w:t>
      </w:r>
      <w:r w:rsidRPr="00DF1884">
        <w:rPr>
          <w:rFonts w:cs="Arial"/>
        </w:rPr>
        <w:t>was</w:t>
      </w:r>
      <w:r w:rsidR="00DF1884" w:rsidRPr="00DF1884">
        <w:rPr>
          <w:rFonts w:cs="Arial"/>
        </w:rPr>
        <w:t xml:space="preserve"> </w:t>
      </w:r>
      <w:r w:rsidRPr="00DF1884">
        <w:rPr>
          <w:rFonts w:cs="Arial"/>
        </w:rPr>
        <w:t>a</w:t>
      </w:r>
      <w:r w:rsidR="00DF1884" w:rsidRPr="00DF1884">
        <w:rPr>
          <w:rFonts w:cs="Arial"/>
        </w:rPr>
        <w:t xml:space="preserve"> </w:t>
      </w:r>
      <w:r w:rsidRPr="00DF1884">
        <w:rPr>
          <w:rFonts w:cs="Arial"/>
        </w:rPr>
        <w:t>concern</w:t>
      </w:r>
      <w:r w:rsidR="00DF1884" w:rsidRPr="00DF1884">
        <w:rPr>
          <w:rFonts w:cs="Arial"/>
        </w:rPr>
        <w:t xml:space="preserve"> </w:t>
      </w:r>
      <w:r w:rsidRPr="00DF1884">
        <w:rPr>
          <w:rFonts w:cs="Arial"/>
        </w:rPr>
        <w:t>that</w:t>
      </w:r>
      <w:r w:rsidR="00DF1884" w:rsidRPr="00DF1884">
        <w:rPr>
          <w:rFonts w:cs="Arial"/>
        </w:rPr>
        <w:t xml:space="preserve"> </w:t>
      </w:r>
      <w:r w:rsidRPr="00DF1884">
        <w:rPr>
          <w:rFonts w:cs="Arial"/>
        </w:rPr>
        <w:t>patient</w:t>
      </w:r>
      <w:r w:rsidR="00DF1884" w:rsidRPr="00DF1884">
        <w:rPr>
          <w:rFonts w:cs="Arial"/>
        </w:rPr>
        <w:t xml:space="preserve"> </w:t>
      </w:r>
      <w:r w:rsidRPr="00DF1884">
        <w:rPr>
          <w:rFonts w:cs="Arial"/>
        </w:rPr>
        <w:t>factors</w:t>
      </w:r>
      <w:r w:rsidR="00DF1884" w:rsidRPr="00DF1884">
        <w:rPr>
          <w:rFonts w:cs="Arial"/>
        </w:rPr>
        <w:t xml:space="preserve"> </w:t>
      </w:r>
      <w:r w:rsidRPr="00DF1884">
        <w:rPr>
          <w:rFonts w:cs="Arial"/>
        </w:rPr>
        <w:t>such</w:t>
      </w:r>
      <w:r w:rsidR="00DF1884" w:rsidRPr="00DF1884">
        <w:rPr>
          <w:rFonts w:cs="Arial"/>
        </w:rPr>
        <w:t xml:space="preserve"> </w:t>
      </w:r>
      <w:r w:rsidRPr="00DF1884">
        <w:rPr>
          <w:rFonts w:cs="Arial"/>
        </w:rPr>
        <w:t>as</w:t>
      </w:r>
      <w:r w:rsidR="00DF1884" w:rsidRPr="00DF1884">
        <w:rPr>
          <w:rFonts w:cs="Arial"/>
        </w:rPr>
        <w:t xml:space="preserve"> </w:t>
      </w:r>
      <w:r w:rsidRPr="00DF1884">
        <w:rPr>
          <w:rFonts w:cs="Arial"/>
        </w:rPr>
        <w:t>diet,</w:t>
      </w:r>
      <w:r w:rsidR="00DF1884" w:rsidRPr="00DF1884">
        <w:rPr>
          <w:rFonts w:cs="Arial"/>
        </w:rPr>
        <w:t xml:space="preserve"> </w:t>
      </w:r>
      <w:r w:rsidRPr="00DF1884">
        <w:rPr>
          <w:rFonts w:cs="Arial"/>
        </w:rPr>
        <w:t>income</w:t>
      </w:r>
      <w:r w:rsidR="00DF1884" w:rsidRPr="00DF1884">
        <w:rPr>
          <w:rFonts w:cs="Arial"/>
        </w:rPr>
        <w:t xml:space="preserve"> </w:t>
      </w:r>
      <w:r w:rsidRPr="00DF1884">
        <w:rPr>
          <w:rFonts w:cs="Arial"/>
        </w:rPr>
        <w:t>and</w:t>
      </w:r>
      <w:r w:rsidR="00DF1884" w:rsidRPr="00DF1884">
        <w:rPr>
          <w:rFonts w:cs="Arial"/>
        </w:rPr>
        <w:t xml:space="preserve"> </w:t>
      </w:r>
      <w:r w:rsidRPr="00DF1884">
        <w:rPr>
          <w:rFonts w:cs="Arial"/>
        </w:rPr>
        <w:t>geographic</w:t>
      </w:r>
      <w:r w:rsidR="00DF1884" w:rsidRPr="00DF1884">
        <w:rPr>
          <w:rFonts w:cs="Arial"/>
        </w:rPr>
        <w:t xml:space="preserve"> </w:t>
      </w:r>
      <w:r w:rsidRPr="00DF1884">
        <w:rPr>
          <w:rFonts w:cs="Arial"/>
        </w:rPr>
        <w:t>limitations</w:t>
      </w:r>
      <w:r w:rsidR="00DF1884" w:rsidRPr="00DF1884">
        <w:rPr>
          <w:rFonts w:cs="Arial"/>
        </w:rPr>
        <w:t xml:space="preserve"> </w:t>
      </w:r>
      <w:r w:rsidRPr="00DF1884">
        <w:rPr>
          <w:rFonts w:cs="Arial"/>
        </w:rPr>
        <w:t>may</w:t>
      </w:r>
      <w:r w:rsidR="00DF1884" w:rsidRPr="00DF1884">
        <w:rPr>
          <w:rFonts w:cs="Arial"/>
        </w:rPr>
        <w:t xml:space="preserve"> </w:t>
      </w:r>
      <w:r w:rsidRPr="00DF1884">
        <w:rPr>
          <w:rFonts w:cs="Arial"/>
        </w:rPr>
        <w:t>limit</w:t>
      </w:r>
      <w:r w:rsidR="00DF1884" w:rsidRPr="00DF1884">
        <w:rPr>
          <w:rFonts w:cs="Arial"/>
        </w:rPr>
        <w:t xml:space="preserve"> </w:t>
      </w:r>
      <w:r w:rsidRPr="00DF1884">
        <w:rPr>
          <w:rFonts w:cs="Arial"/>
        </w:rPr>
        <w:t>the</w:t>
      </w:r>
      <w:r w:rsidR="00DF1884" w:rsidRPr="00DF1884">
        <w:rPr>
          <w:rFonts w:cs="Arial"/>
        </w:rPr>
        <w:t xml:space="preserve"> </w:t>
      </w:r>
      <w:r w:rsidR="00CA0676" w:rsidRPr="00DF1884">
        <w:rPr>
          <w:rFonts w:cs="Arial"/>
        </w:rPr>
        <w:t>health</w:t>
      </w:r>
      <w:r w:rsidR="00DF1884" w:rsidRPr="00DF1884">
        <w:rPr>
          <w:rFonts w:cs="Arial"/>
        </w:rPr>
        <w:t xml:space="preserve"> </w:t>
      </w:r>
      <w:r w:rsidR="00CA0676" w:rsidRPr="00DF1884">
        <w:rPr>
          <w:rFonts w:cs="Arial"/>
        </w:rPr>
        <w:t>care</w:t>
      </w:r>
      <w:r w:rsidR="00DF1884" w:rsidRPr="00DF1884">
        <w:rPr>
          <w:rFonts w:cs="Arial"/>
        </w:rPr>
        <w:t xml:space="preserve"> </w:t>
      </w:r>
      <w:r w:rsidR="00CA0676" w:rsidRPr="00DF1884">
        <w:rPr>
          <w:rFonts w:cs="Arial"/>
        </w:rPr>
        <w:t>system’s</w:t>
      </w:r>
      <w:r w:rsidR="00DF1884" w:rsidRPr="00DF1884">
        <w:rPr>
          <w:rFonts w:cs="Arial"/>
        </w:rPr>
        <w:t xml:space="preserve"> </w:t>
      </w:r>
      <w:r w:rsidRPr="00DF1884">
        <w:rPr>
          <w:rFonts w:cs="Arial"/>
        </w:rPr>
        <w:t>control</w:t>
      </w:r>
      <w:r w:rsidR="00DF1884" w:rsidRPr="00DF1884">
        <w:rPr>
          <w:rFonts w:cs="Arial"/>
        </w:rPr>
        <w:t xml:space="preserve"> </w:t>
      </w:r>
      <w:r w:rsidRPr="00DF1884">
        <w:rPr>
          <w:rFonts w:cs="Arial"/>
        </w:rPr>
        <w:t>on</w:t>
      </w:r>
      <w:r w:rsidR="00DF1884" w:rsidRPr="00DF1884">
        <w:rPr>
          <w:rFonts w:cs="Arial"/>
        </w:rPr>
        <w:t xml:space="preserve"> </w:t>
      </w:r>
      <w:r w:rsidRPr="00DF1884">
        <w:rPr>
          <w:rFonts w:cs="Arial"/>
        </w:rPr>
        <w:t>admission</w:t>
      </w:r>
      <w:r w:rsidR="00DF1884" w:rsidRPr="00DF1884">
        <w:rPr>
          <w:rFonts w:cs="Arial"/>
        </w:rPr>
        <w:t xml:space="preserve"> </w:t>
      </w:r>
      <w:r w:rsidRPr="00DF1884">
        <w:rPr>
          <w:rFonts w:cs="Arial"/>
        </w:rPr>
        <w:t>rates.</w:t>
      </w:r>
    </w:p>
    <w:p w14:paraId="21A5C080" w14:textId="77777777" w:rsidR="00463667" w:rsidRPr="00DF1884" w:rsidRDefault="00463667" w:rsidP="00463667">
      <w:pPr>
        <w:pStyle w:val="ReverseHead"/>
      </w:pPr>
      <w:r w:rsidRPr="00DF1884">
        <w:t>Relevance</w:t>
      </w:r>
    </w:p>
    <w:tbl>
      <w:tblPr>
        <w:tblW w:w="0" w:type="auto"/>
        <w:tblInd w:w="-41" w:type="dxa"/>
        <w:tblLayout w:type="fixed"/>
        <w:tblCellMar>
          <w:left w:w="180" w:type="dxa"/>
          <w:right w:w="180" w:type="dxa"/>
        </w:tblCellMar>
        <w:tblLook w:val="0000" w:firstRow="0" w:lastRow="0" w:firstColumn="0" w:lastColumn="0" w:noHBand="0" w:noVBand="0"/>
      </w:tblPr>
      <w:tblGrid>
        <w:gridCol w:w="1866"/>
        <w:gridCol w:w="6"/>
        <w:gridCol w:w="8069"/>
      </w:tblGrid>
      <w:tr w:rsidR="00DF1884" w:rsidRPr="00DF1884" w14:paraId="085B485F" w14:textId="77777777" w:rsidTr="00C56CA6">
        <w:tc>
          <w:tcPr>
            <w:tcW w:w="1872" w:type="dxa"/>
            <w:gridSpan w:val="2"/>
            <w:tcMar>
              <w:left w:w="115" w:type="dxa"/>
              <w:right w:w="115" w:type="dxa"/>
            </w:tcMar>
          </w:tcPr>
          <w:p w14:paraId="6ED6C437" w14:textId="0DCE5CDB" w:rsidR="00463667" w:rsidRPr="00DF1884" w:rsidRDefault="00463667" w:rsidP="00C56CA6">
            <w:pPr>
              <w:pStyle w:val="MarginSubhead"/>
            </w:pPr>
            <w:r w:rsidRPr="00DF1884">
              <w:t>Health</w:t>
            </w:r>
            <w:r w:rsidR="00DF1884" w:rsidRPr="00DF1884">
              <w:t xml:space="preserve"> </w:t>
            </w:r>
            <w:r w:rsidRPr="00DF1884">
              <w:t>importance</w:t>
            </w:r>
          </w:p>
        </w:tc>
        <w:tc>
          <w:tcPr>
            <w:tcW w:w="8069" w:type="dxa"/>
            <w:tcMar>
              <w:left w:w="115" w:type="dxa"/>
              <w:right w:w="115" w:type="dxa"/>
            </w:tcMar>
          </w:tcPr>
          <w:p w14:paraId="3C4D9BB5" w14:textId="186D5983" w:rsidR="00463667" w:rsidRPr="00DF1884" w:rsidRDefault="001559AE" w:rsidP="00CA0676">
            <w:pPr>
              <w:pStyle w:val="Body"/>
            </w:pPr>
            <w:r w:rsidRPr="00DF1884">
              <w:rPr>
                <w:rFonts w:eastAsiaTheme="minorHAnsi" w:cs="Arial"/>
                <w:szCs w:val="20"/>
              </w:rPr>
              <w:t>In</w:t>
            </w:r>
            <w:r w:rsidR="00DF1884" w:rsidRPr="00DF1884">
              <w:rPr>
                <w:rFonts w:eastAsiaTheme="minorHAnsi" w:cs="Arial"/>
                <w:szCs w:val="20"/>
              </w:rPr>
              <w:t xml:space="preserve"> </w:t>
            </w:r>
            <w:r w:rsidRPr="00DF1884">
              <w:rPr>
                <w:rFonts w:eastAsiaTheme="minorHAnsi" w:cs="Arial"/>
                <w:szCs w:val="20"/>
              </w:rPr>
              <w:t>2011,</w:t>
            </w:r>
            <w:r w:rsidR="00DF1884" w:rsidRPr="00DF1884">
              <w:rPr>
                <w:rFonts w:eastAsiaTheme="minorHAnsi" w:cs="Arial"/>
                <w:szCs w:val="20"/>
              </w:rPr>
              <w:t xml:space="preserve"> </w:t>
            </w:r>
            <w:r w:rsidRPr="00DF1884">
              <w:rPr>
                <w:rFonts w:eastAsiaTheme="minorHAnsi" w:cs="Arial"/>
                <w:szCs w:val="20"/>
              </w:rPr>
              <w:t>approximately</w:t>
            </w:r>
            <w:r w:rsidR="00DF1884" w:rsidRPr="00DF1884">
              <w:rPr>
                <w:rFonts w:eastAsiaTheme="minorHAnsi" w:cs="Arial"/>
                <w:szCs w:val="20"/>
              </w:rPr>
              <w:t xml:space="preserve"> </w:t>
            </w:r>
            <w:r w:rsidRPr="00DF1884">
              <w:rPr>
                <w:rFonts w:eastAsiaTheme="minorHAnsi" w:cs="Arial"/>
                <w:szCs w:val="20"/>
              </w:rPr>
              <w:t>3</w:t>
            </w:r>
            <w:r w:rsidR="00DF1884" w:rsidRPr="00DF1884">
              <w:rPr>
                <w:rFonts w:eastAsiaTheme="minorHAnsi" w:cs="Arial"/>
                <w:szCs w:val="20"/>
              </w:rPr>
              <w:t xml:space="preserve"> </w:t>
            </w:r>
            <w:r w:rsidRPr="00DF1884">
              <w:rPr>
                <w:rFonts w:eastAsiaTheme="minorHAnsi" w:cs="Arial"/>
                <w:szCs w:val="20"/>
              </w:rPr>
              <w:t>out</w:t>
            </w:r>
            <w:r w:rsidR="00DF1884" w:rsidRPr="00DF1884">
              <w:rPr>
                <w:rFonts w:eastAsiaTheme="minorHAnsi" w:cs="Arial"/>
                <w:szCs w:val="20"/>
              </w:rPr>
              <w:t xml:space="preserve"> </w:t>
            </w:r>
            <w:r w:rsidRPr="00DF1884">
              <w:rPr>
                <w:rFonts w:eastAsiaTheme="minorHAnsi" w:cs="Arial"/>
                <w:szCs w:val="20"/>
              </w:rPr>
              <w:t>of</w:t>
            </w:r>
            <w:r w:rsidR="00DF1884" w:rsidRPr="00DF1884">
              <w:rPr>
                <w:rFonts w:eastAsiaTheme="minorHAnsi" w:cs="Arial"/>
                <w:szCs w:val="20"/>
              </w:rPr>
              <w:t xml:space="preserve"> </w:t>
            </w:r>
            <w:r w:rsidRPr="00DF1884">
              <w:rPr>
                <w:rFonts w:eastAsiaTheme="minorHAnsi" w:cs="Arial"/>
                <w:szCs w:val="20"/>
              </w:rPr>
              <w:t>every</w:t>
            </w:r>
            <w:r w:rsidR="00DF1884" w:rsidRPr="00DF1884">
              <w:rPr>
                <w:rFonts w:eastAsiaTheme="minorHAnsi" w:cs="Arial"/>
                <w:szCs w:val="20"/>
              </w:rPr>
              <w:t xml:space="preserve"> </w:t>
            </w:r>
            <w:r w:rsidRPr="00DF1884">
              <w:rPr>
                <w:rFonts w:eastAsiaTheme="minorHAnsi" w:cs="Arial"/>
                <w:szCs w:val="20"/>
              </w:rPr>
              <w:t>10</w:t>
            </w:r>
            <w:r w:rsidR="00DF1884" w:rsidRPr="00DF1884">
              <w:rPr>
                <w:rFonts w:eastAsiaTheme="minorHAnsi" w:cs="Arial"/>
                <w:szCs w:val="20"/>
              </w:rPr>
              <w:t xml:space="preserve"> </w:t>
            </w:r>
            <w:r w:rsidRPr="00DF1884">
              <w:rPr>
                <w:rFonts w:eastAsiaTheme="minorHAnsi" w:cs="Arial"/>
                <w:szCs w:val="20"/>
              </w:rPr>
              <w:t>Medicare</w:t>
            </w:r>
            <w:r w:rsidR="00DF1884" w:rsidRPr="00DF1884">
              <w:rPr>
                <w:rFonts w:eastAsiaTheme="minorHAnsi" w:cs="Arial"/>
                <w:szCs w:val="20"/>
              </w:rPr>
              <w:t xml:space="preserve"> </w:t>
            </w:r>
            <w:r w:rsidRPr="00DF1884">
              <w:rPr>
                <w:rFonts w:eastAsiaTheme="minorHAnsi" w:cs="Arial"/>
                <w:szCs w:val="20"/>
              </w:rPr>
              <w:t>beneficiaries</w:t>
            </w:r>
            <w:r w:rsidR="00DF1884" w:rsidRPr="00DF1884">
              <w:rPr>
                <w:rFonts w:eastAsiaTheme="minorHAnsi" w:cs="Arial"/>
                <w:szCs w:val="20"/>
              </w:rPr>
              <w:t xml:space="preserve"> </w:t>
            </w:r>
            <w:r w:rsidRPr="00DF1884">
              <w:rPr>
                <w:rFonts w:eastAsiaTheme="minorHAnsi" w:cs="Arial"/>
                <w:szCs w:val="20"/>
              </w:rPr>
              <w:t>were</w:t>
            </w:r>
            <w:r w:rsidR="00DF1884" w:rsidRPr="00DF1884">
              <w:rPr>
                <w:rFonts w:eastAsiaTheme="minorHAnsi" w:cs="Arial"/>
                <w:szCs w:val="20"/>
              </w:rPr>
              <w:t xml:space="preserve"> </w:t>
            </w:r>
            <w:r w:rsidRPr="00DF1884">
              <w:rPr>
                <w:rFonts w:eastAsiaTheme="minorHAnsi" w:cs="Arial"/>
                <w:szCs w:val="20"/>
              </w:rPr>
              <w:t>admitted</w:t>
            </w:r>
            <w:r w:rsidR="00DF1884" w:rsidRPr="00DF1884">
              <w:rPr>
                <w:rFonts w:eastAsiaTheme="minorHAnsi" w:cs="Arial"/>
                <w:szCs w:val="20"/>
              </w:rPr>
              <w:t xml:space="preserve"> </w:t>
            </w:r>
            <w:r w:rsidRPr="00DF1884">
              <w:rPr>
                <w:rFonts w:eastAsiaTheme="minorHAnsi" w:cs="Arial"/>
                <w:szCs w:val="20"/>
              </w:rPr>
              <w:t>to</w:t>
            </w:r>
            <w:r w:rsidR="00DF1884" w:rsidRPr="00DF1884">
              <w:rPr>
                <w:rFonts w:eastAsiaTheme="minorHAnsi" w:cs="Arial"/>
                <w:szCs w:val="20"/>
              </w:rPr>
              <w:t xml:space="preserve"> </w:t>
            </w:r>
            <w:r w:rsidRPr="00DF1884">
              <w:rPr>
                <w:rFonts w:eastAsiaTheme="minorHAnsi" w:cs="Arial"/>
                <w:szCs w:val="20"/>
              </w:rPr>
              <w:t>the</w:t>
            </w:r>
            <w:r w:rsidR="00DF1884" w:rsidRPr="00DF1884">
              <w:rPr>
                <w:rFonts w:eastAsiaTheme="minorHAnsi" w:cs="Arial"/>
                <w:szCs w:val="20"/>
              </w:rPr>
              <w:t xml:space="preserve"> </w:t>
            </w:r>
            <w:r w:rsidRPr="00DF1884">
              <w:rPr>
                <w:rFonts w:eastAsiaTheme="minorHAnsi" w:cs="Arial"/>
                <w:szCs w:val="20"/>
              </w:rPr>
              <w:t>hospital</w:t>
            </w:r>
            <w:r w:rsidR="00DF1884" w:rsidRPr="00DF1884">
              <w:rPr>
                <w:rFonts w:eastAsiaTheme="minorHAnsi" w:cs="Arial"/>
                <w:szCs w:val="20"/>
              </w:rPr>
              <w:t xml:space="preserve"> </w:t>
            </w:r>
            <w:r w:rsidRPr="00DF1884">
              <w:rPr>
                <w:rFonts w:eastAsiaTheme="minorHAnsi" w:cs="Arial"/>
                <w:szCs w:val="20"/>
              </w:rPr>
              <w:t>(DHHS</w:t>
            </w:r>
            <w:r w:rsidR="00DF1884" w:rsidRPr="00DF1884">
              <w:rPr>
                <w:rFonts w:eastAsiaTheme="minorHAnsi" w:cs="Arial"/>
                <w:szCs w:val="20"/>
              </w:rPr>
              <w:t xml:space="preserve"> </w:t>
            </w:r>
            <w:r w:rsidRPr="00DF1884">
              <w:rPr>
                <w:rFonts w:eastAsiaTheme="minorHAnsi" w:cs="Arial"/>
                <w:szCs w:val="20"/>
              </w:rPr>
              <w:t>2013).</w:t>
            </w:r>
            <w:r w:rsidR="00DF1884" w:rsidRPr="00DF1884">
              <w:rPr>
                <w:rFonts w:eastAsiaTheme="minorHAnsi" w:cs="Arial"/>
                <w:szCs w:val="20"/>
              </w:rPr>
              <w:t xml:space="preserve"> </w:t>
            </w:r>
            <w:r w:rsidRPr="00DF1884">
              <w:rPr>
                <w:rFonts w:eastAsiaTheme="minorHAnsi" w:cs="Arial"/>
                <w:szCs w:val="20"/>
              </w:rPr>
              <w:t>Hospitalization</w:t>
            </w:r>
            <w:r w:rsidR="00DF1884" w:rsidRPr="00DF1884">
              <w:rPr>
                <w:rFonts w:eastAsiaTheme="minorHAnsi" w:cs="Arial"/>
                <w:szCs w:val="20"/>
              </w:rPr>
              <w:t xml:space="preserve"> </w:t>
            </w:r>
            <w:r w:rsidRPr="00DF1884">
              <w:rPr>
                <w:rFonts w:eastAsiaTheme="minorHAnsi" w:cs="Arial"/>
                <w:szCs w:val="20"/>
              </w:rPr>
              <w:t>also</w:t>
            </w:r>
            <w:r w:rsidR="00DF1884" w:rsidRPr="00DF1884">
              <w:rPr>
                <w:rFonts w:eastAsiaTheme="minorHAnsi" w:cs="Arial"/>
                <w:szCs w:val="20"/>
              </w:rPr>
              <w:t xml:space="preserve"> </w:t>
            </w:r>
            <w:r w:rsidRPr="00DF1884">
              <w:rPr>
                <w:rFonts w:eastAsiaTheme="minorHAnsi" w:cs="Arial"/>
                <w:szCs w:val="20"/>
              </w:rPr>
              <w:t>poses</w:t>
            </w:r>
            <w:r w:rsidR="00DF1884" w:rsidRPr="00DF1884">
              <w:rPr>
                <w:rFonts w:eastAsiaTheme="minorHAnsi" w:cs="Arial"/>
                <w:szCs w:val="20"/>
              </w:rPr>
              <w:t xml:space="preserve"> </w:t>
            </w:r>
            <w:r w:rsidRPr="00DF1884">
              <w:rPr>
                <w:rFonts w:eastAsiaTheme="minorHAnsi" w:cs="Arial"/>
                <w:szCs w:val="20"/>
              </w:rPr>
              <w:t>several</w:t>
            </w:r>
            <w:r w:rsidR="00DF1884" w:rsidRPr="00DF1884">
              <w:rPr>
                <w:rFonts w:eastAsiaTheme="minorHAnsi" w:cs="Arial"/>
                <w:szCs w:val="20"/>
              </w:rPr>
              <w:t xml:space="preserve"> </w:t>
            </w:r>
            <w:r w:rsidRPr="00DF1884">
              <w:rPr>
                <w:rFonts w:eastAsiaTheme="minorHAnsi" w:cs="Arial"/>
                <w:szCs w:val="20"/>
              </w:rPr>
              <w:t>risks</w:t>
            </w:r>
            <w:r w:rsidR="00DF1884" w:rsidRPr="00DF1884">
              <w:rPr>
                <w:rFonts w:eastAsiaTheme="minorHAnsi" w:cs="Arial"/>
                <w:szCs w:val="20"/>
              </w:rPr>
              <w:t xml:space="preserve"> </w:t>
            </w:r>
            <w:r w:rsidRPr="00DF1884">
              <w:rPr>
                <w:rFonts w:eastAsiaTheme="minorHAnsi" w:cs="Arial"/>
                <w:szCs w:val="20"/>
              </w:rPr>
              <w:t>for</w:t>
            </w:r>
            <w:r w:rsidR="00DF1884" w:rsidRPr="00DF1884">
              <w:rPr>
                <w:rFonts w:eastAsiaTheme="minorHAnsi" w:cs="Arial"/>
                <w:szCs w:val="20"/>
              </w:rPr>
              <w:t xml:space="preserve"> </w:t>
            </w:r>
            <w:r w:rsidRPr="00DF1884">
              <w:rPr>
                <w:rFonts w:eastAsiaTheme="minorHAnsi" w:cs="Arial"/>
                <w:szCs w:val="20"/>
              </w:rPr>
              <w:t>older</w:t>
            </w:r>
            <w:r w:rsidR="00DF1884" w:rsidRPr="00DF1884">
              <w:rPr>
                <w:rFonts w:eastAsiaTheme="minorHAnsi" w:cs="Arial"/>
                <w:szCs w:val="20"/>
              </w:rPr>
              <w:t xml:space="preserve"> </w:t>
            </w:r>
            <w:r w:rsidRPr="00DF1884">
              <w:rPr>
                <w:rFonts w:eastAsiaTheme="minorHAnsi" w:cs="Arial"/>
                <w:szCs w:val="20"/>
              </w:rPr>
              <w:t>adults</w:t>
            </w:r>
            <w:r w:rsidR="00CA0676" w:rsidRPr="00DF1884">
              <w:rPr>
                <w:rFonts w:eastAsiaTheme="minorHAnsi" w:cs="Arial"/>
                <w:szCs w:val="20"/>
              </w:rPr>
              <w:t>,</w:t>
            </w:r>
            <w:r w:rsidR="00DF1884" w:rsidRPr="00DF1884">
              <w:rPr>
                <w:rFonts w:eastAsiaTheme="minorHAnsi" w:cs="Arial"/>
                <w:szCs w:val="20"/>
              </w:rPr>
              <w:t xml:space="preserve"> </w:t>
            </w:r>
            <w:r w:rsidRPr="00DF1884">
              <w:rPr>
                <w:rFonts w:eastAsiaTheme="minorHAnsi" w:cs="Arial"/>
                <w:szCs w:val="20"/>
              </w:rPr>
              <w:t>who</w:t>
            </w:r>
            <w:r w:rsidR="00DF1884" w:rsidRPr="00DF1884">
              <w:rPr>
                <w:rFonts w:eastAsiaTheme="minorHAnsi" w:cs="Arial"/>
                <w:szCs w:val="20"/>
              </w:rPr>
              <w:t xml:space="preserve"> </w:t>
            </w:r>
            <w:r w:rsidRPr="00DF1884">
              <w:rPr>
                <w:rFonts w:eastAsiaTheme="minorHAnsi" w:cs="Arial"/>
                <w:szCs w:val="20"/>
              </w:rPr>
              <w:t>frequently</w:t>
            </w:r>
            <w:r w:rsidR="00DF1884" w:rsidRPr="00DF1884">
              <w:rPr>
                <w:rFonts w:eastAsiaTheme="minorHAnsi" w:cs="Arial"/>
                <w:szCs w:val="20"/>
              </w:rPr>
              <w:t xml:space="preserve"> </w:t>
            </w:r>
            <w:r w:rsidRPr="00DF1884">
              <w:rPr>
                <w:rFonts w:eastAsiaTheme="minorHAnsi" w:cs="Arial"/>
                <w:szCs w:val="20"/>
              </w:rPr>
              <w:t>develop</w:t>
            </w:r>
            <w:r w:rsidR="00DF1884" w:rsidRPr="00DF1884">
              <w:rPr>
                <w:rFonts w:eastAsiaTheme="minorHAnsi" w:cs="Arial"/>
                <w:szCs w:val="20"/>
              </w:rPr>
              <w:t xml:space="preserve"> </w:t>
            </w:r>
            <w:r w:rsidRPr="00DF1884">
              <w:rPr>
                <w:rFonts w:eastAsiaTheme="minorHAnsi" w:cs="Arial"/>
                <w:szCs w:val="20"/>
              </w:rPr>
              <w:t>serious</w:t>
            </w:r>
            <w:r w:rsidR="00DF1884" w:rsidRPr="00DF1884">
              <w:rPr>
                <w:rFonts w:eastAsiaTheme="minorHAnsi" w:cs="Arial"/>
                <w:szCs w:val="20"/>
              </w:rPr>
              <w:t xml:space="preserve"> </w:t>
            </w:r>
            <w:r w:rsidRPr="00DF1884">
              <w:rPr>
                <w:rFonts w:eastAsiaTheme="minorHAnsi" w:cs="Arial"/>
                <w:szCs w:val="20"/>
              </w:rPr>
              <w:t>conditions</w:t>
            </w:r>
            <w:r w:rsidR="00DF1884" w:rsidRPr="00DF1884">
              <w:rPr>
                <w:rFonts w:eastAsiaTheme="minorHAnsi" w:cs="Arial"/>
                <w:szCs w:val="20"/>
              </w:rPr>
              <w:t xml:space="preserve"> </w:t>
            </w:r>
            <w:r w:rsidRPr="00DF1884">
              <w:rPr>
                <w:rFonts w:eastAsiaTheme="minorHAnsi" w:cs="Arial"/>
                <w:szCs w:val="20"/>
              </w:rPr>
              <w:t>as</w:t>
            </w:r>
            <w:r w:rsidR="00DF1884" w:rsidRPr="00DF1884">
              <w:rPr>
                <w:rFonts w:eastAsiaTheme="minorHAnsi" w:cs="Arial"/>
                <w:szCs w:val="20"/>
              </w:rPr>
              <w:t xml:space="preserve"> </w:t>
            </w:r>
            <w:r w:rsidRPr="00DF1884">
              <w:rPr>
                <w:rFonts w:eastAsiaTheme="minorHAnsi" w:cs="Arial"/>
                <w:szCs w:val="20"/>
              </w:rPr>
              <w:t>a</w:t>
            </w:r>
            <w:r w:rsidR="00DF1884" w:rsidRPr="00DF1884">
              <w:rPr>
                <w:rFonts w:eastAsiaTheme="minorHAnsi" w:cs="Arial"/>
                <w:szCs w:val="20"/>
              </w:rPr>
              <w:t xml:space="preserve"> </w:t>
            </w:r>
            <w:r w:rsidRPr="00DF1884">
              <w:rPr>
                <w:rFonts w:eastAsiaTheme="minorHAnsi" w:cs="Arial"/>
                <w:szCs w:val="20"/>
              </w:rPr>
              <w:t>result</w:t>
            </w:r>
            <w:r w:rsidR="00DF1884" w:rsidRPr="00DF1884">
              <w:rPr>
                <w:rFonts w:eastAsiaTheme="minorHAnsi" w:cs="Arial"/>
                <w:szCs w:val="20"/>
              </w:rPr>
              <w:t xml:space="preserve"> </w:t>
            </w:r>
            <w:r w:rsidRPr="00DF1884">
              <w:rPr>
                <w:rFonts w:eastAsiaTheme="minorHAnsi" w:cs="Arial"/>
                <w:szCs w:val="20"/>
              </w:rPr>
              <w:t>of</w:t>
            </w:r>
            <w:r w:rsidR="00DF1884" w:rsidRPr="00DF1884">
              <w:rPr>
                <w:rFonts w:eastAsiaTheme="minorHAnsi" w:cs="Arial"/>
                <w:szCs w:val="20"/>
              </w:rPr>
              <w:t xml:space="preserve"> </w:t>
            </w:r>
            <w:r w:rsidRPr="00DF1884">
              <w:rPr>
                <w:rFonts w:eastAsiaTheme="minorHAnsi" w:cs="Arial"/>
                <w:szCs w:val="20"/>
              </w:rPr>
              <w:t>hospitalization</w:t>
            </w:r>
            <w:r w:rsidR="00DF1884" w:rsidRPr="00DF1884">
              <w:rPr>
                <w:rFonts w:eastAsiaTheme="minorHAnsi" w:cs="Arial"/>
                <w:szCs w:val="20"/>
              </w:rPr>
              <w:t xml:space="preserve"> </w:t>
            </w:r>
            <w:r w:rsidRPr="00DF1884">
              <w:rPr>
                <w:rFonts w:eastAsiaTheme="minorHAnsi" w:cs="Arial"/>
                <w:szCs w:val="20"/>
              </w:rPr>
              <w:t>such</w:t>
            </w:r>
            <w:r w:rsidR="00DF1884" w:rsidRPr="00DF1884">
              <w:rPr>
                <w:rFonts w:eastAsiaTheme="minorHAnsi" w:cs="Arial"/>
                <w:szCs w:val="20"/>
              </w:rPr>
              <w:t xml:space="preserve"> </w:t>
            </w:r>
            <w:r w:rsidRPr="00DF1884">
              <w:rPr>
                <w:rFonts w:eastAsiaTheme="minorHAnsi" w:cs="Arial"/>
                <w:szCs w:val="20"/>
              </w:rPr>
              <w:t>as</w:t>
            </w:r>
            <w:r w:rsidR="00DF1884" w:rsidRPr="00DF1884">
              <w:rPr>
                <w:rFonts w:eastAsiaTheme="minorHAnsi" w:cs="Arial"/>
                <w:szCs w:val="20"/>
              </w:rPr>
              <w:t xml:space="preserve"> </w:t>
            </w:r>
            <w:r w:rsidRPr="00DF1884">
              <w:rPr>
                <w:rFonts w:eastAsiaTheme="minorHAnsi" w:cs="Arial"/>
                <w:szCs w:val="20"/>
              </w:rPr>
              <w:t>delirium,</w:t>
            </w:r>
            <w:r w:rsidR="00DF1884" w:rsidRPr="00DF1884">
              <w:rPr>
                <w:rFonts w:eastAsiaTheme="minorHAnsi" w:cs="Arial"/>
                <w:szCs w:val="20"/>
              </w:rPr>
              <w:t xml:space="preserve"> </w:t>
            </w:r>
            <w:r w:rsidRPr="00DF1884">
              <w:rPr>
                <w:rFonts w:eastAsiaTheme="minorHAnsi" w:cs="Arial"/>
                <w:szCs w:val="20"/>
              </w:rPr>
              <w:t>infection</w:t>
            </w:r>
            <w:r w:rsidR="00DF1884" w:rsidRPr="00DF1884">
              <w:rPr>
                <w:rFonts w:eastAsiaTheme="minorHAnsi" w:cs="Arial"/>
                <w:szCs w:val="20"/>
              </w:rPr>
              <w:t xml:space="preserve"> </w:t>
            </w:r>
            <w:r w:rsidRPr="00DF1884">
              <w:rPr>
                <w:rFonts w:eastAsiaTheme="minorHAnsi" w:cs="Arial"/>
                <w:szCs w:val="20"/>
              </w:rPr>
              <w:t>and</w:t>
            </w:r>
            <w:r w:rsidR="00DF1884" w:rsidRPr="00DF1884">
              <w:rPr>
                <w:rFonts w:eastAsiaTheme="minorHAnsi" w:cs="Arial"/>
                <w:szCs w:val="20"/>
              </w:rPr>
              <w:t xml:space="preserve"> </w:t>
            </w:r>
            <w:r w:rsidRPr="00DF1884">
              <w:rPr>
                <w:rFonts w:eastAsiaTheme="minorHAnsi" w:cs="Arial"/>
                <w:szCs w:val="20"/>
              </w:rPr>
              <w:t>decline</w:t>
            </w:r>
            <w:r w:rsidR="00DF1884" w:rsidRPr="00DF1884">
              <w:rPr>
                <w:rFonts w:eastAsiaTheme="minorHAnsi" w:cs="Arial"/>
                <w:szCs w:val="20"/>
              </w:rPr>
              <w:t xml:space="preserve"> </w:t>
            </w:r>
            <w:r w:rsidRPr="00DF1884">
              <w:rPr>
                <w:rFonts w:eastAsiaTheme="minorHAnsi" w:cs="Arial"/>
                <w:szCs w:val="20"/>
              </w:rPr>
              <w:t>in</w:t>
            </w:r>
            <w:r w:rsidR="00DF1884" w:rsidRPr="00DF1884">
              <w:rPr>
                <w:rFonts w:eastAsiaTheme="minorHAnsi" w:cs="Arial"/>
                <w:szCs w:val="20"/>
              </w:rPr>
              <w:t xml:space="preserve"> </w:t>
            </w:r>
            <w:r w:rsidRPr="00DF1884">
              <w:rPr>
                <w:rFonts w:eastAsiaTheme="minorHAnsi" w:cs="Arial"/>
                <w:szCs w:val="20"/>
              </w:rPr>
              <w:t>functional</w:t>
            </w:r>
            <w:r w:rsidR="00DF1884" w:rsidRPr="00DF1884">
              <w:rPr>
                <w:rFonts w:eastAsiaTheme="minorHAnsi" w:cs="Arial"/>
                <w:szCs w:val="20"/>
              </w:rPr>
              <w:t xml:space="preserve"> </w:t>
            </w:r>
            <w:r w:rsidRPr="00DF1884">
              <w:rPr>
                <w:rFonts w:eastAsiaTheme="minorHAnsi" w:cs="Arial"/>
                <w:szCs w:val="20"/>
              </w:rPr>
              <w:t>ability</w:t>
            </w:r>
            <w:r w:rsidR="00DF1884" w:rsidRPr="00DF1884">
              <w:rPr>
                <w:rFonts w:eastAsiaTheme="minorHAnsi" w:cs="Arial"/>
                <w:szCs w:val="20"/>
              </w:rPr>
              <w:t xml:space="preserve"> </w:t>
            </w:r>
            <w:r w:rsidRPr="00DF1884">
              <w:rPr>
                <w:rFonts w:eastAsiaTheme="minorHAnsi" w:cs="Arial"/>
                <w:szCs w:val="20"/>
              </w:rPr>
              <w:t>(Gillick</w:t>
            </w:r>
            <w:r w:rsidR="00DF1884" w:rsidRPr="00DF1884">
              <w:rPr>
                <w:rFonts w:eastAsiaTheme="minorHAnsi" w:cs="Arial"/>
                <w:szCs w:val="20"/>
              </w:rPr>
              <w:t xml:space="preserve"> </w:t>
            </w:r>
            <w:r w:rsidRPr="00DF1884">
              <w:rPr>
                <w:rFonts w:eastAsiaTheme="minorHAnsi" w:cs="Arial"/>
                <w:szCs w:val="20"/>
              </w:rPr>
              <w:t>1982;</w:t>
            </w:r>
            <w:r w:rsidR="00DF1884" w:rsidRPr="00DF1884">
              <w:rPr>
                <w:rFonts w:eastAsiaTheme="minorHAnsi" w:cs="Arial"/>
                <w:szCs w:val="20"/>
              </w:rPr>
              <w:t xml:space="preserve"> </w:t>
            </w:r>
            <w:r w:rsidRPr="00DF1884">
              <w:rPr>
                <w:rFonts w:eastAsiaTheme="minorHAnsi" w:cs="Arial"/>
                <w:szCs w:val="20"/>
              </w:rPr>
              <w:t>Covinsky</w:t>
            </w:r>
            <w:r w:rsidR="00DF1884" w:rsidRPr="00DF1884">
              <w:rPr>
                <w:rFonts w:eastAsiaTheme="minorHAnsi" w:cs="Arial"/>
                <w:szCs w:val="20"/>
              </w:rPr>
              <w:t xml:space="preserve"> </w:t>
            </w:r>
            <w:r w:rsidRPr="00DF1884">
              <w:rPr>
                <w:rFonts w:eastAsiaTheme="minorHAnsi" w:cs="Arial"/>
                <w:szCs w:val="20"/>
              </w:rPr>
              <w:t>2011).</w:t>
            </w:r>
            <w:r w:rsidR="00DF1884" w:rsidRPr="00DF1884">
              <w:rPr>
                <w:rFonts w:eastAsiaTheme="minorHAnsi" w:cs="Arial"/>
                <w:szCs w:val="20"/>
              </w:rPr>
              <w:t xml:space="preserve"> </w:t>
            </w:r>
            <w:r w:rsidRPr="00DF1884">
              <w:rPr>
                <w:rFonts w:eastAsiaTheme="minorHAnsi" w:cs="Arial"/>
                <w:szCs w:val="20"/>
              </w:rPr>
              <w:t>Reducing</w:t>
            </w:r>
            <w:r w:rsidR="00DF1884" w:rsidRPr="00DF1884">
              <w:rPr>
                <w:rFonts w:eastAsiaTheme="minorHAnsi" w:cs="Arial"/>
                <w:szCs w:val="20"/>
              </w:rPr>
              <w:t xml:space="preserve"> </w:t>
            </w:r>
            <w:r w:rsidRPr="00DF1884">
              <w:rPr>
                <w:rFonts w:eastAsiaTheme="minorHAnsi" w:cs="Arial"/>
                <w:szCs w:val="20"/>
              </w:rPr>
              <w:t>the</w:t>
            </w:r>
            <w:r w:rsidR="00DF1884" w:rsidRPr="00DF1884">
              <w:rPr>
                <w:rFonts w:eastAsiaTheme="minorHAnsi" w:cs="Arial"/>
                <w:szCs w:val="20"/>
              </w:rPr>
              <w:t xml:space="preserve"> </w:t>
            </w:r>
            <w:r w:rsidRPr="00DF1884">
              <w:rPr>
                <w:rFonts w:eastAsiaTheme="minorHAnsi" w:cs="Arial"/>
                <w:szCs w:val="20"/>
              </w:rPr>
              <w:t>rate</w:t>
            </w:r>
            <w:r w:rsidR="00DF1884" w:rsidRPr="00DF1884">
              <w:rPr>
                <w:rFonts w:eastAsiaTheme="minorHAnsi" w:cs="Arial"/>
                <w:szCs w:val="20"/>
              </w:rPr>
              <w:t xml:space="preserve"> </w:t>
            </w:r>
            <w:r w:rsidRPr="00DF1884">
              <w:rPr>
                <w:rFonts w:eastAsiaTheme="minorHAnsi" w:cs="Arial"/>
                <w:szCs w:val="20"/>
              </w:rPr>
              <w:t>of</w:t>
            </w:r>
            <w:r w:rsidR="00DF1884" w:rsidRPr="00DF1884">
              <w:rPr>
                <w:rFonts w:eastAsiaTheme="minorHAnsi" w:cs="Arial"/>
                <w:szCs w:val="20"/>
              </w:rPr>
              <w:t xml:space="preserve"> </w:t>
            </w:r>
            <w:r w:rsidRPr="00DF1884">
              <w:rPr>
                <w:rFonts w:eastAsiaTheme="minorHAnsi" w:cs="Arial"/>
                <w:szCs w:val="20"/>
              </w:rPr>
              <w:t>hospitalization</w:t>
            </w:r>
            <w:r w:rsidR="00DF1884" w:rsidRPr="00DF1884">
              <w:rPr>
                <w:rFonts w:eastAsiaTheme="minorHAnsi" w:cs="Arial"/>
                <w:szCs w:val="20"/>
              </w:rPr>
              <w:t xml:space="preserve"> </w:t>
            </w:r>
            <w:r w:rsidRPr="00DF1884">
              <w:rPr>
                <w:rFonts w:eastAsiaTheme="minorHAnsi" w:cs="Arial"/>
                <w:szCs w:val="20"/>
              </w:rPr>
              <w:t>for</w:t>
            </w:r>
            <w:r w:rsidR="00DF1884" w:rsidRPr="00DF1884">
              <w:rPr>
                <w:rFonts w:eastAsiaTheme="minorHAnsi" w:cs="Arial"/>
                <w:szCs w:val="20"/>
              </w:rPr>
              <w:t xml:space="preserve"> </w:t>
            </w:r>
            <w:r w:rsidRPr="00DF1884">
              <w:rPr>
                <w:rFonts w:eastAsiaTheme="minorHAnsi" w:cs="Arial"/>
                <w:szCs w:val="20"/>
              </w:rPr>
              <w:t>older</w:t>
            </w:r>
            <w:r w:rsidR="00DF1884" w:rsidRPr="00DF1884">
              <w:rPr>
                <w:rFonts w:eastAsiaTheme="minorHAnsi" w:cs="Arial"/>
                <w:szCs w:val="20"/>
              </w:rPr>
              <w:t xml:space="preserve"> </w:t>
            </w:r>
            <w:r w:rsidRPr="00DF1884">
              <w:rPr>
                <w:rFonts w:eastAsiaTheme="minorHAnsi" w:cs="Arial"/>
                <w:szCs w:val="20"/>
              </w:rPr>
              <w:t>adults</w:t>
            </w:r>
            <w:r w:rsidR="00DF1884" w:rsidRPr="00DF1884">
              <w:rPr>
                <w:rFonts w:eastAsiaTheme="minorHAnsi" w:cs="Arial"/>
                <w:szCs w:val="20"/>
              </w:rPr>
              <w:t xml:space="preserve"> </w:t>
            </w:r>
            <w:r w:rsidRPr="00DF1884">
              <w:rPr>
                <w:rFonts w:eastAsiaTheme="minorHAnsi" w:cs="Arial"/>
                <w:szCs w:val="20"/>
              </w:rPr>
              <w:t>will</w:t>
            </w:r>
            <w:r w:rsidR="00DF1884" w:rsidRPr="00DF1884">
              <w:rPr>
                <w:rFonts w:eastAsiaTheme="minorHAnsi" w:cs="Arial"/>
                <w:szCs w:val="20"/>
              </w:rPr>
              <w:t xml:space="preserve"> </w:t>
            </w:r>
            <w:r w:rsidRPr="00DF1884">
              <w:rPr>
                <w:rFonts w:eastAsiaTheme="minorHAnsi" w:cs="Arial"/>
                <w:szCs w:val="20"/>
              </w:rPr>
              <w:t>improve</w:t>
            </w:r>
            <w:r w:rsidR="00DF1884" w:rsidRPr="00DF1884">
              <w:rPr>
                <w:rFonts w:eastAsiaTheme="minorHAnsi" w:cs="Arial"/>
                <w:szCs w:val="20"/>
              </w:rPr>
              <w:t xml:space="preserve"> </w:t>
            </w:r>
            <w:r w:rsidRPr="00DF1884">
              <w:rPr>
                <w:rFonts w:eastAsiaTheme="minorHAnsi" w:cs="Arial"/>
                <w:szCs w:val="20"/>
              </w:rPr>
              <w:t>patient</w:t>
            </w:r>
            <w:r w:rsidR="00DF1884" w:rsidRPr="00DF1884">
              <w:rPr>
                <w:rFonts w:eastAsiaTheme="minorHAnsi" w:cs="Arial"/>
                <w:szCs w:val="20"/>
              </w:rPr>
              <w:t xml:space="preserve"> </w:t>
            </w:r>
            <w:r w:rsidRPr="00DF1884">
              <w:rPr>
                <w:rFonts w:eastAsiaTheme="minorHAnsi" w:cs="Arial"/>
                <w:szCs w:val="20"/>
              </w:rPr>
              <w:t>health,</w:t>
            </w:r>
            <w:r w:rsidR="00DF1884" w:rsidRPr="00DF1884">
              <w:rPr>
                <w:rFonts w:eastAsiaTheme="minorHAnsi" w:cs="Arial"/>
                <w:szCs w:val="20"/>
              </w:rPr>
              <w:t xml:space="preserve"> </w:t>
            </w:r>
            <w:r w:rsidRPr="00DF1884">
              <w:rPr>
                <w:rFonts w:eastAsiaTheme="minorHAnsi" w:cs="Arial"/>
                <w:szCs w:val="20"/>
              </w:rPr>
              <w:t>reduce</w:t>
            </w:r>
            <w:r w:rsidR="00DF1884" w:rsidRPr="00DF1884">
              <w:rPr>
                <w:rFonts w:eastAsiaTheme="minorHAnsi" w:cs="Arial"/>
                <w:szCs w:val="20"/>
              </w:rPr>
              <w:t xml:space="preserve"> </w:t>
            </w:r>
            <w:r w:rsidRPr="00DF1884">
              <w:rPr>
                <w:rFonts w:eastAsiaTheme="minorHAnsi" w:cs="Arial"/>
                <w:szCs w:val="20"/>
              </w:rPr>
              <w:t>costs</w:t>
            </w:r>
            <w:r w:rsidR="00DF1884" w:rsidRPr="00DF1884">
              <w:rPr>
                <w:rFonts w:eastAsiaTheme="minorHAnsi" w:cs="Arial"/>
                <w:szCs w:val="20"/>
              </w:rPr>
              <w:t xml:space="preserve"> </w:t>
            </w:r>
            <w:r w:rsidRPr="00DF1884">
              <w:rPr>
                <w:rFonts w:eastAsiaTheme="minorHAnsi" w:cs="Arial"/>
                <w:szCs w:val="20"/>
              </w:rPr>
              <w:t>and</w:t>
            </w:r>
            <w:r w:rsidR="00DF1884" w:rsidRPr="00DF1884">
              <w:rPr>
                <w:rFonts w:eastAsiaTheme="minorHAnsi" w:cs="Arial"/>
                <w:szCs w:val="20"/>
              </w:rPr>
              <w:t xml:space="preserve"> </w:t>
            </w:r>
            <w:r w:rsidRPr="00DF1884">
              <w:rPr>
                <w:rFonts w:eastAsiaTheme="minorHAnsi" w:cs="Arial"/>
                <w:szCs w:val="20"/>
              </w:rPr>
              <w:t>improve</w:t>
            </w:r>
            <w:r w:rsidR="00DF1884" w:rsidRPr="00DF1884">
              <w:rPr>
                <w:rFonts w:eastAsiaTheme="minorHAnsi" w:cs="Arial"/>
                <w:szCs w:val="20"/>
              </w:rPr>
              <w:t xml:space="preserve"> </w:t>
            </w:r>
            <w:r w:rsidRPr="00DF1884">
              <w:rPr>
                <w:rFonts w:eastAsiaTheme="minorHAnsi" w:cs="Arial"/>
                <w:szCs w:val="20"/>
              </w:rPr>
              <w:t>quality</w:t>
            </w:r>
            <w:r w:rsidR="00DF1884" w:rsidRPr="00DF1884">
              <w:rPr>
                <w:rFonts w:eastAsiaTheme="minorHAnsi" w:cs="Arial"/>
                <w:szCs w:val="20"/>
              </w:rPr>
              <w:t xml:space="preserve"> </w:t>
            </w:r>
            <w:r w:rsidRPr="00DF1884">
              <w:rPr>
                <w:rFonts w:eastAsiaTheme="minorHAnsi" w:cs="Arial"/>
                <w:szCs w:val="20"/>
              </w:rPr>
              <w:t>of</w:t>
            </w:r>
            <w:r w:rsidR="00DF1884" w:rsidRPr="00DF1884">
              <w:rPr>
                <w:rFonts w:eastAsiaTheme="minorHAnsi" w:cs="Arial"/>
                <w:szCs w:val="20"/>
              </w:rPr>
              <w:t xml:space="preserve"> </w:t>
            </w:r>
            <w:r w:rsidRPr="00DF1884">
              <w:rPr>
                <w:rFonts w:eastAsiaTheme="minorHAnsi" w:cs="Arial"/>
                <w:szCs w:val="20"/>
              </w:rPr>
              <w:t>life.</w:t>
            </w:r>
            <w:r w:rsidR="00DF1884" w:rsidRPr="00DF1884">
              <w:rPr>
                <w:rFonts w:eastAsiaTheme="minorHAnsi" w:cs="Arial"/>
                <w:szCs w:val="20"/>
              </w:rPr>
              <w:t xml:space="preserve"> </w:t>
            </w:r>
            <w:r w:rsidRPr="00DF1884">
              <w:rPr>
                <w:rFonts w:eastAsiaTheme="minorHAnsi" w:cs="Arial"/>
                <w:szCs w:val="20"/>
              </w:rPr>
              <w:t>A</w:t>
            </w:r>
            <w:r w:rsidR="00DF1884" w:rsidRPr="00DF1884">
              <w:rPr>
                <w:rFonts w:eastAsiaTheme="minorHAnsi" w:cs="Arial"/>
                <w:szCs w:val="20"/>
              </w:rPr>
              <w:t xml:space="preserve"> </w:t>
            </w:r>
            <w:r w:rsidRPr="00DF1884">
              <w:rPr>
                <w:rFonts w:eastAsiaTheme="minorHAnsi" w:cs="Arial"/>
                <w:szCs w:val="20"/>
              </w:rPr>
              <w:t>number</w:t>
            </w:r>
            <w:r w:rsidR="00DF1884" w:rsidRPr="00DF1884">
              <w:rPr>
                <w:rFonts w:eastAsiaTheme="minorHAnsi" w:cs="Arial"/>
                <w:szCs w:val="20"/>
              </w:rPr>
              <w:t xml:space="preserve"> </w:t>
            </w:r>
            <w:r w:rsidRPr="00DF1884">
              <w:rPr>
                <w:rFonts w:eastAsiaTheme="minorHAnsi" w:cs="Arial"/>
                <w:szCs w:val="20"/>
              </w:rPr>
              <w:t>of</w:t>
            </w:r>
            <w:r w:rsidR="00DF1884" w:rsidRPr="00DF1884">
              <w:rPr>
                <w:rFonts w:eastAsiaTheme="minorHAnsi" w:cs="Arial"/>
                <w:szCs w:val="20"/>
              </w:rPr>
              <w:t xml:space="preserve"> </w:t>
            </w:r>
            <w:r w:rsidRPr="00DF1884">
              <w:rPr>
                <w:rFonts w:eastAsiaTheme="minorHAnsi" w:cs="Arial"/>
                <w:szCs w:val="20"/>
              </w:rPr>
              <w:t>studies</w:t>
            </w:r>
            <w:r w:rsidR="00DF1884" w:rsidRPr="00DF1884">
              <w:rPr>
                <w:rFonts w:eastAsiaTheme="minorHAnsi" w:cs="Arial"/>
                <w:szCs w:val="20"/>
              </w:rPr>
              <w:t xml:space="preserve"> </w:t>
            </w:r>
            <w:r w:rsidRPr="00DF1884">
              <w:rPr>
                <w:rFonts w:eastAsiaTheme="minorHAnsi" w:cs="Arial"/>
                <w:szCs w:val="20"/>
              </w:rPr>
              <w:t>have</w:t>
            </w:r>
            <w:r w:rsidR="00DF1884" w:rsidRPr="00DF1884">
              <w:rPr>
                <w:rFonts w:eastAsiaTheme="minorHAnsi" w:cs="Arial"/>
                <w:szCs w:val="20"/>
              </w:rPr>
              <w:t xml:space="preserve"> </w:t>
            </w:r>
            <w:r w:rsidRPr="00DF1884">
              <w:rPr>
                <w:rFonts w:eastAsiaTheme="minorHAnsi" w:cs="Arial"/>
                <w:szCs w:val="20"/>
              </w:rPr>
              <w:t>suggested</w:t>
            </w:r>
            <w:r w:rsidR="00DF1884" w:rsidRPr="00DF1884">
              <w:rPr>
                <w:rFonts w:eastAsiaTheme="minorHAnsi" w:cs="Arial"/>
                <w:szCs w:val="20"/>
              </w:rPr>
              <w:t xml:space="preserve"> </w:t>
            </w:r>
            <w:r w:rsidRPr="00DF1884">
              <w:rPr>
                <w:rFonts w:eastAsiaTheme="minorHAnsi" w:cs="Arial"/>
                <w:szCs w:val="20"/>
              </w:rPr>
              <w:t>that</w:t>
            </w:r>
            <w:r w:rsidR="00DF1884" w:rsidRPr="00DF1884">
              <w:rPr>
                <w:rFonts w:eastAsiaTheme="minorHAnsi" w:cs="Arial"/>
                <w:szCs w:val="20"/>
              </w:rPr>
              <w:t xml:space="preserve"> </w:t>
            </w:r>
            <w:r w:rsidRPr="00DF1884">
              <w:rPr>
                <w:rFonts w:eastAsiaTheme="minorHAnsi" w:cs="Arial"/>
                <w:szCs w:val="20"/>
              </w:rPr>
              <w:t>certain</w:t>
            </w:r>
            <w:r w:rsidR="00DF1884" w:rsidRPr="00DF1884">
              <w:rPr>
                <w:rFonts w:eastAsiaTheme="minorHAnsi" w:cs="Arial"/>
                <w:szCs w:val="20"/>
              </w:rPr>
              <w:t xml:space="preserve"> </w:t>
            </w:r>
            <w:r w:rsidRPr="00DF1884">
              <w:rPr>
                <w:rFonts w:eastAsiaTheme="minorHAnsi" w:cs="Arial"/>
                <w:szCs w:val="20"/>
              </w:rPr>
              <w:t>hospitalizations</w:t>
            </w:r>
            <w:r w:rsidR="00DF1884" w:rsidRPr="00DF1884">
              <w:rPr>
                <w:rFonts w:eastAsiaTheme="minorHAnsi" w:cs="Arial"/>
                <w:szCs w:val="20"/>
              </w:rPr>
              <w:t xml:space="preserve"> </w:t>
            </w:r>
            <w:r w:rsidRPr="00DF1884">
              <w:rPr>
                <w:rFonts w:eastAsiaTheme="minorHAnsi" w:cs="Arial"/>
                <w:szCs w:val="20"/>
              </w:rPr>
              <w:t>can</w:t>
            </w:r>
            <w:r w:rsidR="00DF1884" w:rsidRPr="00DF1884">
              <w:rPr>
                <w:rFonts w:eastAsiaTheme="minorHAnsi" w:cs="Arial"/>
                <w:szCs w:val="20"/>
              </w:rPr>
              <w:t xml:space="preserve"> </w:t>
            </w:r>
            <w:r w:rsidRPr="00DF1884">
              <w:rPr>
                <w:rFonts w:eastAsiaTheme="minorHAnsi" w:cs="Arial"/>
                <w:szCs w:val="20"/>
              </w:rPr>
              <w:t>be</w:t>
            </w:r>
            <w:r w:rsidR="00DF1884" w:rsidRPr="00DF1884">
              <w:rPr>
                <w:rFonts w:eastAsiaTheme="minorHAnsi" w:cs="Arial"/>
                <w:szCs w:val="20"/>
              </w:rPr>
              <w:t xml:space="preserve"> </w:t>
            </w:r>
            <w:r w:rsidRPr="00DF1884">
              <w:rPr>
                <w:rFonts w:eastAsiaTheme="minorHAnsi" w:cs="Arial"/>
                <w:szCs w:val="20"/>
              </w:rPr>
              <w:t>prevented</w:t>
            </w:r>
            <w:r w:rsidR="00DF1884" w:rsidRPr="00DF1884">
              <w:rPr>
                <w:rFonts w:eastAsiaTheme="minorHAnsi" w:cs="Arial"/>
                <w:szCs w:val="20"/>
              </w:rPr>
              <w:t xml:space="preserve"> </w:t>
            </w:r>
            <w:r w:rsidRPr="00DF1884">
              <w:rPr>
                <w:rFonts w:eastAsiaTheme="minorHAnsi" w:cs="Arial"/>
                <w:szCs w:val="20"/>
              </w:rPr>
              <w:t>by</w:t>
            </w:r>
            <w:r w:rsidR="00DF1884" w:rsidRPr="00DF1884">
              <w:rPr>
                <w:rFonts w:eastAsiaTheme="minorHAnsi" w:cs="Arial"/>
                <w:szCs w:val="20"/>
              </w:rPr>
              <w:t xml:space="preserve"> </w:t>
            </w:r>
            <w:r w:rsidRPr="00DF1884">
              <w:rPr>
                <w:rFonts w:eastAsiaTheme="minorHAnsi" w:cs="Arial"/>
                <w:szCs w:val="20"/>
              </w:rPr>
              <w:t>optimal</w:t>
            </w:r>
            <w:r w:rsidR="00DF1884" w:rsidRPr="00DF1884">
              <w:rPr>
                <w:rFonts w:eastAsiaTheme="minorHAnsi" w:cs="Arial"/>
                <w:szCs w:val="20"/>
              </w:rPr>
              <w:t xml:space="preserve"> </w:t>
            </w:r>
            <w:r w:rsidRPr="00DF1884">
              <w:rPr>
                <w:rFonts w:eastAsiaTheme="minorHAnsi" w:cs="Arial"/>
                <w:szCs w:val="20"/>
              </w:rPr>
              <w:t>outpatient</w:t>
            </w:r>
            <w:r w:rsidR="00DF1884" w:rsidRPr="00DF1884">
              <w:rPr>
                <w:rFonts w:eastAsiaTheme="minorHAnsi" w:cs="Arial"/>
                <w:szCs w:val="20"/>
              </w:rPr>
              <w:t xml:space="preserve"> </w:t>
            </w:r>
            <w:r w:rsidRPr="00DF1884">
              <w:rPr>
                <w:rFonts w:eastAsiaTheme="minorHAnsi" w:cs="Arial"/>
                <w:szCs w:val="20"/>
              </w:rPr>
              <w:t>care</w:t>
            </w:r>
            <w:r w:rsidR="00DF1884" w:rsidRPr="00DF1884">
              <w:rPr>
                <w:rFonts w:eastAsiaTheme="minorHAnsi" w:cs="Arial"/>
                <w:szCs w:val="20"/>
              </w:rPr>
              <w:t xml:space="preserve"> </w:t>
            </w:r>
            <w:r w:rsidR="00CA0676" w:rsidRPr="00DF1884">
              <w:rPr>
                <w:rFonts w:eastAsiaTheme="minorHAnsi" w:cs="Arial"/>
                <w:szCs w:val="20"/>
              </w:rPr>
              <w:t>for</w:t>
            </w:r>
            <w:r w:rsidR="00DF1884" w:rsidRPr="00DF1884">
              <w:rPr>
                <w:rFonts w:eastAsiaTheme="minorHAnsi" w:cs="Arial"/>
                <w:szCs w:val="20"/>
              </w:rPr>
              <w:t xml:space="preserve"> </w:t>
            </w:r>
            <w:r w:rsidR="00CA0676" w:rsidRPr="00DF1884">
              <w:rPr>
                <w:rFonts w:eastAsiaTheme="minorHAnsi" w:cs="Arial"/>
                <w:szCs w:val="20"/>
              </w:rPr>
              <w:t>certain</w:t>
            </w:r>
            <w:r w:rsidR="00DF1884" w:rsidRPr="00DF1884">
              <w:rPr>
                <w:rFonts w:eastAsiaTheme="minorHAnsi" w:cs="Arial"/>
                <w:szCs w:val="20"/>
              </w:rPr>
              <w:t xml:space="preserve"> </w:t>
            </w:r>
            <w:r w:rsidR="00CA0676" w:rsidRPr="00DF1884">
              <w:rPr>
                <w:rFonts w:eastAsiaTheme="minorHAnsi" w:cs="Arial"/>
                <w:szCs w:val="20"/>
              </w:rPr>
              <w:t>conditions,</w:t>
            </w:r>
            <w:r w:rsidR="00DF1884" w:rsidRPr="00DF1884">
              <w:rPr>
                <w:rFonts w:eastAsiaTheme="minorHAnsi" w:cs="Arial"/>
                <w:szCs w:val="20"/>
              </w:rPr>
              <w:t xml:space="preserve"> </w:t>
            </w:r>
            <w:r w:rsidRPr="00DF1884">
              <w:rPr>
                <w:bCs/>
              </w:rPr>
              <w:t>called</w:t>
            </w:r>
            <w:r w:rsidR="00DF1884" w:rsidRPr="00DF1884">
              <w:rPr>
                <w:bCs/>
              </w:rPr>
              <w:t xml:space="preserve"> </w:t>
            </w:r>
            <w:r w:rsidR="00CA0676" w:rsidRPr="00DF1884">
              <w:rPr>
                <w:bCs/>
              </w:rPr>
              <w:t>“</w:t>
            </w:r>
            <w:r w:rsidRPr="00DF1884">
              <w:rPr>
                <w:bCs/>
              </w:rPr>
              <w:t>ambulatory</w:t>
            </w:r>
            <w:r w:rsidR="00DF1884" w:rsidRPr="00DF1884">
              <w:rPr>
                <w:bCs/>
              </w:rPr>
              <w:t xml:space="preserve"> </w:t>
            </w:r>
            <w:r w:rsidRPr="00DF1884">
              <w:rPr>
                <w:bCs/>
              </w:rPr>
              <w:t>care</w:t>
            </w:r>
            <w:r w:rsidR="00DF1884" w:rsidRPr="00DF1884">
              <w:rPr>
                <w:bCs/>
              </w:rPr>
              <w:t xml:space="preserve"> </w:t>
            </w:r>
            <w:r w:rsidRPr="00DF1884">
              <w:rPr>
                <w:bCs/>
              </w:rPr>
              <w:t>sensitive</w:t>
            </w:r>
            <w:r w:rsidR="00DF1884" w:rsidRPr="00DF1884">
              <w:rPr>
                <w:bCs/>
              </w:rPr>
              <w:t xml:space="preserve"> </w:t>
            </w:r>
            <w:r w:rsidRPr="00DF1884">
              <w:rPr>
                <w:bCs/>
              </w:rPr>
              <w:t>conditions</w:t>
            </w:r>
            <w:r w:rsidR="00CA0676" w:rsidRPr="00DF1884">
              <w:rPr>
                <w:bCs/>
              </w:rPr>
              <w:t>”</w:t>
            </w:r>
            <w:r w:rsidR="00DF1884" w:rsidRPr="00DF1884">
              <w:rPr>
                <w:bCs/>
              </w:rPr>
              <w:t xml:space="preserve"> </w:t>
            </w:r>
            <w:r w:rsidRPr="00DF1884">
              <w:rPr>
                <w:bCs/>
              </w:rPr>
              <w:t>(ACSC).</w:t>
            </w:r>
          </w:p>
        </w:tc>
      </w:tr>
      <w:tr w:rsidR="00DF1884" w:rsidRPr="00DF1884" w14:paraId="3C0F75F6" w14:textId="77777777" w:rsidTr="00C56CA6">
        <w:tc>
          <w:tcPr>
            <w:tcW w:w="1872" w:type="dxa"/>
            <w:gridSpan w:val="2"/>
            <w:tcMar>
              <w:left w:w="115" w:type="dxa"/>
              <w:right w:w="115" w:type="dxa"/>
            </w:tcMar>
          </w:tcPr>
          <w:p w14:paraId="30F42148" w14:textId="11018EEA" w:rsidR="00463667" w:rsidRPr="00DF1884" w:rsidRDefault="00463667" w:rsidP="00C56CA6">
            <w:pPr>
              <w:pStyle w:val="MarginSubhead"/>
            </w:pPr>
            <w:r w:rsidRPr="00DF1884">
              <w:t>Financial</w:t>
            </w:r>
            <w:r w:rsidR="00DF1884" w:rsidRPr="00DF1884">
              <w:t xml:space="preserve"> </w:t>
            </w:r>
            <w:r w:rsidRPr="00DF1884">
              <w:t>importance</w:t>
            </w:r>
            <w:r w:rsidR="00DF1884" w:rsidRPr="00DF1884">
              <w:t xml:space="preserve"> </w:t>
            </w:r>
          </w:p>
        </w:tc>
        <w:tc>
          <w:tcPr>
            <w:tcW w:w="8069" w:type="dxa"/>
            <w:tcMar>
              <w:left w:w="115" w:type="dxa"/>
              <w:right w:w="115" w:type="dxa"/>
            </w:tcMar>
          </w:tcPr>
          <w:p w14:paraId="20AD868C" w14:textId="73D6D06B" w:rsidR="00463667" w:rsidRPr="00DF1884" w:rsidRDefault="001559AE" w:rsidP="00CA0676">
            <w:pPr>
              <w:pStyle w:val="Body"/>
            </w:pPr>
            <w:r w:rsidRPr="00DF1884">
              <w:rPr>
                <w:rFonts w:eastAsiaTheme="minorHAnsi" w:cs="Arial"/>
                <w:szCs w:val="20"/>
              </w:rPr>
              <w:t>Hospital</w:t>
            </w:r>
            <w:r w:rsidR="00DF1884" w:rsidRPr="00DF1884">
              <w:rPr>
                <w:rFonts w:eastAsiaTheme="minorHAnsi" w:cs="Arial"/>
                <w:szCs w:val="20"/>
              </w:rPr>
              <w:t xml:space="preserve"> </w:t>
            </w:r>
            <w:r w:rsidRPr="00DF1884">
              <w:rPr>
                <w:rFonts w:eastAsiaTheme="minorHAnsi" w:cs="Arial"/>
                <w:szCs w:val="20"/>
              </w:rPr>
              <w:t>and</w:t>
            </w:r>
            <w:r w:rsidR="00DF1884" w:rsidRPr="00DF1884">
              <w:rPr>
                <w:rFonts w:eastAsiaTheme="minorHAnsi" w:cs="Arial"/>
                <w:szCs w:val="20"/>
              </w:rPr>
              <w:t xml:space="preserve"> </w:t>
            </w:r>
            <w:r w:rsidRPr="00DF1884">
              <w:rPr>
                <w:rFonts w:eastAsiaTheme="minorHAnsi" w:cs="Arial"/>
                <w:szCs w:val="20"/>
              </w:rPr>
              <w:t>inpatient</w:t>
            </w:r>
            <w:r w:rsidR="00DF1884" w:rsidRPr="00DF1884">
              <w:rPr>
                <w:rFonts w:eastAsiaTheme="minorHAnsi" w:cs="Arial"/>
                <w:szCs w:val="20"/>
              </w:rPr>
              <w:t xml:space="preserve"> </w:t>
            </w:r>
            <w:r w:rsidRPr="00DF1884">
              <w:rPr>
                <w:rFonts w:eastAsiaTheme="minorHAnsi" w:cs="Arial"/>
                <w:szCs w:val="20"/>
              </w:rPr>
              <w:t>care</w:t>
            </w:r>
            <w:r w:rsidR="00DF1884" w:rsidRPr="00DF1884">
              <w:rPr>
                <w:rFonts w:eastAsiaTheme="minorHAnsi" w:cs="Arial"/>
                <w:szCs w:val="20"/>
              </w:rPr>
              <w:t xml:space="preserve"> </w:t>
            </w:r>
            <w:r w:rsidRPr="00DF1884">
              <w:rPr>
                <w:rFonts w:eastAsiaTheme="minorHAnsi" w:cs="Arial"/>
                <w:szCs w:val="20"/>
              </w:rPr>
              <w:t>is</w:t>
            </w:r>
            <w:r w:rsidR="00DF1884" w:rsidRPr="00DF1884">
              <w:rPr>
                <w:rFonts w:eastAsiaTheme="minorHAnsi" w:cs="Arial"/>
                <w:szCs w:val="20"/>
              </w:rPr>
              <w:t xml:space="preserve"> </w:t>
            </w:r>
            <w:r w:rsidRPr="00DF1884">
              <w:rPr>
                <w:rFonts w:eastAsiaTheme="minorHAnsi" w:cs="Arial"/>
                <w:szCs w:val="20"/>
              </w:rPr>
              <w:t>the</w:t>
            </w:r>
            <w:r w:rsidR="00DF1884" w:rsidRPr="00DF1884">
              <w:rPr>
                <w:rFonts w:eastAsiaTheme="minorHAnsi" w:cs="Arial"/>
                <w:szCs w:val="20"/>
              </w:rPr>
              <w:t xml:space="preserve"> </w:t>
            </w:r>
            <w:r w:rsidRPr="00DF1884">
              <w:rPr>
                <w:rFonts w:eastAsiaTheme="minorHAnsi" w:cs="Arial"/>
                <w:szCs w:val="20"/>
              </w:rPr>
              <w:t>largest</w:t>
            </w:r>
            <w:r w:rsidR="00DF1884" w:rsidRPr="00DF1884">
              <w:rPr>
                <w:rFonts w:eastAsiaTheme="minorHAnsi" w:cs="Arial"/>
                <w:szCs w:val="20"/>
              </w:rPr>
              <w:t xml:space="preserve"> </w:t>
            </w:r>
            <w:r w:rsidRPr="00DF1884">
              <w:rPr>
                <w:rFonts w:eastAsiaTheme="minorHAnsi" w:cs="Arial"/>
                <w:szCs w:val="20"/>
              </w:rPr>
              <w:t>component</w:t>
            </w:r>
            <w:r w:rsidR="00DF1884" w:rsidRPr="00DF1884">
              <w:rPr>
                <w:rFonts w:eastAsiaTheme="minorHAnsi" w:cs="Arial"/>
                <w:szCs w:val="20"/>
              </w:rPr>
              <w:t xml:space="preserve"> </w:t>
            </w:r>
            <w:r w:rsidRPr="00DF1884">
              <w:rPr>
                <w:rFonts w:eastAsiaTheme="minorHAnsi" w:cs="Arial"/>
                <w:szCs w:val="20"/>
              </w:rPr>
              <w:t>of</w:t>
            </w:r>
            <w:r w:rsidR="00DF1884" w:rsidRPr="00DF1884">
              <w:rPr>
                <w:rFonts w:eastAsiaTheme="minorHAnsi" w:cs="Arial"/>
                <w:szCs w:val="20"/>
              </w:rPr>
              <w:t xml:space="preserve"> </w:t>
            </w:r>
            <w:r w:rsidRPr="00DF1884">
              <w:rPr>
                <w:rFonts w:eastAsiaTheme="minorHAnsi" w:cs="Arial"/>
                <w:szCs w:val="20"/>
              </w:rPr>
              <w:t>total</w:t>
            </w:r>
            <w:r w:rsidR="00DF1884" w:rsidRPr="00DF1884">
              <w:rPr>
                <w:rFonts w:eastAsiaTheme="minorHAnsi" w:cs="Arial"/>
                <w:szCs w:val="20"/>
              </w:rPr>
              <w:t xml:space="preserve"> </w:t>
            </w:r>
            <w:r w:rsidRPr="00DF1884">
              <w:rPr>
                <w:rFonts w:eastAsiaTheme="minorHAnsi" w:cs="Arial"/>
                <w:szCs w:val="20"/>
              </w:rPr>
              <w:t>health</w:t>
            </w:r>
            <w:r w:rsidR="00DF1884" w:rsidRPr="00DF1884">
              <w:rPr>
                <w:rFonts w:eastAsiaTheme="minorHAnsi" w:cs="Arial"/>
                <w:szCs w:val="20"/>
              </w:rPr>
              <w:t xml:space="preserve"> </w:t>
            </w:r>
            <w:r w:rsidRPr="00DF1884">
              <w:rPr>
                <w:rFonts w:eastAsiaTheme="minorHAnsi" w:cs="Arial"/>
                <w:szCs w:val="20"/>
              </w:rPr>
              <w:t>care</w:t>
            </w:r>
            <w:r w:rsidR="00DF1884" w:rsidRPr="00DF1884">
              <w:rPr>
                <w:rFonts w:eastAsiaTheme="minorHAnsi" w:cs="Arial"/>
                <w:szCs w:val="20"/>
              </w:rPr>
              <w:t xml:space="preserve"> </w:t>
            </w:r>
            <w:r w:rsidRPr="00DF1884">
              <w:rPr>
                <w:rFonts w:eastAsiaTheme="minorHAnsi" w:cs="Arial"/>
                <w:szCs w:val="20"/>
              </w:rPr>
              <w:t>costs</w:t>
            </w:r>
            <w:r w:rsidR="00DF1884" w:rsidRPr="00DF1884">
              <w:rPr>
                <w:rFonts w:eastAsiaTheme="minorHAnsi" w:cs="Arial"/>
                <w:szCs w:val="20"/>
              </w:rPr>
              <w:t xml:space="preserve"> </w:t>
            </w:r>
            <w:r w:rsidRPr="00DF1884">
              <w:rPr>
                <w:rFonts w:eastAsiaTheme="minorHAnsi" w:cs="Arial"/>
                <w:szCs w:val="20"/>
              </w:rPr>
              <w:t>for</w:t>
            </w:r>
            <w:r w:rsidR="00DF1884" w:rsidRPr="00DF1884">
              <w:rPr>
                <w:rFonts w:eastAsiaTheme="minorHAnsi" w:cs="Arial"/>
                <w:szCs w:val="20"/>
              </w:rPr>
              <w:t xml:space="preserve"> </w:t>
            </w:r>
            <w:r w:rsidRPr="00DF1884">
              <w:rPr>
                <w:rFonts w:eastAsiaTheme="minorHAnsi" w:cs="Arial"/>
                <w:szCs w:val="20"/>
              </w:rPr>
              <w:t>older</w:t>
            </w:r>
            <w:r w:rsidR="00DF1884" w:rsidRPr="00DF1884">
              <w:rPr>
                <w:rFonts w:eastAsiaTheme="minorHAnsi" w:cs="Arial"/>
                <w:szCs w:val="20"/>
              </w:rPr>
              <w:t xml:space="preserve"> </w:t>
            </w:r>
            <w:r w:rsidRPr="00DF1884">
              <w:rPr>
                <w:rFonts w:eastAsiaTheme="minorHAnsi" w:cs="Arial"/>
                <w:szCs w:val="20"/>
              </w:rPr>
              <w:t>adults</w:t>
            </w:r>
            <w:r w:rsidR="00DF1884" w:rsidRPr="00DF1884">
              <w:rPr>
                <w:rFonts w:eastAsiaTheme="minorHAnsi" w:cs="Arial"/>
                <w:szCs w:val="20"/>
              </w:rPr>
              <w:t xml:space="preserve"> </w:t>
            </w:r>
            <w:r w:rsidRPr="00DF1884">
              <w:rPr>
                <w:rFonts w:eastAsiaTheme="minorHAnsi" w:cs="Arial"/>
                <w:szCs w:val="20"/>
              </w:rPr>
              <w:t>(26</w:t>
            </w:r>
            <w:r w:rsidR="00DF1884" w:rsidRPr="00DF1884">
              <w:rPr>
                <w:rFonts w:eastAsiaTheme="minorHAnsi" w:cs="Arial"/>
                <w:szCs w:val="20"/>
              </w:rPr>
              <w:t xml:space="preserve"> </w:t>
            </w:r>
            <w:r w:rsidR="00CA0676" w:rsidRPr="00DF1884">
              <w:rPr>
                <w:rFonts w:eastAsiaTheme="minorHAnsi" w:cs="Arial"/>
                <w:szCs w:val="20"/>
              </w:rPr>
              <w:t>percent</w:t>
            </w:r>
            <w:r w:rsidR="00DF1884" w:rsidRPr="00DF1884">
              <w:rPr>
                <w:rFonts w:eastAsiaTheme="minorHAnsi" w:cs="Arial"/>
                <w:szCs w:val="20"/>
              </w:rPr>
              <w:t xml:space="preserve"> </w:t>
            </w:r>
            <w:r w:rsidRPr="00DF1884">
              <w:rPr>
                <w:rFonts w:eastAsiaTheme="minorHAnsi" w:cs="Arial"/>
                <w:szCs w:val="20"/>
              </w:rPr>
              <w:t>of</w:t>
            </w:r>
            <w:r w:rsidR="00DF1884" w:rsidRPr="00DF1884">
              <w:rPr>
                <w:rFonts w:eastAsiaTheme="minorHAnsi" w:cs="Arial"/>
                <w:szCs w:val="20"/>
              </w:rPr>
              <w:t xml:space="preserve"> </w:t>
            </w:r>
            <w:r w:rsidRPr="00DF1884">
              <w:rPr>
                <w:rFonts w:eastAsiaTheme="minorHAnsi" w:cs="Arial"/>
                <w:szCs w:val="20"/>
              </w:rPr>
              <w:t>Medicare</w:t>
            </w:r>
            <w:r w:rsidR="00DF1884" w:rsidRPr="00DF1884">
              <w:rPr>
                <w:rFonts w:eastAsiaTheme="minorHAnsi" w:cs="Arial"/>
                <w:szCs w:val="20"/>
              </w:rPr>
              <w:t xml:space="preserve"> </w:t>
            </w:r>
            <w:r w:rsidRPr="00DF1884">
              <w:rPr>
                <w:rFonts w:eastAsiaTheme="minorHAnsi" w:cs="Arial"/>
                <w:szCs w:val="20"/>
              </w:rPr>
              <w:t>spending,</w:t>
            </w:r>
            <w:r w:rsidR="00DF1884" w:rsidRPr="00DF1884">
              <w:rPr>
                <w:rFonts w:eastAsiaTheme="minorHAnsi" w:cs="Arial"/>
                <w:szCs w:val="20"/>
              </w:rPr>
              <w:t xml:space="preserve"> </w:t>
            </w:r>
            <w:r w:rsidRPr="00DF1884">
              <w:rPr>
                <w:rFonts w:eastAsiaTheme="minorHAnsi" w:cs="Arial"/>
                <w:szCs w:val="20"/>
              </w:rPr>
              <w:t>approximately</w:t>
            </w:r>
            <w:r w:rsidR="00DF1884" w:rsidRPr="00DF1884">
              <w:rPr>
                <w:rFonts w:eastAsiaTheme="minorHAnsi" w:cs="Arial"/>
                <w:szCs w:val="20"/>
              </w:rPr>
              <w:t xml:space="preserve"> </w:t>
            </w:r>
            <w:r w:rsidRPr="00DF1884">
              <w:rPr>
                <w:rFonts w:eastAsiaTheme="minorHAnsi" w:cs="Arial"/>
                <w:szCs w:val="20"/>
              </w:rPr>
              <w:t>$140</w:t>
            </w:r>
            <w:r w:rsidR="00DF1884" w:rsidRPr="00DF1884">
              <w:rPr>
                <w:rFonts w:eastAsiaTheme="minorHAnsi" w:cs="Arial"/>
                <w:szCs w:val="20"/>
              </w:rPr>
              <w:t xml:space="preserve"> </w:t>
            </w:r>
            <w:r w:rsidRPr="00DF1884">
              <w:rPr>
                <w:rFonts w:eastAsiaTheme="minorHAnsi" w:cs="Arial"/>
                <w:szCs w:val="20"/>
              </w:rPr>
              <w:t>billion</w:t>
            </w:r>
            <w:r w:rsidR="00DF1884" w:rsidRPr="00DF1884">
              <w:rPr>
                <w:rFonts w:eastAsiaTheme="minorHAnsi" w:cs="Arial"/>
                <w:szCs w:val="20"/>
              </w:rPr>
              <w:t xml:space="preserve"> </w:t>
            </w:r>
            <w:r w:rsidRPr="00DF1884">
              <w:rPr>
                <w:rFonts w:eastAsiaTheme="minorHAnsi" w:cs="Arial"/>
                <w:szCs w:val="20"/>
              </w:rPr>
              <w:t>dollars</w:t>
            </w:r>
            <w:r w:rsidR="00DF1884" w:rsidRPr="00DF1884">
              <w:rPr>
                <w:rFonts w:eastAsiaTheme="minorHAnsi" w:cs="Arial"/>
                <w:szCs w:val="20"/>
              </w:rPr>
              <w:t xml:space="preserve"> </w:t>
            </w:r>
            <w:r w:rsidRPr="00DF1884">
              <w:rPr>
                <w:rFonts w:eastAsiaTheme="minorHAnsi" w:cs="Arial"/>
                <w:szCs w:val="20"/>
              </w:rPr>
              <w:t>annually</w:t>
            </w:r>
            <w:r w:rsidR="00CA0676" w:rsidRPr="00DF1884">
              <w:rPr>
                <w:rFonts w:eastAsiaTheme="minorHAnsi" w:cs="Arial"/>
                <w:szCs w:val="20"/>
              </w:rPr>
              <w:t>)</w:t>
            </w:r>
            <w:r w:rsidR="00DF1884" w:rsidRPr="00DF1884">
              <w:rPr>
                <w:rFonts w:eastAsiaTheme="minorHAnsi" w:cs="Arial"/>
                <w:szCs w:val="20"/>
              </w:rPr>
              <w:t xml:space="preserve"> </w:t>
            </w:r>
            <w:r w:rsidR="00CA0676" w:rsidRPr="00DF1884">
              <w:rPr>
                <w:rFonts w:eastAsiaTheme="minorHAnsi" w:cs="Arial"/>
                <w:szCs w:val="20"/>
              </w:rPr>
              <w:t>(</w:t>
            </w:r>
            <w:r w:rsidRPr="00DF1884">
              <w:rPr>
                <w:rFonts w:eastAsiaTheme="minorHAnsi" w:cs="Arial"/>
                <w:szCs w:val="20"/>
              </w:rPr>
              <w:t>KFF</w:t>
            </w:r>
            <w:r w:rsidR="00DF1884" w:rsidRPr="00DF1884">
              <w:rPr>
                <w:rFonts w:eastAsiaTheme="minorHAnsi" w:cs="Arial"/>
                <w:szCs w:val="20"/>
              </w:rPr>
              <w:t xml:space="preserve"> </w:t>
            </w:r>
            <w:r w:rsidRPr="00DF1884">
              <w:rPr>
                <w:rFonts w:eastAsiaTheme="minorHAnsi" w:cs="Arial"/>
                <w:szCs w:val="20"/>
              </w:rPr>
              <w:t>2012).</w:t>
            </w:r>
            <w:r w:rsidR="00DF1884" w:rsidRPr="00DF1884">
              <w:rPr>
                <w:rFonts w:eastAsiaTheme="minorHAnsi" w:cs="Arial"/>
                <w:szCs w:val="20"/>
              </w:rPr>
              <w:t xml:space="preserve"> </w:t>
            </w:r>
          </w:p>
        </w:tc>
      </w:tr>
      <w:tr w:rsidR="00DF1884" w:rsidRPr="00DF1884" w14:paraId="77A5031A" w14:textId="77777777" w:rsidTr="00C56CA6">
        <w:tc>
          <w:tcPr>
            <w:tcW w:w="1866" w:type="dxa"/>
            <w:tcMar>
              <w:left w:w="115" w:type="dxa"/>
              <w:right w:w="115" w:type="dxa"/>
            </w:tcMar>
          </w:tcPr>
          <w:p w14:paraId="382D34AF" w14:textId="72BDAA9F" w:rsidR="00463667" w:rsidRPr="00DF1884" w:rsidRDefault="00463667" w:rsidP="00C56CA6">
            <w:pPr>
              <w:pStyle w:val="MarginSubhead"/>
            </w:pPr>
            <w:r w:rsidRPr="00DF1884">
              <w:t>Potential</w:t>
            </w:r>
            <w:r w:rsidR="00DF1884" w:rsidRPr="00DF1884">
              <w:t xml:space="preserve"> </w:t>
            </w:r>
            <w:r w:rsidRPr="00DF1884">
              <w:t>for</w:t>
            </w:r>
            <w:r w:rsidR="00DF1884" w:rsidRPr="00DF1884">
              <w:t xml:space="preserve"> </w:t>
            </w:r>
            <w:r w:rsidRPr="00DF1884">
              <w:t>improvement</w:t>
            </w:r>
          </w:p>
        </w:tc>
        <w:tc>
          <w:tcPr>
            <w:tcW w:w="8075" w:type="dxa"/>
            <w:gridSpan w:val="2"/>
            <w:tcMar>
              <w:left w:w="115" w:type="dxa"/>
              <w:right w:w="115" w:type="dxa"/>
            </w:tcMar>
          </w:tcPr>
          <w:p w14:paraId="0D725EA1" w14:textId="15B6EEB6" w:rsidR="00463667" w:rsidRPr="00DF1884" w:rsidRDefault="00CA0676" w:rsidP="00CA0676">
            <w:pPr>
              <w:pStyle w:val="Body"/>
            </w:pPr>
            <w:r w:rsidRPr="00DF1884">
              <w:rPr>
                <w:rFonts w:eastAsiaTheme="minorHAnsi" w:cs="Arial"/>
                <w:szCs w:val="20"/>
              </w:rPr>
              <w:t>C</w:t>
            </w:r>
            <w:r w:rsidR="001559AE" w:rsidRPr="00DF1884">
              <w:rPr>
                <w:rFonts w:eastAsiaTheme="minorHAnsi" w:cs="Arial"/>
                <w:szCs w:val="20"/>
              </w:rPr>
              <w:t>omposites</w:t>
            </w:r>
            <w:r w:rsidR="00DF1884" w:rsidRPr="00DF1884">
              <w:rPr>
                <w:rFonts w:eastAsiaTheme="minorHAnsi" w:cs="Arial"/>
                <w:szCs w:val="20"/>
              </w:rPr>
              <w:t xml:space="preserve"> </w:t>
            </w:r>
            <w:r w:rsidR="001559AE" w:rsidRPr="00DF1884">
              <w:rPr>
                <w:rFonts w:eastAsiaTheme="minorHAnsi" w:cs="Arial"/>
                <w:szCs w:val="20"/>
              </w:rPr>
              <w:t>were</w:t>
            </w:r>
            <w:r w:rsidR="00DF1884" w:rsidRPr="00DF1884">
              <w:rPr>
                <w:rFonts w:eastAsiaTheme="minorHAnsi" w:cs="Arial"/>
                <w:szCs w:val="20"/>
              </w:rPr>
              <w:t xml:space="preserve"> </w:t>
            </w:r>
            <w:r w:rsidR="001559AE" w:rsidRPr="00DF1884">
              <w:rPr>
                <w:rFonts w:eastAsiaTheme="minorHAnsi" w:cs="Arial"/>
                <w:szCs w:val="20"/>
              </w:rPr>
              <w:t>designed</w:t>
            </w:r>
            <w:r w:rsidR="00DF1884" w:rsidRPr="00DF1884">
              <w:rPr>
                <w:rFonts w:eastAsiaTheme="minorHAnsi" w:cs="Arial"/>
                <w:szCs w:val="20"/>
              </w:rPr>
              <w:t xml:space="preserve"> </w:t>
            </w:r>
            <w:r w:rsidR="001559AE" w:rsidRPr="00DF1884">
              <w:rPr>
                <w:rFonts w:eastAsiaTheme="minorHAnsi" w:cs="Arial"/>
                <w:szCs w:val="20"/>
              </w:rPr>
              <w:t>to</w:t>
            </w:r>
            <w:r w:rsidR="00DF1884" w:rsidRPr="00DF1884">
              <w:rPr>
                <w:rFonts w:eastAsiaTheme="minorHAnsi" w:cs="Arial"/>
                <w:szCs w:val="20"/>
              </w:rPr>
              <w:t xml:space="preserve"> </w:t>
            </w:r>
            <w:r w:rsidR="001559AE" w:rsidRPr="00DF1884">
              <w:rPr>
                <w:rFonts w:eastAsiaTheme="minorHAnsi" w:cs="Arial"/>
                <w:szCs w:val="20"/>
              </w:rPr>
              <w:t>assess</w:t>
            </w:r>
            <w:r w:rsidR="00DF1884" w:rsidRPr="00DF1884">
              <w:rPr>
                <w:rFonts w:eastAsiaTheme="minorHAnsi" w:cs="Arial"/>
                <w:szCs w:val="20"/>
              </w:rPr>
              <w:t xml:space="preserve"> </w:t>
            </w:r>
            <w:r w:rsidR="001559AE" w:rsidRPr="00DF1884">
              <w:rPr>
                <w:rFonts w:eastAsiaTheme="minorHAnsi" w:cs="Arial"/>
                <w:szCs w:val="20"/>
              </w:rPr>
              <w:t>quality</w:t>
            </w:r>
            <w:r w:rsidR="00DF1884" w:rsidRPr="00DF1884">
              <w:rPr>
                <w:rFonts w:eastAsiaTheme="minorHAnsi" w:cs="Arial"/>
                <w:szCs w:val="20"/>
              </w:rPr>
              <w:t xml:space="preserve"> </w:t>
            </w:r>
            <w:r w:rsidR="001559AE" w:rsidRPr="00DF1884">
              <w:rPr>
                <w:rFonts w:eastAsiaTheme="minorHAnsi" w:cs="Arial"/>
                <w:szCs w:val="20"/>
              </w:rPr>
              <w:t>of</w:t>
            </w:r>
            <w:r w:rsidR="00DF1884" w:rsidRPr="00DF1884">
              <w:rPr>
                <w:rFonts w:eastAsiaTheme="minorHAnsi" w:cs="Arial"/>
                <w:szCs w:val="20"/>
              </w:rPr>
              <w:t xml:space="preserve"> </w:t>
            </w:r>
            <w:r w:rsidR="001559AE" w:rsidRPr="00DF1884">
              <w:rPr>
                <w:rFonts w:eastAsiaTheme="minorHAnsi" w:cs="Arial"/>
                <w:szCs w:val="20"/>
              </w:rPr>
              <w:t>care</w:t>
            </w:r>
            <w:r w:rsidR="00DF1884" w:rsidRPr="00DF1884">
              <w:rPr>
                <w:rFonts w:eastAsiaTheme="minorHAnsi" w:cs="Arial"/>
                <w:szCs w:val="20"/>
              </w:rPr>
              <w:t xml:space="preserve"> </w:t>
            </w:r>
            <w:r w:rsidR="001559AE" w:rsidRPr="00DF1884">
              <w:rPr>
                <w:rFonts w:eastAsiaTheme="minorHAnsi" w:cs="Arial"/>
                <w:szCs w:val="20"/>
              </w:rPr>
              <w:t>for</w:t>
            </w:r>
            <w:r w:rsidR="00DF1884" w:rsidRPr="00DF1884">
              <w:rPr>
                <w:rFonts w:eastAsiaTheme="minorHAnsi" w:cs="Arial"/>
                <w:szCs w:val="20"/>
              </w:rPr>
              <w:t xml:space="preserve"> </w:t>
            </w:r>
            <w:r w:rsidRPr="00DF1884">
              <w:rPr>
                <w:rFonts w:eastAsiaTheme="minorHAnsi" w:cs="Arial"/>
                <w:szCs w:val="20"/>
              </w:rPr>
              <w:t>ACSCs</w:t>
            </w:r>
            <w:r w:rsidR="001559AE" w:rsidRPr="00DF1884">
              <w:rPr>
                <w:rFonts w:eastAsiaTheme="minorHAnsi" w:cs="Arial"/>
                <w:szCs w:val="20"/>
              </w:rPr>
              <w:t>.</w:t>
            </w:r>
            <w:r w:rsidR="00DF1884" w:rsidRPr="00DF1884">
              <w:rPr>
                <w:rFonts w:eastAsiaTheme="minorHAnsi" w:cs="Arial"/>
                <w:szCs w:val="20"/>
              </w:rPr>
              <w:t xml:space="preserve"> </w:t>
            </w:r>
            <w:r w:rsidR="001559AE" w:rsidRPr="00DF1884">
              <w:rPr>
                <w:rFonts w:eastAsiaTheme="minorHAnsi" w:cs="Arial"/>
                <w:szCs w:val="20"/>
              </w:rPr>
              <w:t>Not</w:t>
            </w:r>
            <w:r w:rsidR="00DF1884" w:rsidRPr="00DF1884">
              <w:rPr>
                <w:rFonts w:eastAsiaTheme="minorHAnsi" w:cs="Arial"/>
                <w:szCs w:val="20"/>
              </w:rPr>
              <w:t xml:space="preserve"> </w:t>
            </w:r>
            <w:r w:rsidR="001559AE" w:rsidRPr="00DF1884">
              <w:rPr>
                <w:rFonts w:eastAsiaTheme="minorHAnsi" w:cs="Arial"/>
                <w:szCs w:val="20"/>
              </w:rPr>
              <w:t>all</w:t>
            </w:r>
            <w:r w:rsidR="00DF1884" w:rsidRPr="00DF1884">
              <w:rPr>
                <w:rFonts w:eastAsiaTheme="minorHAnsi" w:cs="Arial"/>
                <w:szCs w:val="20"/>
              </w:rPr>
              <w:t xml:space="preserve"> </w:t>
            </w:r>
            <w:r w:rsidR="001559AE" w:rsidRPr="00DF1884">
              <w:rPr>
                <w:rFonts w:eastAsiaTheme="minorHAnsi" w:cs="Arial"/>
                <w:szCs w:val="20"/>
              </w:rPr>
              <w:t>complications</w:t>
            </w:r>
            <w:r w:rsidR="00DF1884" w:rsidRPr="00DF1884">
              <w:rPr>
                <w:rFonts w:eastAsiaTheme="minorHAnsi" w:cs="Arial"/>
                <w:szCs w:val="20"/>
              </w:rPr>
              <w:t xml:space="preserve"> </w:t>
            </w:r>
            <w:r w:rsidR="001559AE" w:rsidRPr="00DF1884">
              <w:rPr>
                <w:rFonts w:eastAsiaTheme="minorHAnsi" w:cs="Arial"/>
                <w:szCs w:val="20"/>
              </w:rPr>
              <w:t>that</w:t>
            </w:r>
            <w:r w:rsidR="00DF1884" w:rsidRPr="00DF1884">
              <w:rPr>
                <w:rFonts w:eastAsiaTheme="minorHAnsi" w:cs="Arial"/>
                <w:szCs w:val="20"/>
              </w:rPr>
              <w:t xml:space="preserve"> </w:t>
            </w:r>
            <w:r w:rsidR="001559AE" w:rsidRPr="00DF1884">
              <w:rPr>
                <w:rFonts w:eastAsiaTheme="minorHAnsi" w:cs="Arial"/>
                <w:szCs w:val="20"/>
              </w:rPr>
              <w:t>result</w:t>
            </w:r>
            <w:r w:rsidR="00DF1884" w:rsidRPr="00DF1884">
              <w:rPr>
                <w:rFonts w:eastAsiaTheme="minorHAnsi" w:cs="Arial"/>
                <w:szCs w:val="20"/>
              </w:rPr>
              <w:t xml:space="preserve"> </w:t>
            </w:r>
            <w:r w:rsidR="001559AE" w:rsidRPr="00DF1884">
              <w:rPr>
                <w:rFonts w:eastAsiaTheme="minorHAnsi" w:cs="Arial"/>
                <w:szCs w:val="20"/>
              </w:rPr>
              <w:t>in</w:t>
            </w:r>
            <w:r w:rsidR="00DF1884" w:rsidRPr="00DF1884">
              <w:rPr>
                <w:rFonts w:eastAsiaTheme="minorHAnsi" w:cs="Arial"/>
                <w:szCs w:val="20"/>
              </w:rPr>
              <w:t xml:space="preserve"> </w:t>
            </w:r>
            <w:r w:rsidR="001559AE" w:rsidRPr="00DF1884">
              <w:rPr>
                <w:rFonts w:eastAsiaTheme="minorHAnsi" w:cs="Arial"/>
                <w:szCs w:val="20"/>
              </w:rPr>
              <w:t>hospitalizations</w:t>
            </w:r>
            <w:r w:rsidR="00DF1884" w:rsidRPr="00DF1884">
              <w:rPr>
                <w:rFonts w:eastAsiaTheme="minorHAnsi" w:cs="Arial"/>
                <w:szCs w:val="20"/>
              </w:rPr>
              <w:t xml:space="preserve"> </w:t>
            </w:r>
            <w:r w:rsidR="001559AE" w:rsidRPr="00DF1884">
              <w:rPr>
                <w:rFonts w:eastAsiaTheme="minorHAnsi" w:cs="Arial"/>
                <w:szCs w:val="20"/>
              </w:rPr>
              <w:t>are</w:t>
            </w:r>
            <w:r w:rsidR="00DF1884" w:rsidRPr="00DF1884">
              <w:rPr>
                <w:rFonts w:eastAsiaTheme="minorHAnsi" w:cs="Arial"/>
                <w:szCs w:val="20"/>
              </w:rPr>
              <w:t xml:space="preserve"> </w:t>
            </w:r>
            <w:r w:rsidR="001559AE" w:rsidRPr="00DF1884">
              <w:rPr>
                <w:rFonts w:eastAsiaTheme="minorHAnsi" w:cs="Arial"/>
                <w:szCs w:val="20"/>
              </w:rPr>
              <w:t>preventable</w:t>
            </w:r>
            <w:r w:rsidRPr="00DF1884">
              <w:rPr>
                <w:rFonts w:eastAsiaTheme="minorHAnsi" w:cs="Arial"/>
                <w:szCs w:val="20"/>
              </w:rPr>
              <w:t>;</w:t>
            </w:r>
            <w:r w:rsidR="00DF1884" w:rsidRPr="00DF1884">
              <w:rPr>
                <w:rFonts w:eastAsiaTheme="minorHAnsi" w:cs="Arial"/>
                <w:szCs w:val="20"/>
              </w:rPr>
              <w:t xml:space="preserve"> </w:t>
            </w:r>
            <w:r w:rsidR="001559AE" w:rsidRPr="00DF1884">
              <w:rPr>
                <w:rFonts w:eastAsiaTheme="minorHAnsi" w:cs="Arial"/>
                <w:szCs w:val="20"/>
              </w:rPr>
              <w:t>therefore</w:t>
            </w:r>
            <w:r w:rsidRPr="00DF1884">
              <w:rPr>
                <w:rFonts w:eastAsiaTheme="minorHAnsi" w:cs="Arial"/>
                <w:szCs w:val="20"/>
              </w:rPr>
              <w:t>,</w:t>
            </w:r>
            <w:r w:rsidR="00DF1884" w:rsidRPr="00DF1884">
              <w:rPr>
                <w:rFonts w:eastAsiaTheme="minorHAnsi" w:cs="Arial"/>
                <w:szCs w:val="20"/>
              </w:rPr>
              <w:t xml:space="preserve"> </w:t>
            </w:r>
            <w:r w:rsidR="001559AE" w:rsidRPr="00DF1884">
              <w:rPr>
                <w:rFonts w:eastAsiaTheme="minorHAnsi" w:cs="Arial"/>
                <w:szCs w:val="20"/>
              </w:rPr>
              <w:t>the</w:t>
            </w:r>
            <w:r w:rsidR="00DF1884" w:rsidRPr="00DF1884">
              <w:rPr>
                <w:rFonts w:eastAsiaTheme="minorHAnsi" w:cs="Arial"/>
                <w:szCs w:val="20"/>
              </w:rPr>
              <w:t xml:space="preserve"> </w:t>
            </w:r>
            <w:r w:rsidR="001559AE" w:rsidRPr="00DF1884">
              <w:rPr>
                <w:rFonts w:eastAsiaTheme="minorHAnsi" w:cs="Arial"/>
                <w:szCs w:val="20"/>
              </w:rPr>
              <w:t>goal</w:t>
            </w:r>
            <w:r w:rsidR="00DF1884" w:rsidRPr="00DF1884">
              <w:rPr>
                <w:rFonts w:eastAsiaTheme="minorHAnsi" w:cs="Arial"/>
                <w:szCs w:val="20"/>
              </w:rPr>
              <w:t xml:space="preserve"> </w:t>
            </w:r>
            <w:r w:rsidR="001559AE" w:rsidRPr="00DF1884">
              <w:rPr>
                <w:rFonts w:eastAsiaTheme="minorHAnsi" w:cs="Arial"/>
                <w:szCs w:val="20"/>
              </w:rPr>
              <w:t>of</w:t>
            </w:r>
            <w:r w:rsidR="00DF1884" w:rsidRPr="00DF1884">
              <w:rPr>
                <w:rFonts w:eastAsiaTheme="minorHAnsi" w:cs="Arial"/>
                <w:szCs w:val="20"/>
              </w:rPr>
              <w:t xml:space="preserve"> </w:t>
            </w:r>
            <w:r w:rsidR="001559AE" w:rsidRPr="00DF1884">
              <w:rPr>
                <w:rFonts w:eastAsiaTheme="minorHAnsi" w:cs="Arial"/>
                <w:szCs w:val="20"/>
              </w:rPr>
              <w:t>this</w:t>
            </w:r>
            <w:r w:rsidR="00DF1884" w:rsidRPr="00DF1884">
              <w:rPr>
                <w:rFonts w:eastAsiaTheme="minorHAnsi" w:cs="Arial"/>
                <w:szCs w:val="20"/>
              </w:rPr>
              <w:t xml:space="preserve"> </w:t>
            </w:r>
            <w:r w:rsidR="001559AE" w:rsidRPr="00DF1884">
              <w:rPr>
                <w:rFonts w:eastAsiaTheme="minorHAnsi" w:cs="Arial"/>
                <w:szCs w:val="20"/>
              </w:rPr>
              <w:t>measure</w:t>
            </w:r>
            <w:r w:rsidR="00DF1884" w:rsidRPr="00DF1884">
              <w:rPr>
                <w:rFonts w:eastAsiaTheme="minorHAnsi" w:cs="Arial"/>
                <w:szCs w:val="20"/>
              </w:rPr>
              <w:t xml:space="preserve"> </w:t>
            </w:r>
            <w:r w:rsidR="001559AE" w:rsidRPr="00DF1884">
              <w:rPr>
                <w:rFonts w:eastAsiaTheme="minorHAnsi" w:cs="Arial"/>
                <w:szCs w:val="20"/>
              </w:rPr>
              <w:t>is</w:t>
            </w:r>
            <w:r w:rsidR="00DF1884" w:rsidRPr="00DF1884">
              <w:rPr>
                <w:rFonts w:eastAsiaTheme="minorHAnsi" w:cs="Arial"/>
                <w:szCs w:val="20"/>
              </w:rPr>
              <w:t xml:space="preserve"> </w:t>
            </w:r>
            <w:r w:rsidR="001559AE" w:rsidRPr="00DF1884">
              <w:rPr>
                <w:rFonts w:eastAsiaTheme="minorHAnsi" w:cs="Arial"/>
                <w:szCs w:val="20"/>
              </w:rPr>
              <w:t>not</w:t>
            </w:r>
            <w:r w:rsidR="00DF1884" w:rsidRPr="00DF1884">
              <w:rPr>
                <w:rFonts w:eastAsiaTheme="minorHAnsi" w:cs="Arial"/>
                <w:szCs w:val="20"/>
              </w:rPr>
              <w:t xml:space="preserve"> </w:t>
            </w:r>
            <w:r w:rsidR="001559AE" w:rsidRPr="00DF1884">
              <w:rPr>
                <w:rFonts w:eastAsiaTheme="minorHAnsi" w:cs="Arial"/>
                <w:szCs w:val="20"/>
              </w:rPr>
              <w:t>to</w:t>
            </w:r>
            <w:r w:rsidR="00DF1884" w:rsidRPr="00DF1884">
              <w:rPr>
                <w:rFonts w:eastAsiaTheme="minorHAnsi" w:cs="Arial"/>
                <w:szCs w:val="20"/>
              </w:rPr>
              <w:t xml:space="preserve"> </w:t>
            </w:r>
            <w:r w:rsidR="001559AE" w:rsidRPr="00DF1884">
              <w:rPr>
                <w:rFonts w:eastAsiaTheme="minorHAnsi" w:cs="Arial"/>
                <w:szCs w:val="20"/>
              </w:rPr>
              <w:t>obtain</w:t>
            </w:r>
            <w:r w:rsidR="00DF1884" w:rsidRPr="00DF1884">
              <w:rPr>
                <w:rFonts w:eastAsiaTheme="minorHAnsi" w:cs="Arial"/>
                <w:szCs w:val="20"/>
              </w:rPr>
              <w:t xml:space="preserve"> </w:t>
            </w:r>
            <w:r w:rsidR="001559AE" w:rsidRPr="00DF1884">
              <w:rPr>
                <w:rFonts w:eastAsiaTheme="minorHAnsi" w:cs="Arial"/>
                <w:szCs w:val="20"/>
              </w:rPr>
              <w:t>a</w:t>
            </w:r>
            <w:r w:rsidR="00DF1884" w:rsidRPr="00DF1884">
              <w:rPr>
                <w:rFonts w:eastAsiaTheme="minorHAnsi" w:cs="Arial"/>
                <w:szCs w:val="20"/>
              </w:rPr>
              <w:t xml:space="preserve"> </w:t>
            </w:r>
            <w:r w:rsidR="001559AE" w:rsidRPr="00DF1884">
              <w:rPr>
                <w:rFonts w:eastAsiaTheme="minorHAnsi" w:cs="Arial"/>
                <w:szCs w:val="20"/>
              </w:rPr>
              <w:t>rate</w:t>
            </w:r>
            <w:r w:rsidR="00DF1884" w:rsidRPr="00DF1884">
              <w:rPr>
                <w:rFonts w:eastAsiaTheme="minorHAnsi" w:cs="Arial"/>
                <w:szCs w:val="20"/>
              </w:rPr>
              <w:t xml:space="preserve"> </w:t>
            </w:r>
            <w:r w:rsidR="001559AE" w:rsidRPr="00DF1884">
              <w:rPr>
                <w:rFonts w:eastAsiaTheme="minorHAnsi" w:cs="Arial"/>
                <w:szCs w:val="20"/>
              </w:rPr>
              <w:t>of</w:t>
            </w:r>
            <w:r w:rsidR="00DF1884" w:rsidRPr="00DF1884">
              <w:rPr>
                <w:rFonts w:eastAsiaTheme="minorHAnsi" w:cs="Arial"/>
                <w:szCs w:val="20"/>
              </w:rPr>
              <w:t xml:space="preserve"> </w:t>
            </w:r>
            <w:r w:rsidRPr="00DF1884">
              <w:rPr>
                <w:rFonts w:eastAsiaTheme="minorHAnsi" w:cs="Arial"/>
                <w:szCs w:val="20"/>
              </w:rPr>
              <w:t>no</w:t>
            </w:r>
            <w:r w:rsidR="00DF1884" w:rsidRPr="00DF1884">
              <w:rPr>
                <w:rFonts w:eastAsiaTheme="minorHAnsi" w:cs="Arial"/>
                <w:szCs w:val="20"/>
              </w:rPr>
              <w:t xml:space="preserve"> </w:t>
            </w:r>
            <w:r w:rsidRPr="00DF1884">
              <w:rPr>
                <w:rFonts w:eastAsiaTheme="minorHAnsi" w:cs="Arial"/>
                <w:szCs w:val="20"/>
              </w:rPr>
              <w:t>(zero)</w:t>
            </w:r>
            <w:r w:rsidR="00DF1884" w:rsidRPr="00DF1884">
              <w:rPr>
                <w:rFonts w:eastAsiaTheme="minorHAnsi" w:cs="Arial"/>
                <w:szCs w:val="20"/>
              </w:rPr>
              <w:t xml:space="preserve"> </w:t>
            </w:r>
            <w:r w:rsidR="001559AE" w:rsidRPr="00DF1884">
              <w:rPr>
                <w:rFonts w:eastAsiaTheme="minorHAnsi" w:cs="Arial"/>
                <w:szCs w:val="20"/>
              </w:rPr>
              <w:t>hospitalizations</w:t>
            </w:r>
            <w:r w:rsidRPr="00DF1884">
              <w:rPr>
                <w:rFonts w:eastAsiaTheme="minorHAnsi" w:cs="Arial"/>
                <w:szCs w:val="20"/>
              </w:rPr>
              <w:t>;</w:t>
            </w:r>
            <w:r w:rsidR="00DF1884" w:rsidRPr="00DF1884">
              <w:rPr>
                <w:rFonts w:eastAsiaTheme="minorHAnsi" w:cs="Arial"/>
                <w:szCs w:val="20"/>
              </w:rPr>
              <w:t xml:space="preserve"> </w:t>
            </w:r>
            <w:r w:rsidRPr="00DF1884">
              <w:rPr>
                <w:rFonts w:eastAsiaTheme="minorHAnsi" w:cs="Arial"/>
                <w:szCs w:val="20"/>
              </w:rPr>
              <w:t>rather,</w:t>
            </w:r>
            <w:r w:rsidR="00DF1884" w:rsidRPr="00DF1884">
              <w:rPr>
                <w:rFonts w:eastAsiaTheme="minorHAnsi" w:cs="Arial"/>
                <w:szCs w:val="20"/>
              </w:rPr>
              <w:t xml:space="preserve"> </w:t>
            </w:r>
            <w:r w:rsidRPr="00DF1884">
              <w:rPr>
                <w:rFonts w:eastAsiaTheme="minorHAnsi" w:cs="Arial"/>
                <w:szCs w:val="20"/>
              </w:rPr>
              <w:t>the</w:t>
            </w:r>
            <w:r w:rsidR="00DF1884" w:rsidRPr="00DF1884">
              <w:rPr>
                <w:rFonts w:eastAsiaTheme="minorHAnsi" w:cs="Arial"/>
                <w:szCs w:val="20"/>
              </w:rPr>
              <w:t xml:space="preserve"> </w:t>
            </w:r>
            <w:r w:rsidR="001559AE" w:rsidRPr="00DF1884">
              <w:rPr>
                <w:rFonts w:eastAsiaTheme="minorHAnsi" w:cs="Arial"/>
                <w:szCs w:val="20"/>
              </w:rPr>
              <w:t>measures</w:t>
            </w:r>
            <w:r w:rsidR="00DF1884" w:rsidRPr="00DF1884">
              <w:rPr>
                <w:rFonts w:eastAsiaTheme="minorHAnsi" w:cs="Arial"/>
                <w:szCs w:val="20"/>
              </w:rPr>
              <w:t xml:space="preserve"> </w:t>
            </w:r>
            <w:r w:rsidRPr="00DF1884">
              <w:rPr>
                <w:rFonts w:eastAsiaTheme="minorHAnsi" w:cs="Arial"/>
                <w:szCs w:val="20"/>
              </w:rPr>
              <w:t>reflect</w:t>
            </w:r>
            <w:r w:rsidR="00DF1884" w:rsidRPr="00DF1884">
              <w:rPr>
                <w:rFonts w:eastAsiaTheme="minorHAnsi" w:cs="Arial"/>
                <w:szCs w:val="20"/>
              </w:rPr>
              <w:t xml:space="preserve"> </w:t>
            </w:r>
            <w:r w:rsidR="001559AE" w:rsidRPr="00DF1884">
              <w:rPr>
                <w:rFonts w:eastAsiaTheme="minorHAnsi" w:cs="Arial"/>
                <w:szCs w:val="20"/>
              </w:rPr>
              <w:t>on</w:t>
            </w:r>
            <w:r w:rsidR="00DF1884" w:rsidRPr="00DF1884">
              <w:rPr>
                <w:rFonts w:eastAsiaTheme="minorHAnsi" w:cs="Arial"/>
                <w:szCs w:val="20"/>
              </w:rPr>
              <w:t xml:space="preserve"> </w:t>
            </w:r>
            <w:r w:rsidR="001559AE" w:rsidRPr="00DF1884">
              <w:rPr>
                <w:rFonts w:eastAsiaTheme="minorHAnsi" w:cs="Arial"/>
                <w:szCs w:val="20"/>
              </w:rPr>
              <w:t>the</w:t>
            </w:r>
            <w:r w:rsidR="00DF1884" w:rsidRPr="00DF1884">
              <w:rPr>
                <w:rFonts w:eastAsiaTheme="minorHAnsi" w:cs="Arial"/>
                <w:szCs w:val="20"/>
              </w:rPr>
              <w:t xml:space="preserve"> </w:t>
            </w:r>
            <w:r w:rsidR="001559AE" w:rsidRPr="00DF1884">
              <w:rPr>
                <w:rFonts w:eastAsiaTheme="minorHAnsi" w:cs="Arial"/>
                <w:szCs w:val="20"/>
              </w:rPr>
              <w:t>community</w:t>
            </w:r>
            <w:r w:rsidR="00DF1884" w:rsidRPr="00DF1884">
              <w:rPr>
                <w:rFonts w:eastAsiaTheme="minorHAnsi" w:cs="Arial"/>
                <w:szCs w:val="20"/>
              </w:rPr>
              <w:t xml:space="preserve"> </w:t>
            </w:r>
            <w:r w:rsidR="001559AE" w:rsidRPr="00DF1884">
              <w:rPr>
                <w:rFonts w:eastAsiaTheme="minorHAnsi" w:cs="Arial"/>
                <w:szCs w:val="20"/>
              </w:rPr>
              <w:t>health</w:t>
            </w:r>
            <w:r w:rsidR="00DF1884" w:rsidRPr="00DF1884">
              <w:rPr>
                <w:rFonts w:eastAsiaTheme="minorHAnsi" w:cs="Arial"/>
                <w:szCs w:val="20"/>
              </w:rPr>
              <w:t xml:space="preserve"> </w:t>
            </w:r>
            <w:r w:rsidR="001559AE" w:rsidRPr="00DF1884">
              <w:rPr>
                <w:rFonts w:eastAsiaTheme="minorHAnsi" w:cs="Arial"/>
                <w:szCs w:val="20"/>
              </w:rPr>
              <w:t>care</w:t>
            </w:r>
            <w:r w:rsidR="00DF1884" w:rsidRPr="00DF1884">
              <w:rPr>
                <w:rFonts w:eastAsiaTheme="minorHAnsi" w:cs="Arial"/>
                <w:szCs w:val="20"/>
              </w:rPr>
              <w:t xml:space="preserve"> </w:t>
            </w:r>
            <w:r w:rsidR="001559AE" w:rsidRPr="00DF1884">
              <w:rPr>
                <w:rFonts w:eastAsiaTheme="minorHAnsi" w:cs="Arial"/>
                <w:szCs w:val="20"/>
              </w:rPr>
              <w:t>system’s</w:t>
            </w:r>
            <w:r w:rsidR="00DF1884" w:rsidRPr="00DF1884">
              <w:rPr>
                <w:rFonts w:eastAsiaTheme="minorHAnsi" w:cs="Arial"/>
                <w:szCs w:val="20"/>
              </w:rPr>
              <w:t xml:space="preserve"> </w:t>
            </w:r>
            <w:r w:rsidR="001559AE" w:rsidRPr="00DF1884">
              <w:rPr>
                <w:rFonts w:eastAsiaTheme="minorHAnsi" w:cs="Arial"/>
                <w:szCs w:val="20"/>
              </w:rPr>
              <w:t>success</w:t>
            </w:r>
            <w:r w:rsidR="00DF1884" w:rsidRPr="00DF1884">
              <w:rPr>
                <w:rFonts w:eastAsiaTheme="minorHAnsi" w:cs="Arial"/>
                <w:szCs w:val="20"/>
              </w:rPr>
              <w:t xml:space="preserve"> </w:t>
            </w:r>
            <w:r w:rsidR="001559AE" w:rsidRPr="00DF1884">
              <w:rPr>
                <w:rFonts w:eastAsiaTheme="minorHAnsi" w:cs="Arial"/>
                <w:szCs w:val="20"/>
              </w:rPr>
              <w:t>at</w:t>
            </w:r>
            <w:r w:rsidR="00DF1884" w:rsidRPr="00DF1884">
              <w:rPr>
                <w:rFonts w:eastAsiaTheme="minorHAnsi" w:cs="Arial"/>
                <w:szCs w:val="20"/>
              </w:rPr>
              <w:t xml:space="preserve"> </w:t>
            </w:r>
            <w:r w:rsidR="001559AE" w:rsidRPr="00DF1884">
              <w:rPr>
                <w:rFonts w:eastAsiaTheme="minorHAnsi" w:cs="Arial"/>
                <w:szCs w:val="20"/>
              </w:rPr>
              <w:t>chronic</w:t>
            </w:r>
            <w:r w:rsidR="00DF1884" w:rsidRPr="00DF1884">
              <w:rPr>
                <w:rFonts w:eastAsiaTheme="minorHAnsi" w:cs="Arial"/>
                <w:szCs w:val="20"/>
              </w:rPr>
              <w:t xml:space="preserve"> </w:t>
            </w:r>
            <w:r w:rsidR="001559AE" w:rsidRPr="00DF1884">
              <w:rPr>
                <w:rFonts w:eastAsiaTheme="minorHAnsi" w:cs="Arial"/>
                <w:szCs w:val="20"/>
              </w:rPr>
              <w:t>disease</w:t>
            </w:r>
            <w:r w:rsidR="00DF1884" w:rsidRPr="00DF1884">
              <w:rPr>
                <w:rFonts w:eastAsiaTheme="minorHAnsi" w:cs="Arial"/>
                <w:szCs w:val="20"/>
              </w:rPr>
              <w:t xml:space="preserve"> </w:t>
            </w:r>
            <w:r w:rsidR="001559AE" w:rsidRPr="00DF1884">
              <w:rPr>
                <w:rFonts w:eastAsiaTheme="minorHAnsi" w:cs="Arial"/>
                <w:szCs w:val="20"/>
              </w:rPr>
              <w:t>management</w:t>
            </w:r>
            <w:r w:rsidR="00DF1884" w:rsidRPr="00DF1884">
              <w:rPr>
                <w:rFonts w:eastAsiaTheme="minorHAnsi" w:cs="Arial"/>
                <w:szCs w:val="20"/>
              </w:rPr>
              <w:t xml:space="preserve"> </w:t>
            </w:r>
            <w:r w:rsidR="001559AE" w:rsidRPr="00DF1884">
              <w:rPr>
                <w:rFonts w:eastAsiaTheme="minorHAnsi" w:cs="Arial"/>
                <w:szCs w:val="20"/>
              </w:rPr>
              <w:t>and</w:t>
            </w:r>
            <w:r w:rsidR="00DF1884" w:rsidRPr="00DF1884">
              <w:rPr>
                <w:rFonts w:eastAsiaTheme="minorHAnsi" w:cs="Arial"/>
                <w:szCs w:val="20"/>
              </w:rPr>
              <w:t xml:space="preserve"> </w:t>
            </w:r>
            <w:r w:rsidR="001559AE" w:rsidRPr="00DF1884">
              <w:rPr>
                <w:rFonts w:eastAsiaTheme="minorHAnsi" w:cs="Arial"/>
                <w:szCs w:val="20"/>
              </w:rPr>
              <w:t>outpatient</w:t>
            </w:r>
            <w:r w:rsidR="00DF1884" w:rsidRPr="00DF1884">
              <w:rPr>
                <w:rFonts w:eastAsiaTheme="minorHAnsi" w:cs="Arial"/>
                <w:szCs w:val="20"/>
              </w:rPr>
              <w:t xml:space="preserve"> </w:t>
            </w:r>
            <w:r w:rsidR="001559AE" w:rsidRPr="00DF1884">
              <w:rPr>
                <w:rFonts w:eastAsiaTheme="minorHAnsi" w:cs="Arial"/>
                <w:szCs w:val="20"/>
              </w:rPr>
              <w:t>care</w:t>
            </w:r>
            <w:r w:rsidR="00DF1884" w:rsidRPr="00DF1884">
              <w:rPr>
                <w:rFonts w:eastAsiaTheme="minorHAnsi" w:cs="Arial"/>
                <w:szCs w:val="20"/>
              </w:rPr>
              <w:t xml:space="preserve"> </w:t>
            </w:r>
            <w:r w:rsidR="001559AE" w:rsidRPr="00DF1884">
              <w:rPr>
                <w:rFonts w:eastAsiaTheme="minorHAnsi" w:cs="Arial"/>
                <w:szCs w:val="20"/>
              </w:rPr>
              <w:t>for</w:t>
            </w:r>
            <w:r w:rsidR="00DF1884" w:rsidRPr="00DF1884">
              <w:rPr>
                <w:rFonts w:eastAsiaTheme="minorHAnsi" w:cs="Arial"/>
                <w:szCs w:val="20"/>
              </w:rPr>
              <w:t xml:space="preserve"> </w:t>
            </w:r>
            <w:r w:rsidR="001559AE" w:rsidRPr="00DF1884">
              <w:rPr>
                <w:rFonts w:eastAsiaTheme="minorHAnsi" w:cs="Arial"/>
                <w:szCs w:val="20"/>
              </w:rPr>
              <w:t>acute</w:t>
            </w:r>
            <w:r w:rsidR="00DF1884" w:rsidRPr="00DF1884">
              <w:rPr>
                <w:rFonts w:eastAsiaTheme="minorHAnsi" w:cs="Arial"/>
                <w:szCs w:val="20"/>
              </w:rPr>
              <w:t xml:space="preserve"> </w:t>
            </w:r>
            <w:r w:rsidR="001559AE" w:rsidRPr="00DF1884">
              <w:rPr>
                <w:rFonts w:eastAsiaTheme="minorHAnsi" w:cs="Arial"/>
                <w:szCs w:val="20"/>
              </w:rPr>
              <w:t>conditions.</w:t>
            </w:r>
            <w:r w:rsidR="00DF1884" w:rsidRPr="00DF1884">
              <w:rPr>
                <w:rFonts w:eastAsiaTheme="minorHAnsi" w:cs="Arial"/>
                <w:szCs w:val="20"/>
              </w:rPr>
              <w:t xml:space="preserve"> </w:t>
            </w:r>
            <w:r w:rsidRPr="00DF1884">
              <w:rPr>
                <w:rFonts w:eastAsiaTheme="minorHAnsi" w:cs="Arial"/>
                <w:szCs w:val="20"/>
              </w:rPr>
              <w:t>C</w:t>
            </w:r>
            <w:r w:rsidR="001559AE" w:rsidRPr="00DF1884">
              <w:rPr>
                <w:rFonts w:eastAsiaTheme="minorHAnsi" w:cs="Arial"/>
                <w:szCs w:val="20"/>
              </w:rPr>
              <w:t>omposites</w:t>
            </w:r>
            <w:r w:rsidR="00DF1884" w:rsidRPr="00DF1884">
              <w:rPr>
                <w:rFonts w:eastAsiaTheme="minorHAnsi" w:cs="Arial"/>
                <w:szCs w:val="20"/>
              </w:rPr>
              <w:t xml:space="preserve"> </w:t>
            </w:r>
            <w:r w:rsidR="001559AE" w:rsidRPr="00DF1884">
              <w:rPr>
                <w:rFonts w:eastAsiaTheme="minorHAnsi" w:cs="Arial"/>
                <w:szCs w:val="20"/>
              </w:rPr>
              <w:t>can</w:t>
            </w:r>
            <w:r w:rsidR="00DF1884" w:rsidRPr="00DF1884">
              <w:rPr>
                <w:rFonts w:eastAsiaTheme="minorHAnsi" w:cs="Arial"/>
                <w:szCs w:val="20"/>
              </w:rPr>
              <w:t xml:space="preserve"> </w:t>
            </w:r>
            <w:r w:rsidR="001559AE" w:rsidRPr="00DF1884">
              <w:rPr>
                <w:rFonts w:eastAsiaTheme="minorHAnsi" w:cs="Arial"/>
                <w:szCs w:val="20"/>
              </w:rPr>
              <w:t>act</w:t>
            </w:r>
            <w:r w:rsidR="00DF1884" w:rsidRPr="00DF1884">
              <w:rPr>
                <w:rFonts w:eastAsiaTheme="minorHAnsi" w:cs="Arial"/>
                <w:szCs w:val="20"/>
              </w:rPr>
              <w:t xml:space="preserve"> </w:t>
            </w:r>
            <w:r w:rsidR="001559AE" w:rsidRPr="00DF1884">
              <w:rPr>
                <w:rFonts w:eastAsiaTheme="minorHAnsi" w:cs="Arial"/>
                <w:szCs w:val="20"/>
              </w:rPr>
              <w:t>as</w:t>
            </w:r>
            <w:r w:rsidR="00DF1884" w:rsidRPr="00DF1884">
              <w:rPr>
                <w:rFonts w:eastAsiaTheme="minorHAnsi" w:cs="Arial"/>
                <w:szCs w:val="20"/>
              </w:rPr>
              <w:t xml:space="preserve"> </w:t>
            </w:r>
            <w:r w:rsidR="001559AE" w:rsidRPr="00DF1884">
              <w:rPr>
                <w:rFonts w:eastAsiaTheme="minorHAnsi" w:cs="Arial"/>
                <w:szCs w:val="20"/>
              </w:rPr>
              <w:t>“indicators”</w:t>
            </w:r>
            <w:r w:rsidR="00DF1884" w:rsidRPr="00DF1884">
              <w:rPr>
                <w:rFonts w:eastAsiaTheme="minorHAnsi" w:cs="Arial"/>
                <w:szCs w:val="20"/>
              </w:rPr>
              <w:t xml:space="preserve"> </w:t>
            </w:r>
            <w:r w:rsidR="001559AE" w:rsidRPr="00DF1884">
              <w:rPr>
                <w:rFonts w:eastAsiaTheme="minorHAnsi" w:cs="Arial"/>
                <w:szCs w:val="20"/>
              </w:rPr>
              <w:t>to</w:t>
            </w:r>
            <w:r w:rsidR="00DF1884" w:rsidRPr="00DF1884">
              <w:rPr>
                <w:rFonts w:eastAsiaTheme="minorHAnsi" w:cs="Arial"/>
                <w:szCs w:val="20"/>
              </w:rPr>
              <w:t xml:space="preserve"> </w:t>
            </w:r>
            <w:r w:rsidR="001559AE" w:rsidRPr="00DF1884">
              <w:rPr>
                <w:rFonts w:eastAsiaTheme="minorHAnsi" w:cs="Arial"/>
                <w:szCs w:val="20"/>
              </w:rPr>
              <w:t>help</w:t>
            </w:r>
            <w:r w:rsidR="00DF1884" w:rsidRPr="00DF1884">
              <w:rPr>
                <w:rFonts w:eastAsiaTheme="minorHAnsi" w:cs="Arial"/>
                <w:szCs w:val="20"/>
              </w:rPr>
              <w:t xml:space="preserve"> </w:t>
            </w:r>
            <w:r w:rsidR="001559AE" w:rsidRPr="00DF1884">
              <w:rPr>
                <w:rFonts w:eastAsiaTheme="minorHAnsi" w:cs="Arial"/>
                <w:szCs w:val="20"/>
              </w:rPr>
              <w:t>flag</w:t>
            </w:r>
            <w:r w:rsidR="00DF1884" w:rsidRPr="00DF1884">
              <w:rPr>
                <w:rFonts w:eastAsiaTheme="minorHAnsi" w:cs="Arial"/>
                <w:szCs w:val="20"/>
              </w:rPr>
              <w:t xml:space="preserve"> </w:t>
            </w:r>
            <w:r w:rsidR="001559AE" w:rsidRPr="00DF1884">
              <w:rPr>
                <w:rFonts w:eastAsiaTheme="minorHAnsi" w:cs="Arial"/>
                <w:szCs w:val="20"/>
              </w:rPr>
              <w:t>potential</w:t>
            </w:r>
            <w:r w:rsidR="00DF1884" w:rsidRPr="00DF1884">
              <w:rPr>
                <w:rFonts w:eastAsiaTheme="minorHAnsi" w:cs="Arial"/>
                <w:szCs w:val="20"/>
              </w:rPr>
              <w:t xml:space="preserve"> </w:t>
            </w:r>
            <w:r w:rsidR="001559AE" w:rsidRPr="00DF1884">
              <w:rPr>
                <w:rFonts w:eastAsiaTheme="minorHAnsi" w:cs="Arial"/>
                <w:szCs w:val="20"/>
              </w:rPr>
              <w:t>health</w:t>
            </w:r>
            <w:r w:rsidR="00DF1884" w:rsidRPr="00DF1884">
              <w:rPr>
                <w:rFonts w:eastAsiaTheme="minorHAnsi" w:cs="Arial"/>
                <w:szCs w:val="20"/>
              </w:rPr>
              <w:t xml:space="preserve"> </w:t>
            </w:r>
            <w:r w:rsidR="001559AE" w:rsidRPr="00DF1884">
              <w:rPr>
                <w:rFonts w:eastAsiaTheme="minorHAnsi" w:cs="Arial"/>
                <w:szCs w:val="20"/>
              </w:rPr>
              <w:t>care</w:t>
            </w:r>
            <w:r w:rsidR="00DF1884" w:rsidRPr="00DF1884">
              <w:rPr>
                <w:rFonts w:eastAsiaTheme="minorHAnsi" w:cs="Arial"/>
                <w:szCs w:val="20"/>
              </w:rPr>
              <w:t xml:space="preserve"> </w:t>
            </w:r>
            <w:r w:rsidR="001559AE" w:rsidRPr="00DF1884">
              <w:rPr>
                <w:rFonts w:eastAsiaTheme="minorHAnsi" w:cs="Arial"/>
                <w:szCs w:val="20"/>
              </w:rPr>
              <w:t>quality</w:t>
            </w:r>
            <w:r w:rsidR="00DF1884" w:rsidRPr="00DF1884">
              <w:rPr>
                <w:rFonts w:eastAsiaTheme="minorHAnsi" w:cs="Arial"/>
                <w:szCs w:val="20"/>
              </w:rPr>
              <w:t xml:space="preserve"> </w:t>
            </w:r>
            <w:r w:rsidR="001559AE" w:rsidRPr="00DF1884">
              <w:rPr>
                <w:rFonts w:eastAsiaTheme="minorHAnsi" w:cs="Arial"/>
                <w:szCs w:val="20"/>
              </w:rPr>
              <w:t>problems</w:t>
            </w:r>
            <w:r w:rsidR="00DF1884" w:rsidRPr="00DF1884">
              <w:rPr>
                <w:rFonts w:eastAsiaTheme="minorHAnsi" w:cs="Arial"/>
                <w:szCs w:val="20"/>
              </w:rPr>
              <w:t xml:space="preserve"> </w:t>
            </w:r>
            <w:r w:rsidR="001559AE" w:rsidRPr="00DF1884">
              <w:rPr>
                <w:rFonts w:eastAsiaTheme="minorHAnsi" w:cs="Arial"/>
                <w:szCs w:val="20"/>
              </w:rPr>
              <w:t>in</w:t>
            </w:r>
            <w:r w:rsidR="00DF1884" w:rsidRPr="00DF1884">
              <w:rPr>
                <w:rFonts w:eastAsiaTheme="minorHAnsi" w:cs="Arial"/>
                <w:szCs w:val="20"/>
              </w:rPr>
              <w:t xml:space="preserve"> </w:t>
            </w:r>
            <w:r w:rsidR="001559AE" w:rsidRPr="00DF1884">
              <w:rPr>
                <w:rFonts w:eastAsiaTheme="minorHAnsi" w:cs="Arial"/>
                <w:szCs w:val="20"/>
              </w:rPr>
              <w:t>chronic</w:t>
            </w:r>
            <w:r w:rsidR="00DF1884" w:rsidRPr="00DF1884">
              <w:rPr>
                <w:rFonts w:eastAsiaTheme="minorHAnsi" w:cs="Arial"/>
                <w:szCs w:val="20"/>
              </w:rPr>
              <w:t xml:space="preserve"> </w:t>
            </w:r>
            <w:r w:rsidR="001559AE" w:rsidRPr="00DF1884">
              <w:rPr>
                <w:rFonts w:eastAsiaTheme="minorHAnsi" w:cs="Arial"/>
                <w:szCs w:val="20"/>
              </w:rPr>
              <w:t>disease</w:t>
            </w:r>
            <w:r w:rsidR="00DF1884" w:rsidRPr="00DF1884">
              <w:rPr>
                <w:rFonts w:eastAsiaTheme="minorHAnsi" w:cs="Arial"/>
                <w:szCs w:val="20"/>
              </w:rPr>
              <w:t xml:space="preserve"> </w:t>
            </w:r>
            <w:r w:rsidR="001559AE" w:rsidRPr="00DF1884">
              <w:rPr>
                <w:rFonts w:eastAsiaTheme="minorHAnsi" w:cs="Arial"/>
                <w:szCs w:val="20"/>
              </w:rPr>
              <w:t>management</w:t>
            </w:r>
            <w:r w:rsidR="00DF1884" w:rsidRPr="00DF1884">
              <w:rPr>
                <w:rFonts w:eastAsiaTheme="minorHAnsi" w:cs="Arial"/>
                <w:szCs w:val="20"/>
              </w:rPr>
              <w:t xml:space="preserve"> </w:t>
            </w:r>
            <w:r w:rsidR="001559AE" w:rsidRPr="00DF1884">
              <w:rPr>
                <w:rFonts w:eastAsiaTheme="minorHAnsi" w:cs="Arial"/>
                <w:szCs w:val="20"/>
              </w:rPr>
              <w:t>and</w:t>
            </w:r>
            <w:r w:rsidR="00DF1884" w:rsidRPr="00DF1884">
              <w:rPr>
                <w:rFonts w:eastAsiaTheme="minorHAnsi" w:cs="Arial"/>
                <w:szCs w:val="20"/>
              </w:rPr>
              <w:t xml:space="preserve"> </w:t>
            </w:r>
            <w:r w:rsidR="001559AE" w:rsidRPr="00DF1884">
              <w:rPr>
                <w:rFonts w:eastAsiaTheme="minorHAnsi" w:cs="Arial"/>
                <w:szCs w:val="20"/>
              </w:rPr>
              <w:t>acute</w:t>
            </w:r>
            <w:r w:rsidR="00DF1884" w:rsidRPr="00DF1884">
              <w:rPr>
                <w:rFonts w:eastAsiaTheme="minorHAnsi" w:cs="Arial"/>
                <w:szCs w:val="20"/>
              </w:rPr>
              <w:t xml:space="preserve"> </w:t>
            </w:r>
            <w:r w:rsidR="001559AE" w:rsidRPr="00DF1884">
              <w:rPr>
                <w:rFonts w:eastAsiaTheme="minorHAnsi" w:cs="Arial"/>
                <w:szCs w:val="20"/>
              </w:rPr>
              <w:t>care.</w:t>
            </w:r>
          </w:p>
        </w:tc>
      </w:tr>
    </w:tbl>
    <w:p w14:paraId="1074FAA1" w14:textId="77777777" w:rsidR="00463667" w:rsidRPr="00DF1884" w:rsidRDefault="00463667" w:rsidP="00463667">
      <w:pPr>
        <w:sectPr w:rsidR="00463667" w:rsidRPr="00DF1884" w:rsidSect="0039781B">
          <w:pgSz w:w="12240" w:h="15840" w:code="1"/>
          <w:pgMar w:top="1080" w:right="1080" w:bottom="1080" w:left="1440" w:header="720" w:footer="720" w:gutter="0"/>
          <w:cols w:space="720"/>
        </w:sectPr>
      </w:pPr>
    </w:p>
    <w:p w14:paraId="72BFA177" w14:textId="76531057" w:rsidR="00463667" w:rsidRPr="00DF1884" w:rsidRDefault="00463667" w:rsidP="00463667">
      <w:pPr>
        <w:pStyle w:val="ReverseHead"/>
        <w:spacing w:before="0"/>
      </w:pPr>
      <w:r w:rsidRPr="00DF1884">
        <w:lastRenderedPageBreak/>
        <w:t>Scientific</w:t>
      </w:r>
      <w:r w:rsidR="00DF1884" w:rsidRPr="00DF1884">
        <w:t xml:space="preserve"> </w:t>
      </w:r>
      <w:r w:rsidRPr="00DF1884">
        <w:t>Soundness</w:t>
      </w:r>
    </w:p>
    <w:tbl>
      <w:tblPr>
        <w:tblW w:w="0" w:type="auto"/>
        <w:tblInd w:w="-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1956"/>
        <w:gridCol w:w="7985"/>
      </w:tblGrid>
      <w:tr w:rsidR="00463667" w:rsidRPr="00DF1884" w14:paraId="664C64FF" w14:textId="77777777" w:rsidTr="00C56CA6">
        <w:tc>
          <w:tcPr>
            <w:tcW w:w="1956" w:type="dxa"/>
            <w:tcBorders>
              <w:top w:val="nil"/>
              <w:left w:val="nil"/>
              <w:bottom w:val="nil"/>
              <w:right w:val="nil"/>
            </w:tcBorders>
            <w:tcMar>
              <w:left w:w="115" w:type="dxa"/>
              <w:right w:w="115" w:type="dxa"/>
            </w:tcMar>
          </w:tcPr>
          <w:p w14:paraId="3CA24E2A" w14:textId="64C786E1" w:rsidR="00463667" w:rsidRPr="00DF1884" w:rsidRDefault="00463667" w:rsidP="00C56CA6">
            <w:pPr>
              <w:pStyle w:val="MarginSubhead"/>
            </w:pPr>
            <w:r w:rsidRPr="00DF1884">
              <w:t>Clinical</w:t>
            </w:r>
            <w:r w:rsidR="00DF1884" w:rsidRPr="00DF1884">
              <w:t xml:space="preserve"> </w:t>
            </w:r>
            <w:r w:rsidRPr="00DF1884">
              <w:t>importance</w:t>
            </w:r>
            <w:r w:rsidR="00DF1884" w:rsidRPr="00DF1884">
              <w:t xml:space="preserve"> </w:t>
            </w:r>
            <w:r w:rsidRPr="00DF1884">
              <w:br/>
              <w:t>and</w:t>
            </w:r>
            <w:r w:rsidR="00DF1884" w:rsidRPr="00DF1884">
              <w:t xml:space="preserve"> </w:t>
            </w:r>
            <w:r w:rsidRPr="00DF1884">
              <w:t>evidence</w:t>
            </w:r>
          </w:p>
        </w:tc>
        <w:tc>
          <w:tcPr>
            <w:tcW w:w="7985" w:type="dxa"/>
            <w:tcBorders>
              <w:top w:val="nil"/>
              <w:left w:val="nil"/>
              <w:bottom w:val="nil"/>
              <w:right w:val="nil"/>
            </w:tcBorders>
            <w:tcMar>
              <w:left w:w="115" w:type="dxa"/>
              <w:right w:w="115" w:type="dxa"/>
            </w:tcMar>
          </w:tcPr>
          <w:p w14:paraId="399D6585" w14:textId="77777777" w:rsidR="00463667" w:rsidRPr="00DF1884" w:rsidRDefault="00463667" w:rsidP="00C56CA6">
            <w:pPr>
              <w:pStyle w:val="Body"/>
              <w:rPr>
                <w:b/>
                <w:bCs/>
                <w:i/>
              </w:rPr>
            </w:pPr>
          </w:p>
        </w:tc>
      </w:tr>
      <w:tr w:rsidR="00DF1884" w:rsidRPr="00DF1884" w14:paraId="28DD3134" w14:textId="77777777" w:rsidTr="00C56CA6">
        <w:tc>
          <w:tcPr>
            <w:tcW w:w="1956" w:type="dxa"/>
            <w:tcBorders>
              <w:top w:val="nil"/>
              <w:left w:val="nil"/>
              <w:bottom w:val="nil"/>
              <w:right w:val="nil"/>
            </w:tcBorders>
            <w:tcMar>
              <w:left w:w="115" w:type="dxa"/>
              <w:right w:w="115" w:type="dxa"/>
            </w:tcMar>
          </w:tcPr>
          <w:p w14:paraId="1BCB87FF" w14:textId="4ED06F6D" w:rsidR="00463667" w:rsidRPr="00DF1884" w:rsidRDefault="00463667" w:rsidP="00C56CA6">
            <w:pPr>
              <w:pStyle w:val="MarginSubhead"/>
              <w:ind w:left="0"/>
              <w:jc w:val="right"/>
              <w:rPr>
                <w:i/>
                <w:highlight w:val="yellow"/>
              </w:rPr>
            </w:pPr>
            <w:r w:rsidRPr="00DF1884">
              <w:rPr>
                <w:i/>
              </w:rPr>
              <w:t>Guideline</w:t>
            </w:r>
            <w:r w:rsidR="00DF1884" w:rsidRPr="00DF1884">
              <w:rPr>
                <w:i/>
              </w:rPr>
              <w:t xml:space="preserve"> </w:t>
            </w:r>
            <w:r w:rsidRPr="00DF1884">
              <w:rPr>
                <w:i/>
              </w:rPr>
              <w:t>recommendations</w:t>
            </w:r>
          </w:p>
        </w:tc>
        <w:tc>
          <w:tcPr>
            <w:tcW w:w="7985" w:type="dxa"/>
            <w:tcBorders>
              <w:top w:val="nil"/>
              <w:left w:val="nil"/>
              <w:bottom w:val="nil"/>
              <w:right w:val="nil"/>
            </w:tcBorders>
            <w:tcMar>
              <w:left w:w="115" w:type="dxa"/>
              <w:right w:w="115" w:type="dxa"/>
            </w:tcMar>
          </w:tcPr>
          <w:p w14:paraId="6B800218" w14:textId="67901559" w:rsidR="00463667" w:rsidRPr="00DF1884" w:rsidRDefault="001559AE" w:rsidP="00CA0676">
            <w:pPr>
              <w:pStyle w:val="Body"/>
              <w:rPr>
                <w:highlight w:val="yellow"/>
              </w:rPr>
            </w:pPr>
            <w:r w:rsidRPr="00DF1884">
              <w:rPr>
                <w:rFonts w:eastAsiaTheme="minorHAnsi" w:cs="Arial"/>
                <w:szCs w:val="20"/>
              </w:rPr>
              <w:t>It</w:t>
            </w:r>
            <w:r w:rsidR="00DF1884" w:rsidRPr="00DF1884">
              <w:rPr>
                <w:rFonts w:eastAsiaTheme="minorHAnsi" w:cs="Arial"/>
                <w:szCs w:val="20"/>
              </w:rPr>
              <w:t xml:space="preserve"> </w:t>
            </w:r>
            <w:r w:rsidRPr="00DF1884">
              <w:rPr>
                <w:rFonts w:eastAsiaTheme="minorHAnsi" w:cs="Arial"/>
                <w:szCs w:val="20"/>
              </w:rPr>
              <w:t>is</w:t>
            </w:r>
            <w:r w:rsidR="00DF1884" w:rsidRPr="00DF1884">
              <w:rPr>
                <w:rFonts w:eastAsiaTheme="minorHAnsi" w:cs="Arial"/>
                <w:szCs w:val="20"/>
              </w:rPr>
              <w:t xml:space="preserve"> </w:t>
            </w:r>
            <w:r w:rsidRPr="00DF1884">
              <w:rPr>
                <w:rFonts w:eastAsiaTheme="minorHAnsi" w:cs="Arial"/>
                <w:szCs w:val="20"/>
              </w:rPr>
              <w:t>NCQA</w:t>
            </w:r>
            <w:r w:rsidR="00DF1884" w:rsidRPr="00DF1884">
              <w:rPr>
                <w:rFonts w:eastAsiaTheme="minorHAnsi" w:cs="Arial"/>
                <w:szCs w:val="20"/>
              </w:rPr>
              <w:t xml:space="preserve"> </w:t>
            </w:r>
            <w:r w:rsidRPr="00DF1884">
              <w:rPr>
                <w:rFonts w:eastAsiaTheme="minorHAnsi" w:cs="Arial"/>
                <w:szCs w:val="20"/>
              </w:rPr>
              <w:t>policy</w:t>
            </w:r>
            <w:r w:rsidR="00DF1884" w:rsidRPr="00DF1884">
              <w:rPr>
                <w:rFonts w:eastAsiaTheme="minorHAnsi" w:cs="Arial"/>
                <w:szCs w:val="20"/>
              </w:rPr>
              <w:t xml:space="preserve"> </w:t>
            </w:r>
            <w:r w:rsidRPr="00DF1884">
              <w:rPr>
                <w:rFonts w:eastAsiaTheme="minorHAnsi" w:cs="Arial"/>
                <w:szCs w:val="20"/>
              </w:rPr>
              <w:t>to</w:t>
            </w:r>
            <w:r w:rsidR="00DF1884" w:rsidRPr="00DF1884">
              <w:rPr>
                <w:rFonts w:eastAsiaTheme="minorHAnsi" w:cs="Arial"/>
                <w:szCs w:val="20"/>
              </w:rPr>
              <w:t xml:space="preserve"> </w:t>
            </w:r>
            <w:r w:rsidRPr="00DF1884">
              <w:rPr>
                <w:rFonts w:eastAsiaTheme="minorHAnsi" w:cs="Arial"/>
                <w:szCs w:val="20"/>
              </w:rPr>
              <w:t>use</w:t>
            </w:r>
            <w:r w:rsidR="00DF1884" w:rsidRPr="00DF1884">
              <w:rPr>
                <w:rFonts w:eastAsiaTheme="minorHAnsi" w:cs="Arial"/>
                <w:szCs w:val="20"/>
              </w:rPr>
              <w:t xml:space="preserve"> </w:t>
            </w:r>
            <w:r w:rsidRPr="00DF1884">
              <w:rPr>
                <w:rFonts w:eastAsiaTheme="minorHAnsi" w:cs="Arial"/>
                <w:szCs w:val="20"/>
              </w:rPr>
              <w:t>guidelines</w:t>
            </w:r>
            <w:r w:rsidR="00DF1884" w:rsidRPr="00DF1884">
              <w:rPr>
                <w:rFonts w:eastAsiaTheme="minorHAnsi" w:cs="Arial"/>
                <w:szCs w:val="20"/>
              </w:rPr>
              <w:t xml:space="preserve"> </w:t>
            </w:r>
            <w:r w:rsidR="00CA0676" w:rsidRPr="00DF1884">
              <w:rPr>
                <w:rFonts w:eastAsiaTheme="minorHAnsi" w:cs="Arial"/>
                <w:szCs w:val="20"/>
              </w:rPr>
              <w:t>that</w:t>
            </w:r>
            <w:r w:rsidR="00DF1884" w:rsidRPr="00DF1884">
              <w:rPr>
                <w:rFonts w:eastAsiaTheme="minorHAnsi" w:cs="Arial"/>
                <w:szCs w:val="20"/>
              </w:rPr>
              <w:t xml:space="preserve"> </w:t>
            </w:r>
            <w:r w:rsidRPr="00DF1884">
              <w:rPr>
                <w:rFonts w:eastAsiaTheme="minorHAnsi" w:cs="Arial"/>
                <w:szCs w:val="20"/>
              </w:rPr>
              <w:t>are</w:t>
            </w:r>
            <w:r w:rsidR="00DF1884" w:rsidRPr="00DF1884">
              <w:rPr>
                <w:rFonts w:eastAsiaTheme="minorHAnsi" w:cs="Arial"/>
                <w:szCs w:val="20"/>
              </w:rPr>
              <w:t xml:space="preserve"> </w:t>
            </w:r>
            <w:r w:rsidRPr="00DF1884">
              <w:rPr>
                <w:rFonts w:eastAsiaTheme="minorHAnsi" w:cs="Arial"/>
                <w:szCs w:val="20"/>
              </w:rPr>
              <w:t>evidence</w:t>
            </w:r>
            <w:r w:rsidR="00DF1884" w:rsidRPr="00DF1884">
              <w:rPr>
                <w:rFonts w:eastAsiaTheme="minorHAnsi" w:cs="Arial"/>
                <w:szCs w:val="20"/>
              </w:rPr>
              <w:t xml:space="preserve"> </w:t>
            </w:r>
            <w:r w:rsidRPr="00DF1884">
              <w:rPr>
                <w:rFonts w:eastAsiaTheme="minorHAnsi" w:cs="Arial"/>
                <w:szCs w:val="20"/>
              </w:rPr>
              <w:t>based,</w:t>
            </w:r>
            <w:r w:rsidR="00DF1884" w:rsidRPr="00DF1884">
              <w:rPr>
                <w:rFonts w:eastAsiaTheme="minorHAnsi" w:cs="Arial"/>
                <w:szCs w:val="20"/>
              </w:rPr>
              <w:t xml:space="preserve"> </w:t>
            </w:r>
            <w:r w:rsidR="00CA0676" w:rsidRPr="00DF1884">
              <w:rPr>
                <w:rFonts w:eastAsiaTheme="minorHAnsi" w:cs="Arial"/>
                <w:szCs w:val="20"/>
              </w:rPr>
              <w:t>that</w:t>
            </w:r>
            <w:r w:rsidR="00DF1884" w:rsidRPr="00DF1884">
              <w:rPr>
                <w:rFonts w:eastAsiaTheme="minorHAnsi" w:cs="Arial"/>
                <w:szCs w:val="20"/>
              </w:rPr>
              <w:t xml:space="preserve"> </w:t>
            </w:r>
            <w:r w:rsidR="00CA0676" w:rsidRPr="00DF1884">
              <w:rPr>
                <w:rFonts w:eastAsiaTheme="minorHAnsi" w:cs="Arial"/>
                <w:szCs w:val="20"/>
              </w:rPr>
              <w:t>apply</w:t>
            </w:r>
            <w:r w:rsidR="00DF1884" w:rsidRPr="00DF1884">
              <w:rPr>
                <w:rFonts w:eastAsiaTheme="minorHAnsi" w:cs="Arial"/>
                <w:szCs w:val="20"/>
              </w:rPr>
              <w:t xml:space="preserve"> </w:t>
            </w:r>
            <w:r w:rsidRPr="00DF1884">
              <w:rPr>
                <w:rFonts w:eastAsiaTheme="minorHAnsi" w:cs="Arial"/>
                <w:szCs w:val="20"/>
              </w:rPr>
              <w:t>to</w:t>
            </w:r>
            <w:r w:rsidR="00DF1884" w:rsidRPr="00DF1884">
              <w:rPr>
                <w:rFonts w:eastAsiaTheme="minorHAnsi" w:cs="Arial"/>
                <w:szCs w:val="20"/>
              </w:rPr>
              <w:t xml:space="preserve"> </w:t>
            </w:r>
            <w:r w:rsidRPr="00DF1884">
              <w:rPr>
                <w:rFonts w:eastAsiaTheme="minorHAnsi" w:cs="Arial"/>
                <w:szCs w:val="20"/>
              </w:rPr>
              <w:t>physicians</w:t>
            </w:r>
            <w:r w:rsidR="00DF1884" w:rsidRPr="00DF1884">
              <w:rPr>
                <w:rFonts w:eastAsiaTheme="minorHAnsi" w:cs="Arial"/>
                <w:szCs w:val="20"/>
              </w:rPr>
              <w:t xml:space="preserve"> </w:t>
            </w:r>
            <w:r w:rsidRPr="00DF1884">
              <w:rPr>
                <w:rFonts w:eastAsiaTheme="minorHAnsi" w:cs="Arial"/>
                <w:szCs w:val="20"/>
              </w:rPr>
              <w:t>and</w:t>
            </w:r>
            <w:r w:rsidR="00DF1884" w:rsidRPr="00DF1884">
              <w:rPr>
                <w:rFonts w:eastAsiaTheme="minorHAnsi" w:cs="Arial"/>
                <w:szCs w:val="20"/>
              </w:rPr>
              <w:t xml:space="preserve"> </w:t>
            </w:r>
            <w:r w:rsidRPr="00DF1884">
              <w:rPr>
                <w:rFonts w:eastAsiaTheme="minorHAnsi" w:cs="Arial"/>
                <w:szCs w:val="20"/>
              </w:rPr>
              <w:t>other</w:t>
            </w:r>
            <w:r w:rsidR="00DF1884" w:rsidRPr="00DF1884">
              <w:rPr>
                <w:rFonts w:eastAsiaTheme="minorHAnsi" w:cs="Arial"/>
                <w:szCs w:val="20"/>
              </w:rPr>
              <w:t xml:space="preserve"> </w:t>
            </w:r>
            <w:r w:rsidRPr="00DF1884">
              <w:rPr>
                <w:rFonts w:eastAsiaTheme="minorHAnsi" w:cs="Arial"/>
                <w:szCs w:val="20"/>
              </w:rPr>
              <w:t>health</w:t>
            </w:r>
            <w:r w:rsidR="00DF1884" w:rsidRPr="00DF1884">
              <w:rPr>
                <w:rFonts w:eastAsiaTheme="minorHAnsi" w:cs="Arial"/>
                <w:szCs w:val="20"/>
              </w:rPr>
              <w:t xml:space="preserve"> </w:t>
            </w:r>
            <w:r w:rsidRPr="00DF1884">
              <w:rPr>
                <w:rFonts w:eastAsiaTheme="minorHAnsi" w:cs="Arial"/>
                <w:szCs w:val="20"/>
              </w:rPr>
              <w:t>care</w:t>
            </w:r>
            <w:r w:rsidR="00DF1884" w:rsidRPr="00DF1884">
              <w:rPr>
                <w:rFonts w:eastAsiaTheme="minorHAnsi" w:cs="Arial"/>
                <w:szCs w:val="20"/>
              </w:rPr>
              <w:t xml:space="preserve"> </w:t>
            </w:r>
            <w:r w:rsidRPr="00DF1884">
              <w:rPr>
                <w:rFonts w:eastAsiaTheme="minorHAnsi" w:cs="Arial"/>
                <w:szCs w:val="20"/>
              </w:rPr>
              <w:t>providers</w:t>
            </w:r>
            <w:r w:rsidR="00DF1884" w:rsidRPr="00DF1884">
              <w:rPr>
                <w:rFonts w:eastAsiaTheme="minorHAnsi" w:cs="Arial"/>
                <w:szCs w:val="20"/>
              </w:rPr>
              <w:t xml:space="preserve"> </w:t>
            </w:r>
            <w:r w:rsidRPr="00DF1884">
              <w:rPr>
                <w:rFonts w:eastAsiaTheme="minorHAnsi" w:cs="Arial"/>
                <w:szCs w:val="20"/>
              </w:rPr>
              <w:t>and</w:t>
            </w:r>
            <w:r w:rsidR="00DF1884" w:rsidRPr="00DF1884">
              <w:rPr>
                <w:rFonts w:eastAsiaTheme="minorHAnsi" w:cs="Arial"/>
                <w:szCs w:val="20"/>
              </w:rPr>
              <w:t xml:space="preserve"> </w:t>
            </w:r>
            <w:r w:rsidR="00CA0676" w:rsidRPr="00DF1884">
              <w:rPr>
                <w:rFonts w:eastAsiaTheme="minorHAnsi" w:cs="Arial"/>
                <w:szCs w:val="20"/>
              </w:rPr>
              <w:t>that</w:t>
            </w:r>
            <w:r w:rsidR="00DF1884" w:rsidRPr="00DF1884">
              <w:rPr>
                <w:rFonts w:eastAsiaTheme="minorHAnsi" w:cs="Arial"/>
                <w:szCs w:val="20"/>
              </w:rPr>
              <w:t xml:space="preserve"> </w:t>
            </w:r>
            <w:r w:rsidR="00CA0676" w:rsidRPr="00DF1884">
              <w:rPr>
                <w:rFonts w:eastAsiaTheme="minorHAnsi" w:cs="Arial"/>
                <w:szCs w:val="20"/>
              </w:rPr>
              <w:t>are</w:t>
            </w:r>
            <w:r w:rsidR="00DF1884" w:rsidRPr="00DF1884">
              <w:rPr>
                <w:rFonts w:eastAsiaTheme="minorHAnsi" w:cs="Arial"/>
                <w:szCs w:val="20"/>
              </w:rPr>
              <w:t xml:space="preserve"> </w:t>
            </w:r>
            <w:r w:rsidRPr="00DF1884">
              <w:rPr>
                <w:rFonts w:eastAsiaTheme="minorHAnsi" w:cs="Arial"/>
                <w:szCs w:val="20"/>
              </w:rPr>
              <w:t>developed</w:t>
            </w:r>
            <w:r w:rsidR="00DF1884" w:rsidRPr="00DF1884">
              <w:rPr>
                <w:rFonts w:eastAsiaTheme="minorHAnsi" w:cs="Arial"/>
                <w:szCs w:val="20"/>
              </w:rPr>
              <w:t xml:space="preserve"> </w:t>
            </w:r>
            <w:r w:rsidRPr="00DF1884">
              <w:rPr>
                <w:rFonts w:eastAsiaTheme="minorHAnsi" w:cs="Arial"/>
                <w:szCs w:val="20"/>
              </w:rPr>
              <w:t>by</w:t>
            </w:r>
            <w:r w:rsidR="00DF1884" w:rsidRPr="00DF1884">
              <w:rPr>
                <w:rFonts w:eastAsiaTheme="minorHAnsi" w:cs="Arial"/>
                <w:szCs w:val="20"/>
              </w:rPr>
              <w:t xml:space="preserve"> </w:t>
            </w:r>
            <w:r w:rsidRPr="00DF1884">
              <w:rPr>
                <w:rFonts w:eastAsiaTheme="minorHAnsi" w:cs="Arial"/>
                <w:szCs w:val="20"/>
              </w:rPr>
              <w:t>a</w:t>
            </w:r>
            <w:r w:rsidR="00DF1884" w:rsidRPr="00DF1884">
              <w:rPr>
                <w:rFonts w:eastAsiaTheme="minorHAnsi" w:cs="Arial"/>
                <w:szCs w:val="20"/>
              </w:rPr>
              <w:t xml:space="preserve"> </w:t>
            </w:r>
            <w:r w:rsidRPr="00DF1884">
              <w:rPr>
                <w:rFonts w:eastAsiaTheme="minorHAnsi" w:cs="Arial"/>
                <w:szCs w:val="20"/>
              </w:rPr>
              <w:t>national</w:t>
            </w:r>
            <w:r w:rsidR="00DF1884" w:rsidRPr="00DF1884">
              <w:rPr>
                <w:rFonts w:eastAsiaTheme="minorHAnsi" w:cs="Arial"/>
                <w:szCs w:val="20"/>
              </w:rPr>
              <w:t xml:space="preserve"> </w:t>
            </w:r>
            <w:r w:rsidRPr="00DF1884">
              <w:rPr>
                <w:rFonts w:eastAsiaTheme="minorHAnsi" w:cs="Arial"/>
                <w:szCs w:val="20"/>
              </w:rPr>
              <w:t>specialty</w:t>
            </w:r>
            <w:r w:rsidR="00DF1884" w:rsidRPr="00DF1884">
              <w:rPr>
                <w:rFonts w:eastAsiaTheme="minorHAnsi" w:cs="Arial"/>
                <w:szCs w:val="20"/>
              </w:rPr>
              <w:t xml:space="preserve"> </w:t>
            </w:r>
            <w:r w:rsidRPr="00DF1884">
              <w:rPr>
                <w:rFonts w:eastAsiaTheme="minorHAnsi" w:cs="Arial"/>
                <w:szCs w:val="20"/>
              </w:rPr>
              <w:t>organization</w:t>
            </w:r>
            <w:r w:rsidR="00DF1884" w:rsidRPr="00DF1884">
              <w:rPr>
                <w:rFonts w:eastAsiaTheme="minorHAnsi" w:cs="Arial"/>
                <w:szCs w:val="20"/>
              </w:rPr>
              <w:t xml:space="preserve"> </w:t>
            </w:r>
            <w:r w:rsidRPr="00DF1884">
              <w:rPr>
                <w:rFonts w:eastAsiaTheme="minorHAnsi" w:cs="Arial"/>
                <w:szCs w:val="20"/>
              </w:rPr>
              <w:t>or</w:t>
            </w:r>
            <w:r w:rsidR="00DF1884" w:rsidRPr="00DF1884">
              <w:rPr>
                <w:rFonts w:eastAsiaTheme="minorHAnsi" w:cs="Arial"/>
                <w:szCs w:val="20"/>
              </w:rPr>
              <w:t xml:space="preserve"> </w:t>
            </w:r>
            <w:r w:rsidRPr="00DF1884">
              <w:rPr>
                <w:rFonts w:eastAsiaTheme="minorHAnsi" w:cs="Arial"/>
                <w:szCs w:val="20"/>
              </w:rPr>
              <w:t>government</w:t>
            </w:r>
            <w:r w:rsidR="00DF1884" w:rsidRPr="00DF1884">
              <w:rPr>
                <w:rFonts w:eastAsiaTheme="minorHAnsi" w:cs="Arial"/>
                <w:szCs w:val="20"/>
              </w:rPr>
              <w:t xml:space="preserve"> </w:t>
            </w:r>
            <w:r w:rsidRPr="00DF1884">
              <w:rPr>
                <w:rFonts w:eastAsiaTheme="minorHAnsi" w:cs="Arial"/>
                <w:szCs w:val="20"/>
              </w:rPr>
              <w:t>agency.</w:t>
            </w:r>
            <w:r w:rsidR="00DF1884" w:rsidRPr="00DF1884">
              <w:rPr>
                <w:rFonts w:eastAsiaTheme="minorHAnsi" w:cs="Arial"/>
                <w:szCs w:val="20"/>
              </w:rPr>
              <w:t xml:space="preserve"> </w:t>
            </w:r>
            <w:r w:rsidRPr="00DF1884">
              <w:rPr>
                <w:rFonts w:eastAsiaTheme="minorHAnsi" w:cs="Arial"/>
                <w:szCs w:val="20"/>
              </w:rPr>
              <w:t>This</w:t>
            </w:r>
            <w:r w:rsidR="00DF1884" w:rsidRPr="00DF1884">
              <w:rPr>
                <w:rFonts w:eastAsiaTheme="minorHAnsi" w:cs="Arial"/>
                <w:szCs w:val="20"/>
              </w:rPr>
              <w:t xml:space="preserve"> </w:t>
            </w:r>
            <w:r w:rsidRPr="00DF1884">
              <w:rPr>
                <w:rFonts w:eastAsiaTheme="minorHAnsi" w:cs="Arial"/>
                <w:szCs w:val="20"/>
              </w:rPr>
              <w:t>measure</w:t>
            </w:r>
            <w:r w:rsidR="00DF1884" w:rsidRPr="00DF1884">
              <w:rPr>
                <w:rFonts w:eastAsiaTheme="minorHAnsi" w:cs="Arial"/>
                <w:szCs w:val="20"/>
              </w:rPr>
              <w:t xml:space="preserve"> </w:t>
            </w:r>
            <w:r w:rsidRPr="00DF1884">
              <w:rPr>
                <w:rFonts w:eastAsiaTheme="minorHAnsi" w:cs="Arial"/>
                <w:szCs w:val="20"/>
              </w:rPr>
              <w:t>of</w:t>
            </w:r>
            <w:r w:rsidR="00DF1884" w:rsidRPr="00DF1884">
              <w:rPr>
                <w:rFonts w:eastAsiaTheme="minorHAnsi" w:cs="Arial"/>
                <w:szCs w:val="20"/>
              </w:rPr>
              <w:t xml:space="preserve"> </w:t>
            </w:r>
            <w:r w:rsidRPr="00DF1884">
              <w:rPr>
                <w:rFonts w:eastAsiaTheme="minorHAnsi" w:cs="Arial"/>
                <w:szCs w:val="20"/>
              </w:rPr>
              <w:t>utilization</w:t>
            </w:r>
            <w:r w:rsidR="00DF1884" w:rsidRPr="00DF1884">
              <w:rPr>
                <w:rFonts w:eastAsiaTheme="minorHAnsi" w:cs="Arial"/>
                <w:szCs w:val="20"/>
              </w:rPr>
              <w:t xml:space="preserve"> </w:t>
            </w:r>
            <w:r w:rsidRPr="00DF1884">
              <w:rPr>
                <w:rFonts w:eastAsiaTheme="minorHAnsi" w:cs="Arial"/>
                <w:szCs w:val="20"/>
              </w:rPr>
              <w:t>is</w:t>
            </w:r>
            <w:r w:rsidR="00DF1884" w:rsidRPr="00DF1884">
              <w:rPr>
                <w:rFonts w:eastAsiaTheme="minorHAnsi" w:cs="Arial"/>
                <w:szCs w:val="20"/>
              </w:rPr>
              <w:t xml:space="preserve"> </w:t>
            </w:r>
            <w:r w:rsidRPr="00DF1884">
              <w:rPr>
                <w:rFonts w:eastAsiaTheme="minorHAnsi" w:cs="Arial"/>
                <w:szCs w:val="20"/>
              </w:rPr>
              <w:t>not</w:t>
            </w:r>
            <w:r w:rsidR="00DF1884" w:rsidRPr="00DF1884">
              <w:rPr>
                <w:rFonts w:eastAsiaTheme="minorHAnsi" w:cs="Arial"/>
                <w:szCs w:val="20"/>
              </w:rPr>
              <w:t xml:space="preserve"> </w:t>
            </w:r>
            <w:r w:rsidRPr="00DF1884">
              <w:rPr>
                <w:rFonts w:eastAsiaTheme="minorHAnsi" w:cs="Arial"/>
                <w:szCs w:val="20"/>
              </w:rPr>
              <w:t>based</w:t>
            </w:r>
            <w:r w:rsidR="00DF1884" w:rsidRPr="00DF1884">
              <w:rPr>
                <w:rFonts w:eastAsiaTheme="minorHAnsi" w:cs="Arial"/>
                <w:szCs w:val="20"/>
              </w:rPr>
              <w:t xml:space="preserve"> </w:t>
            </w:r>
            <w:r w:rsidRPr="00DF1884">
              <w:rPr>
                <w:rFonts w:eastAsiaTheme="minorHAnsi" w:cs="Arial"/>
                <w:szCs w:val="20"/>
              </w:rPr>
              <w:t>on</w:t>
            </w:r>
            <w:r w:rsidR="00DF1884" w:rsidRPr="00DF1884">
              <w:rPr>
                <w:rFonts w:eastAsiaTheme="minorHAnsi" w:cs="Arial"/>
                <w:szCs w:val="20"/>
              </w:rPr>
              <w:t xml:space="preserve"> </w:t>
            </w:r>
            <w:r w:rsidRPr="00DF1884">
              <w:rPr>
                <w:rFonts w:eastAsiaTheme="minorHAnsi" w:cs="Arial"/>
                <w:szCs w:val="20"/>
              </w:rPr>
              <w:t>clinical</w:t>
            </w:r>
            <w:r w:rsidR="00DF1884" w:rsidRPr="00DF1884">
              <w:rPr>
                <w:rFonts w:eastAsiaTheme="minorHAnsi" w:cs="Arial"/>
                <w:szCs w:val="20"/>
              </w:rPr>
              <w:t xml:space="preserve"> </w:t>
            </w:r>
            <w:r w:rsidRPr="00DF1884">
              <w:rPr>
                <w:rFonts w:eastAsiaTheme="minorHAnsi" w:cs="Arial"/>
                <w:szCs w:val="20"/>
              </w:rPr>
              <w:t>guidelines;</w:t>
            </w:r>
            <w:r w:rsidR="00DF1884" w:rsidRPr="00DF1884">
              <w:rPr>
                <w:rFonts w:eastAsiaTheme="minorHAnsi" w:cs="Arial"/>
                <w:szCs w:val="20"/>
              </w:rPr>
              <w:t xml:space="preserve"> </w:t>
            </w:r>
            <w:r w:rsidRPr="00DF1884">
              <w:rPr>
                <w:rFonts w:eastAsiaTheme="minorHAnsi" w:cs="Arial"/>
                <w:szCs w:val="20"/>
              </w:rPr>
              <w:t>however</w:t>
            </w:r>
            <w:r w:rsidR="00CA0676" w:rsidRPr="00DF1884">
              <w:rPr>
                <w:rFonts w:eastAsiaTheme="minorHAnsi" w:cs="Arial"/>
                <w:szCs w:val="20"/>
              </w:rPr>
              <w:t>,</w:t>
            </w:r>
            <w:r w:rsidR="00DF1884" w:rsidRPr="00DF1884">
              <w:rPr>
                <w:rFonts w:eastAsiaTheme="minorHAnsi" w:cs="Arial"/>
                <w:szCs w:val="20"/>
              </w:rPr>
              <w:t xml:space="preserve"> </w:t>
            </w:r>
            <w:r w:rsidRPr="00DF1884">
              <w:rPr>
                <w:rFonts w:eastAsiaTheme="minorHAnsi" w:cs="Arial"/>
                <w:szCs w:val="20"/>
              </w:rPr>
              <w:t>appropriate</w:t>
            </w:r>
            <w:r w:rsidR="00DF1884" w:rsidRPr="00DF1884">
              <w:rPr>
                <w:rFonts w:eastAsiaTheme="minorHAnsi" w:cs="Arial"/>
                <w:szCs w:val="20"/>
              </w:rPr>
              <w:t xml:space="preserve"> </w:t>
            </w:r>
            <w:r w:rsidRPr="00DF1884">
              <w:rPr>
                <w:rFonts w:eastAsiaTheme="minorHAnsi" w:cs="Arial"/>
                <w:szCs w:val="20"/>
              </w:rPr>
              <w:t>treatment</w:t>
            </w:r>
            <w:r w:rsidR="00DF1884" w:rsidRPr="00DF1884">
              <w:rPr>
                <w:rFonts w:eastAsiaTheme="minorHAnsi" w:cs="Arial"/>
                <w:szCs w:val="20"/>
              </w:rPr>
              <w:t xml:space="preserve"> </w:t>
            </w:r>
            <w:r w:rsidRPr="00DF1884">
              <w:rPr>
                <w:rFonts w:eastAsiaTheme="minorHAnsi" w:cs="Arial"/>
                <w:szCs w:val="20"/>
              </w:rPr>
              <w:t>plans</w:t>
            </w:r>
            <w:r w:rsidR="00DF1884" w:rsidRPr="00DF1884">
              <w:rPr>
                <w:rFonts w:eastAsiaTheme="minorHAnsi" w:cs="Arial"/>
                <w:szCs w:val="20"/>
              </w:rPr>
              <w:t xml:space="preserve"> </w:t>
            </w:r>
            <w:r w:rsidRPr="00DF1884">
              <w:rPr>
                <w:rFonts w:eastAsiaTheme="minorHAnsi" w:cs="Arial"/>
                <w:szCs w:val="20"/>
              </w:rPr>
              <w:t>for</w:t>
            </w:r>
            <w:r w:rsidR="00DF1884" w:rsidRPr="00DF1884">
              <w:rPr>
                <w:rFonts w:eastAsiaTheme="minorHAnsi" w:cs="Arial"/>
                <w:szCs w:val="20"/>
              </w:rPr>
              <w:t xml:space="preserve"> </w:t>
            </w:r>
            <w:r w:rsidRPr="00DF1884">
              <w:rPr>
                <w:rFonts w:eastAsiaTheme="minorHAnsi" w:cs="Arial"/>
                <w:szCs w:val="20"/>
              </w:rPr>
              <w:t>these</w:t>
            </w:r>
            <w:r w:rsidR="00DF1884" w:rsidRPr="00DF1884">
              <w:rPr>
                <w:rFonts w:eastAsiaTheme="minorHAnsi" w:cs="Arial"/>
                <w:szCs w:val="20"/>
              </w:rPr>
              <w:t xml:space="preserve"> </w:t>
            </w:r>
            <w:r w:rsidRPr="00DF1884">
              <w:rPr>
                <w:rFonts w:eastAsiaTheme="minorHAnsi" w:cs="Arial"/>
                <w:szCs w:val="20"/>
              </w:rPr>
              <w:t>conditions</w:t>
            </w:r>
            <w:r w:rsidR="00DF1884" w:rsidRPr="00DF1884">
              <w:rPr>
                <w:rFonts w:eastAsiaTheme="minorHAnsi" w:cs="Arial"/>
                <w:szCs w:val="20"/>
              </w:rPr>
              <w:t xml:space="preserve"> </w:t>
            </w:r>
            <w:r w:rsidRPr="00DF1884">
              <w:rPr>
                <w:rFonts w:eastAsiaTheme="minorHAnsi" w:cs="Arial"/>
                <w:szCs w:val="20"/>
              </w:rPr>
              <w:t>are</w:t>
            </w:r>
            <w:r w:rsidR="00DF1884" w:rsidRPr="00DF1884">
              <w:rPr>
                <w:rFonts w:eastAsiaTheme="minorHAnsi" w:cs="Arial"/>
                <w:szCs w:val="20"/>
              </w:rPr>
              <w:t xml:space="preserve"> </w:t>
            </w:r>
            <w:r w:rsidRPr="00DF1884">
              <w:rPr>
                <w:rFonts w:eastAsiaTheme="minorHAnsi" w:cs="Arial"/>
                <w:szCs w:val="20"/>
              </w:rPr>
              <w:t>supported</w:t>
            </w:r>
            <w:r w:rsidR="00DF1884" w:rsidRPr="00DF1884">
              <w:rPr>
                <w:rFonts w:eastAsiaTheme="minorHAnsi" w:cs="Arial"/>
                <w:szCs w:val="20"/>
              </w:rPr>
              <w:t xml:space="preserve"> </w:t>
            </w:r>
            <w:r w:rsidRPr="00DF1884">
              <w:rPr>
                <w:rFonts w:eastAsiaTheme="minorHAnsi" w:cs="Arial"/>
                <w:szCs w:val="20"/>
              </w:rPr>
              <w:t>by</w:t>
            </w:r>
            <w:r w:rsidR="00DF1884" w:rsidRPr="00DF1884">
              <w:rPr>
                <w:rFonts w:eastAsiaTheme="minorHAnsi" w:cs="Arial"/>
                <w:szCs w:val="20"/>
              </w:rPr>
              <w:t xml:space="preserve"> </w:t>
            </w:r>
            <w:r w:rsidRPr="00DF1884">
              <w:rPr>
                <w:rFonts w:eastAsiaTheme="minorHAnsi" w:cs="Arial"/>
                <w:szCs w:val="20"/>
              </w:rPr>
              <w:t>clinical</w:t>
            </w:r>
            <w:r w:rsidR="00DF1884" w:rsidRPr="00DF1884">
              <w:rPr>
                <w:rFonts w:eastAsiaTheme="minorHAnsi" w:cs="Arial"/>
                <w:szCs w:val="20"/>
              </w:rPr>
              <w:t xml:space="preserve"> </w:t>
            </w:r>
            <w:r w:rsidRPr="00DF1884">
              <w:rPr>
                <w:rFonts w:eastAsiaTheme="minorHAnsi" w:cs="Arial"/>
                <w:szCs w:val="20"/>
              </w:rPr>
              <w:t>guidelines.</w:t>
            </w:r>
            <w:r w:rsidR="00DF1884" w:rsidRPr="00DF1884">
              <w:rPr>
                <w:rFonts w:eastAsiaTheme="minorHAnsi" w:cs="Arial"/>
                <w:szCs w:val="20"/>
              </w:rPr>
              <w:t xml:space="preserve"> </w:t>
            </w:r>
            <w:r w:rsidR="00CA0676" w:rsidRPr="00DF1884">
              <w:rPr>
                <w:rFonts w:eastAsiaTheme="minorHAnsi" w:cs="Arial"/>
                <w:szCs w:val="20"/>
              </w:rPr>
              <w:t>R</w:t>
            </w:r>
            <w:r w:rsidRPr="00DF1884">
              <w:rPr>
                <w:rFonts w:eastAsiaTheme="minorHAnsi" w:cs="Arial"/>
                <w:szCs w:val="20"/>
              </w:rPr>
              <w:t>esults</w:t>
            </w:r>
            <w:r w:rsidR="00DF1884" w:rsidRPr="00DF1884">
              <w:rPr>
                <w:rFonts w:eastAsiaTheme="minorHAnsi" w:cs="Arial"/>
                <w:szCs w:val="20"/>
              </w:rPr>
              <w:t xml:space="preserve"> </w:t>
            </w:r>
            <w:r w:rsidRPr="00DF1884">
              <w:rPr>
                <w:rFonts w:eastAsiaTheme="minorHAnsi" w:cs="Arial"/>
                <w:szCs w:val="20"/>
              </w:rPr>
              <w:t>should</w:t>
            </w:r>
            <w:r w:rsidR="00DF1884" w:rsidRPr="00DF1884">
              <w:rPr>
                <w:rFonts w:eastAsiaTheme="minorHAnsi" w:cs="Arial"/>
                <w:szCs w:val="20"/>
              </w:rPr>
              <w:t xml:space="preserve"> </w:t>
            </w:r>
            <w:r w:rsidRPr="00DF1884">
              <w:rPr>
                <w:rFonts w:eastAsiaTheme="minorHAnsi" w:cs="Arial"/>
                <w:szCs w:val="20"/>
              </w:rPr>
              <w:t>be</w:t>
            </w:r>
            <w:r w:rsidR="00DF1884" w:rsidRPr="00DF1884">
              <w:rPr>
                <w:rFonts w:eastAsiaTheme="minorHAnsi" w:cs="Arial"/>
                <w:szCs w:val="20"/>
              </w:rPr>
              <w:t xml:space="preserve"> </w:t>
            </w:r>
            <w:r w:rsidRPr="00DF1884">
              <w:rPr>
                <w:rFonts w:eastAsiaTheme="minorHAnsi" w:cs="Arial"/>
                <w:szCs w:val="20"/>
              </w:rPr>
              <w:t>used</w:t>
            </w:r>
            <w:r w:rsidR="00DF1884" w:rsidRPr="00DF1884">
              <w:rPr>
                <w:rFonts w:eastAsiaTheme="minorHAnsi" w:cs="Arial"/>
                <w:szCs w:val="20"/>
              </w:rPr>
              <w:t xml:space="preserve"> </w:t>
            </w:r>
            <w:r w:rsidRPr="00DF1884">
              <w:rPr>
                <w:rFonts w:eastAsiaTheme="minorHAnsi" w:cs="Arial"/>
                <w:szCs w:val="20"/>
              </w:rPr>
              <w:t>by</w:t>
            </w:r>
            <w:r w:rsidR="00DF1884" w:rsidRPr="00DF1884">
              <w:rPr>
                <w:rFonts w:eastAsiaTheme="minorHAnsi" w:cs="Arial"/>
                <w:szCs w:val="20"/>
              </w:rPr>
              <w:t xml:space="preserve"> </w:t>
            </w:r>
            <w:r w:rsidRPr="00DF1884">
              <w:rPr>
                <w:rFonts w:eastAsiaTheme="minorHAnsi" w:cs="Arial"/>
                <w:szCs w:val="20"/>
              </w:rPr>
              <w:t>plans</w:t>
            </w:r>
            <w:r w:rsidR="00DF1884" w:rsidRPr="00DF1884">
              <w:rPr>
                <w:rFonts w:eastAsiaTheme="minorHAnsi" w:cs="Arial"/>
                <w:szCs w:val="20"/>
              </w:rPr>
              <w:t xml:space="preserve"> </w:t>
            </w:r>
            <w:r w:rsidRPr="00DF1884">
              <w:rPr>
                <w:rFonts w:eastAsiaTheme="minorHAnsi" w:cs="Arial"/>
                <w:szCs w:val="20"/>
              </w:rPr>
              <w:t>in</w:t>
            </w:r>
            <w:r w:rsidR="00DF1884" w:rsidRPr="00DF1884">
              <w:rPr>
                <w:rFonts w:eastAsiaTheme="minorHAnsi" w:cs="Arial"/>
                <w:szCs w:val="20"/>
              </w:rPr>
              <w:t xml:space="preserve"> </w:t>
            </w:r>
            <w:r w:rsidRPr="00DF1884">
              <w:rPr>
                <w:rFonts w:eastAsiaTheme="minorHAnsi" w:cs="Arial"/>
                <w:szCs w:val="20"/>
              </w:rPr>
              <w:t>conjunction</w:t>
            </w:r>
            <w:r w:rsidR="00DF1884" w:rsidRPr="00DF1884">
              <w:rPr>
                <w:rFonts w:eastAsiaTheme="minorHAnsi" w:cs="Arial"/>
                <w:szCs w:val="20"/>
              </w:rPr>
              <w:t xml:space="preserve"> </w:t>
            </w:r>
            <w:r w:rsidRPr="00DF1884">
              <w:rPr>
                <w:rFonts w:eastAsiaTheme="minorHAnsi" w:cs="Arial"/>
                <w:szCs w:val="20"/>
              </w:rPr>
              <w:t>with</w:t>
            </w:r>
            <w:r w:rsidR="00DF1884" w:rsidRPr="00DF1884">
              <w:rPr>
                <w:rFonts w:eastAsiaTheme="minorHAnsi" w:cs="Arial"/>
                <w:szCs w:val="20"/>
              </w:rPr>
              <w:t xml:space="preserve"> </w:t>
            </w:r>
            <w:r w:rsidRPr="00DF1884">
              <w:rPr>
                <w:rFonts w:eastAsiaTheme="minorHAnsi" w:cs="Arial"/>
                <w:szCs w:val="20"/>
              </w:rPr>
              <w:t>other</w:t>
            </w:r>
            <w:r w:rsidR="00DF1884" w:rsidRPr="00DF1884">
              <w:rPr>
                <w:rFonts w:eastAsiaTheme="minorHAnsi" w:cs="Arial"/>
                <w:szCs w:val="20"/>
              </w:rPr>
              <w:t xml:space="preserve"> </w:t>
            </w:r>
            <w:r w:rsidRPr="00DF1884">
              <w:rPr>
                <w:rFonts w:eastAsiaTheme="minorHAnsi" w:cs="Arial"/>
                <w:szCs w:val="20"/>
              </w:rPr>
              <w:t>use</w:t>
            </w:r>
            <w:r w:rsidR="00CA0676" w:rsidRPr="00DF1884">
              <w:rPr>
                <w:rFonts w:eastAsiaTheme="minorHAnsi" w:cs="Arial"/>
                <w:szCs w:val="20"/>
              </w:rPr>
              <w:t>-</w:t>
            </w:r>
            <w:r w:rsidRPr="00DF1884">
              <w:rPr>
                <w:rFonts w:eastAsiaTheme="minorHAnsi" w:cs="Arial"/>
                <w:szCs w:val="20"/>
              </w:rPr>
              <w:t>of</w:t>
            </w:r>
            <w:r w:rsidR="00CA0676" w:rsidRPr="00DF1884">
              <w:rPr>
                <w:rFonts w:eastAsiaTheme="minorHAnsi" w:cs="Arial"/>
                <w:szCs w:val="20"/>
              </w:rPr>
              <w:t>-</w:t>
            </w:r>
            <w:r w:rsidRPr="00DF1884">
              <w:rPr>
                <w:rFonts w:eastAsiaTheme="minorHAnsi" w:cs="Arial"/>
                <w:szCs w:val="20"/>
              </w:rPr>
              <w:t>service</w:t>
            </w:r>
            <w:r w:rsidR="00CA0676" w:rsidRPr="00DF1884">
              <w:rPr>
                <w:rFonts w:eastAsiaTheme="minorHAnsi" w:cs="Arial"/>
                <w:szCs w:val="20"/>
              </w:rPr>
              <w:t>s</w:t>
            </w:r>
            <w:r w:rsidR="00DF1884" w:rsidRPr="00DF1884">
              <w:rPr>
                <w:rFonts w:eastAsiaTheme="minorHAnsi" w:cs="Arial"/>
                <w:szCs w:val="20"/>
              </w:rPr>
              <w:t xml:space="preserve"> </w:t>
            </w:r>
            <w:r w:rsidRPr="00DF1884">
              <w:rPr>
                <w:rFonts w:eastAsiaTheme="minorHAnsi" w:cs="Arial"/>
                <w:szCs w:val="20"/>
              </w:rPr>
              <w:t>data</w:t>
            </w:r>
            <w:r w:rsidR="00DF1884" w:rsidRPr="00DF1884">
              <w:rPr>
                <w:rFonts w:eastAsiaTheme="minorHAnsi" w:cs="Arial"/>
                <w:szCs w:val="20"/>
              </w:rPr>
              <w:t xml:space="preserve"> </w:t>
            </w:r>
            <w:r w:rsidRPr="00DF1884">
              <w:rPr>
                <w:rFonts w:eastAsiaTheme="minorHAnsi" w:cs="Arial"/>
                <w:szCs w:val="20"/>
              </w:rPr>
              <w:t>and</w:t>
            </w:r>
            <w:r w:rsidR="00DF1884" w:rsidRPr="00DF1884">
              <w:rPr>
                <w:rFonts w:eastAsiaTheme="minorHAnsi" w:cs="Arial"/>
                <w:szCs w:val="20"/>
              </w:rPr>
              <w:t xml:space="preserve"> </w:t>
            </w:r>
            <w:r w:rsidRPr="00DF1884">
              <w:rPr>
                <w:rFonts w:eastAsiaTheme="minorHAnsi" w:cs="Arial"/>
                <w:szCs w:val="20"/>
              </w:rPr>
              <w:t>clinical</w:t>
            </w:r>
            <w:r w:rsidR="00DF1884" w:rsidRPr="00DF1884">
              <w:rPr>
                <w:rFonts w:eastAsiaTheme="minorHAnsi" w:cs="Arial"/>
                <w:szCs w:val="20"/>
              </w:rPr>
              <w:t xml:space="preserve"> </w:t>
            </w:r>
            <w:r w:rsidRPr="00DF1884">
              <w:rPr>
                <w:rFonts w:eastAsiaTheme="minorHAnsi" w:cs="Arial"/>
                <w:szCs w:val="20"/>
              </w:rPr>
              <w:t>qualit</w:t>
            </w:r>
            <w:r w:rsidR="00CA0676" w:rsidRPr="00DF1884">
              <w:rPr>
                <w:rFonts w:eastAsiaTheme="minorHAnsi" w:cs="Arial"/>
                <w:szCs w:val="20"/>
              </w:rPr>
              <w:t>y-</w:t>
            </w:r>
            <w:r w:rsidRPr="00DF1884">
              <w:rPr>
                <w:rFonts w:eastAsiaTheme="minorHAnsi" w:cs="Arial"/>
                <w:szCs w:val="20"/>
              </w:rPr>
              <w:t>of</w:t>
            </w:r>
            <w:r w:rsidR="00CA0676" w:rsidRPr="00DF1884">
              <w:rPr>
                <w:rFonts w:eastAsiaTheme="minorHAnsi" w:cs="Arial"/>
                <w:szCs w:val="20"/>
              </w:rPr>
              <w:t>-</w:t>
            </w:r>
            <w:r w:rsidRPr="00DF1884">
              <w:rPr>
                <w:rFonts w:eastAsiaTheme="minorHAnsi" w:cs="Arial"/>
                <w:szCs w:val="20"/>
              </w:rPr>
              <w:t>care</w:t>
            </w:r>
            <w:r w:rsidR="00DF1884" w:rsidRPr="00DF1884">
              <w:rPr>
                <w:rFonts w:eastAsiaTheme="minorHAnsi" w:cs="Arial"/>
                <w:szCs w:val="20"/>
              </w:rPr>
              <w:t xml:space="preserve"> </w:t>
            </w:r>
            <w:r w:rsidRPr="00DF1884">
              <w:rPr>
                <w:rFonts w:eastAsiaTheme="minorHAnsi" w:cs="Arial"/>
                <w:szCs w:val="20"/>
              </w:rPr>
              <w:t>data</w:t>
            </w:r>
            <w:r w:rsidR="00DF1884" w:rsidRPr="00DF1884">
              <w:rPr>
                <w:rFonts w:eastAsiaTheme="minorHAnsi" w:cs="Arial"/>
                <w:szCs w:val="20"/>
              </w:rPr>
              <w:t xml:space="preserve"> </w:t>
            </w:r>
            <w:r w:rsidRPr="00DF1884">
              <w:rPr>
                <w:rFonts w:eastAsiaTheme="minorHAnsi" w:cs="Arial"/>
                <w:szCs w:val="20"/>
              </w:rPr>
              <w:t>to</w:t>
            </w:r>
            <w:r w:rsidR="00DF1884" w:rsidRPr="00DF1884">
              <w:rPr>
                <w:rFonts w:eastAsiaTheme="minorHAnsi" w:cs="Arial"/>
                <w:szCs w:val="20"/>
              </w:rPr>
              <w:t xml:space="preserve"> </w:t>
            </w:r>
            <w:r w:rsidRPr="00DF1884">
              <w:rPr>
                <w:rFonts w:eastAsiaTheme="minorHAnsi" w:cs="Arial"/>
                <w:szCs w:val="20"/>
              </w:rPr>
              <w:t>evaluate</w:t>
            </w:r>
            <w:r w:rsidR="00DF1884" w:rsidRPr="00DF1884">
              <w:rPr>
                <w:rFonts w:eastAsiaTheme="minorHAnsi" w:cs="Arial"/>
                <w:szCs w:val="20"/>
              </w:rPr>
              <w:t xml:space="preserve"> </w:t>
            </w:r>
            <w:r w:rsidRPr="00DF1884">
              <w:rPr>
                <w:rFonts w:eastAsiaTheme="minorHAnsi" w:cs="Arial"/>
                <w:szCs w:val="20"/>
              </w:rPr>
              <w:t>trends</w:t>
            </w:r>
            <w:r w:rsidR="00DF1884" w:rsidRPr="00DF1884">
              <w:rPr>
                <w:rFonts w:eastAsiaTheme="minorHAnsi" w:cs="Arial"/>
                <w:szCs w:val="20"/>
              </w:rPr>
              <w:t xml:space="preserve"> </w:t>
            </w:r>
            <w:r w:rsidRPr="00DF1884">
              <w:rPr>
                <w:rFonts w:eastAsiaTheme="minorHAnsi" w:cs="Arial"/>
                <w:szCs w:val="20"/>
              </w:rPr>
              <w:t>in</w:t>
            </w:r>
            <w:r w:rsidR="00DF1884" w:rsidRPr="00DF1884">
              <w:rPr>
                <w:rFonts w:eastAsiaTheme="minorHAnsi" w:cs="Arial"/>
                <w:szCs w:val="20"/>
              </w:rPr>
              <w:t xml:space="preserve"> </w:t>
            </w:r>
            <w:r w:rsidRPr="00DF1884">
              <w:rPr>
                <w:rFonts w:eastAsiaTheme="minorHAnsi" w:cs="Arial"/>
                <w:szCs w:val="20"/>
              </w:rPr>
              <w:t>patient</w:t>
            </w:r>
            <w:r w:rsidR="00DF1884" w:rsidRPr="00DF1884">
              <w:rPr>
                <w:rFonts w:eastAsiaTheme="minorHAnsi" w:cs="Arial"/>
                <w:szCs w:val="20"/>
              </w:rPr>
              <w:t xml:space="preserve"> </w:t>
            </w:r>
            <w:r w:rsidRPr="00DF1884">
              <w:rPr>
                <w:rFonts w:eastAsiaTheme="minorHAnsi" w:cs="Arial"/>
                <w:szCs w:val="20"/>
              </w:rPr>
              <w:t>care</w:t>
            </w:r>
            <w:r w:rsidR="00DF1884" w:rsidRPr="00DF1884">
              <w:rPr>
                <w:rFonts w:eastAsiaTheme="minorHAnsi" w:cs="Arial"/>
                <w:szCs w:val="20"/>
              </w:rPr>
              <w:t xml:space="preserve"> </w:t>
            </w:r>
            <w:r w:rsidRPr="00DF1884">
              <w:rPr>
                <w:rFonts w:eastAsiaTheme="minorHAnsi" w:cs="Arial"/>
                <w:szCs w:val="20"/>
              </w:rPr>
              <w:t>settings.</w:t>
            </w:r>
            <w:r w:rsidR="00DF1884" w:rsidRPr="00DF1884">
              <w:rPr>
                <w:rFonts w:eastAsiaTheme="minorHAnsi" w:cs="Arial"/>
                <w:szCs w:val="20"/>
              </w:rPr>
              <w:t xml:space="preserve"> </w:t>
            </w:r>
            <w:r w:rsidRPr="00DF1884">
              <w:rPr>
                <w:rFonts w:eastAsiaTheme="minorHAnsi" w:cs="Arial"/>
                <w:szCs w:val="20"/>
              </w:rPr>
              <w:t>Year</w:t>
            </w:r>
            <w:r w:rsidR="00CA0676" w:rsidRPr="00DF1884">
              <w:rPr>
                <w:rFonts w:eastAsiaTheme="minorHAnsi" w:cs="Arial"/>
                <w:szCs w:val="20"/>
              </w:rPr>
              <w:t>-</w:t>
            </w:r>
            <w:r w:rsidRPr="00DF1884">
              <w:rPr>
                <w:rFonts w:eastAsiaTheme="minorHAnsi" w:cs="Arial"/>
                <w:szCs w:val="20"/>
              </w:rPr>
              <w:t>to</w:t>
            </w:r>
            <w:r w:rsidR="00CA0676" w:rsidRPr="00DF1884">
              <w:rPr>
                <w:rFonts w:eastAsiaTheme="minorHAnsi" w:cs="Arial"/>
                <w:szCs w:val="20"/>
              </w:rPr>
              <w:t>-</w:t>
            </w:r>
            <w:r w:rsidRPr="00DF1884">
              <w:rPr>
                <w:rFonts w:eastAsiaTheme="minorHAnsi" w:cs="Arial"/>
                <w:szCs w:val="20"/>
              </w:rPr>
              <w:t>year</w:t>
            </w:r>
            <w:r w:rsidR="00DF1884" w:rsidRPr="00DF1884">
              <w:rPr>
                <w:rFonts w:eastAsiaTheme="minorHAnsi" w:cs="Arial"/>
                <w:szCs w:val="20"/>
              </w:rPr>
              <w:t xml:space="preserve"> </w:t>
            </w:r>
            <w:r w:rsidRPr="00DF1884">
              <w:rPr>
                <w:rFonts w:eastAsiaTheme="minorHAnsi" w:cs="Arial"/>
                <w:szCs w:val="20"/>
              </w:rPr>
              <w:t>trends</w:t>
            </w:r>
            <w:r w:rsidR="00DF1884" w:rsidRPr="00DF1884">
              <w:rPr>
                <w:rFonts w:eastAsiaTheme="minorHAnsi" w:cs="Arial"/>
                <w:szCs w:val="20"/>
              </w:rPr>
              <w:t xml:space="preserve"> </w:t>
            </w:r>
            <w:r w:rsidRPr="00DF1884">
              <w:rPr>
                <w:rFonts w:eastAsiaTheme="minorHAnsi" w:cs="Arial"/>
                <w:szCs w:val="20"/>
              </w:rPr>
              <w:t>and</w:t>
            </w:r>
            <w:r w:rsidR="00DF1884" w:rsidRPr="00DF1884">
              <w:rPr>
                <w:rFonts w:eastAsiaTheme="minorHAnsi" w:cs="Arial"/>
                <w:szCs w:val="20"/>
              </w:rPr>
              <w:t xml:space="preserve"> </w:t>
            </w:r>
            <w:r w:rsidRPr="00DF1884">
              <w:rPr>
                <w:rFonts w:eastAsiaTheme="minorHAnsi" w:cs="Arial"/>
                <w:szCs w:val="20"/>
              </w:rPr>
              <w:t>risk-adjusted</w:t>
            </w:r>
            <w:r w:rsidR="00DF1884" w:rsidRPr="00DF1884">
              <w:rPr>
                <w:rFonts w:eastAsiaTheme="minorHAnsi" w:cs="Arial"/>
                <w:szCs w:val="20"/>
              </w:rPr>
              <w:t xml:space="preserve"> </w:t>
            </w:r>
            <w:r w:rsidRPr="00DF1884">
              <w:rPr>
                <w:rFonts w:eastAsiaTheme="minorHAnsi" w:cs="Arial"/>
                <w:szCs w:val="20"/>
              </w:rPr>
              <w:t>comparison</w:t>
            </w:r>
            <w:r w:rsidR="00DF1884" w:rsidRPr="00DF1884">
              <w:rPr>
                <w:rFonts w:eastAsiaTheme="minorHAnsi" w:cs="Arial"/>
                <w:szCs w:val="20"/>
              </w:rPr>
              <w:t xml:space="preserve"> </w:t>
            </w:r>
            <w:r w:rsidR="00CA0676" w:rsidRPr="00DF1884">
              <w:rPr>
                <w:rFonts w:eastAsiaTheme="minorHAnsi" w:cs="Arial"/>
                <w:szCs w:val="20"/>
              </w:rPr>
              <w:t>among</w:t>
            </w:r>
            <w:r w:rsidR="00DF1884" w:rsidRPr="00DF1884">
              <w:rPr>
                <w:rFonts w:eastAsiaTheme="minorHAnsi" w:cs="Arial"/>
                <w:szCs w:val="20"/>
              </w:rPr>
              <w:t xml:space="preserve"> </w:t>
            </w:r>
            <w:r w:rsidRPr="00DF1884">
              <w:rPr>
                <w:rFonts w:eastAsiaTheme="minorHAnsi" w:cs="Arial"/>
                <w:szCs w:val="20"/>
              </w:rPr>
              <w:t>plans</w:t>
            </w:r>
            <w:r w:rsidR="00DF1884" w:rsidRPr="00DF1884">
              <w:rPr>
                <w:rFonts w:eastAsiaTheme="minorHAnsi" w:cs="Arial"/>
                <w:szCs w:val="20"/>
              </w:rPr>
              <w:t xml:space="preserve"> </w:t>
            </w:r>
            <w:r w:rsidRPr="00DF1884">
              <w:rPr>
                <w:rFonts w:eastAsiaTheme="minorHAnsi" w:cs="Arial"/>
                <w:szCs w:val="20"/>
              </w:rPr>
              <w:t>should</w:t>
            </w:r>
            <w:r w:rsidR="00DF1884" w:rsidRPr="00DF1884">
              <w:rPr>
                <w:rFonts w:eastAsiaTheme="minorHAnsi" w:cs="Arial"/>
                <w:szCs w:val="20"/>
              </w:rPr>
              <w:t xml:space="preserve"> </w:t>
            </w:r>
            <w:r w:rsidRPr="00DF1884">
              <w:rPr>
                <w:rFonts w:eastAsiaTheme="minorHAnsi" w:cs="Arial"/>
                <w:szCs w:val="20"/>
              </w:rPr>
              <w:t>be</w:t>
            </w:r>
            <w:r w:rsidR="00DF1884" w:rsidRPr="00DF1884">
              <w:rPr>
                <w:rFonts w:eastAsiaTheme="minorHAnsi" w:cs="Arial"/>
                <w:szCs w:val="20"/>
              </w:rPr>
              <w:t xml:space="preserve"> </w:t>
            </w:r>
            <w:r w:rsidRPr="00DF1884">
              <w:rPr>
                <w:rFonts w:eastAsiaTheme="minorHAnsi" w:cs="Arial"/>
                <w:szCs w:val="20"/>
              </w:rPr>
              <w:t>evaluated</w:t>
            </w:r>
            <w:r w:rsidR="00CA0676" w:rsidRPr="00DF1884">
              <w:rPr>
                <w:rFonts w:eastAsiaTheme="minorHAnsi" w:cs="Arial"/>
                <w:szCs w:val="20"/>
              </w:rPr>
              <w:t>,</w:t>
            </w:r>
            <w:r w:rsidR="00DF1884" w:rsidRPr="00DF1884">
              <w:rPr>
                <w:rFonts w:eastAsiaTheme="minorHAnsi" w:cs="Arial"/>
                <w:szCs w:val="20"/>
              </w:rPr>
              <w:t xml:space="preserve"> </w:t>
            </w:r>
            <w:r w:rsidRPr="00DF1884">
              <w:rPr>
                <w:rFonts w:eastAsiaTheme="minorHAnsi" w:cs="Arial"/>
                <w:szCs w:val="20"/>
              </w:rPr>
              <w:t>rather</w:t>
            </w:r>
            <w:r w:rsidR="00DF1884" w:rsidRPr="00DF1884">
              <w:rPr>
                <w:rFonts w:eastAsiaTheme="minorHAnsi" w:cs="Arial"/>
                <w:szCs w:val="20"/>
              </w:rPr>
              <w:t xml:space="preserve"> </w:t>
            </w:r>
            <w:r w:rsidRPr="00DF1884">
              <w:rPr>
                <w:rFonts w:eastAsiaTheme="minorHAnsi" w:cs="Arial"/>
                <w:szCs w:val="20"/>
              </w:rPr>
              <w:t>than</w:t>
            </w:r>
            <w:r w:rsidR="00DF1884" w:rsidRPr="00DF1884">
              <w:rPr>
                <w:rFonts w:eastAsiaTheme="minorHAnsi" w:cs="Arial"/>
                <w:szCs w:val="20"/>
              </w:rPr>
              <w:t xml:space="preserve"> </w:t>
            </w:r>
            <w:r w:rsidRPr="00DF1884">
              <w:rPr>
                <w:rFonts w:eastAsiaTheme="minorHAnsi" w:cs="Arial"/>
                <w:szCs w:val="20"/>
              </w:rPr>
              <w:t>a</w:t>
            </w:r>
            <w:r w:rsidR="00DF1884" w:rsidRPr="00DF1884">
              <w:rPr>
                <w:rFonts w:eastAsiaTheme="minorHAnsi" w:cs="Arial"/>
                <w:szCs w:val="20"/>
              </w:rPr>
              <w:t xml:space="preserve"> </w:t>
            </w:r>
            <w:r w:rsidRPr="00DF1884">
              <w:rPr>
                <w:rFonts w:eastAsiaTheme="minorHAnsi" w:cs="Arial"/>
                <w:szCs w:val="20"/>
              </w:rPr>
              <w:t>cross-sectional</w:t>
            </w:r>
            <w:r w:rsidR="00DF1884" w:rsidRPr="00DF1884">
              <w:rPr>
                <w:rFonts w:eastAsiaTheme="minorHAnsi" w:cs="Arial"/>
                <w:szCs w:val="20"/>
              </w:rPr>
              <w:t xml:space="preserve"> </w:t>
            </w:r>
            <w:r w:rsidRPr="00DF1884">
              <w:rPr>
                <w:rFonts w:eastAsiaTheme="minorHAnsi" w:cs="Arial"/>
                <w:szCs w:val="20"/>
              </w:rPr>
              <w:t>observed</w:t>
            </w:r>
            <w:r w:rsidR="00DF1884" w:rsidRPr="00DF1884">
              <w:rPr>
                <w:rFonts w:eastAsiaTheme="minorHAnsi" w:cs="Arial"/>
                <w:szCs w:val="20"/>
              </w:rPr>
              <w:t xml:space="preserve"> </w:t>
            </w:r>
            <w:r w:rsidRPr="00DF1884">
              <w:rPr>
                <w:rFonts w:eastAsiaTheme="minorHAnsi" w:cs="Arial"/>
                <w:szCs w:val="20"/>
              </w:rPr>
              <w:t>rate</w:t>
            </w:r>
            <w:r w:rsidR="00DF1884" w:rsidRPr="00DF1884">
              <w:rPr>
                <w:rFonts w:eastAsiaTheme="minorHAnsi" w:cs="Arial"/>
                <w:szCs w:val="20"/>
              </w:rPr>
              <w:t xml:space="preserve"> </w:t>
            </w:r>
            <w:r w:rsidRPr="00DF1884">
              <w:rPr>
                <w:rFonts w:eastAsiaTheme="minorHAnsi" w:cs="Arial"/>
                <w:szCs w:val="20"/>
              </w:rPr>
              <w:t>of</w:t>
            </w:r>
            <w:r w:rsidR="00DF1884" w:rsidRPr="00DF1884">
              <w:rPr>
                <w:rFonts w:eastAsiaTheme="minorHAnsi" w:cs="Arial"/>
                <w:szCs w:val="20"/>
              </w:rPr>
              <w:t xml:space="preserve"> </w:t>
            </w:r>
            <w:r w:rsidRPr="00DF1884">
              <w:rPr>
                <w:rFonts w:eastAsiaTheme="minorHAnsi" w:cs="Arial"/>
                <w:szCs w:val="20"/>
              </w:rPr>
              <w:t>hospitalization.</w:t>
            </w:r>
          </w:p>
        </w:tc>
      </w:tr>
      <w:tr w:rsidR="00463667" w:rsidRPr="00DF1884" w14:paraId="15EDA8DC" w14:textId="77777777" w:rsidTr="00C56CA6">
        <w:tc>
          <w:tcPr>
            <w:tcW w:w="1956" w:type="dxa"/>
            <w:tcBorders>
              <w:top w:val="nil"/>
              <w:left w:val="nil"/>
              <w:bottom w:val="nil"/>
              <w:right w:val="nil"/>
            </w:tcBorders>
            <w:tcMar>
              <w:left w:w="115" w:type="dxa"/>
              <w:right w:w="115" w:type="dxa"/>
            </w:tcMar>
          </w:tcPr>
          <w:p w14:paraId="48B573AD" w14:textId="77777777" w:rsidR="00463667" w:rsidRPr="00DF1884" w:rsidRDefault="00463667" w:rsidP="00C56CA6">
            <w:pPr>
              <w:pStyle w:val="MarginSubhead"/>
            </w:pPr>
            <w:r w:rsidRPr="00DF1884">
              <w:t>Validity</w:t>
            </w:r>
          </w:p>
        </w:tc>
        <w:tc>
          <w:tcPr>
            <w:tcW w:w="7985" w:type="dxa"/>
            <w:tcBorders>
              <w:top w:val="nil"/>
              <w:left w:val="nil"/>
              <w:bottom w:val="nil"/>
              <w:right w:val="nil"/>
            </w:tcBorders>
            <w:tcMar>
              <w:left w:w="115" w:type="dxa"/>
              <w:right w:w="115" w:type="dxa"/>
            </w:tcMar>
          </w:tcPr>
          <w:p w14:paraId="7423A13D" w14:textId="20CAAE9B" w:rsidR="00463667" w:rsidRPr="00DF1884" w:rsidRDefault="00463667" w:rsidP="00C56CA6">
            <w:pPr>
              <w:pStyle w:val="Body"/>
            </w:pPr>
            <w:r w:rsidRPr="00DF1884">
              <w:t>This</w:t>
            </w:r>
            <w:r w:rsidR="00DF1884" w:rsidRPr="00DF1884">
              <w:t xml:space="preserve"> </w:t>
            </w:r>
            <w:r w:rsidRPr="00DF1884">
              <w:t>measure</w:t>
            </w:r>
            <w:r w:rsidR="00DF1884" w:rsidRPr="00DF1884">
              <w:t xml:space="preserve"> </w:t>
            </w:r>
            <w:r w:rsidRPr="00DF1884">
              <w:t>has</w:t>
            </w:r>
            <w:r w:rsidR="00DF1884" w:rsidRPr="00DF1884">
              <w:t xml:space="preserve"> </w:t>
            </w:r>
            <w:r w:rsidRPr="00DF1884">
              <w:t>detailed,</w:t>
            </w:r>
            <w:r w:rsidR="00DF1884" w:rsidRPr="00DF1884">
              <w:t xml:space="preserve"> </w:t>
            </w:r>
            <w:r w:rsidRPr="00DF1884">
              <w:t>precise</w:t>
            </w:r>
            <w:r w:rsidR="00DF1884" w:rsidRPr="00DF1884">
              <w:t xml:space="preserve"> </w:t>
            </w:r>
            <w:r w:rsidRPr="00DF1884">
              <w:t>specifications</w:t>
            </w:r>
            <w:r w:rsidR="00DF1884" w:rsidRPr="00DF1884">
              <w:t xml:space="preserve"> </w:t>
            </w:r>
            <w:r w:rsidRPr="00DF1884">
              <w:t>that</w:t>
            </w:r>
            <w:r w:rsidR="00DF1884" w:rsidRPr="00DF1884">
              <w:t xml:space="preserve"> </w:t>
            </w:r>
            <w:r w:rsidRPr="00DF1884">
              <w:t>clearly</w:t>
            </w:r>
            <w:r w:rsidR="00DF1884" w:rsidRPr="00DF1884">
              <w:t xml:space="preserve"> </w:t>
            </w:r>
            <w:r w:rsidRPr="00DF1884">
              <w:t>define</w:t>
            </w:r>
            <w:r w:rsidR="00DF1884" w:rsidRPr="00DF1884">
              <w:t xml:space="preserve"> </w:t>
            </w:r>
            <w:r w:rsidRPr="00DF1884">
              <w:t>the</w:t>
            </w:r>
            <w:r w:rsidR="00DF1884" w:rsidRPr="00DF1884">
              <w:t xml:space="preserve"> </w:t>
            </w:r>
            <w:r w:rsidRPr="00DF1884">
              <w:t>numerator,</w:t>
            </w:r>
            <w:r w:rsidR="00DF1884" w:rsidRPr="00DF1884">
              <w:t xml:space="preserve"> </w:t>
            </w:r>
            <w:r w:rsidRPr="00DF1884">
              <w:t>denominator,</w:t>
            </w:r>
            <w:r w:rsidR="00DF1884" w:rsidRPr="00DF1884">
              <w:t xml:space="preserve"> </w:t>
            </w:r>
            <w:r w:rsidRPr="00DF1884">
              <w:t>data</w:t>
            </w:r>
            <w:r w:rsidR="00DF1884" w:rsidRPr="00DF1884">
              <w:t xml:space="preserve"> </w:t>
            </w:r>
            <w:r w:rsidRPr="00DF1884">
              <w:t>sources,</w:t>
            </w:r>
            <w:r w:rsidR="00DF1884" w:rsidRPr="00DF1884">
              <w:t xml:space="preserve"> </w:t>
            </w:r>
            <w:r w:rsidRPr="00DF1884">
              <w:t>allowable</w:t>
            </w:r>
            <w:r w:rsidR="00DF1884" w:rsidRPr="00DF1884">
              <w:t xml:space="preserve"> </w:t>
            </w:r>
            <w:r w:rsidRPr="00DF1884">
              <w:t>values,</w:t>
            </w:r>
            <w:r w:rsidR="00DF1884" w:rsidRPr="00DF1884">
              <w:t xml:space="preserve"> </w:t>
            </w:r>
            <w:r w:rsidRPr="00DF1884">
              <w:t>methods</w:t>
            </w:r>
            <w:r w:rsidR="00DF1884" w:rsidRPr="00DF1884">
              <w:t xml:space="preserve"> </w:t>
            </w:r>
            <w:r w:rsidRPr="00DF1884">
              <w:t>of</w:t>
            </w:r>
            <w:r w:rsidR="00DF1884" w:rsidRPr="00DF1884">
              <w:t xml:space="preserve"> </w:t>
            </w:r>
            <w:r w:rsidRPr="00DF1884">
              <w:t>measurement</w:t>
            </w:r>
            <w:r w:rsidR="00DF1884" w:rsidRPr="00DF1884">
              <w:t xml:space="preserve"> </w:t>
            </w:r>
            <w:r w:rsidRPr="00DF1884">
              <w:t>and</w:t>
            </w:r>
            <w:r w:rsidR="00DF1884" w:rsidRPr="00DF1884">
              <w:t xml:space="preserve"> </w:t>
            </w:r>
            <w:r w:rsidRPr="00DF1884">
              <w:t>method</w:t>
            </w:r>
            <w:r w:rsidR="00DF1884" w:rsidRPr="00DF1884">
              <w:t xml:space="preserve"> </w:t>
            </w:r>
            <w:r w:rsidRPr="00DF1884">
              <w:t>of</w:t>
            </w:r>
            <w:r w:rsidR="00DF1884" w:rsidRPr="00DF1884">
              <w:t xml:space="preserve"> </w:t>
            </w:r>
            <w:r w:rsidRPr="00DF1884">
              <w:t>reporting.</w:t>
            </w:r>
          </w:p>
        </w:tc>
      </w:tr>
    </w:tbl>
    <w:p w14:paraId="5973B199" w14:textId="77777777" w:rsidR="00463667" w:rsidRPr="00DF1884" w:rsidRDefault="00463667" w:rsidP="00463667">
      <w:pPr>
        <w:pStyle w:val="ReverseHead"/>
      </w:pPr>
      <w:r w:rsidRPr="00DF1884">
        <w:t>Feasibility</w:t>
      </w:r>
    </w:p>
    <w:tbl>
      <w:tblPr>
        <w:tblW w:w="0" w:type="auto"/>
        <w:tblInd w:w="-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1956"/>
        <w:gridCol w:w="7985"/>
      </w:tblGrid>
      <w:tr w:rsidR="00463667" w:rsidRPr="00DF1884" w14:paraId="4F81E7BA" w14:textId="77777777" w:rsidTr="00C56CA6">
        <w:tc>
          <w:tcPr>
            <w:tcW w:w="1956" w:type="dxa"/>
            <w:tcBorders>
              <w:top w:val="nil"/>
              <w:left w:val="nil"/>
              <w:bottom w:val="nil"/>
              <w:right w:val="nil"/>
            </w:tcBorders>
            <w:tcMar>
              <w:left w:w="115" w:type="dxa"/>
              <w:right w:w="115" w:type="dxa"/>
            </w:tcMar>
          </w:tcPr>
          <w:p w14:paraId="467124D5" w14:textId="01BC33A6" w:rsidR="00463667" w:rsidRPr="00DF1884" w:rsidRDefault="00463667" w:rsidP="00C56CA6">
            <w:pPr>
              <w:pStyle w:val="MarginSubhead"/>
            </w:pPr>
            <w:r w:rsidRPr="00DF1884">
              <w:t>Logistically</w:t>
            </w:r>
            <w:r w:rsidR="00DF1884" w:rsidRPr="00DF1884">
              <w:t xml:space="preserve"> </w:t>
            </w:r>
            <w:r w:rsidRPr="00DF1884">
              <w:t>feasible</w:t>
            </w:r>
          </w:p>
        </w:tc>
        <w:tc>
          <w:tcPr>
            <w:tcW w:w="7985" w:type="dxa"/>
            <w:tcBorders>
              <w:top w:val="nil"/>
              <w:left w:val="nil"/>
              <w:bottom w:val="nil"/>
              <w:right w:val="nil"/>
            </w:tcBorders>
            <w:tcMar>
              <w:left w:w="115" w:type="dxa"/>
              <w:right w:w="115" w:type="dxa"/>
            </w:tcMar>
          </w:tcPr>
          <w:p w14:paraId="7D9EC895" w14:textId="22349473" w:rsidR="00463667" w:rsidRPr="00DF1884" w:rsidRDefault="00463667" w:rsidP="00C56CA6">
            <w:pPr>
              <w:pStyle w:val="Body"/>
            </w:pPr>
            <w:r w:rsidRPr="00DF1884">
              <w:t>Feedback</w:t>
            </w:r>
            <w:r w:rsidR="00DF1884" w:rsidRPr="00DF1884">
              <w:t xml:space="preserve"> </w:t>
            </w:r>
            <w:r w:rsidRPr="00DF1884">
              <w:t>from</w:t>
            </w:r>
            <w:r w:rsidR="00DF1884" w:rsidRPr="00DF1884">
              <w:t xml:space="preserve"> </w:t>
            </w:r>
            <w:r w:rsidRPr="00DF1884">
              <w:t>plans</w:t>
            </w:r>
            <w:r w:rsidR="00DF1884" w:rsidRPr="00DF1884">
              <w:t xml:space="preserve"> </w:t>
            </w:r>
            <w:r w:rsidRPr="00DF1884">
              <w:t>and</w:t>
            </w:r>
            <w:r w:rsidR="00DF1884" w:rsidRPr="00DF1884">
              <w:t xml:space="preserve"> </w:t>
            </w:r>
            <w:r w:rsidRPr="00DF1884">
              <w:t>NCQA</w:t>
            </w:r>
            <w:r w:rsidR="00DF1884" w:rsidRPr="00DF1884">
              <w:t xml:space="preserve"> </w:t>
            </w:r>
            <w:r w:rsidRPr="00DF1884">
              <w:t>panels</w:t>
            </w:r>
            <w:r w:rsidR="00DF1884" w:rsidRPr="00DF1884">
              <w:t xml:space="preserve"> </w:t>
            </w:r>
            <w:r w:rsidRPr="00DF1884">
              <w:t>support</w:t>
            </w:r>
            <w:r w:rsidR="00DF1884" w:rsidRPr="00DF1884">
              <w:t xml:space="preserve"> </w:t>
            </w:r>
            <w:r w:rsidRPr="00DF1884">
              <w:t>the</w:t>
            </w:r>
            <w:r w:rsidR="00DF1884" w:rsidRPr="00DF1884">
              <w:t xml:space="preserve"> </w:t>
            </w:r>
            <w:r w:rsidRPr="00DF1884">
              <w:t>logistic</w:t>
            </w:r>
            <w:r w:rsidR="00DF1884" w:rsidRPr="00DF1884">
              <w:t xml:space="preserve"> </w:t>
            </w:r>
            <w:r w:rsidRPr="00DF1884">
              <w:t>feasibility</w:t>
            </w:r>
            <w:r w:rsidR="00DF1884" w:rsidRPr="00DF1884">
              <w:t xml:space="preserve"> </w:t>
            </w:r>
            <w:r w:rsidRPr="00DF1884">
              <w:t>of</w:t>
            </w:r>
            <w:r w:rsidR="00DF1884" w:rsidRPr="00DF1884">
              <w:t xml:space="preserve"> </w:t>
            </w:r>
            <w:r w:rsidRPr="00DF1884">
              <w:t>this</w:t>
            </w:r>
            <w:r w:rsidR="00DF1884" w:rsidRPr="00DF1884">
              <w:t xml:space="preserve"> </w:t>
            </w:r>
            <w:r w:rsidRPr="00DF1884">
              <w:t>measure.</w:t>
            </w:r>
            <w:r w:rsidR="00DF1884" w:rsidRPr="00DF1884">
              <w:t xml:space="preserve"> </w:t>
            </w:r>
            <w:r w:rsidRPr="00DF1884">
              <w:t>In</w:t>
            </w:r>
            <w:r w:rsidR="00DF1884" w:rsidRPr="00DF1884">
              <w:t xml:space="preserve"> </w:t>
            </w:r>
            <w:r w:rsidRPr="00DF1884">
              <w:t>general,</w:t>
            </w:r>
            <w:r w:rsidR="00DF1884" w:rsidRPr="00DF1884">
              <w:t xml:space="preserve"> </w:t>
            </w:r>
            <w:r w:rsidRPr="00DF1884">
              <w:t>claims</w:t>
            </w:r>
            <w:r w:rsidR="00DF1884" w:rsidRPr="00DF1884">
              <w:t xml:space="preserve"> </w:t>
            </w:r>
            <w:r w:rsidRPr="00DF1884">
              <w:t>and</w:t>
            </w:r>
            <w:r w:rsidR="00DF1884" w:rsidRPr="00DF1884">
              <w:t xml:space="preserve"> </w:t>
            </w:r>
            <w:r w:rsidRPr="00DF1884">
              <w:t>encounter</w:t>
            </w:r>
            <w:r w:rsidR="00DF1884" w:rsidRPr="00DF1884">
              <w:t xml:space="preserve"> </w:t>
            </w:r>
            <w:r w:rsidRPr="00DF1884">
              <w:t>data</w:t>
            </w:r>
            <w:r w:rsidR="00DF1884" w:rsidRPr="00DF1884">
              <w:t xml:space="preserve"> </w:t>
            </w:r>
            <w:r w:rsidRPr="00DF1884">
              <w:t>required</w:t>
            </w:r>
            <w:r w:rsidR="00DF1884" w:rsidRPr="00DF1884">
              <w:t xml:space="preserve"> </w:t>
            </w:r>
            <w:r w:rsidRPr="00DF1884">
              <w:t>for</w:t>
            </w:r>
            <w:r w:rsidR="00DF1884" w:rsidRPr="00DF1884">
              <w:t xml:space="preserve"> </w:t>
            </w:r>
            <w:r w:rsidRPr="00DF1884">
              <w:t>this</w:t>
            </w:r>
            <w:r w:rsidR="00DF1884" w:rsidRPr="00DF1884">
              <w:t xml:space="preserve"> </w:t>
            </w:r>
            <w:r w:rsidRPr="00DF1884">
              <w:t>measure</w:t>
            </w:r>
            <w:r w:rsidR="00DF1884" w:rsidRPr="00DF1884">
              <w:t xml:space="preserve"> </w:t>
            </w:r>
            <w:r w:rsidRPr="00DF1884">
              <w:t>should</w:t>
            </w:r>
            <w:r w:rsidR="00DF1884" w:rsidRPr="00DF1884">
              <w:t xml:space="preserve"> </w:t>
            </w:r>
            <w:r w:rsidRPr="00DF1884">
              <w:t>be</w:t>
            </w:r>
            <w:r w:rsidR="00DF1884" w:rsidRPr="00DF1884">
              <w:t xml:space="preserve"> </w:t>
            </w:r>
            <w:r w:rsidRPr="00DF1884">
              <w:t>available</w:t>
            </w:r>
            <w:r w:rsidR="00DF1884" w:rsidRPr="00DF1884">
              <w:t xml:space="preserve"> </w:t>
            </w:r>
            <w:r w:rsidRPr="00DF1884">
              <w:t>to</w:t>
            </w:r>
            <w:r w:rsidR="00DF1884" w:rsidRPr="00DF1884">
              <w:t xml:space="preserve"> </w:t>
            </w:r>
            <w:r w:rsidRPr="00DF1884">
              <w:t>health</w:t>
            </w:r>
            <w:r w:rsidR="00DF1884" w:rsidRPr="00DF1884">
              <w:t xml:space="preserve"> </w:t>
            </w:r>
            <w:r w:rsidRPr="00DF1884">
              <w:t>plans.</w:t>
            </w:r>
          </w:p>
        </w:tc>
      </w:tr>
      <w:tr w:rsidR="00463667" w:rsidRPr="00DF1884" w14:paraId="5BEE6980" w14:textId="77777777" w:rsidTr="00C56CA6">
        <w:tc>
          <w:tcPr>
            <w:tcW w:w="1956" w:type="dxa"/>
            <w:tcBorders>
              <w:top w:val="nil"/>
              <w:left w:val="nil"/>
              <w:bottom w:val="nil"/>
              <w:right w:val="nil"/>
            </w:tcBorders>
            <w:tcMar>
              <w:left w:w="115" w:type="dxa"/>
              <w:right w:w="115" w:type="dxa"/>
            </w:tcMar>
          </w:tcPr>
          <w:p w14:paraId="45A39E1E" w14:textId="77777777" w:rsidR="00463667" w:rsidRPr="00DF1884" w:rsidRDefault="00463667" w:rsidP="00C56CA6">
            <w:pPr>
              <w:pStyle w:val="MarginSubhead"/>
            </w:pPr>
            <w:r w:rsidRPr="00DF1884">
              <w:t>Auditable</w:t>
            </w:r>
          </w:p>
        </w:tc>
        <w:tc>
          <w:tcPr>
            <w:tcW w:w="7985" w:type="dxa"/>
            <w:tcBorders>
              <w:top w:val="nil"/>
              <w:left w:val="nil"/>
              <w:bottom w:val="nil"/>
              <w:right w:val="nil"/>
            </w:tcBorders>
            <w:tcMar>
              <w:left w:w="115" w:type="dxa"/>
              <w:right w:w="115" w:type="dxa"/>
            </w:tcMar>
          </w:tcPr>
          <w:p w14:paraId="30F5ACAE" w14:textId="3FAAE3F0" w:rsidR="00463667" w:rsidRPr="00DF1884" w:rsidRDefault="00463667" w:rsidP="00C56CA6">
            <w:pPr>
              <w:pStyle w:val="Body"/>
            </w:pPr>
            <w:r w:rsidRPr="00DF1884">
              <w:t>This</w:t>
            </w:r>
            <w:r w:rsidR="00DF1884" w:rsidRPr="00DF1884">
              <w:t xml:space="preserve"> </w:t>
            </w:r>
            <w:r w:rsidRPr="00DF1884">
              <w:t>measure</w:t>
            </w:r>
            <w:r w:rsidR="00DF1884" w:rsidRPr="00DF1884">
              <w:t xml:space="preserve"> </w:t>
            </w:r>
            <w:r w:rsidRPr="00DF1884">
              <w:t>has</w:t>
            </w:r>
            <w:r w:rsidR="00DF1884" w:rsidRPr="00DF1884">
              <w:t xml:space="preserve"> </w:t>
            </w:r>
            <w:r w:rsidRPr="00DF1884">
              <w:t>been</w:t>
            </w:r>
            <w:r w:rsidR="00DF1884" w:rsidRPr="00DF1884">
              <w:t xml:space="preserve"> </w:t>
            </w:r>
            <w:r w:rsidRPr="00DF1884">
              <w:t>reviewed</w:t>
            </w:r>
            <w:r w:rsidR="00DF1884" w:rsidRPr="00DF1884">
              <w:t xml:space="preserve"> </w:t>
            </w:r>
            <w:r w:rsidRPr="00DF1884">
              <w:t>by</w:t>
            </w:r>
            <w:r w:rsidR="00DF1884" w:rsidRPr="00DF1884">
              <w:t xml:space="preserve"> </w:t>
            </w:r>
            <w:r w:rsidRPr="00DF1884">
              <w:t>NCQA’s</w:t>
            </w:r>
            <w:r w:rsidR="00DF1884" w:rsidRPr="00DF1884">
              <w:t xml:space="preserve"> </w:t>
            </w:r>
            <w:r w:rsidRPr="00DF1884">
              <w:t>internal</w:t>
            </w:r>
            <w:r w:rsidR="00DF1884" w:rsidRPr="00DF1884">
              <w:t xml:space="preserve"> </w:t>
            </w:r>
            <w:r w:rsidRPr="00DF1884">
              <w:t>HEDIS</w:t>
            </w:r>
            <w:r w:rsidR="00DF1884" w:rsidRPr="00DF1884">
              <w:t xml:space="preserve"> </w:t>
            </w:r>
            <w:r w:rsidRPr="00DF1884">
              <w:t>Audit</w:t>
            </w:r>
            <w:r w:rsidR="00DF1884" w:rsidRPr="00DF1884">
              <w:t xml:space="preserve"> </w:t>
            </w:r>
            <w:r w:rsidRPr="00DF1884">
              <w:t>and</w:t>
            </w:r>
            <w:r w:rsidR="00DF1884" w:rsidRPr="00DF1884">
              <w:t xml:space="preserve"> </w:t>
            </w:r>
            <w:r w:rsidRPr="00DF1884">
              <w:t>Measure</w:t>
            </w:r>
            <w:r w:rsidR="00DF1884" w:rsidRPr="00DF1884">
              <w:t xml:space="preserve"> </w:t>
            </w:r>
            <w:r w:rsidRPr="00DF1884">
              <w:t>certification</w:t>
            </w:r>
            <w:r w:rsidR="00DF1884" w:rsidRPr="00DF1884">
              <w:t xml:space="preserve"> </w:t>
            </w:r>
            <w:r w:rsidRPr="00DF1884">
              <w:t>staff</w:t>
            </w:r>
            <w:r w:rsidR="00DF1884" w:rsidRPr="00DF1884">
              <w:t xml:space="preserve"> </w:t>
            </w:r>
            <w:r w:rsidRPr="00DF1884">
              <w:t>and</w:t>
            </w:r>
            <w:r w:rsidR="00DF1884" w:rsidRPr="00DF1884">
              <w:t xml:space="preserve"> </w:t>
            </w:r>
            <w:r w:rsidRPr="00DF1884">
              <w:t>found</w:t>
            </w:r>
            <w:r w:rsidR="00DF1884" w:rsidRPr="00DF1884">
              <w:t xml:space="preserve"> </w:t>
            </w:r>
            <w:r w:rsidRPr="00DF1884">
              <w:t>to</w:t>
            </w:r>
            <w:r w:rsidR="00DF1884" w:rsidRPr="00DF1884">
              <w:t xml:space="preserve"> </w:t>
            </w:r>
            <w:r w:rsidRPr="00DF1884">
              <w:t>be</w:t>
            </w:r>
            <w:r w:rsidR="00DF1884" w:rsidRPr="00DF1884">
              <w:t xml:space="preserve"> </w:t>
            </w:r>
            <w:r w:rsidRPr="00DF1884">
              <w:t>auditable.</w:t>
            </w:r>
          </w:p>
        </w:tc>
      </w:tr>
    </w:tbl>
    <w:p w14:paraId="6452289E" w14:textId="77777777" w:rsidR="00463667" w:rsidRPr="00DF1884" w:rsidRDefault="00463667" w:rsidP="00463667">
      <w:pPr>
        <w:pStyle w:val="ReverseHead"/>
      </w:pPr>
      <w:r w:rsidRPr="00DF1884">
        <w:t>References</w:t>
      </w:r>
    </w:p>
    <w:p w14:paraId="58560D59" w14:textId="4ED156FC" w:rsidR="001559AE" w:rsidRPr="00DF1884" w:rsidRDefault="001559AE" w:rsidP="00DF1884">
      <w:pPr>
        <w:pStyle w:val="Body"/>
        <w:ind w:left="360" w:hanging="360"/>
      </w:pPr>
      <w:r w:rsidRPr="00DF1884">
        <w:rPr>
          <w:rStyle w:val="Emphasis"/>
          <w:rFonts w:cs="Arial"/>
          <w:b w:val="0"/>
          <w:szCs w:val="20"/>
        </w:rPr>
        <w:t>AHRQ.</w:t>
      </w:r>
      <w:r w:rsidR="00DF1884" w:rsidRPr="00DF1884">
        <w:rPr>
          <w:rStyle w:val="Emphasis"/>
          <w:rFonts w:cs="Arial"/>
          <w:b w:val="0"/>
          <w:szCs w:val="20"/>
        </w:rPr>
        <w:t xml:space="preserve"> </w:t>
      </w:r>
      <w:r w:rsidRPr="00DF1884">
        <w:rPr>
          <w:rStyle w:val="Emphasis"/>
          <w:rFonts w:cs="Arial"/>
          <w:b w:val="0"/>
          <w:szCs w:val="20"/>
        </w:rPr>
        <w:t>(2007)</w:t>
      </w:r>
      <w:r w:rsidR="00DF1884" w:rsidRPr="00DF1884">
        <w:rPr>
          <w:rStyle w:val="Emphasis"/>
          <w:rFonts w:cs="Arial"/>
          <w:b w:val="0"/>
          <w:szCs w:val="20"/>
        </w:rPr>
        <w:t xml:space="preserve"> </w:t>
      </w:r>
      <w:r w:rsidRPr="00DF1884">
        <w:rPr>
          <w:rStyle w:val="Emphasis"/>
          <w:rFonts w:cs="Arial"/>
          <w:b w:val="0"/>
          <w:szCs w:val="20"/>
        </w:rPr>
        <w:t>Guide</w:t>
      </w:r>
      <w:r w:rsidR="00DF1884" w:rsidRPr="00DF1884">
        <w:rPr>
          <w:rStyle w:val="Emphasis"/>
          <w:rFonts w:cs="Arial"/>
          <w:b w:val="0"/>
          <w:szCs w:val="20"/>
        </w:rPr>
        <w:t xml:space="preserve"> </w:t>
      </w:r>
      <w:r w:rsidRPr="00DF1884">
        <w:rPr>
          <w:rStyle w:val="Emphasis"/>
          <w:rFonts w:cs="Arial"/>
          <w:b w:val="0"/>
          <w:szCs w:val="20"/>
        </w:rPr>
        <w:t>to</w:t>
      </w:r>
      <w:r w:rsidR="00DF1884" w:rsidRPr="00DF1884">
        <w:rPr>
          <w:rStyle w:val="Emphasis"/>
          <w:rFonts w:cs="Arial"/>
          <w:b w:val="0"/>
          <w:szCs w:val="20"/>
        </w:rPr>
        <w:t xml:space="preserve"> </w:t>
      </w:r>
      <w:r w:rsidRPr="00DF1884">
        <w:rPr>
          <w:rStyle w:val="Emphasis"/>
          <w:rFonts w:cs="Arial"/>
          <w:b w:val="0"/>
          <w:szCs w:val="20"/>
        </w:rPr>
        <w:t>Prevention</w:t>
      </w:r>
      <w:r w:rsidR="00DF1884" w:rsidRPr="00DF1884">
        <w:rPr>
          <w:rStyle w:val="Emphasis"/>
          <w:rFonts w:cs="Arial"/>
          <w:b w:val="0"/>
          <w:szCs w:val="20"/>
        </w:rPr>
        <w:t xml:space="preserve"> </w:t>
      </w:r>
      <w:r w:rsidRPr="00DF1884">
        <w:rPr>
          <w:rStyle w:val="Emphasis"/>
          <w:rFonts w:cs="Arial"/>
          <w:b w:val="0"/>
          <w:szCs w:val="20"/>
        </w:rPr>
        <w:t>Quality</w:t>
      </w:r>
      <w:r w:rsidR="00DF1884" w:rsidRPr="00DF1884">
        <w:rPr>
          <w:rStyle w:val="Emphasis"/>
          <w:rFonts w:cs="Arial"/>
          <w:b w:val="0"/>
          <w:szCs w:val="20"/>
        </w:rPr>
        <w:t xml:space="preserve"> </w:t>
      </w:r>
      <w:r w:rsidRPr="00DF1884">
        <w:rPr>
          <w:rStyle w:val="Emphasis"/>
          <w:rFonts w:cs="Arial"/>
          <w:b w:val="0"/>
          <w:szCs w:val="20"/>
        </w:rPr>
        <w:t>Indicators.</w:t>
      </w:r>
      <w:r w:rsidR="00DF1884" w:rsidRPr="00DF1884">
        <w:rPr>
          <w:rStyle w:val="citation"/>
          <w:rFonts w:cs="Arial"/>
          <w:szCs w:val="20"/>
        </w:rPr>
        <w:t xml:space="preserve"> </w:t>
      </w:r>
      <w:r w:rsidRPr="00DF1884">
        <w:rPr>
          <w:rStyle w:val="citation"/>
          <w:rFonts w:cs="Arial"/>
          <w:szCs w:val="20"/>
        </w:rPr>
        <w:t>Agency</w:t>
      </w:r>
      <w:r w:rsidR="00DF1884" w:rsidRPr="00DF1884">
        <w:rPr>
          <w:rStyle w:val="citation"/>
          <w:rFonts w:cs="Arial"/>
          <w:szCs w:val="20"/>
        </w:rPr>
        <w:t xml:space="preserve"> </w:t>
      </w:r>
      <w:r w:rsidRPr="00DF1884">
        <w:rPr>
          <w:rStyle w:val="citation"/>
          <w:rFonts w:cs="Arial"/>
          <w:szCs w:val="20"/>
        </w:rPr>
        <w:t>for</w:t>
      </w:r>
      <w:r w:rsidR="00DF1884" w:rsidRPr="00DF1884">
        <w:rPr>
          <w:rStyle w:val="citation"/>
          <w:rFonts w:cs="Arial"/>
          <w:szCs w:val="20"/>
        </w:rPr>
        <w:t xml:space="preserve"> </w:t>
      </w:r>
      <w:r w:rsidRPr="00DF1884">
        <w:rPr>
          <w:rStyle w:val="citation"/>
          <w:rFonts w:cs="Arial"/>
          <w:szCs w:val="20"/>
        </w:rPr>
        <w:t>Healthcare</w:t>
      </w:r>
      <w:r w:rsidR="00DF1884" w:rsidRPr="00DF1884">
        <w:rPr>
          <w:rStyle w:val="citation"/>
          <w:rFonts w:cs="Arial"/>
          <w:szCs w:val="20"/>
        </w:rPr>
        <w:t xml:space="preserve"> </w:t>
      </w:r>
      <w:r w:rsidRPr="00DF1884">
        <w:rPr>
          <w:rStyle w:val="citation"/>
          <w:rFonts w:cs="Arial"/>
          <w:szCs w:val="20"/>
        </w:rPr>
        <w:t>Research</w:t>
      </w:r>
      <w:r w:rsidR="00DF1884" w:rsidRPr="00DF1884">
        <w:rPr>
          <w:rStyle w:val="citation"/>
          <w:rFonts w:cs="Arial"/>
          <w:szCs w:val="20"/>
        </w:rPr>
        <w:t xml:space="preserve"> </w:t>
      </w:r>
      <w:r w:rsidRPr="00DF1884">
        <w:rPr>
          <w:rStyle w:val="citation"/>
          <w:rFonts w:cs="Arial"/>
          <w:szCs w:val="20"/>
        </w:rPr>
        <w:t>and</w:t>
      </w:r>
      <w:r w:rsidR="00DF1884" w:rsidRPr="00DF1884">
        <w:rPr>
          <w:rStyle w:val="citation"/>
          <w:rFonts w:cs="Arial"/>
          <w:szCs w:val="20"/>
        </w:rPr>
        <w:t xml:space="preserve"> </w:t>
      </w:r>
      <w:r w:rsidRPr="00DF1884">
        <w:rPr>
          <w:rStyle w:val="citation"/>
          <w:rFonts w:cs="Arial"/>
          <w:szCs w:val="20"/>
        </w:rPr>
        <w:t>Quality,</w:t>
      </w:r>
      <w:r w:rsidR="00DF1884" w:rsidRPr="00DF1884">
        <w:rPr>
          <w:rStyle w:val="citation"/>
          <w:rFonts w:cs="Arial"/>
          <w:szCs w:val="20"/>
        </w:rPr>
        <w:t xml:space="preserve"> </w:t>
      </w:r>
      <w:r w:rsidRPr="00DF1884">
        <w:rPr>
          <w:rStyle w:val="citation"/>
          <w:rFonts w:cs="Arial"/>
          <w:szCs w:val="20"/>
        </w:rPr>
        <w:t>Rockville,</w:t>
      </w:r>
      <w:r w:rsidR="00DF1884" w:rsidRPr="00DF1884">
        <w:rPr>
          <w:rStyle w:val="citation"/>
          <w:rFonts w:cs="Arial"/>
          <w:szCs w:val="20"/>
        </w:rPr>
        <w:t xml:space="preserve"> </w:t>
      </w:r>
      <w:r w:rsidRPr="00DF1884">
        <w:rPr>
          <w:rStyle w:val="citation"/>
          <w:rFonts w:cs="Arial"/>
          <w:szCs w:val="20"/>
        </w:rPr>
        <w:t>MD.</w:t>
      </w:r>
      <w:r w:rsidR="00DF1884" w:rsidRPr="00DF1884">
        <w:rPr>
          <w:rStyle w:val="citation"/>
          <w:rFonts w:cs="Arial"/>
          <w:szCs w:val="20"/>
        </w:rPr>
        <w:t xml:space="preserve"> </w:t>
      </w:r>
      <w:r w:rsidRPr="00DF1884">
        <w:rPr>
          <w:rStyle w:val="citation"/>
          <w:rFonts w:cs="Arial"/>
          <w:szCs w:val="20"/>
        </w:rPr>
        <w:t>Accessed</w:t>
      </w:r>
      <w:r w:rsidR="00DF1884" w:rsidRPr="00DF1884">
        <w:rPr>
          <w:rStyle w:val="citation"/>
          <w:rFonts w:cs="Arial"/>
          <w:szCs w:val="20"/>
        </w:rPr>
        <w:t xml:space="preserve"> </w:t>
      </w:r>
      <w:r w:rsidRPr="00DF1884">
        <w:rPr>
          <w:rStyle w:val="citation"/>
          <w:rFonts w:cs="Arial"/>
          <w:szCs w:val="20"/>
        </w:rPr>
        <w:t>July</w:t>
      </w:r>
      <w:r w:rsidR="00DF1884" w:rsidRPr="00DF1884">
        <w:rPr>
          <w:rStyle w:val="citation"/>
          <w:rFonts w:cs="Arial"/>
          <w:szCs w:val="20"/>
        </w:rPr>
        <w:t xml:space="preserve"> </w:t>
      </w:r>
      <w:r w:rsidRPr="00DF1884">
        <w:rPr>
          <w:rStyle w:val="citation"/>
          <w:rFonts w:cs="Arial"/>
          <w:szCs w:val="20"/>
        </w:rPr>
        <w:t>31,</w:t>
      </w:r>
      <w:r w:rsidR="00DF1884" w:rsidRPr="00DF1884">
        <w:rPr>
          <w:rStyle w:val="citation"/>
          <w:rFonts w:cs="Arial"/>
          <w:szCs w:val="20"/>
        </w:rPr>
        <w:t xml:space="preserve"> </w:t>
      </w:r>
      <w:r w:rsidRPr="00DF1884">
        <w:rPr>
          <w:rStyle w:val="citation"/>
          <w:rFonts w:cs="Arial"/>
          <w:szCs w:val="20"/>
        </w:rPr>
        <w:t>2013.</w:t>
      </w:r>
      <w:r w:rsidR="00DF1884" w:rsidRPr="00DF1884">
        <w:rPr>
          <w:rStyle w:val="citation"/>
          <w:rFonts w:cs="Arial"/>
          <w:i/>
          <w:szCs w:val="20"/>
        </w:rPr>
        <w:t xml:space="preserve"> </w:t>
      </w:r>
      <w:r w:rsidRPr="00DF1884">
        <w:rPr>
          <w:rStyle w:val="citation"/>
          <w:rFonts w:cs="Arial"/>
          <w:szCs w:val="20"/>
        </w:rPr>
        <w:t>Available</w:t>
      </w:r>
      <w:r w:rsidR="00DF1884" w:rsidRPr="00DF1884">
        <w:rPr>
          <w:rStyle w:val="citation"/>
          <w:rFonts w:cs="Arial"/>
          <w:szCs w:val="20"/>
        </w:rPr>
        <w:t xml:space="preserve"> </w:t>
      </w:r>
      <w:r w:rsidRPr="00DF1884">
        <w:rPr>
          <w:rStyle w:val="citation"/>
          <w:rFonts w:cs="Arial"/>
          <w:szCs w:val="20"/>
        </w:rPr>
        <w:t>at:</w:t>
      </w:r>
      <w:r w:rsidR="00DF1884" w:rsidRPr="00DF1884">
        <w:rPr>
          <w:rStyle w:val="citation"/>
          <w:rFonts w:cs="Arial"/>
          <w:szCs w:val="20"/>
        </w:rPr>
        <w:t xml:space="preserve"> </w:t>
      </w:r>
      <w:hyperlink r:id="rId76" w:history="1">
        <w:r w:rsidRPr="00DF1884">
          <w:rPr>
            <w:rStyle w:val="Hyperlink"/>
            <w:color w:val="auto"/>
          </w:rPr>
          <w:t>http://www.qualityindicators.ahrq.gov/Downloads/Modules/PQI/V31/pqi_guide_v31.pdf</w:t>
        </w:r>
      </w:hyperlink>
      <w:r w:rsidR="00DF1884" w:rsidRPr="00DF1884">
        <w:t xml:space="preserve"> </w:t>
      </w:r>
    </w:p>
    <w:p w14:paraId="6D83E748" w14:textId="075E4AAD" w:rsidR="001559AE" w:rsidRPr="00DF1884" w:rsidRDefault="001559AE" w:rsidP="00DF1884">
      <w:pPr>
        <w:pStyle w:val="Body"/>
        <w:spacing w:before="0"/>
        <w:ind w:left="360" w:hanging="360"/>
        <w:rPr>
          <w:shd w:val="clear" w:color="auto" w:fill="FFFFFF"/>
        </w:rPr>
      </w:pPr>
      <w:r w:rsidRPr="00DF1884">
        <w:rPr>
          <w:shd w:val="clear" w:color="auto" w:fill="FFFFFF"/>
        </w:rPr>
        <w:t>AHRQ</w:t>
      </w:r>
      <w:r w:rsidR="00DF1884">
        <w:rPr>
          <w:shd w:val="clear" w:color="auto" w:fill="FFFFFF"/>
        </w:rPr>
        <w:t>.</w:t>
      </w:r>
      <w:r w:rsidR="00DF1884" w:rsidRPr="00DF1884">
        <w:rPr>
          <w:shd w:val="clear" w:color="auto" w:fill="FFFFFF"/>
        </w:rPr>
        <w:t xml:space="preserve"> </w:t>
      </w:r>
      <w:r w:rsidRPr="00DF1884">
        <w:rPr>
          <w:shd w:val="clear" w:color="auto" w:fill="FFFFFF"/>
        </w:rPr>
        <w:t>2013</w:t>
      </w:r>
      <w:r w:rsidR="00DF1884">
        <w:rPr>
          <w:shd w:val="clear" w:color="auto" w:fill="FFFFFF"/>
        </w:rPr>
        <w:t>.</w:t>
      </w:r>
      <w:r w:rsidR="00DF1884" w:rsidRPr="00DF1884">
        <w:rPr>
          <w:shd w:val="clear" w:color="auto" w:fill="FFFFFF"/>
        </w:rPr>
        <w:t xml:space="preserve"> </w:t>
      </w:r>
      <w:r w:rsidRPr="00DF1884">
        <w:rPr>
          <w:shd w:val="clear" w:color="auto" w:fill="FFFFFF"/>
        </w:rPr>
        <w:t>2012</w:t>
      </w:r>
      <w:r w:rsidR="00DF1884" w:rsidRPr="00DF1884">
        <w:rPr>
          <w:shd w:val="clear" w:color="auto" w:fill="FFFFFF"/>
        </w:rPr>
        <w:t xml:space="preserve"> </w:t>
      </w:r>
      <w:r w:rsidRPr="00DF1884">
        <w:rPr>
          <w:shd w:val="clear" w:color="auto" w:fill="FFFFFF"/>
        </w:rPr>
        <w:t>National</w:t>
      </w:r>
      <w:r w:rsidR="00DF1884" w:rsidRPr="00DF1884">
        <w:rPr>
          <w:shd w:val="clear" w:color="auto" w:fill="FFFFFF"/>
        </w:rPr>
        <w:t xml:space="preserve"> </w:t>
      </w:r>
      <w:r w:rsidRPr="00DF1884">
        <w:rPr>
          <w:shd w:val="clear" w:color="auto" w:fill="FFFFFF"/>
        </w:rPr>
        <w:t>Health</w:t>
      </w:r>
      <w:r w:rsidR="00DF1884" w:rsidRPr="00DF1884">
        <w:rPr>
          <w:shd w:val="clear" w:color="auto" w:fill="FFFFFF"/>
        </w:rPr>
        <w:t xml:space="preserve"> </w:t>
      </w:r>
      <w:r w:rsidRPr="00DF1884">
        <w:rPr>
          <w:shd w:val="clear" w:color="auto" w:fill="FFFFFF"/>
        </w:rPr>
        <w:t>Care</w:t>
      </w:r>
      <w:r w:rsidR="00DF1884" w:rsidRPr="00DF1884">
        <w:rPr>
          <w:shd w:val="clear" w:color="auto" w:fill="FFFFFF"/>
        </w:rPr>
        <w:t xml:space="preserve"> </w:t>
      </w:r>
      <w:r w:rsidRPr="00DF1884">
        <w:rPr>
          <w:shd w:val="clear" w:color="auto" w:fill="FFFFFF"/>
        </w:rPr>
        <w:t>Disparities</w:t>
      </w:r>
      <w:r w:rsidR="00DF1884" w:rsidRPr="00DF1884">
        <w:rPr>
          <w:shd w:val="clear" w:color="auto" w:fill="FFFFFF"/>
        </w:rPr>
        <w:t xml:space="preserve"> </w:t>
      </w:r>
      <w:r w:rsidRPr="00DF1884">
        <w:rPr>
          <w:shd w:val="clear" w:color="auto" w:fill="FFFFFF"/>
        </w:rPr>
        <w:t>Report.</w:t>
      </w:r>
      <w:r w:rsidR="00DF1884" w:rsidRPr="00DF1884">
        <w:rPr>
          <w:shd w:val="clear" w:color="auto" w:fill="FFFFFF"/>
        </w:rPr>
        <w:t xml:space="preserve"> </w:t>
      </w:r>
      <w:r w:rsidRPr="00DF1884">
        <w:rPr>
          <w:shd w:val="clear" w:color="auto" w:fill="FFFFFF"/>
        </w:rPr>
        <w:t>Rockville,</w:t>
      </w:r>
      <w:r w:rsidR="00DF1884" w:rsidRPr="00DF1884">
        <w:rPr>
          <w:shd w:val="clear" w:color="auto" w:fill="FFFFFF"/>
        </w:rPr>
        <w:t xml:space="preserve"> </w:t>
      </w:r>
      <w:r w:rsidRPr="00DF1884">
        <w:rPr>
          <w:shd w:val="clear" w:color="auto" w:fill="FFFFFF"/>
        </w:rPr>
        <w:t>MD.</w:t>
      </w:r>
      <w:r w:rsidR="00DF1884" w:rsidRPr="00DF1884">
        <w:rPr>
          <w:i/>
          <w:shd w:val="clear" w:color="auto" w:fill="FFFFFF"/>
        </w:rPr>
        <w:t xml:space="preserve"> </w:t>
      </w:r>
      <w:r w:rsidRPr="00DF1884">
        <w:rPr>
          <w:shd w:val="clear" w:color="auto" w:fill="FFFFFF"/>
        </w:rPr>
        <w:t>Accessed</w:t>
      </w:r>
      <w:r w:rsidR="00DF1884" w:rsidRPr="00DF1884">
        <w:rPr>
          <w:shd w:val="clear" w:color="auto" w:fill="FFFFFF"/>
        </w:rPr>
        <w:t xml:space="preserve"> </w:t>
      </w:r>
      <w:r w:rsidRPr="00DF1884">
        <w:rPr>
          <w:shd w:val="clear" w:color="auto" w:fill="FFFFFF"/>
        </w:rPr>
        <w:t>September</w:t>
      </w:r>
      <w:r w:rsidR="00DF1884" w:rsidRPr="00DF1884">
        <w:rPr>
          <w:shd w:val="clear" w:color="auto" w:fill="FFFFFF"/>
        </w:rPr>
        <w:t xml:space="preserve"> </w:t>
      </w:r>
      <w:r w:rsidRPr="00DF1884">
        <w:rPr>
          <w:shd w:val="clear" w:color="auto" w:fill="FFFFFF"/>
        </w:rPr>
        <w:t>1,</w:t>
      </w:r>
      <w:r w:rsidR="00DF1884" w:rsidRPr="00DF1884">
        <w:rPr>
          <w:shd w:val="clear" w:color="auto" w:fill="FFFFFF"/>
        </w:rPr>
        <w:t xml:space="preserve"> </w:t>
      </w:r>
      <w:r w:rsidRPr="00DF1884">
        <w:rPr>
          <w:shd w:val="clear" w:color="auto" w:fill="FFFFFF"/>
        </w:rPr>
        <w:t>2013.</w:t>
      </w:r>
      <w:r w:rsidR="00DF1884" w:rsidRPr="00DF1884">
        <w:rPr>
          <w:shd w:val="clear" w:color="auto" w:fill="FFFFFF"/>
        </w:rPr>
        <w:t xml:space="preserve"> </w:t>
      </w:r>
      <w:r w:rsidRPr="00DF1884">
        <w:rPr>
          <w:shd w:val="clear" w:color="auto" w:fill="FFFFFF"/>
        </w:rPr>
        <w:t>Available</w:t>
      </w:r>
      <w:r w:rsidR="00DF1884" w:rsidRPr="00DF1884">
        <w:rPr>
          <w:shd w:val="clear" w:color="auto" w:fill="FFFFFF"/>
        </w:rPr>
        <w:t xml:space="preserve"> </w:t>
      </w:r>
      <w:r w:rsidRPr="00DF1884">
        <w:rPr>
          <w:shd w:val="clear" w:color="auto" w:fill="FFFFFF"/>
        </w:rPr>
        <w:t>at:</w:t>
      </w:r>
      <w:r w:rsidR="00DF1884" w:rsidRPr="00DF1884">
        <w:rPr>
          <w:shd w:val="clear" w:color="auto" w:fill="FFFFFF"/>
        </w:rPr>
        <w:t xml:space="preserve"> </w:t>
      </w:r>
      <w:hyperlink r:id="rId77" w:history="1">
        <w:r w:rsidRPr="00DF1884">
          <w:rPr>
            <w:rStyle w:val="Hyperlink"/>
            <w:color w:val="auto"/>
          </w:rPr>
          <w:t>http://www.ahrq.gov/research/findings/nhqrdr/nhdr12/index.html</w:t>
        </w:r>
      </w:hyperlink>
    </w:p>
    <w:p w14:paraId="3112E4F7" w14:textId="1FDCCAF0" w:rsidR="001559AE" w:rsidRPr="00DF1884" w:rsidRDefault="001559AE" w:rsidP="00DF1884">
      <w:pPr>
        <w:pStyle w:val="Body"/>
        <w:spacing w:before="0"/>
        <w:ind w:left="360" w:hanging="360"/>
        <w:rPr>
          <w:shd w:val="clear" w:color="auto" w:fill="FFFFFF"/>
        </w:rPr>
      </w:pPr>
      <w:r w:rsidRPr="00DF1884">
        <w:rPr>
          <w:shd w:val="clear" w:color="auto" w:fill="FFFFFF"/>
        </w:rPr>
        <w:t>Billings,</w:t>
      </w:r>
      <w:r w:rsidR="00DF1884" w:rsidRPr="00DF1884">
        <w:rPr>
          <w:shd w:val="clear" w:color="auto" w:fill="FFFFFF"/>
        </w:rPr>
        <w:t xml:space="preserve"> </w:t>
      </w:r>
      <w:r w:rsidRPr="00DF1884">
        <w:rPr>
          <w:shd w:val="clear" w:color="auto" w:fill="FFFFFF"/>
        </w:rPr>
        <w:t>J.,</w:t>
      </w:r>
      <w:r w:rsidR="00DF1884" w:rsidRPr="00DF1884">
        <w:rPr>
          <w:shd w:val="clear" w:color="auto" w:fill="FFFFFF"/>
        </w:rPr>
        <w:t xml:space="preserve"> </w:t>
      </w:r>
      <w:r w:rsidR="00DF1884">
        <w:rPr>
          <w:shd w:val="clear" w:color="auto" w:fill="FFFFFF"/>
        </w:rPr>
        <w:t xml:space="preserve">L. </w:t>
      </w:r>
      <w:r w:rsidRPr="00DF1884">
        <w:rPr>
          <w:shd w:val="clear" w:color="auto" w:fill="FFFFFF"/>
        </w:rPr>
        <w:t>Zeitel,</w:t>
      </w:r>
      <w:r w:rsidR="00DF1884" w:rsidRPr="00DF1884">
        <w:rPr>
          <w:shd w:val="clear" w:color="auto" w:fill="FFFFFF"/>
        </w:rPr>
        <w:t xml:space="preserve"> </w:t>
      </w:r>
      <w:r w:rsidR="00DF1884">
        <w:rPr>
          <w:shd w:val="clear" w:color="auto" w:fill="FFFFFF"/>
        </w:rPr>
        <w:t xml:space="preserve">J. </w:t>
      </w:r>
      <w:r w:rsidRPr="00DF1884">
        <w:rPr>
          <w:shd w:val="clear" w:color="auto" w:fill="FFFFFF"/>
        </w:rPr>
        <w:t>Lukomnik,</w:t>
      </w:r>
      <w:r w:rsidR="00DF1884" w:rsidRPr="00DF1884">
        <w:rPr>
          <w:shd w:val="clear" w:color="auto" w:fill="FFFFFF"/>
        </w:rPr>
        <w:t xml:space="preserve"> </w:t>
      </w:r>
      <w:r w:rsidR="00DF1884">
        <w:rPr>
          <w:shd w:val="clear" w:color="auto" w:fill="FFFFFF"/>
        </w:rPr>
        <w:t xml:space="preserve">T.S. </w:t>
      </w:r>
      <w:r w:rsidRPr="00DF1884">
        <w:rPr>
          <w:shd w:val="clear" w:color="auto" w:fill="FFFFFF"/>
        </w:rPr>
        <w:t>Carey,</w:t>
      </w:r>
      <w:r w:rsidR="00DF1884" w:rsidRPr="00DF1884">
        <w:rPr>
          <w:shd w:val="clear" w:color="auto" w:fill="FFFFFF"/>
        </w:rPr>
        <w:t xml:space="preserve"> </w:t>
      </w:r>
      <w:r w:rsidR="00DF1884">
        <w:rPr>
          <w:shd w:val="clear" w:color="auto" w:fill="FFFFFF"/>
        </w:rPr>
        <w:t xml:space="preserve">A.E. </w:t>
      </w:r>
      <w:r w:rsidRPr="00DF1884">
        <w:rPr>
          <w:shd w:val="clear" w:color="auto" w:fill="FFFFFF"/>
        </w:rPr>
        <w:t>Blank,</w:t>
      </w:r>
      <w:r w:rsidR="00DF1884">
        <w:rPr>
          <w:shd w:val="clear" w:color="auto" w:fill="FFFFFF"/>
        </w:rPr>
        <w:t xml:space="preserve"> and L.</w:t>
      </w:r>
      <w:r w:rsidR="00DF1884" w:rsidRPr="00DF1884">
        <w:rPr>
          <w:shd w:val="clear" w:color="auto" w:fill="FFFFFF"/>
        </w:rPr>
        <w:t xml:space="preserve"> </w:t>
      </w:r>
      <w:r w:rsidRPr="00DF1884">
        <w:rPr>
          <w:shd w:val="clear" w:color="auto" w:fill="FFFFFF"/>
        </w:rPr>
        <w:t>Newman.</w:t>
      </w:r>
      <w:r w:rsidR="00DF1884" w:rsidRPr="00DF1884">
        <w:rPr>
          <w:shd w:val="clear" w:color="auto" w:fill="FFFFFF"/>
        </w:rPr>
        <w:t xml:space="preserve"> </w:t>
      </w:r>
      <w:r w:rsidR="00DF1884">
        <w:rPr>
          <w:shd w:val="clear" w:color="auto" w:fill="FFFFFF"/>
        </w:rPr>
        <w:t>1993</w:t>
      </w:r>
      <w:r w:rsidRPr="00DF1884">
        <w:rPr>
          <w:shd w:val="clear" w:color="auto" w:fill="FFFFFF"/>
        </w:rPr>
        <w:t>.</w:t>
      </w:r>
      <w:r w:rsidR="00DF1884" w:rsidRPr="00DF1884">
        <w:rPr>
          <w:shd w:val="clear" w:color="auto" w:fill="FFFFFF"/>
        </w:rPr>
        <w:t xml:space="preserve"> </w:t>
      </w:r>
      <w:r w:rsidRPr="00DF1884">
        <w:rPr>
          <w:shd w:val="clear" w:color="auto" w:fill="FFFFFF"/>
        </w:rPr>
        <w:t>Impact</w:t>
      </w:r>
      <w:r w:rsidR="00DF1884" w:rsidRPr="00DF1884">
        <w:rPr>
          <w:shd w:val="clear" w:color="auto" w:fill="FFFFFF"/>
        </w:rPr>
        <w:t xml:space="preserve"> </w:t>
      </w:r>
      <w:r w:rsidRPr="00DF1884">
        <w:rPr>
          <w:shd w:val="clear" w:color="auto" w:fill="FFFFFF"/>
        </w:rPr>
        <w:t>of</w:t>
      </w:r>
      <w:r w:rsidR="00DF1884" w:rsidRPr="00DF1884">
        <w:rPr>
          <w:shd w:val="clear" w:color="auto" w:fill="FFFFFF"/>
        </w:rPr>
        <w:t xml:space="preserve"> </w:t>
      </w:r>
      <w:r w:rsidRPr="00DF1884">
        <w:rPr>
          <w:shd w:val="clear" w:color="auto" w:fill="FFFFFF"/>
        </w:rPr>
        <w:t>socioeconomic</w:t>
      </w:r>
      <w:r w:rsidR="00DF1884" w:rsidRPr="00DF1884">
        <w:rPr>
          <w:shd w:val="clear" w:color="auto" w:fill="FFFFFF"/>
        </w:rPr>
        <w:t xml:space="preserve"> </w:t>
      </w:r>
      <w:r w:rsidRPr="00DF1884">
        <w:rPr>
          <w:shd w:val="clear" w:color="auto" w:fill="FFFFFF"/>
        </w:rPr>
        <w:t>status</w:t>
      </w:r>
      <w:r w:rsidR="00DF1884" w:rsidRPr="00DF1884">
        <w:rPr>
          <w:shd w:val="clear" w:color="auto" w:fill="FFFFFF"/>
        </w:rPr>
        <w:t xml:space="preserve"> </w:t>
      </w:r>
      <w:r w:rsidRPr="00DF1884">
        <w:rPr>
          <w:shd w:val="clear" w:color="auto" w:fill="FFFFFF"/>
        </w:rPr>
        <w:t>on</w:t>
      </w:r>
      <w:r w:rsidR="00DF1884" w:rsidRPr="00DF1884">
        <w:rPr>
          <w:shd w:val="clear" w:color="auto" w:fill="FFFFFF"/>
        </w:rPr>
        <w:t xml:space="preserve"> </w:t>
      </w:r>
      <w:r w:rsidRPr="00DF1884">
        <w:rPr>
          <w:shd w:val="clear" w:color="auto" w:fill="FFFFFF"/>
        </w:rPr>
        <w:t>hospital</w:t>
      </w:r>
      <w:r w:rsidR="00DF1884" w:rsidRPr="00DF1884">
        <w:rPr>
          <w:shd w:val="clear" w:color="auto" w:fill="FFFFFF"/>
        </w:rPr>
        <w:t xml:space="preserve"> </w:t>
      </w:r>
      <w:r w:rsidRPr="00DF1884">
        <w:rPr>
          <w:shd w:val="clear" w:color="auto" w:fill="FFFFFF"/>
        </w:rPr>
        <w:t>use</w:t>
      </w:r>
      <w:r w:rsidR="00DF1884" w:rsidRPr="00DF1884">
        <w:rPr>
          <w:shd w:val="clear" w:color="auto" w:fill="FFFFFF"/>
        </w:rPr>
        <w:t xml:space="preserve"> </w:t>
      </w:r>
      <w:r w:rsidRPr="00DF1884">
        <w:rPr>
          <w:shd w:val="clear" w:color="auto" w:fill="FFFFFF"/>
        </w:rPr>
        <w:t>in</w:t>
      </w:r>
      <w:r w:rsidR="00DF1884" w:rsidRPr="00DF1884">
        <w:rPr>
          <w:shd w:val="clear" w:color="auto" w:fill="FFFFFF"/>
        </w:rPr>
        <w:t xml:space="preserve"> </w:t>
      </w:r>
      <w:r w:rsidRPr="00DF1884">
        <w:rPr>
          <w:shd w:val="clear" w:color="auto" w:fill="FFFFFF"/>
        </w:rPr>
        <w:t>New</w:t>
      </w:r>
      <w:r w:rsidR="00DF1884" w:rsidRPr="00DF1884">
        <w:rPr>
          <w:shd w:val="clear" w:color="auto" w:fill="FFFFFF"/>
        </w:rPr>
        <w:t xml:space="preserve"> </w:t>
      </w:r>
      <w:r w:rsidRPr="00DF1884">
        <w:rPr>
          <w:shd w:val="clear" w:color="auto" w:fill="FFFFFF"/>
        </w:rPr>
        <w:t>York</w:t>
      </w:r>
      <w:r w:rsidR="00DF1884" w:rsidRPr="00DF1884">
        <w:rPr>
          <w:shd w:val="clear" w:color="auto" w:fill="FFFFFF"/>
        </w:rPr>
        <w:t xml:space="preserve"> </w:t>
      </w:r>
      <w:r w:rsidRPr="00DF1884">
        <w:rPr>
          <w:shd w:val="clear" w:color="auto" w:fill="FFFFFF"/>
        </w:rPr>
        <w:t>City.</w:t>
      </w:r>
      <w:r w:rsidR="00DF1884">
        <w:rPr>
          <w:shd w:val="clear" w:color="auto" w:fill="FFFFFF"/>
        </w:rPr>
        <w:t xml:space="preserve"> </w:t>
      </w:r>
      <w:r w:rsidRPr="00DF1884">
        <w:rPr>
          <w:i/>
          <w:iCs/>
          <w:shd w:val="clear" w:color="auto" w:fill="FFFFFF"/>
        </w:rPr>
        <w:t>Health</w:t>
      </w:r>
      <w:r w:rsidR="00DF1884" w:rsidRPr="00DF1884">
        <w:rPr>
          <w:i/>
          <w:iCs/>
          <w:shd w:val="clear" w:color="auto" w:fill="FFFFFF"/>
        </w:rPr>
        <w:t xml:space="preserve"> </w:t>
      </w:r>
      <w:r w:rsidRPr="00DF1884">
        <w:rPr>
          <w:i/>
          <w:iCs/>
          <w:shd w:val="clear" w:color="auto" w:fill="FFFFFF"/>
        </w:rPr>
        <w:t>Affairs</w:t>
      </w:r>
      <w:r w:rsidRPr="00DF1884">
        <w:rPr>
          <w:shd w:val="clear" w:color="auto" w:fill="FFFFFF"/>
        </w:rPr>
        <w:t>,</w:t>
      </w:r>
      <w:r w:rsidR="00DF1884" w:rsidRPr="00DF1884">
        <w:rPr>
          <w:rStyle w:val="apple-converted-space"/>
          <w:szCs w:val="20"/>
          <w:shd w:val="clear" w:color="auto" w:fill="FFFFFF"/>
        </w:rPr>
        <w:t xml:space="preserve"> </w:t>
      </w:r>
      <w:r w:rsidRPr="00DF1884">
        <w:rPr>
          <w:i/>
          <w:iCs/>
          <w:shd w:val="clear" w:color="auto" w:fill="FFFFFF"/>
        </w:rPr>
        <w:t>12</w:t>
      </w:r>
      <w:r w:rsidRPr="00DF1884">
        <w:rPr>
          <w:shd w:val="clear" w:color="auto" w:fill="FFFFFF"/>
        </w:rPr>
        <w:t>(1),</w:t>
      </w:r>
      <w:r w:rsidR="00DF1884" w:rsidRPr="00DF1884">
        <w:rPr>
          <w:shd w:val="clear" w:color="auto" w:fill="FFFFFF"/>
        </w:rPr>
        <w:t xml:space="preserve"> </w:t>
      </w:r>
      <w:r w:rsidRPr="00DF1884">
        <w:rPr>
          <w:shd w:val="clear" w:color="auto" w:fill="FFFFFF"/>
        </w:rPr>
        <w:t>162</w:t>
      </w:r>
      <w:r w:rsidR="00DF1884">
        <w:rPr>
          <w:shd w:val="clear" w:color="auto" w:fill="FFFFFF"/>
        </w:rPr>
        <w:t>–</w:t>
      </w:r>
      <w:r w:rsidRPr="00DF1884">
        <w:rPr>
          <w:shd w:val="clear" w:color="auto" w:fill="FFFFFF"/>
        </w:rPr>
        <w:t>73.</w:t>
      </w:r>
    </w:p>
    <w:p w14:paraId="7634A25E" w14:textId="07618707" w:rsidR="001559AE" w:rsidRPr="00DF1884" w:rsidRDefault="001559AE" w:rsidP="00DF1884">
      <w:pPr>
        <w:pStyle w:val="Body"/>
        <w:spacing w:before="0"/>
        <w:ind w:left="360" w:hanging="360"/>
        <w:rPr>
          <w:sz w:val="24"/>
        </w:rPr>
      </w:pPr>
      <w:r w:rsidRPr="00DF1884">
        <w:rPr>
          <w:szCs w:val="16"/>
        </w:rPr>
        <w:t>Bindman</w:t>
      </w:r>
      <w:r w:rsidR="00DF1884">
        <w:rPr>
          <w:szCs w:val="16"/>
        </w:rPr>
        <w:t>,</w:t>
      </w:r>
      <w:r w:rsidR="00DF1884" w:rsidRPr="00DF1884">
        <w:rPr>
          <w:szCs w:val="16"/>
        </w:rPr>
        <w:t xml:space="preserve"> </w:t>
      </w:r>
      <w:r w:rsidRPr="00DF1884">
        <w:rPr>
          <w:szCs w:val="16"/>
        </w:rPr>
        <w:t>A</w:t>
      </w:r>
      <w:r w:rsidR="00DF1884">
        <w:rPr>
          <w:szCs w:val="16"/>
        </w:rPr>
        <w:t>.</w:t>
      </w:r>
      <w:r w:rsidRPr="00DF1884">
        <w:rPr>
          <w:szCs w:val="16"/>
        </w:rPr>
        <w:t>B</w:t>
      </w:r>
      <w:r w:rsidR="00DF1884">
        <w:rPr>
          <w:szCs w:val="16"/>
        </w:rPr>
        <w:t>.</w:t>
      </w:r>
      <w:r w:rsidRPr="00DF1884">
        <w:rPr>
          <w:szCs w:val="16"/>
        </w:rPr>
        <w:t>,</w:t>
      </w:r>
      <w:r w:rsidR="00DF1884" w:rsidRPr="00DF1884">
        <w:rPr>
          <w:szCs w:val="16"/>
        </w:rPr>
        <w:t xml:space="preserve"> </w:t>
      </w:r>
      <w:r w:rsidR="00DF1884">
        <w:rPr>
          <w:szCs w:val="16"/>
        </w:rPr>
        <w:t xml:space="preserve">K. </w:t>
      </w:r>
      <w:r w:rsidRPr="00DF1884">
        <w:rPr>
          <w:szCs w:val="16"/>
        </w:rPr>
        <w:t>Grumbach,</w:t>
      </w:r>
      <w:r w:rsidR="00DF1884" w:rsidRPr="00DF1884">
        <w:rPr>
          <w:szCs w:val="16"/>
        </w:rPr>
        <w:t xml:space="preserve"> </w:t>
      </w:r>
      <w:r w:rsidR="00DF1884">
        <w:rPr>
          <w:szCs w:val="16"/>
        </w:rPr>
        <w:t xml:space="preserve">D. </w:t>
      </w:r>
      <w:r w:rsidRPr="00DF1884">
        <w:rPr>
          <w:szCs w:val="16"/>
        </w:rPr>
        <w:t>Osmond,</w:t>
      </w:r>
      <w:r w:rsidR="00DF1884" w:rsidRPr="00DF1884">
        <w:rPr>
          <w:szCs w:val="16"/>
        </w:rPr>
        <w:t xml:space="preserve"> </w:t>
      </w:r>
      <w:r w:rsidRPr="00DF1884">
        <w:rPr>
          <w:szCs w:val="16"/>
        </w:rPr>
        <w:t>et</w:t>
      </w:r>
      <w:r w:rsidR="00DF1884" w:rsidRPr="00DF1884">
        <w:rPr>
          <w:szCs w:val="16"/>
        </w:rPr>
        <w:t xml:space="preserve"> </w:t>
      </w:r>
      <w:r w:rsidRPr="00DF1884">
        <w:rPr>
          <w:szCs w:val="16"/>
        </w:rPr>
        <w:t>al.</w:t>
      </w:r>
      <w:r w:rsidR="00DF1884" w:rsidRPr="00DF1884">
        <w:rPr>
          <w:szCs w:val="16"/>
        </w:rPr>
        <w:t xml:space="preserve"> </w:t>
      </w:r>
      <w:r w:rsidR="00DF1884">
        <w:rPr>
          <w:szCs w:val="16"/>
        </w:rPr>
        <w:t xml:space="preserve">1995. </w:t>
      </w:r>
      <w:r w:rsidRPr="00DF1884">
        <w:rPr>
          <w:szCs w:val="16"/>
        </w:rPr>
        <w:t>Preventable</w:t>
      </w:r>
      <w:r w:rsidR="00DF1884" w:rsidRPr="00DF1884">
        <w:rPr>
          <w:szCs w:val="16"/>
        </w:rPr>
        <w:t xml:space="preserve"> </w:t>
      </w:r>
      <w:r w:rsidRPr="00DF1884">
        <w:rPr>
          <w:szCs w:val="16"/>
        </w:rPr>
        <w:t>hospitalizations</w:t>
      </w:r>
      <w:r w:rsidR="00DF1884" w:rsidRPr="00DF1884">
        <w:rPr>
          <w:szCs w:val="16"/>
        </w:rPr>
        <w:t xml:space="preserve"> </w:t>
      </w:r>
      <w:r w:rsidRPr="00DF1884">
        <w:rPr>
          <w:szCs w:val="16"/>
        </w:rPr>
        <w:t>and</w:t>
      </w:r>
      <w:r w:rsidR="00DF1884" w:rsidRPr="00DF1884">
        <w:rPr>
          <w:szCs w:val="16"/>
        </w:rPr>
        <w:t xml:space="preserve"> </w:t>
      </w:r>
      <w:r w:rsidRPr="00DF1884">
        <w:rPr>
          <w:szCs w:val="16"/>
        </w:rPr>
        <w:t>access</w:t>
      </w:r>
      <w:r w:rsidR="00DF1884" w:rsidRPr="00DF1884">
        <w:rPr>
          <w:szCs w:val="16"/>
        </w:rPr>
        <w:t xml:space="preserve"> </w:t>
      </w:r>
      <w:r w:rsidRPr="00DF1884">
        <w:rPr>
          <w:szCs w:val="16"/>
        </w:rPr>
        <w:t>to</w:t>
      </w:r>
      <w:r w:rsidR="00DF1884" w:rsidRPr="00DF1884">
        <w:rPr>
          <w:szCs w:val="16"/>
        </w:rPr>
        <w:t xml:space="preserve"> </w:t>
      </w:r>
      <w:r w:rsidRPr="00DF1884">
        <w:rPr>
          <w:szCs w:val="16"/>
        </w:rPr>
        <w:t>health</w:t>
      </w:r>
      <w:r w:rsidR="00DF1884" w:rsidRPr="00DF1884">
        <w:rPr>
          <w:szCs w:val="16"/>
        </w:rPr>
        <w:t xml:space="preserve"> </w:t>
      </w:r>
      <w:r w:rsidRPr="00DF1884">
        <w:rPr>
          <w:szCs w:val="16"/>
        </w:rPr>
        <w:t>care.</w:t>
      </w:r>
      <w:r w:rsidR="00DF1884" w:rsidRPr="00DF1884">
        <w:rPr>
          <w:szCs w:val="16"/>
        </w:rPr>
        <w:t xml:space="preserve"> </w:t>
      </w:r>
      <w:r w:rsidRPr="00DF1884">
        <w:rPr>
          <w:i/>
          <w:szCs w:val="16"/>
        </w:rPr>
        <w:t>JAMA</w:t>
      </w:r>
      <w:r w:rsidR="00DF1884">
        <w:rPr>
          <w:i/>
          <w:szCs w:val="16"/>
        </w:rPr>
        <w:t>.</w:t>
      </w:r>
      <w:r w:rsidR="00DF1884" w:rsidRPr="00DF1884">
        <w:rPr>
          <w:szCs w:val="16"/>
        </w:rPr>
        <w:t xml:space="preserve"> </w:t>
      </w:r>
      <w:r w:rsidRPr="00DF1884">
        <w:rPr>
          <w:szCs w:val="16"/>
        </w:rPr>
        <w:t>274(4):305</w:t>
      </w:r>
      <w:r w:rsidR="00DF1884">
        <w:rPr>
          <w:szCs w:val="16"/>
        </w:rPr>
        <w:t>–</w:t>
      </w:r>
      <w:r w:rsidRPr="00DF1884">
        <w:rPr>
          <w:szCs w:val="16"/>
        </w:rPr>
        <w:t>11</w:t>
      </w:r>
      <w:r w:rsidR="00DF1884" w:rsidRPr="00DF1884">
        <w:rPr>
          <w:i/>
          <w:szCs w:val="16"/>
        </w:rPr>
        <w:t xml:space="preserve"> </w:t>
      </w:r>
    </w:p>
    <w:p w14:paraId="00DACD30" w14:textId="49A777D5" w:rsidR="001559AE" w:rsidRPr="00DF1884" w:rsidRDefault="001559AE" w:rsidP="00DF1884">
      <w:pPr>
        <w:pStyle w:val="Body"/>
        <w:spacing w:before="0"/>
        <w:ind w:left="360" w:hanging="360"/>
        <w:rPr>
          <w:shd w:val="clear" w:color="auto" w:fill="FFFFFF"/>
        </w:rPr>
      </w:pPr>
      <w:r w:rsidRPr="00DF1884">
        <w:rPr>
          <w:shd w:val="clear" w:color="auto" w:fill="FFFFFF"/>
        </w:rPr>
        <w:t>Chang,</w:t>
      </w:r>
      <w:r w:rsidR="00DF1884" w:rsidRPr="00DF1884">
        <w:rPr>
          <w:shd w:val="clear" w:color="auto" w:fill="FFFFFF"/>
        </w:rPr>
        <w:t xml:space="preserve"> </w:t>
      </w:r>
      <w:r w:rsidRPr="00DF1884">
        <w:rPr>
          <w:shd w:val="clear" w:color="auto" w:fill="FFFFFF"/>
        </w:rPr>
        <w:t>C.F.,</w:t>
      </w:r>
      <w:r w:rsidR="00DF1884">
        <w:rPr>
          <w:shd w:val="clear" w:color="auto" w:fill="FFFFFF"/>
        </w:rPr>
        <w:t xml:space="preserve"> and R.A. P</w:t>
      </w:r>
      <w:r w:rsidRPr="00DF1884">
        <w:rPr>
          <w:shd w:val="clear" w:color="auto" w:fill="FFFFFF"/>
        </w:rPr>
        <w:t>ope,</w:t>
      </w:r>
      <w:r w:rsidR="00DF1884" w:rsidRPr="00DF1884">
        <w:rPr>
          <w:shd w:val="clear" w:color="auto" w:fill="FFFFFF"/>
        </w:rPr>
        <w:t xml:space="preserve"> </w:t>
      </w:r>
      <w:r w:rsidRPr="00DF1884">
        <w:rPr>
          <w:shd w:val="clear" w:color="auto" w:fill="FFFFFF"/>
        </w:rPr>
        <w:t>R.</w:t>
      </w:r>
      <w:r w:rsidR="00DF1884" w:rsidRPr="00DF1884">
        <w:rPr>
          <w:shd w:val="clear" w:color="auto" w:fill="FFFFFF"/>
        </w:rPr>
        <w:t xml:space="preserve"> </w:t>
      </w:r>
      <w:r w:rsidRPr="00DF1884">
        <w:rPr>
          <w:shd w:val="clear" w:color="auto" w:fill="FFFFFF"/>
        </w:rPr>
        <w:t>A.</w:t>
      </w:r>
      <w:r w:rsidR="00DF1884" w:rsidRPr="00DF1884">
        <w:rPr>
          <w:shd w:val="clear" w:color="auto" w:fill="FFFFFF"/>
        </w:rPr>
        <w:t xml:space="preserve"> </w:t>
      </w:r>
      <w:r w:rsidRPr="00DF1884">
        <w:rPr>
          <w:shd w:val="clear" w:color="auto" w:fill="FFFFFF"/>
        </w:rPr>
        <w:t>2009.</w:t>
      </w:r>
      <w:r w:rsidR="00DF1884" w:rsidRPr="00DF1884">
        <w:rPr>
          <w:shd w:val="clear" w:color="auto" w:fill="FFFFFF"/>
        </w:rPr>
        <w:t xml:space="preserve"> </w:t>
      </w:r>
      <w:r w:rsidRPr="00DF1884">
        <w:rPr>
          <w:shd w:val="clear" w:color="auto" w:fill="FFFFFF"/>
        </w:rPr>
        <w:t>Potentially</w:t>
      </w:r>
      <w:r w:rsidR="00DF1884" w:rsidRPr="00DF1884">
        <w:rPr>
          <w:shd w:val="clear" w:color="auto" w:fill="FFFFFF"/>
        </w:rPr>
        <w:t xml:space="preserve"> </w:t>
      </w:r>
      <w:r w:rsidRPr="00DF1884">
        <w:rPr>
          <w:shd w:val="clear" w:color="auto" w:fill="FFFFFF"/>
        </w:rPr>
        <w:t>avoidable</w:t>
      </w:r>
      <w:r w:rsidR="00DF1884" w:rsidRPr="00DF1884">
        <w:rPr>
          <w:shd w:val="clear" w:color="auto" w:fill="FFFFFF"/>
        </w:rPr>
        <w:t xml:space="preserve"> </w:t>
      </w:r>
      <w:r w:rsidRPr="00DF1884">
        <w:rPr>
          <w:shd w:val="clear" w:color="auto" w:fill="FFFFFF"/>
        </w:rPr>
        <w:t>hospitalizations</w:t>
      </w:r>
      <w:r w:rsidR="00DF1884" w:rsidRPr="00DF1884">
        <w:rPr>
          <w:shd w:val="clear" w:color="auto" w:fill="FFFFFF"/>
        </w:rPr>
        <w:t xml:space="preserve"> </w:t>
      </w:r>
      <w:r w:rsidRPr="00DF1884">
        <w:rPr>
          <w:shd w:val="clear" w:color="auto" w:fill="FFFFFF"/>
        </w:rPr>
        <w:t>in</w:t>
      </w:r>
      <w:r w:rsidR="00DF1884" w:rsidRPr="00DF1884">
        <w:rPr>
          <w:shd w:val="clear" w:color="auto" w:fill="FFFFFF"/>
        </w:rPr>
        <w:t xml:space="preserve"> </w:t>
      </w:r>
      <w:r w:rsidRPr="00DF1884">
        <w:rPr>
          <w:shd w:val="clear" w:color="auto" w:fill="FFFFFF"/>
        </w:rPr>
        <w:t>Tennessee:</w:t>
      </w:r>
      <w:r w:rsidR="00DF1884" w:rsidRPr="00DF1884">
        <w:rPr>
          <w:shd w:val="clear" w:color="auto" w:fill="FFFFFF"/>
        </w:rPr>
        <w:t xml:space="preserve"> </w:t>
      </w:r>
      <w:r w:rsidRPr="00DF1884">
        <w:rPr>
          <w:shd w:val="clear" w:color="auto" w:fill="FFFFFF"/>
        </w:rPr>
        <w:t>analysis</w:t>
      </w:r>
      <w:r w:rsidR="00DF1884" w:rsidRPr="00DF1884">
        <w:rPr>
          <w:shd w:val="clear" w:color="auto" w:fill="FFFFFF"/>
        </w:rPr>
        <w:t xml:space="preserve"> </w:t>
      </w:r>
      <w:r w:rsidRPr="00DF1884">
        <w:rPr>
          <w:shd w:val="clear" w:color="auto" w:fill="FFFFFF"/>
        </w:rPr>
        <w:t>of</w:t>
      </w:r>
      <w:r w:rsidR="00DF1884" w:rsidRPr="00DF1884">
        <w:rPr>
          <w:shd w:val="clear" w:color="auto" w:fill="FFFFFF"/>
        </w:rPr>
        <w:t xml:space="preserve"> </w:t>
      </w:r>
      <w:r w:rsidRPr="00DF1884">
        <w:rPr>
          <w:shd w:val="clear" w:color="auto" w:fill="FFFFFF"/>
        </w:rPr>
        <w:t>prevalence</w:t>
      </w:r>
      <w:r w:rsidR="00DF1884" w:rsidRPr="00DF1884">
        <w:rPr>
          <w:shd w:val="clear" w:color="auto" w:fill="FFFFFF"/>
        </w:rPr>
        <w:t xml:space="preserve"> </w:t>
      </w:r>
      <w:r w:rsidRPr="00DF1884">
        <w:rPr>
          <w:shd w:val="clear" w:color="auto" w:fill="FFFFFF"/>
        </w:rPr>
        <w:t>disparities</w:t>
      </w:r>
      <w:r w:rsidR="00DF1884" w:rsidRPr="00DF1884">
        <w:rPr>
          <w:shd w:val="clear" w:color="auto" w:fill="FFFFFF"/>
        </w:rPr>
        <w:t xml:space="preserve"> </w:t>
      </w:r>
      <w:r w:rsidRPr="00DF1884">
        <w:rPr>
          <w:shd w:val="clear" w:color="auto" w:fill="FFFFFF"/>
        </w:rPr>
        <w:t>associated</w:t>
      </w:r>
      <w:r w:rsidR="00DF1884" w:rsidRPr="00DF1884">
        <w:rPr>
          <w:shd w:val="clear" w:color="auto" w:fill="FFFFFF"/>
        </w:rPr>
        <w:t xml:space="preserve"> </w:t>
      </w:r>
      <w:r w:rsidRPr="00DF1884">
        <w:rPr>
          <w:shd w:val="clear" w:color="auto" w:fill="FFFFFF"/>
        </w:rPr>
        <w:t>with</w:t>
      </w:r>
      <w:r w:rsidR="00DF1884" w:rsidRPr="00DF1884">
        <w:rPr>
          <w:shd w:val="clear" w:color="auto" w:fill="FFFFFF"/>
        </w:rPr>
        <w:t xml:space="preserve"> </w:t>
      </w:r>
      <w:r w:rsidRPr="00DF1884">
        <w:rPr>
          <w:shd w:val="clear" w:color="auto" w:fill="FFFFFF"/>
        </w:rPr>
        <w:t>gender,</w:t>
      </w:r>
      <w:r w:rsidR="00DF1884" w:rsidRPr="00DF1884">
        <w:rPr>
          <w:shd w:val="clear" w:color="auto" w:fill="FFFFFF"/>
        </w:rPr>
        <w:t xml:space="preserve"> </w:t>
      </w:r>
      <w:r w:rsidRPr="00DF1884">
        <w:rPr>
          <w:shd w:val="clear" w:color="auto" w:fill="FFFFFF"/>
        </w:rPr>
        <w:t>race,</w:t>
      </w:r>
      <w:r w:rsidR="00DF1884" w:rsidRPr="00DF1884">
        <w:rPr>
          <w:shd w:val="clear" w:color="auto" w:fill="FFFFFF"/>
        </w:rPr>
        <w:t xml:space="preserve"> </w:t>
      </w:r>
      <w:r w:rsidRPr="00DF1884">
        <w:rPr>
          <w:shd w:val="clear" w:color="auto" w:fill="FFFFFF"/>
        </w:rPr>
        <w:t>and</w:t>
      </w:r>
      <w:r w:rsidR="00DF1884" w:rsidRPr="00DF1884">
        <w:rPr>
          <w:shd w:val="clear" w:color="auto" w:fill="FFFFFF"/>
        </w:rPr>
        <w:t xml:space="preserve"> </w:t>
      </w:r>
      <w:r w:rsidRPr="00DF1884">
        <w:rPr>
          <w:shd w:val="clear" w:color="auto" w:fill="FFFFFF"/>
        </w:rPr>
        <w:t>insurance.</w:t>
      </w:r>
      <w:r w:rsidR="00DF1884" w:rsidRPr="00DF1884">
        <w:rPr>
          <w:rStyle w:val="apple-converted-space"/>
          <w:szCs w:val="20"/>
          <w:shd w:val="clear" w:color="auto" w:fill="FFFFFF"/>
        </w:rPr>
        <w:t xml:space="preserve"> </w:t>
      </w:r>
      <w:r w:rsidRPr="00DF1884">
        <w:rPr>
          <w:i/>
          <w:iCs/>
          <w:shd w:val="clear" w:color="auto" w:fill="FFFFFF"/>
        </w:rPr>
        <w:t>Public</w:t>
      </w:r>
      <w:r w:rsidR="00DF1884" w:rsidRPr="00DF1884">
        <w:rPr>
          <w:i/>
          <w:iCs/>
          <w:shd w:val="clear" w:color="auto" w:fill="FFFFFF"/>
        </w:rPr>
        <w:t xml:space="preserve"> </w:t>
      </w:r>
      <w:r w:rsidRPr="00DF1884">
        <w:rPr>
          <w:i/>
          <w:iCs/>
          <w:shd w:val="clear" w:color="auto" w:fill="FFFFFF"/>
        </w:rPr>
        <w:t>Health</w:t>
      </w:r>
      <w:r w:rsidR="00DF1884" w:rsidRPr="00DF1884">
        <w:rPr>
          <w:i/>
          <w:iCs/>
          <w:shd w:val="clear" w:color="auto" w:fill="FFFFFF"/>
        </w:rPr>
        <w:t xml:space="preserve"> </w:t>
      </w:r>
      <w:r w:rsidRPr="00DF1884">
        <w:rPr>
          <w:i/>
          <w:iCs/>
          <w:shd w:val="clear" w:color="auto" w:fill="FFFFFF"/>
        </w:rPr>
        <w:t>Reports</w:t>
      </w:r>
      <w:r w:rsidR="00DF1884">
        <w:rPr>
          <w:shd w:val="clear" w:color="auto" w:fill="FFFFFF"/>
        </w:rPr>
        <w:t xml:space="preserve">. </w:t>
      </w:r>
      <w:r w:rsidRPr="00DF1884">
        <w:rPr>
          <w:iCs/>
          <w:shd w:val="clear" w:color="auto" w:fill="FFFFFF"/>
        </w:rPr>
        <w:t>124</w:t>
      </w:r>
      <w:r w:rsidRPr="00DF1884">
        <w:rPr>
          <w:shd w:val="clear" w:color="auto" w:fill="FFFFFF"/>
        </w:rPr>
        <w:t>(1),</w:t>
      </w:r>
      <w:r w:rsidR="00DF1884" w:rsidRPr="00DF1884">
        <w:rPr>
          <w:shd w:val="clear" w:color="auto" w:fill="FFFFFF"/>
        </w:rPr>
        <w:t xml:space="preserve"> </w:t>
      </w:r>
      <w:r w:rsidRPr="00DF1884">
        <w:rPr>
          <w:shd w:val="clear" w:color="auto" w:fill="FFFFFF"/>
        </w:rPr>
        <w:t>127.</w:t>
      </w:r>
    </w:p>
    <w:p w14:paraId="0FC9F023" w14:textId="32D52708" w:rsidR="001559AE" w:rsidRPr="00DF1884" w:rsidRDefault="001559AE" w:rsidP="00DF1884">
      <w:pPr>
        <w:pStyle w:val="Body"/>
        <w:spacing w:before="0"/>
        <w:ind w:left="360" w:hanging="360"/>
        <w:rPr>
          <w:shd w:val="clear" w:color="auto" w:fill="FFFFFF"/>
        </w:rPr>
      </w:pPr>
      <w:r w:rsidRPr="00DF1884">
        <w:rPr>
          <w:shd w:val="clear" w:color="auto" w:fill="FFFFFF"/>
        </w:rPr>
        <w:t>Covinsky,</w:t>
      </w:r>
      <w:r w:rsidR="00DF1884" w:rsidRPr="00DF1884">
        <w:rPr>
          <w:shd w:val="clear" w:color="auto" w:fill="FFFFFF"/>
        </w:rPr>
        <w:t xml:space="preserve"> </w:t>
      </w:r>
      <w:r w:rsidRPr="00DF1884">
        <w:rPr>
          <w:shd w:val="clear" w:color="auto" w:fill="FFFFFF"/>
        </w:rPr>
        <w:t>K.E.,</w:t>
      </w:r>
      <w:r w:rsidR="00DF1884" w:rsidRPr="00DF1884">
        <w:rPr>
          <w:shd w:val="clear" w:color="auto" w:fill="FFFFFF"/>
        </w:rPr>
        <w:t xml:space="preserve"> </w:t>
      </w:r>
      <w:r w:rsidR="00046618">
        <w:rPr>
          <w:shd w:val="clear" w:color="auto" w:fill="FFFFFF"/>
        </w:rPr>
        <w:t xml:space="preserve">E. </w:t>
      </w:r>
      <w:r w:rsidRPr="00DF1884">
        <w:rPr>
          <w:shd w:val="clear" w:color="auto" w:fill="FFFFFF"/>
        </w:rPr>
        <w:t>Pierluissi,</w:t>
      </w:r>
      <w:r w:rsidR="00DF1884" w:rsidRPr="00DF1884">
        <w:rPr>
          <w:shd w:val="clear" w:color="auto" w:fill="FFFFFF"/>
        </w:rPr>
        <w:t xml:space="preserve"> </w:t>
      </w:r>
      <w:r w:rsidR="00046618">
        <w:rPr>
          <w:shd w:val="clear" w:color="auto" w:fill="FFFFFF"/>
        </w:rPr>
        <w:t>and</w:t>
      </w:r>
      <w:r w:rsidR="00DF1884" w:rsidRPr="00DF1884">
        <w:rPr>
          <w:shd w:val="clear" w:color="auto" w:fill="FFFFFF"/>
        </w:rPr>
        <w:t xml:space="preserve"> </w:t>
      </w:r>
      <w:r w:rsidR="00046618">
        <w:rPr>
          <w:shd w:val="clear" w:color="auto" w:fill="FFFFFF"/>
        </w:rPr>
        <w:t xml:space="preserve">C.B. </w:t>
      </w:r>
      <w:r w:rsidRPr="00DF1884">
        <w:rPr>
          <w:shd w:val="clear" w:color="auto" w:fill="FFFFFF"/>
        </w:rPr>
        <w:t>Johnston.</w:t>
      </w:r>
      <w:r w:rsidR="00DF1884" w:rsidRPr="00DF1884">
        <w:rPr>
          <w:shd w:val="clear" w:color="auto" w:fill="FFFFFF"/>
        </w:rPr>
        <w:t xml:space="preserve"> </w:t>
      </w:r>
      <w:r w:rsidRPr="00DF1884">
        <w:rPr>
          <w:shd w:val="clear" w:color="auto" w:fill="FFFFFF"/>
        </w:rPr>
        <w:t>2011.</w:t>
      </w:r>
      <w:r w:rsidR="00DF1884" w:rsidRPr="00DF1884">
        <w:rPr>
          <w:shd w:val="clear" w:color="auto" w:fill="FFFFFF"/>
        </w:rPr>
        <w:t xml:space="preserve"> </w:t>
      </w:r>
      <w:r w:rsidRPr="00DF1884">
        <w:rPr>
          <w:shd w:val="clear" w:color="auto" w:fill="FFFFFF"/>
        </w:rPr>
        <w:t>Hospitalization-associated</w:t>
      </w:r>
      <w:r w:rsidR="00DF1884" w:rsidRPr="00DF1884">
        <w:rPr>
          <w:shd w:val="clear" w:color="auto" w:fill="FFFFFF"/>
        </w:rPr>
        <w:t xml:space="preserve"> </w:t>
      </w:r>
      <w:r w:rsidRPr="00DF1884">
        <w:rPr>
          <w:shd w:val="clear" w:color="auto" w:fill="FFFFFF"/>
        </w:rPr>
        <w:t>disability.</w:t>
      </w:r>
      <w:r w:rsidR="00DF1884" w:rsidRPr="00DF1884">
        <w:rPr>
          <w:rStyle w:val="apple-converted-space"/>
          <w:szCs w:val="20"/>
          <w:shd w:val="clear" w:color="auto" w:fill="FFFFFF"/>
        </w:rPr>
        <w:t xml:space="preserve"> </w:t>
      </w:r>
      <w:r w:rsidRPr="00DF1884">
        <w:rPr>
          <w:i/>
          <w:iCs/>
          <w:shd w:val="clear" w:color="auto" w:fill="FFFFFF"/>
        </w:rPr>
        <w:t>JAMA:</w:t>
      </w:r>
      <w:r w:rsidR="00DF1884" w:rsidRPr="00DF1884">
        <w:rPr>
          <w:i/>
          <w:iCs/>
          <w:shd w:val="clear" w:color="auto" w:fill="FFFFFF"/>
        </w:rPr>
        <w:t xml:space="preserve"> </w:t>
      </w:r>
      <w:r w:rsidRPr="00DF1884">
        <w:rPr>
          <w:i/>
          <w:iCs/>
          <w:shd w:val="clear" w:color="auto" w:fill="FFFFFF"/>
        </w:rPr>
        <w:t>The</w:t>
      </w:r>
      <w:r w:rsidR="00DF1884" w:rsidRPr="00DF1884">
        <w:rPr>
          <w:i/>
          <w:iCs/>
          <w:shd w:val="clear" w:color="auto" w:fill="FFFFFF"/>
        </w:rPr>
        <w:t xml:space="preserve"> </w:t>
      </w:r>
      <w:r w:rsidRPr="00DF1884">
        <w:rPr>
          <w:i/>
          <w:iCs/>
          <w:shd w:val="clear" w:color="auto" w:fill="FFFFFF"/>
        </w:rPr>
        <w:t>Journal</w:t>
      </w:r>
      <w:r w:rsidR="00DF1884" w:rsidRPr="00DF1884">
        <w:rPr>
          <w:i/>
          <w:iCs/>
          <w:shd w:val="clear" w:color="auto" w:fill="FFFFFF"/>
        </w:rPr>
        <w:t xml:space="preserve"> </w:t>
      </w:r>
      <w:r w:rsidRPr="00DF1884">
        <w:rPr>
          <w:i/>
          <w:iCs/>
          <w:shd w:val="clear" w:color="auto" w:fill="FFFFFF"/>
        </w:rPr>
        <w:t>of</w:t>
      </w:r>
      <w:r w:rsidR="00DF1884" w:rsidRPr="00DF1884">
        <w:rPr>
          <w:i/>
          <w:iCs/>
          <w:shd w:val="clear" w:color="auto" w:fill="FFFFFF"/>
        </w:rPr>
        <w:t xml:space="preserve"> </w:t>
      </w:r>
      <w:r w:rsidRPr="00DF1884">
        <w:rPr>
          <w:i/>
          <w:iCs/>
          <w:shd w:val="clear" w:color="auto" w:fill="FFFFFF"/>
        </w:rPr>
        <w:t>the</w:t>
      </w:r>
      <w:r w:rsidR="00DF1884" w:rsidRPr="00DF1884">
        <w:rPr>
          <w:i/>
          <w:iCs/>
          <w:shd w:val="clear" w:color="auto" w:fill="FFFFFF"/>
        </w:rPr>
        <w:t xml:space="preserve"> </w:t>
      </w:r>
      <w:r w:rsidRPr="00DF1884">
        <w:rPr>
          <w:i/>
          <w:iCs/>
          <w:shd w:val="clear" w:color="auto" w:fill="FFFFFF"/>
        </w:rPr>
        <w:t>American</w:t>
      </w:r>
      <w:r w:rsidR="00DF1884" w:rsidRPr="00DF1884">
        <w:rPr>
          <w:i/>
          <w:iCs/>
          <w:shd w:val="clear" w:color="auto" w:fill="FFFFFF"/>
        </w:rPr>
        <w:t xml:space="preserve"> </w:t>
      </w:r>
      <w:r w:rsidRPr="00DF1884">
        <w:rPr>
          <w:i/>
          <w:iCs/>
          <w:shd w:val="clear" w:color="auto" w:fill="FFFFFF"/>
        </w:rPr>
        <w:t>Medical</w:t>
      </w:r>
      <w:r w:rsidR="00DF1884" w:rsidRPr="00DF1884">
        <w:rPr>
          <w:i/>
          <w:iCs/>
          <w:shd w:val="clear" w:color="auto" w:fill="FFFFFF"/>
        </w:rPr>
        <w:t xml:space="preserve"> </w:t>
      </w:r>
      <w:r w:rsidRPr="00DF1884">
        <w:rPr>
          <w:i/>
          <w:iCs/>
          <w:shd w:val="clear" w:color="auto" w:fill="FFFFFF"/>
        </w:rPr>
        <w:t>Association</w:t>
      </w:r>
      <w:r w:rsidR="00046618">
        <w:rPr>
          <w:i/>
          <w:iCs/>
          <w:shd w:val="clear" w:color="auto" w:fill="FFFFFF"/>
        </w:rPr>
        <w:t xml:space="preserve">. </w:t>
      </w:r>
      <w:r w:rsidRPr="00DF1884">
        <w:rPr>
          <w:i/>
          <w:iCs/>
          <w:shd w:val="clear" w:color="auto" w:fill="FFFFFF"/>
        </w:rPr>
        <w:t>306</w:t>
      </w:r>
      <w:r w:rsidRPr="00DF1884">
        <w:rPr>
          <w:shd w:val="clear" w:color="auto" w:fill="FFFFFF"/>
        </w:rPr>
        <w:t>(16),</w:t>
      </w:r>
      <w:r w:rsidR="00DF1884" w:rsidRPr="00DF1884">
        <w:rPr>
          <w:shd w:val="clear" w:color="auto" w:fill="FFFFFF"/>
        </w:rPr>
        <w:t xml:space="preserve"> </w:t>
      </w:r>
      <w:r w:rsidRPr="00DF1884">
        <w:rPr>
          <w:shd w:val="clear" w:color="auto" w:fill="FFFFFF"/>
        </w:rPr>
        <w:t>1782</w:t>
      </w:r>
      <w:r w:rsidR="00046618">
        <w:rPr>
          <w:shd w:val="clear" w:color="auto" w:fill="FFFFFF"/>
        </w:rPr>
        <w:t>–</w:t>
      </w:r>
      <w:r w:rsidRPr="00DF1884">
        <w:rPr>
          <w:shd w:val="clear" w:color="auto" w:fill="FFFFFF"/>
        </w:rPr>
        <w:t>93.</w:t>
      </w:r>
    </w:p>
    <w:p w14:paraId="28986893" w14:textId="471FD9AC" w:rsidR="001559AE" w:rsidRPr="00DF1884" w:rsidRDefault="001559AE" w:rsidP="00DF1884">
      <w:pPr>
        <w:pStyle w:val="Body"/>
        <w:spacing w:before="0"/>
        <w:ind w:left="360" w:hanging="360"/>
        <w:rPr>
          <w:rStyle w:val="bkciteavail"/>
          <w:rFonts w:cs="Arial"/>
          <w:szCs w:val="20"/>
          <w:shd w:val="clear" w:color="auto" w:fill="FFFFFF"/>
        </w:rPr>
      </w:pPr>
      <w:r w:rsidRPr="00DF1884">
        <w:rPr>
          <w:shd w:val="clear" w:color="auto" w:fill="FFFFFF"/>
        </w:rPr>
        <w:t>Davies</w:t>
      </w:r>
      <w:r w:rsidR="00DF1884" w:rsidRPr="00DF1884">
        <w:rPr>
          <w:shd w:val="clear" w:color="auto" w:fill="FFFFFF"/>
        </w:rPr>
        <w:t xml:space="preserve"> </w:t>
      </w:r>
      <w:r w:rsidRPr="00DF1884">
        <w:rPr>
          <w:shd w:val="clear" w:color="auto" w:fill="FFFFFF"/>
        </w:rPr>
        <w:t>S</w:t>
      </w:r>
      <w:r w:rsidR="00DF1884">
        <w:rPr>
          <w:shd w:val="clear" w:color="auto" w:fill="FFFFFF"/>
        </w:rPr>
        <w:t>.</w:t>
      </w:r>
      <w:r w:rsidRPr="00DF1884">
        <w:rPr>
          <w:shd w:val="clear" w:color="auto" w:fill="FFFFFF"/>
        </w:rPr>
        <w:t>M</w:t>
      </w:r>
      <w:r w:rsidR="00DF1884">
        <w:rPr>
          <w:shd w:val="clear" w:color="auto" w:fill="FFFFFF"/>
        </w:rPr>
        <w:t>.</w:t>
      </w:r>
      <w:r w:rsidRPr="00DF1884">
        <w:rPr>
          <w:shd w:val="clear" w:color="auto" w:fill="FFFFFF"/>
        </w:rPr>
        <w:t>,</w:t>
      </w:r>
      <w:r w:rsidR="00DF1884" w:rsidRPr="00DF1884">
        <w:rPr>
          <w:shd w:val="clear" w:color="auto" w:fill="FFFFFF"/>
        </w:rPr>
        <w:t xml:space="preserve"> </w:t>
      </w:r>
      <w:r w:rsidR="00046618">
        <w:rPr>
          <w:shd w:val="clear" w:color="auto" w:fill="FFFFFF"/>
        </w:rPr>
        <w:t xml:space="preserve">J. </w:t>
      </w:r>
      <w:r w:rsidRPr="00DF1884">
        <w:rPr>
          <w:shd w:val="clear" w:color="auto" w:fill="FFFFFF"/>
        </w:rPr>
        <w:t>Geppert,</w:t>
      </w:r>
      <w:r w:rsidR="00DF1884" w:rsidRPr="00DF1884">
        <w:rPr>
          <w:shd w:val="clear" w:color="auto" w:fill="FFFFFF"/>
        </w:rPr>
        <w:t xml:space="preserve"> </w:t>
      </w:r>
      <w:r w:rsidR="00046618">
        <w:rPr>
          <w:shd w:val="clear" w:color="auto" w:fill="FFFFFF"/>
        </w:rPr>
        <w:t xml:space="preserve">M. </w:t>
      </w:r>
      <w:r w:rsidRPr="00DF1884">
        <w:rPr>
          <w:shd w:val="clear" w:color="auto" w:fill="FFFFFF"/>
        </w:rPr>
        <w:t>McClellan,</w:t>
      </w:r>
      <w:r w:rsidR="00DF1884" w:rsidRPr="00DF1884">
        <w:rPr>
          <w:shd w:val="clear" w:color="auto" w:fill="FFFFFF"/>
        </w:rPr>
        <w:t xml:space="preserve"> </w:t>
      </w:r>
      <w:r w:rsidRPr="00DF1884">
        <w:rPr>
          <w:shd w:val="clear" w:color="auto" w:fill="FFFFFF"/>
        </w:rPr>
        <w:t>et</w:t>
      </w:r>
      <w:r w:rsidR="00DF1884" w:rsidRPr="00DF1884">
        <w:rPr>
          <w:shd w:val="clear" w:color="auto" w:fill="FFFFFF"/>
        </w:rPr>
        <w:t xml:space="preserve"> </w:t>
      </w:r>
      <w:r w:rsidRPr="00DF1884">
        <w:rPr>
          <w:shd w:val="clear" w:color="auto" w:fill="FFFFFF"/>
        </w:rPr>
        <w:t>al.</w:t>
      </w:r>
      <w:r w:rsidR="00DF1884" w:rsidRPr="00DF1884">
        <w:rPr>
          <w:shd w:val="clear" w:color="auto" w:fill="FFFFFF"/>
        </w:rPr>
        <w:t xml:space="preserve"> </w:t>
      </w:r>
      <w:r w:rsidR="00046618">
        <w:rPr>
          <w:shd w:val="clear" w:color="auto" w:fill="FFFFFF"/>
        </w:rPr>
        <w:t xml:space="preserve">2001. </w:t>
      </w:r>
      <w:r w:rsidRPr="00DF1884">
        <w:rPr>
          <w:shd w:val="clear" w:color="auto" w:fill="FFFFFF"/>
        </w:rPr>
        <w:t>Refinement</w:t>
      </w:r>
      <w:r w:rsidR="00DF1884" w:rsidRPr="00DF1884">
        <w:rPr>
          <w:shd w:val="clear" w:color="auto" w:fill="FFFFFF"/>
        </w:rPr>
        <w:t xml:space="preserve"> </w:t>
      </w:r>
      <w:r w:rsidRPr="00DF1884">
        <w:rPr>
          <w:shd w:val="clear" w:color="auto" w:fill="FFFFFF"/>
        </w:rPr>
        <w:t>of</w:t>
      </w:r>
      <w:r w:rsidR="00DF1884" w:rsidRPr="00DF1884">
        <w:rPr>
          <w:shd w:val="clear" w:color="auto" w:fill="FFFFFF"/>
        </w:rPr>
        <w:t xml:space="preserve"> </w:t>
      </w:r>
      <w:r w:rsidRPr="00DF1884">
        <w:rPr>
          <w:shd w:val="clear" w:color="auto" w:fill="FFFFFF"/>
        </w:rPr>
        <w:t>the</w:t>
      </w:r>
      <w:r w:rsidR="00DF1884" w:rsidRPr="00DF1884">
        <w:rPr>
          <w:shd w:val="clear" w:color="auto" w:fill="FFFFFF"/>
        </w:rPr>
        <w:t xml:space="preserve"> </w:t>
      </w:r>
      <w:r w:rsidRPr="00DF1884">
        <w:rPr>
          <w:shd w:val="clear" w:color="auto" w:fill="FFFFFF"/>
        </w:rPr>
        <w:t>HCUP</w:t>
      </w:r>
      <w:r w:rsidR="00DF1884" w:rsidRPr="00DF1884">
        <w:rPr>
          <w:shd w:val="clear" w:color="auto" w:fill="FFFFFF"/>
        </w:rPr>
        <w:t xml:space="preserve"> </w:t>
      </w:r>
      <w:r w:rsidRPr="00DF1884">
        <w:rPr>
          <w:shd w:val="clear" w:color="auto" w:fill="FFFFFF"/>
        </w:rPr>
        <w:t>Quality</w:t>
      </w:r>
      <w:r w:rsidR="00DF1884" w:rsidRPr="00DF1884">
        <w:rPr>
          <w:shd w:val="clear" w:color="auto" w:fill="FFFFFF"/>
        </w:rPr>
        <w:t xml:space="preserve"> </w:t>
      </w:r>
      <w:r w:rsidRPr="00DF1884">
        <w:rPr>
          <w:shd w:val="clear" w:color="auto" w:fill="FFFFFF"/>
        </w:rPr>
        <w:t>Indicators.</w:t>
      </w:r>
      <w:r w:rsidR="00DF1884" w:rsidRPr="00DF1884">
        <w:rPr>
          <w:shd w:val="clear" w:color="auto" w:fill="FFFFFF"/>
        </w:rPr>
        <w:t xml:space="preserve"> </w:t>
      </w:r>
      <w:r w:rsidRPr="00DF1884">
        <w:rPr>
          <w:shd w:val="clear" w:color="auto" w:fill="FFFFFF"/>
        </w:rPr>
        <w:t>Rockville</w:t>
      </w:r>
      <w:r w:rsidR="00DF1884" w:rsidRPr="00DF1884">
        <w:rPr>
          <w:shd w:val="clear" w:color="auto" w:fill="FFFFFF"/>
        </w:rPr>
        <w:t xml:space="preserve"> </w:t>
      </w:r>
      <w:r w:rsidRPr="00DF1884">
        <w:rPr>
          <w:shd w:val="clear" w:color="auto" w:fill="FFFFFF"/>
        </w:rPr>
        <w:t>(MD):</w:t>
      </w:r>
      <w:r w:rsidR="00DF1884" w:rsidRPr="00DF1884">
        <w:rPr>
          <w:shd w:val="clear" w:color="auto" w:fill="FFFFFF"/>
        </w:rPr>
        <w:t xml:space="preserve"> </w:t>
      </w:r>
      <w:r w:rsidRPr="00DF1884">
        <w:rPr>
          <w:shd w:val="clear" w:color="auto" w:fill="FFFFFF"/>
        </w:rPr>
        <w:t>Agency</w:t>
      </w:r>
      <w:r w:rsidR="00DF1884" w:rsidRPr="00DF1884">
        <w:rPr>
          <w:shd w:val="clear" w:color="auto" w:fill="FFFFFF"/>
        </w:rPr>
        <w:t xml:space="preserve"> </w:t>
      </w:r>
      <w:r w:rsidRPr="00DF1884">
        <w:rPr>
          <w:shd w:val="clear" w:color="auto" w:fill="FFFFFF"/>
        </w:rPr>
        <w:t>for</w:t>
      </w:r>
      <w:r w:rsidR="00DF1884" w:rsidRPr="00DF1884">
        <w:rPr>
          <w:shd w:val="clear" w:color="auto" w:fill="FFFFFF"/>
        </w:rPr>
        <w:t xml:space="preserve"> </w:t>
      </w:r>
      <w:r w:rsidRPr="00DF1884">
        <w:rPr>
          <w:shd w:val="clear" w:color="auto" w:fill="FFFFFF"/>
        </w:rPr>
        <w:t>Healthcare</w:t>
      </w:r>
      <w:r w:rsidR="00DF1884" w:rsidRPr="00DF1884">
        <w:rPr>
          <w:shd w:val="clear" w:color="auto" w:fill="FFFFFF"/>
        </w:rPr>
        <w:t xml:space="preserve"> </w:t>
      </w:r>
      <w:r w:rsidRPr="00DF1884">
        <w:rPr>
          <w:shd w:val="clear" w:color="auto" w:fill="FFFFFF"/>
        </w:rPr>
        <w:t>Research</w:t>
      </w:r>
      <w:r w:rsidR="00DF1884" w:rsidRPr="00DF1884">
        <w:rPr>
          <w:shd w:val="clear" w:color="auto" w:fill="FFFFFF"/>
        </w:rPr>
        <w:t xml:space="preserve"> </w:t>
      </w:r>
      <w:r w:rsidRPr="00DF1884">
        <w:rPr>
          <w:shd w:val="clear" w:color="auto" w:fill="FFFFFF"/>
        </w:rPr>
        <w:t>and</w:t>
      </w:r>
      <w:r w:rsidR="00DF1884" w:rsidRPr="00DF1884">
        <w:rPr>
          <w:shd w:val="clear" w:color="auto" w:fill="FFFFFF"/>
        </w:rPr>
        <w:t xml:space="preserve"> </w:t>
      </w:r>
      <w:r w:rsidRPr="00DF1884">
        <w:rPr>
          <w:shd w:val="clear" w:color="auto" w:fill="FFFFFF"/>
        </w:rPr>
        <w:t>Quality</w:t>
      </w:r>
      <w:r w:rsidR="00DF1884" w:rsidRPr="00DF1884">
        <w:rPr>
          <w:shd w:val="clear" w:color="auto" w:fill="FFFFFF"/>
        </w:rPr>
        <w:t xml:space="preserve"> </w:t>
      </w:r>
      <w:r w:rsidRPr="00DF1884">
        <w:rPr>
          <w:shd w:val="clear" w:color="auto" w:fill="FFFFFF"/>
        </w:rPr>
        <w:t>(US);</w:t>
      </w:r>
      <w:r w:rsidR="00DF1884" w:rsidRPr="00DF1884">
        <w:rPr>
          <w:shd w:val="clear" w:color="auto" w:fill="FFFFFF"/>
        </w:rPr>
        <w:t xml:space="preserve"> </w:t>
      </w:r>
      <w:r w:rsidRPr="00DF1884">
        <w:rPr>
          <w:shd w:val="clear" w:color="auto" w:fill="FFFFFF"/>
        </w:rPr>
        <w:t>2001</w:t>
      </w:r>
      <w:r w:rsidR="00DF1884" w:rsidRPr="00DF1884">
        <w:rPr>
          <w:shd w:val="clear" w:color="auto" w:fill="FFFFFF"/>
        </w:rPr>
        <w:t xml:space="preserve"> </w:t>
      </w:r>
      <w:r w:rsidRPr="00DF1884">
        <w:rPr>
          <w:shd w:val="clear" w:color="auto" w:fill="FFFFFF"/>
        </w:rPr>
        <w:t>May.</w:t>
      </w:r>
      <w:r w:rsidR="00DF1884" w:rsidRPr="00DF1884">
        <w:rPr>
          <w:shd w:val="clear" w:color="auto" w:fill="FFFFFF"/>
        </w:rPr>
        <w:t xml:space="preserve"> </w:t>
      </w:r>
      <w:r w:rsidRPr="00DF1884">
        <w:rPr>
          <w:shd w:val="clear" w:color="auto" w:fill="FFFFFF"/>
        </w:rPr>
        <w:t>(Technical</w:t>
      </w:r>
      <w:r w:rsidR="00DF1884" w:rsidRPr="00DF1884">
        <w:rPr>
          <w:shd w:val="clear" w:color="auto" w:fill="FFFFFF"/>
        </w:rPr>
        <w:t xml:space="preserve"> </w:t>
      </w:r>
      <w:r w:rsidRPr="00DF1884">
        <w:rPr>
          <w:shd w:val="clear" w:color="auto" w:fill="FFFFFF"/>
        </w:rPr>
        <w:t>Reviews,</w:t>
      </w:r>
      <w:r w:rsidR="00DF1884" w:rsidRPr="00DF1884">
        <w:rPr>
          <w:shd w:val="clear" w:color="auto" w:fill="FFFFFF"/>
        </w:rPr>
        <w:t xml:space="preserve"> </w:t>
      </w:r>
      <w:r w:rsidRPr="00DF1884">
        <w:rPr>
          <w:shd w:val="clear" w:color="auto" w:fill="FFFFFF"/>
        </w:rPr>
        <w:t>No.</w:t>
      </w:r>
      <w:r w:rsidR="00DF1884" w:rsidRPr="00DF1884">
        <w:rPr>
          <w:shd w:val="clear" w:color="auto" w:fill="FFFFFF"/>
        </w:rPr>
        <w:t xml:space="preserve"> </w:t>
      </w:r>
      <w:r w:rsidRPr="00DF1884">
        <w:rPr>
          <w:shd w:val="clear" w:color="auto" w:fill="FFFFFF"/>
        </w:rPr>
        <w:t>4.)</w:t>
      </w:r>
      <w:r w:rsidR="00DF1884" w:rsidRPr="00DF1884">
        <w:rPr>
          <w:rStyle w:val="apple-converted-space"/>
          <w:rFonts w:cs="Arial"/>
          <w:szCs w:val="20"/>
          <w:shd w:val="clear" w:color="auto" w:fill="FFFFFF"/>
        </w:rPr>
        <w:t xml:space="preserve"> </w:t>
      </w:r>
      <w:r w:rsidRPr="00DF1884">
        <w:rPr>
          <w:rStyle w:val="apple-converted-space"/>
          <w:rFonts w:cs="Arial"/>
          <w:szCs w:val="20"/>
          <w:shd w:val="clear" w:color="auto" w:fill="FFFFFF"/>
        </w:rPr>
        <w:t>Accessed</w:t>
      </w:r>
      <w:r w:rsidR="00DF1884" w:rsidRPr="00DF1884">
        <w:rPr>
          <w:rStyle w:val="apple-converted-space"/>
          <w:rFonts w:cs="Arial"/>
          <w:szCs w:val="20"/>
          <w:shd w:val="clear" w:color="auto" w:fill="FFFFFF"/>
        </w:rPr>
        <w:t xml:space="preserve"> </w:t>
      </w:r>
      <w:r w:rsidRPr="00DF1884">
        <w:rPr>
          <w:rStyle w:val="apple-converted-space"/>
          <w:rFonts w:cs="Arial"/>
          <w:szCs w:val="20"/>
          <w:shd w:val="clear" w:color="auto" w:fill="FFFFFF"/>
        </w:rPr>
        <w:t>July</w:t>
      </w:r>
      <w:r w:rsidR="00DF1884" w:rsidRPr="00DF1884">
        <w:rPr>
          <w:rStyle w:val="apple-converted-space"/>
          <w:rFonts w:cs="Arial"/>
          <w:szCs w:val="20"/>
          <w:shd w:val="clear" w:color="auto" w:fill="FFFFFF"/>
        </w:rPr>
        <w:t xml:space="preserve"> </w:t>
      </w:r>
      <w:r w:rsidRPr="00DF1884">
        <w:rPr>
          <w:rStyle w:val="apple-converted-space"/>
          <w:rFonts w:cs="Arial"/>
          <w:szCs w:val="20"/>
          <w:shd w:val="clear" w:color="auto" w:fill="FFFFFF"/>
        </w:rPr>
        <w:t>31,</w:t>
      </w:r>
      <w:r w:rsidR="00DF1884" w:rsidRPr="00DF1884">
        <w:rPr>
          <w:rStyle w:val="apple-converted-space"/>
          <w:rFonts w:cs="Arial"/>
          <w:szCs w:val="20"/>
          <w:shd w:val="clear" w:color="auto" w:fill="FFFFFF"/>
        </w:rPr>
        <w:t xml:space="preserve"> </w:t>
      </w:r>
      <w:r w:rsidRPr="00DF1884">
        <w:rPr>
          <w:rStyle w:val="apple-converted-space"/>
          <w:rFonts w:cs="Arial"/>
          <w:szCs w:val="20"/>
          <w:shd w:val="clear" w:color="auto" w:fill="FFFFFF"/>
        </w:rPr>
        <w:t>2013.</w:t>
      </w:r>
      <w:r w:rsidR="00DF1884" w:rsidRPr="00DF1884">
        <w:rPr>
          <w:rStyle w:val="apple-converted-space"/>
          <w:rFonts w:cs="Arial"/>
          <w:szCs w:val="20"/>
          <w:shd w:val="clear" w:color="auto" w:fill="FFFFFF"/>
        </w:rPr>
        <w:t xml:space="preserve"> </w:t>
      </w:r>
      <w:r w:rsidRPr="00DF1884">
        <w:rPr>
          <w:rStyle w:val="bkciteavail"/>
          <w:rFonts w:cs="Arial"/>
          <w:szCs w:val="20"/>
          <w:shd w:val="clear" w:color="auto" w:fill="FFFFFF"/>
        </w:rPr>
        <w:t>Available</w:t>
      </w:r>
      <w:r w:rsidR="00DF1884" w:rsidRPr="00DF1884">
        <w:rPr>
          <w:rStyle w:val="bkciteavail"/>
          <w:rFonts w:cs="Arial"/>
          <w:szCs w:val="20"/>
          <w:shd w:val="clear" w:color="auto" w:fill="FFFFFF"/>
        </w:rPr>
        <w:t xml:space="preserve"> </w:t>
      </w:r>
      <w:r w:rsidRPr="00DF1884">
        <w:rPr>
          <w:rStyle w:val="bkciteavail"/>
          <w:rFonts w:cs="Arial"/>
          <w:szCs w:val="20"/>
          <w:shd w:val="clear" w:color="auto" w:fill="FFFFFF"/>
        </w:rPr>
        <w:t>from:</w:t>
      </w:r>
      <w:r w:rsidR="00DF1884" w:rsidRPr="00DF1884">
        <w:rPr>
          <w:rStyle w:val="bkciteavail"/>
          <w:rFonts w:cs="Arial"/>
          <w:szCs w:val="20"/>
          <w:shd w:val="clear" w:color="auto" w:fill="FFFFFF"/>
        </w:rPr>
        <w:t xml:space="preserve"> </w:t>
      </w:r>
      <w:hyperlink r:id="rId78" w:history="1">
        <w:r w:rsidRPr="00DF1884">
          <w:rPr>
            <w:rStyle w:val="Hyperlink"/>
            <w:rFonts w:cs="Arial"/>
            <w:color w:val="auto"/>
            <w:szCs w:val="20"/>
            <w:shd w:val="clear" w:color="auto" w:fill="FFFFFF"/>
          </w:rPr>
          <w:t>http://www.ncbi.nlm.nih.gov/books/NBK43831/</w:t>
        </w:r>
      </w:hyperlink>
    </w:p>
    <w:p w14:paraId="1E8E58BC" w14:textId="16D34CC7" w:rsidR="001559AE" w:rsidRPr="00DF1884" w:rsidRDefault="001559AE" w:rsidP="00DF1884">
      <w:pPr>
        <w:pStyle w:val="Body"/>
        <w:spacing w:before="0"/>
        <w:ind w:left="360" w:hanging="360"/>
        <w:rPr>
          <w:shd w:val="clear" w:color="auto" w:fill="FFFFFF"/>
        </w:rPr>
      </w:pPr>
      <w:r w:rsidRPr="00DF1884">
        <w:rPr>
          <w:shd w:val="clear" w:color="auto" w:fill="FFFFFF"/>
        </w:rPr>
        <w:t>Davies,</w:t>
      </w:r>
      <w:r w:rsidR="00DF1884" w:rsidRPr="00DF1884">
        <w:rPr>
          <w:shd w:val="clear" w:color="auto" w:fill="FFFFFF"/>
        </w:rPr>
        <w:t xml:space="preserve"> </w:t>
      </w:r>
      <w:r w:rsidRPr="00DF1884">
        <w:rPr>
          <w:shd w:val="clear" w:color="auto" w:fill="FFFFFF"/>
        </w:rPr>
        <w:t>S.M.,</w:t>
      </w:r>
      <w:r w:rsidR="00DF1884" w:rsidRPr="00DF1884">
        <w:rPr>
          <w:shd w:val="clear" w:color="auto" w:fill="FFFFFF"/>
        </w:rPr>
        <w:t xml:space="preserve"> </w:t>
      </w:r>
      <w:r w:rsidR="00046618">
        <w:rPr>
          <w:shd w:val="clear" w:color="auto" w:fill="FFFFFF"/>
        </w:rPr>
        <w:t xml:space="preserve">K.M. </w:t>
      </w:r>
      <w:r w:rsidRPr="00DF1884">
        <w:rPr>
          <w:shd w:val="clear" w:color="auto" w:fill="FFFFFF"/>
        </w:rPr>
        <w:t>McDonald,</w:t>
      </w:r>
      <w:r w:rsidR="00DF1884" w:rsidRPr="00DF1884">
        <w:rPr>
          <w:shd w:val="clear" w:color="auto" w:fill="FFFFFF"/>
        </w:rPr>
        <w:t xml:space="preserve"> </w:t>
      </w:r>
      <w:r w:rsidR="00046618">
        <w:rPr>
          <w:shd w:val="clear" w:color="auto" w:fill="FFFFFF"/>
        </w:rPr>
        <w:t xml:space="preserve">E. </w:t>
      </w:r>
      <w:r w:rsidRPr="00DF1884">
        <w:rPr>
          <w:shd w:val="clear" w:color="auto" w:fill="FFFFFF"/>
        </w:rPr>
        <w:t>Schmidt.,</w:t>
      </w:r>
      <w:r w:rsidR="00DF1884" w:rsidRPr="00DF1884">
        <w:rPr>
          <w:shd w:val="clear" w:color="auto" w:fill="FFFFFF"/>
        </w:rPr>
        <w:t xml:space="preserve"> </w:t>
      </w:r>
      <w:r w:rsidR="00046618">
        <w:rPr>
          <w:shd w:val="clear" w:color="auto" w:fill="FFFFFF"/>
        </w:rPr>
        <w:t xml:space="preserve">E. </w:t>
      </w:r>
      <w:r w:rsidRPr="00DF1884">
        <w:rPr>
          <w:shd w:val="clear" w:color="auto" w:fill="FFFFFF"/>
        </w:rPr>
        <w:t>Schultz,</w:t>
      </w:r>
      <w:r w:rsidR="00DF1884" w:rsidRPr="00DF1884">
        <w:rPr>
          <w:shd w:val="clear" w:color="auto" w:fill="FFFFFF"/>
        </w:rPr>
        <w:t xml:space="preserve"> </w:t>
      </w:r>
      <w:r w:rsidR="00046618">
        <w:rPr>
          <w:shd w:val="clear" w:color="auto" w:fill="FFFFFF"/>
        </w:rPr>
        <w:t xml:space="preserve">J. </w:t>
      </w:r>
      <w:r w:rsidRPr="00DF1884">
        <w:rPr>
          <w:shd w:val="clear" w:color="auto" w:fill="FFFFFF"/>
        </w:rPr>
        <w:t>Geppert</w:t>
      </w:r>
      <w:r w:rsidR="00046618">
        <w:rPr>
          <w:shd w:val="clear" w:color="auto" w:fill="FFFFFF"/>
        </w:rPr>
        <w:t xml:space="preserve"> and P.S. </w:t>
      </w:r>
      <w:r w:rsidRPr="00DF1884">
        <w:rPr>
          <w:shd w:val="clear" w:color="auto" w:fill="FFFFFF"/>
        </w:rPr>
        <w:t>Romano.</w:t>
      </w:r>
      <w:r w:rsidR="00DF1884" w:rsidRPr="00DF1884">
        <w:rPr>
          <w:shd w:val="clear" w:color="auto" w:fill="FFFFFF"/>
        </w:rPr>
        <w:t xml:space="preserve"> </w:t>
      </w:r>
      <w:r w:rsidRPr="00DF1884">
        <w:rPr>
          <w:shd w:val="clear" w:color="auto" w:fill="FFFFFF"/>
        </w:rPr>
        <w:t>2009</w:t>
      </w:r>
      <w:r w:rsidR="00046618">
        <w:rPr>
          <w:shd w:val="clear" w:color="auto" w:fill="FFFFFF"/>
        </w:rPr>
        <w:t>.</w:t>
      </w:r>
      <w:r w:rsidR="00DF1884" w:rsidRPr="00DF1884">
        <w:rPr>
          <w:shd w:val="clear" w:color="auto" w:fill="FFFFFF"/>
        </w:rPr>
        <w:t xml:space="preserve"> </w:t>
      </w:r>
      <w:r w:rsidRPr="00DF1884">
        <w:t>Expanding</w:t>
      </w:r>
      <w:r w:rsidR="00DF1884" w:rsidRPr="00DF1884">
        <w:t xml:space="preserve"> </w:t>
      </w:r>
      <w:r w:rsidRPr="00DF1884">
        <w:t>Use</w:t>
      </w:r>
      <w:r w:rsidR="00DF1884" w:rsidRPr="00DF1884">
        <w:t xml:space="preserve"> </w:t>
      </w:r>
      <w:r w:rsidRPr="00DF1884">
        <w:t>of</w:t>
      </w:r>
      <w:r w:rsidR="00DF1884" w:rsidRPr="00DF1884">
        <w:t xml:space="preserve"> </w:t>
      </w:r>
      <w:r w:rsidRPr="00DF1884">
        <w:t>the</w:t>
      </w:r>
      <w:r w:rsidR="00DF1884" w:rsidRPr="00DF1884">
        <w:t xml:space="preserve"> </w:t>
      </w:r>
      <w:r w:rsidRPr="00DF1884">
        <w:t>Prevention</w:t>
      </w:r>
      <w:r w:rsidR="00DF1884" w:rsidRPr="00DF1884">
        <w:t xml:space="preserve"> </w:t>
      </w:r>
      <w:r w:rsidRPr="00DF1884">
        <w:t>Quality</w:t>
      </w:r>
      <w:r w:rsidR="00DF1884" w:rsidRPr="00DF1884">
        <w:t xml:space="preserve"> </w:t>
      </w:r>
      <w:r w:rsidRPr="00DF1884">
        <w:t>Indicators:</w:t>
      </w:r>
      <w:r w:rsidR="00DF1884" w:rsidRPr="00DF1884">
        <w:t xml:space="preserve"> </w:t>
      </w:r>
      <w:r w:rsidRPr="00DF1884">
        <w:t>Report</w:t>
      </w:r>
      <w:r w:rsidR="00DF1884" w:rsidRPr="00DF1884">
        <w:t xml:space="preserve"> </w:t>
      </w:r>
      <w:r w:rsidRPr="00DF1884">
        <w:t>of</w:t>
      </w:r>
      <w:r w:rsidR="00DF1884" w:rsidRPr="00DF1884">
        <w:t xml:space="preserve"> </w:t>
      </w:r>
      <w:r w:rsidRPr="00DF1884">
        <w:t>Clinical</w:t>
      </w:r>
      <w:r w:rsidR="00DF1884" w:rsidRPr="00DF1884">
        <w:t xml:space="preserve"> </w:t>
      </w:r>
      <w:r w:rsidRPr="00DF1884">
        <w:t>Expert</w:t>
      </w:r>
      <w:r w:rsidR="00DF1884" w:rsidRPr="00DF1884">
        <w:t xml:space="preserve"> </w:t>
      </w:r>
      <w:r w:rsidRPr="00DF1884">
        <w:t>Review</w:t>
      </w:r>
      <w:r w:rsidR="00DF1884" w:rsidRPr="00DF1884">
        <w:t xml:space="preserve"> </w:t>
      </w:r>
      <w:r w:rsidRPr="00DF1884">
        <w:t>Panel.</w:t>
      </w:r>
      <w:r w:rsidR="00DF1884" w:rsidRPr="00DF1884">
        <w:rPr>
          <w:i/>
        </w:rPr>
        <w:t xml:space="preserve"> </w:t>
      </w:r>
      <w:r w:rsidRPr="00DF1884">
        <w:t>Report</w:t>
      </w:r>
      <w:r w:rsidR="00DF1884" w:rsidRPr="00DF1884">
        <w:t xml:space="preserve"> </w:t>
      </w:r>
      <w:r w:rsidRPr="00DF1884">
        <w:t>prepared</w:t>
      </w:r>
      <w:r w:rsidR="00DF1884" w:rsidRPr="00DF1884">
        <w:t xml:space="preserve"> </w:t>
      </w:r>
      <w:r w:rsidRPr="00DF1884">
        <w:t>for</w:t>
      </w:r>
      <w:r w:rsidR="00DF1884" w:rsidRPr="00DF1884">
        <w:t xml:space="preserve"> </w:t>
      </w:r>
      <w:r w:rsidRPr="00DF1884">
        <w:t>AHRQ.</w:t>
      </w:r>
      <w:r w:rsidR="00DF1884" w:rsidRPr="00DF1884">
        <w:rPr>
          <w:i/>
        </w:rPr>
        <w:t xml:space="preserve"> </w:t>
      </w:r>
      <w:r w:rsidRPr="00DF1884">
        <w:t>Accessed</w:t>
      </w:r>
      <w:r w:rsidR="00DF1884" w:rsidRPr="00DF1884">
        <w:t xml:space="preserve"> </w:t>
      </w:r>
      <w:r w:rsidRPr="00DF1884">
        <w:t>July</w:t>
      </w:r>
      <w:r w:rsidR="00DF1884" w:rsidRPr="00DF1884">
        <w:t xml:space="preserve"> </w:t>
      </w:r>
      <w:r w:rsidRPr="00DF1884">
        <w:t>31,</w:t>
      </w:r>
      <w:r w:rsidR="00DF1884" w:rsidRPr="00DF1884">
        <w:t xml:space="preserve"> </w:t>
      </w:r>
      <w:r w:rsidRPr="00DF1884">
        <w:t>2013.</w:t>
      </w:r>
      <w:r w:rsidR="00DF1884" w:rsidRPr="00DF1884">
        <w:rPr>
          <w:i/>
        </w:rPr>
        <w:t xml:space="preserve"> </w:t>
      </w:r>
      <w:r w:rsidRPr="00DF1884">
        <w:t>Available</w:t>
      </w:r>
      <w:r w:rsidR="00DF1884" w:rsidRPr="00DF1884">
        <w:t xml:space="preserve"> </w:t>
      </w:r>
      <w:r w:rsidRPr="00DF1884">
        <w:t>at:</w:t>
      </w:r>
      <w:r w:rsidR="00DF1884" w:rsidRPr="00DF1884">
        <w:t xml:space="preserve"> </w:t>
      </w:r>
      <w:hyperlink r:id="rId79" w:history="1">
        <w:r w:rsidRPr="00DF1884">
          <w:rPr>
            <w:rStyle w:val="Hyperlink"/>
            <w:color w:val="auto"/>
            <w:szCs w:val="20"/>
          </w:rPr>
          <w:t>http://www.qualityindicators.ahrq.gov/Downloads/Modules/PQI/PQI%20Summary%20Report.pdf</w:t>
        </w:r>
      </w:hyperlink>
    </w:p>
    <w:p w14:paraId="49F1F4E8" w14:textId="418DE4CC" w:rsidR="001559AE" w:rsidRPr="00DF1884" w:rsidRDefault="001559AE" w:rsidP="00DF1884">
      <w:pPr>
        <w:pStyle w:val="Body"/>
        <w:spacing w:before="0"/>
        <w:ind w:left="360" w:hanging="360"/>
      </w:pPr>
      <w:r w:rsidRPr="00DF1884">
        <w:t>Department</w:t>
      </w:r>
      <w:r w:rsidR="00DF1884" w:rsidRPr="00DF1884">
        <w:t xml:space="preserve"> </w:t>
      </w:r>
      <w:r w:rsidRPr="00DF1884">
        <w:t>of</w:t>
      </w:r>
      <w:r w:rsidR="00DF1884" w:rsidRPr="00DF1884">
        <w:t xml:space="preserve"> </w:t>
      </w:r>
      <w:r w:rsidRPr="00DF1884">
        <w:t>Health</w:t>
      </w:r>
      <w:r w:rsidR="00DF1884" w:rsidRPr="00DF1884">
        <w:t xml:space="preserve"> </w:t>
      </w:r>
      <w:r w:rsidRPr="00DF1884">
        <w:t>and</w:t>
      </w:r>
      <w:r w:rsidR="00DF1884" w:rsidRPr="00DF1884">
        <w:t xml:space="preserve"> </w:t>
      </w:r>
      <w:r w:rsidRPr="00DF1884">
        <w:t>Human</w:t>
      </w:r>
      <w:r w:rsidR="00DF1884" w:rsidRPr="00DF1884">
        <w:t xml:space="preserve"> </w:t>
      </w:r>
      <w:r w:rsidRPr="00DF1884">
        <w:t>Services</w:t>
      </w:r>
      <w:r w:rsidR="00DF1884" w:rsidRPr="00DF1884">
        <w:t xml:space="preserve"> </w:t>
      </w:r>
      <w:r w:rsidRPr="00DF1884">
        <w:t>(DHHS).</w:t>
      </w:r>
      <w:r w:rsidR="00DF1884" w:rsidRPr="00DF1884">
        <w:rPr>
          <w:i/>
        </w:rPr>
        <w:t xml:space="preserve"> </w:t>
      </w:r>
      <w:r w:rsidRPr="00DF1884">
        <w:t>Health</w:t>
      </w:r>
      <w:r w:rsidR="00DF1884" w:rsidRPr="00DF1884">
        <w:t xml:space="preserve"> </w:t>
      </w:r>
      <w:r w:rsidRPr="00DF1884">
        <w:t>Indicators</w:t>
      </w:r>
      <w:r w:rsidR="00DF1884" w:rsidRPr="00DF1884">
        <w:t xml:space="preserve"> </w:t>
      </w:r>
      <w:r w:rsidRPr="00DF1884">
        <w:t>Warehouse.</w:t>
      </w:r>
      <w:r w:rsidR="00DF1884" w:rsidRPr="00DF1884">
        <w:rPr>
          <w:i/>
        </w:rPr>
        <w:t xml:space="preserve"> </w:t>
      </w:r>
      <w:r w:rsidRPr="00DF1884">
        <w:t>CMS</w:t>
      </w:r>
      <w:r w:rsidR="00DF1884" w:rsidRPr="00DF1884">
        <w:t xml:space="preserve"> </w:t>
      </w:r>
      <w:r w:rsidRPr="00DF1884">
        <w:t>Report</w:t>
      </w:r>
      <w:r w:rsidR="00DF1884" w:rsidRPr="00DF1884">
        <w:t xml:space="preserve"> </w:t>
      </w:r>
      <w:r w:rsidRPr="00DF1884">
        <w:t>by</w:t>
      </w:r>
      <w:r w:rsidR="00DF1884" w:rsidRPr="00DF1884">
        <w:t xml:space="preserve"> </w:t>
      </w:r>
      <w:r w:rsidRPr="00DF1884">
        <w:t>Indicator</w:t>
      </w:r>
      <w:r w:rsidR="00DF1884" w:rsidRPr="00DF1884">
        <w:t xml:space="preserve"> </w:t>
      </w:r>
      <w:r w:rsidR="00046618">
        <w:t>—</w:t>
      </w:r>
      <w:r w:rsidRPr="00DF1884">
        <w:t>Utilization</w:t>
      </w:r>
      <w:r w:rsidR="00DF1884" w:rsidRPr="00DF1884">
        <w:t xml:space="preserve"> </w:t>
      </w:r>
      <w:r w:rsidRPr="00DF1884">
        <w:t>Report.</w:t>
      </w:r>
      <w:r w:rsidR="00DF1884" w:rsidRPr="00DF1884">
        <w:rPr>
          <w:i/>
        </w:rPr>
        <w:t xml:space="preserve"> </w:t>
      </w:r>
      <w:r w:rsidRPr="00DF1884">
        <w:t>Accessed</w:t>
      </w:r>
      <w:r w:rsidR="00DF1884" w:rsidRPr="00DF1884">
        <w:t xml:space="preserve"> </w:t>
      </w:r>
      <w:r w:rsidRPr="00DF1884">
        <w:t>July</w:t>
      </w:r>
      <w:r w:rsidR="00DF1884" w:rsidRPr="00DF1884">
        <w:t xml:space="preserve"> </w:t>
      </w:r>
      <w:r w:rsidRPr="00DF1884">
        <w:t>31,</w:t>
      </w:r>
      <w:r w:rsidR="00DF1884" w:rsidRPr="00DF1884">
        <w:t xml:space="preserve"> </w:t>
      </w:r>
      <w:r w:rsidRPr="00DF1884">
        <w:t>2013.</w:t>
      </w:r>
      <w:r w:rsidR="00DF1884" w:rsidRPr="00DF1884">
        <w:rPr>
          <w:i/>
        </w:rPr>
        <w:t xml:space="preserve"> </w:t>
      </w:r>
      <w:r w:rsidRPr="00DF1884">
        <w:t>Available</w:t>
      </w:r>
      <w:r w:rsidR="00DF1884" w:rsidRPr="00DF1884">
        <w:t xml:space="preserve"> </w:t>
      </w:r>
      <w:r w:rsidRPr="00DF1884">
        <w:t>at:</w:t>
      </w:r>
      <w:r w:rsidR="00DF1884" w:rsidRPr="00DF1884">
        <w:t xml:space="preserve"> </w:t>
      </w:r>
      <w:hyperlink r:id="rId80" w:history="1">
        <w:r w:rsidRPr="00DF1884">
          <w:rPr>
            <w:rStyle w:val="Hyperlink"/>
            <w:color w:val="auto"/>
          </w:rPr>
          <w:t>http://healthindicators.gov/Resources/Initiatives/CMS/Utilization-Report_12/Indicator/Report</w:t>
        </w:r>
      </w:hyperlink>
    </w:p>
    <w:p w14:paraId="4AE29A6E" w14:textId="788AC65E" w:rsidR="001559AE" w:rsidRPr="00DF1884" w:rsidRDefault="001559AE" w:rsidP="00DF1884">
      <w:pPr>
        <w:pStyle w:val="Body"/>
        <w:spacing w:before="0"/>
        <w:ind w:left="360" w:hanging="360"/>
      </w:pPr>
      <w:r w:rsidRPr="00DF1884">
        <w:lastRenderedPageBreak/>
        <w:t>Gaskin</w:t>
      </w:r>
      <w:r w:rsidR="00DF1884">
        <w:t>,</w:t>
      </w:r>
      <w:r w:rsidR="00DF1884" w:rsidRPr="00DF1884">
        <w:t xml:space="preserve"> </w:t>
      </w:r>
      <w:r w:rsidRPr="00DF1884">
        <w:t>D.J.</w:t>
      </w:r>
      <w:r w:rsidR="00DF1884" w:rsidRPr="00DF1884">
        <w:t xml:space="preserve"> </w:t>
      </w:r>
      <w:r w:rsidRPr="00DF1884">
        <w:t>and</w:t>
      </w:r>
      <w:r w:rsidR="00DF1884" w:rsidRPr="00DF1884">
        <w:t xml:space="preserve"> </w:t>
      </w:r>
      <w:r w:rsidRPr="00DF1884">
        <w:t>C</w:t>
      </w:r>
      <w:r w:rsidR="00DF1884" w:rsidRPr="00DF1884">
        <w:t xml:space="preserve"> </w:t>
      </w:r>
      <w:r w:rsidRPr="00DF1884">
        <w:t>.Hoffman.</w:t>
      </w:r>
      <w:r w:rsidR="00DF1884" w:rsidRPr="00DF1884">
        <w:t xml:space="preserve"> </w:t>
      </w:r>
      <w:r w:rsidRPr="00DF1884">
        <w:t>2000.</w:t>
      </w:r>
      <w:r w:rsidR="00DF1884" w:rsidRPr="00DF1884">
        <w:rPr>
          <w:i/>
        </w:rPr>
        <w:t xml:space="preserve"> </w:t>
      </w:r>
      <w:r w:rsidRPr="00DF1884">
        <w:t>Racial</w:t>
      </w:r>
      <w:r w:rsidR="00DF1884" w:rsidRPr="00DF1884">
        <w:t xml:space="preserve"> </w:t>
      </w:r>
      <w:r w:rsidRPr="00DF1884">
        <w:t>and</w:t>
      </w:r>
      <w:r w:rsidR="00DF1884" w:rsidRPr="00DF1884">
        <w:t xml:space="preserve"> </w:t>
      </w:r>
      <w:r w:rsidRPr="00DF1884">
        <w:t>Ethnic</w:t>
      </w:r>
      <w:r w:rsidR="00DF1884" w:rsidRPr="00DF1884">
        <w:t xml:space="preserve"> </w:t>
      </w:r>
      <w:r w:rsidRPr="00DF1884">
        <w:t>Differences</w:t>
      </w:r>
      <w:r w:rsidR="00DF1884" w:rsidRPr="00DF1884">
        <w:t xml:space="preserve"> </w:t>
      </w:r>
      <w:r w:rsidRPr="00DF1884">
        <w:t>in</w:t>
      </w:r>
      <w:r w:rsidR="00DF1884" w:rsidRPr="00DF1884">
        <w:t xml:space="preserve"> </w:t>
      </w:r>
      <w:r w:rsidRPr="00DF1884">
        <w:t>Preventable</w:t>
      </w:r>
      <w:r w:rsidR="00DF1884" w:rsidRPr="00DF1884">
        <w:t xml:space="preserve"> </w:t>
      </w:r>
      <w:r w:rsidRPr="00DF1884">
        <w:t>Hospitalizations</w:t>
      </w:r>
      <w:r w:rsidR="00DF1884" w:rsidRPr="00DF1884">
        <w:t xml:space="preserve"> </w:t>
      </w:r>
      <w:r w:rsidRPr="00DF1884">
        <w:t>across</w:t>
      </w:r>
      <w:r w:rsidR="00DF1884" w:rsidRPr="00DF1884">
        <w:t xml:space="preserve"> </w:t>
      </w:r>
      <w:r w:rsidRPr="00DF1884">
        <w:t>10</w:t>
      </w:r>
      <w:r w:rsidR="00DF1884" w:rsidRPr="00DF1884">
        <w:t xml:space="preserve"> </w:t>
      </w:r>
      <w:r w:rsidRPr="00DF1884">
        <w:t>States.</w:t>
      </w:r>
      <w:r w:rsidR="00DF1884" w:rsidRPr="00DF1884">
        <w:t xml:space="preserve"> </w:t>
      </w:r>
      <w:r w:rsidRPr="00DF1884">
        <w:rPr>
          <w:rStyle w:val="ref-journal"/>
          <w:rFonts w:cs="Arial"/>
          <w:i/>
        </w:rPr>
        <w:t>Medical</w:t>
      </w:r>
      <w:r w:rsidR="00DF1884" w:rsidRPr="00DF1884">
        <w:rPr>
          <w:rStyle w:val="ref-journal"/>
          <w:rFonts w:cs="Arial"/>
          <w:i/>
        </w:rPr>
        <w:t xml:space="preserve"> </w:t>
      </w:r>
      <w:r w:rsidRPr="00DF1884">
        <w:rPr>
          <w:rStyle w:val="ref-journal"/>
          <w:rFonts w:cs="Arial"/>
          <w:i/>
        </w:rPr>
        <w:t>Care</w:t>
      </w:r>
      <w:r w:rsidR="00DF1884" w:rsidRPr="00DF1884">
        <w:rPr>
          <w:rStyle w:val="ref-journal"/>
          <w:rFonts w:cs="Arial"/>
          <w:i/>
        </w:rPr>
        <w:t xml:space="preserve"> </w:t>
      </w:r>
      <w:r w:rsidRPr="00DF1884">
        <w:rPr>
          <w:rStyle w:val="ref-journal"/>
          <w:rFonts w:cs="Arial"/>
          <w:i/>
        </w:rPr>
        <w:t>Research</w:t>
      </w:r>
      <w:r w:rsidR="00DF1884" w:rsidRPr="00DF1884">
        <w:rPr>
          <w:rStyle w:val="ref-journal"/>
          <w:rFonts w:cs="Arial"/>
          <w:i/>
        </w:rPr>
        <w:t xml:space="preserve"> </w:t>
      </w:r>
      <w:r w:rsidRPr="00DF1884">
        <w:rPr>
          <w:rStyle w:val="ref-journal"/>
          <w:rFonts w:cs="Arial"/>
          <w:i/>
        </w:rPr>
        <w:t>and</w:t>
      </w:r>
      <w:r w:rsidR="00DF1884" w:rsidRPr="00DF1884">
        <w:rPr>
          <w:rStyle w:val="ref-journal"/>
          <w:rFonts w:cs="Arial"/>
          <w:i/>
        </w:rPr>
        <w:t xml:space="preserve"> </w:t>
      </w:r>
      <w:r w:rsidRPr="00DF1884">
        <w:rPr>
          <w:rStyle w:val="ref-journal"/>
          <w:rFonts w:cs="Arial"/>
          <w:i/>
        </w:rPr>
        <w:t>Review</w:t>
      </w:r>
      <w:r w:rsidRPr="00DF1884">
        <w:rPr>
          <w:rStyle w:val="ref-journal"/>
          <w:rFonts w:cs="Arial"/>
        </w:rPr>
        <w:t>.</w:t>
      </w:r>
      <w:r w:rsidR="00DF1884" w:rsidRPr="00DF1884">
        <w:rPr>
          <w:rStyle w:val="ref-journal"/>
          <w:rFonts w:cs="Arial"/>
        </w:rPr>
        <w:t xml:space="preserve"> </w:t>
      </w:r>
      <w:r w:rsidRPr="00DF1884">
        <w:rPr>
          <w:rStyle w:val="ref-vol"/>
          <w:rFonts w:cs="Arial"/>
          <w:szCs w:val="20"/>
        </w:rPr>
        <w:t>57</w:t>
      </w:r>
      <w:r w:rsidRPr="00DF1884">
        <w:t>(Suppl</w:t>
      </w:r>
      <w:r w:rsidR="00DF1884" w:rsidRPr="00DF1884">
        <w:t xml:space="preserve"> </w:t>
      </w:r>
      <w:r w:rsidRPr="00DF1884">
        <w:t>1):85–107.</w:t>
      </w:r>
    </w:p>
    <w:p w14:paraId="4EC3417D" w14:textId="572A916B" w:rsidR="001559AE" w:rsidRPr="00DF1884" w:rsidRDefault="001559AE" w:rsidP="00DF1884">
      <w:pPr>
        <w:pStyle w:val="Body"/>
        <w:spacing w:before="0"/>
        <w:ind w:left="360" w:hanging="360"/>
      </w:pPr>
      <w:r w:rsidRPr="00DF1884">
        <w:t>Gill</w:t>
      </w:r>
      <w:r w:rsidR="00DF1884" w:rsidRPr="00DF1884">
        <w:t xml:space="preserve"> </w:t>
      </w:r>
      <w:r w:rsidRPr="00DF1884">
        <w:t>J.,</w:t>
      </w:r>
      <w:r w:rsidR="00DF1884" w:rsidRPr="00DF1884">
        <w:t xml:space="preserve"> </w:t>
      </w:r>
      <w:r w:rsidRPr="00DF1884">
        <w:t>and</w:t>
      </w:r>
      <w:r w:rsidR="00DF1884" w:rsidRPr="00DF1884">
        <w:t xml:space="preserve"> </w:t>
      </w:r>
      <w:r w:rsidRPr="00DF1884">
        <w:t>A.G.</w:t>
      </w:r>
      <w:r w:rsidR="00DF1884" w:rsidRPr="00DF1884">
        <w:t xml:space="preserve"> </w:t>
      </w:r>
      <w:r w:rsidRPr="00DF1884">
        <w:t>Mainous.</w:t>
      </w:r>
      <w:r w:rsidR="00DF1884" w:rsidRPr="00DF1884">
        <w:t xml:space="preserve"> </w:t>
      </w:r>
      <w:r w:rsidRPr="00DF1884">
        <w:t>1998.</w:t>
      </w:r>
      <w:r w:rsidR="00DF1884" w:rsidRPr="00DF1884">
        <w:t xml:space="preserve"> </w:t>
      </w:r>
      <w:r w:rsidRPr="00DF1884">
        <w:t>The</w:t>
      </w:r>
      <w:r w:rsidR="00DF1884" w:rsidRPr="00DF1884">
        <w:t xml:space="preserve"> </w:t>
      </w:r>
      <w:r w:rsidRPr="00DF1884">
        <w:t>Role</w:t>
      </w:r>
      <w:r w:rsidR="00DF1884" w:rsidRPr="00DF1884">
        <w:t xml:space="preserve"> </w:t>
      </w:r>
      <w:r w:rsidRPr="00DF1884">
        <w:t>of</w:t>
      </w:r>
      <w:r w:rsidR="00DF1884" w:rsidRPr="00DF1884">
        <w:t xml:space="preserve"> </w:t>
      </w:r>
      <w:r w:rsidRPr="00DF1884">
        <w:t>Provider</w:t>
      </w:r>
      <w:r w:rsidR="00DF1884" w:rsidRPr="00DF1884">
        <w:t xml:space="preserve"> </w:t>
      </w:r>
      <w:r w:rsidRPr="00DF1884">
        <w:t>Continuity</w:t>
      </w:r>
      <w:r w:rsidR="00DF1884" w:rsidRPr="00DF1884">
        <w:t xml:space="preserve"> </w:t>
      </w:r>
      <w:r w:rsidRPr="00DF1884">
        <w:t>in</w:t>
      </w:r>
      <w:r w:rsidR="00DF1884" w:rsidRPr="00DF1884">
        <w:t xml:space="preserve"> </w:t>
      </w:r>
      <w:r w:rsidRPr="00DF1884">
        <w:t>Preventing</w:t>
      </w:r>
      <w:r w:rsidR="00DF1884" w:rsidRPr="00DF1884">
        <w:t xml:space="preserve"> </w:t>
      </w:r>
      <w:r w:rsidRPr="00DF1884">
        <w:t>Hospitalizations.</w:t>
      </w:r>
      <w:r w:rsidR="00DF1884" w:rsidRPr="00DF1884">
        <w:t xml:space="preserve"> </w:t>
      </w:r>
      <w:r w:rsidRPr="00DF1884">
        <w:rPr>
          <w:rStyle w:val="ref-journal"/>
          <w:rFonts w:cs="Arial"/>
          <w:i/>
        </w:rPr>
        <w:t>Archives</w:t>
      </w:r>
      <w:r w:rsidR="00DF1884" w:rsidRPr="00DF1884">
        <w:rPr>
          <w:rStyle w:val="ref-journal"/>
          <w:rFonts w:cs="Arial"/>
          <w:i/>
        </w:rPr>
        <w:t xml:space="preserve"> </w:t>
      </w:r>
      <w:r w:rsidRPr="00DF1884">
        <w:rPr>
          <w:rStyle w:val="ref-journal"/>
          <w:rFonts w:cs="Arial"/>
          <w:i/>
        </w:rPr>
        <w:t>of</w:t>
      </w:r>
      <w:r w:rsidR="00DF1884" w:rsidRPr="00DF1884">
        <w:rPr>
          <w:rStyle w:val="ref-journal"/>
          <w:rFonts w:cs="Arial"/>
          <w:i/>
        </w:rPr>
        <w:t xml:space="preserve"> </w:t>
      </w:r>
      <w:r w:rsidRPr="00DF1884">
        <w:rPr>
          <w:rStyle w:val="ref-journal"/>
          <w:rFonts w:cs="Arial"/>
          <w:i/>
        </w:rPr>
        <w:t>Family</w:t>
      </w:r>
      <w:r w:rsidR="00DF1884" w:rsidRPr="00DF1884">
        <w:rPr>
          <w:rStyle w:val="ref-journal"/>
          <w:rFonts w:cs="Arial"/>
          <w:i/>
        </w:rPr>
        <w:t xml:space="preserve"> </w:t>
      </w:r>
      <w:r w:rsidRPr="00DF1884">
        <w:rPr>
          <w:rStyle w:val="ref-journal"/>
          <w:rFonts w:cs="Arial"/>
          <w:i/>
        </w:rPr>
        <w:t>Medicine</w:t>
      </w:r>
      <w:r w:rsidRPr="00DF1884">
        <w:rPr>
          <w:rStyle w:val="ref-journal"/>
          <w:rFonts w:cs="Arial"/>
        </w:rPr>
        <w:t>.</w:t>
      </w:r>
      <w:r w:rsidR="00DF1884" w:rsidRPr="00DF1884">
        <w:rPr>
          <w:rStyle w:val="ref-journal"/>
          <w:rFonts w:cs="Arial"/>
        </w:rPr>
        <w:t xml:space="preserve"> </w:t>
      </w:r>
      <w:r w:rsidRPr="00DF1884">
        <w:rPr>
          <w:rStyle w:val="ref-vol"/>
          <w:rFonts w:cs="Arial"/>
          <w:szCs w:val="20"/>
        </w:rPr>
        <w:t>7</w:t>
      </w:r>
      <w:r w:rsidRPr="00DF1884">
        <w:t>(4):352–7.</w:t>
      </w:r>
    </w:p>
    <w:p w14:paraId="210A292B" w14:textId="61CA4BC0" w:rsidR="001559AE" w:rsidRPr="00DF1884" w:rsidRDefault="001559AE" w:rsidP="00DF1884">
      <w:pPr>
        <w:pStyle w:val="Body"/>
        <w:spacing w:before="0"/>
        <w:ind w:left="360" w:hanging="360"/>
        <w:rPr>
          <w:shd w:val="clear" w:color="auto" w:fill="FFFFFF"/>
        </w:rPr>
      </w:pPr>
      <w:r w:rsidRPr="00DF1884">
        <w:rPr>
          <w:shd w:val="clear" w:color="auto" w:fill="FFFFFF"/>
        </w:rPr>
        <w:t>Gillick,</w:t>
      </w:r>
      <w:r w:rsidR="00DF1884" w:rsidRPr="00DF1884">
        <w:rPr>
          <w:shd w:val="clear" w:color="auto" w:fill="FFFFFF"/>
        </w:rPr>
        <w:t xml:space="preserve"> </w:t>
      </w:r>
      <w:r w:rsidRPr="00DF1884">
        <w:rPr>
          <w:shd w:val="clear" w:color="auto" w:fill="FFFFFF"/>
        </w:rPr>
        <w:t>M.R.,</w:t>
      </w:r>
      <w:r w:rsidR="00DF1884" w:rsidRPr="00DF1884">
        <w:rPr>
          <w:shd w:val="clear" w:color="auto" w:fill="FFFFFF"/>
        </w:rPr>
        <w:t xml:space="preserve"> </w:t>
      </w:r>
      <w:r w:rsidR="00046618">
        <w:rPr>
          <w:shd w:val="clear" w:color="auto" w:fill="FFFFFF"/>
        </w:rPr>
        <w:t xml:space="preserve">N.A. </w:t>
      </w:r>
      <w:r w:rsidRPr="00DF1884">
        <w:rPr>
          <w:shd w:val="clear" w:color="auto" w:fill="FFFFFF"/>
        </w:rPr>
        <w:t>Serrell,</w:t>
      </w:r>
      <w:r w:rsidR="00DF1884" w:rsidRPr="00DF1884">
        <w:rPr>
          <w:shd w:val="clear" w:color="auto" w:fill="FFFFFF"/>
        </w:rPr>
        <w:t xml:space="preserve"> </w:t>
      </w:r>
      <w:r w:rsidR="00046618">
        <w:rPr>
          <w:shd w:val="clear" w:color="auto" w:fill="FFFFFF"/>
        </w:rPr>
        <w:t xml:space="preserve">and L.S. </w:t>
      </w:r>
      <w:r w:rsidRPr="00DF1884">
        <w:rPr>
          <w:shd w:val="clear" w:color="auto" w:fill="FFFFFF"/>
        </w:rPr>
        <w:t>Gillick.</w:t>
      </w:r>
      <w:r w:rsidR="00DF1884" w:rsidRPr="00DF1884">
        <w:rPr>
          <w:shd w:val="clear" w:color="auto" w:fill="FFFFFF"/>
        </w:rPr>
        <w:t xml:space="preserve"> </w:t>
      </w:r>
      <w:r w:rsidRPr="00DF1884">
        <w:rPr>
          <w:shd w:val="clear" w:color="auto" w:fill="FFFFFF"/>
        </w:rPr>
        <w:t>1982.</w:t>
      </w:r>
      <w:r w:rsidR="00DF1884" w:rsidRPr="00DF1884">
        <w:rPr>
          <w:shd w:val="clear" w:color="auto" w:fill="FFFFFF"/>
        </w:rPr>
        <w:t xml:space="preserve"> </w:t>
      </w:r>
      <w:r w:rsidRPr="00DF1884">
        <w:rPr>
          <w:shd w:val="clear" w:color="auto" w:fill="FFFFFF"/>
        </w:rPr>
        <w:t>Adverse</w:t>
      </w:r>
      <w:r w:rsidR="00DF1884" w:rsidRPr="00DF1884">
        <w:rPr>
          <w:shd w:val="clear" w:color="auto" w:fill="FFFFFF"/>
        </w:rPr>
        <w:t xml:space="preserve"> </w:t>
      </w:r>
      <w:r w:rsidRPr="00DF1884">
        <w:rPr>
          <w:shd w:val="clear" w:color="auto" w:fill="FFFFFF"/>
        </w:rPr>
        <w:t>consequences</w:t>
      </w:r>
      <w:r w:rsidR="00DF1884" w:rsidRPr="00DF1884">
        <w:rPr>
          <w:shd w:val="clear" w:color="auto" w:fill="FFFFFF"/>
        </w:rPr>
        <w:t xml:space="preserve"> </w:t>
      </w:r>
      <w:r w:rsidRPr="00DF1884">
        <w:rPr>
          <w:shd w:val="clear" w:color="auto" w:fill="FFFFFF"/>
        </w:rPr>
        <w:t>of</w:t>
      </w:r>
      <w:r w:rsidR="00DF1884" w:rsidRPr="00DF1884">
        <w:rPr>
          <w:shd w:val="clear" w:color="auto" w:fill="FFFFFF"/>
        </w:rPr>
        <w:t xml:space="preserve"> </w:t>
      </w:r>
      <w:r w:rsidRPr="00DF1884">
        <w:rPr>
          <w:shd w:val="clear" w:color="auto" w:fill="FFFFFF"/>
        </w:rPr>
        <w:t>hospitalization</w:t>
      </w:r>
      <w:r w:rsidR="00DF1884" w:rsidRPr="00DF1884">
        <w:rPr>
          <w:shd w:val="clear" w:color="auto" w:fill="FFFFFF"/>
        </w:rPr>
        <w:t xml:space="preserve"> </w:t>
      </w:r>
      <w:r w:rsidRPr="00DF1884">
        <w:rPr>
          <w:shd w:val="clear" w:color="auto" w:fill="FFFFFF"/>
        </w:rPr>
        <w:t>in</w:t>
      </w:r>
      <w:r w:rsidR="00DF1884" w:rsidRPr="00DF1884">
        <w:rPr>
          <w:shd w:val="clear" w:color="auto" w:fill="FFFFFF"/>
        </w:rPr>
        <w:t xml:space="preserve"> </w:t>
      </w:r>
      <w:r w:rsidRPr="00DF1884">
        <w:rPr>
          <w:shd w:val="clear" w:color="auto" w:fill="FFFFFF"/>
        </w:rPr>
        <w:t>the</w:t>
      </w:r>
      <w:r w:rsidR="00DF1884" w:rsidRPr="00DF1884">
        <w:rPr>
          <w:shd w:val="clear" w:color="auto" w:fill="FFFFFF"/>
        </w:rPr>
        <w:t xml:space="preserve"> </w:t>
      </w:r>
      <w:r w:rsidRPr="00DF1884">
        <w:rPr>
          <w:shd w:val="clear" w:color="auto" w:fill="FFFFFF"/>
        </w:rPr>
        <w:t>elderly.</w:t>
      </w:r>
      <w:r w:rsidR="00DF1884" w:rsidRPr="00DF1884">
        <w:rPr>
          <w:rStyle w:val="apple-converted-space"/>
          <w:szCs w:val="20"/>
          <w:shd w:val="clear" w:color="auto" w:fill="FFFFFF"/>
        </w:rPr>
        <w:t xml:space="preserve"> </w:t>
      </w:r>
      <w:r w:rsidRPr="00DF1884">
        <w:rPr>
          <w:i/>
          <w:iCs/>
          <w:shd w:val="clear" w:color="auto" w:fill="FFFFFF"/>
        </w:rPr>
        <w:t>Social</w:t>
      </w:r>
      <w:r w:rsidR="00DF1884" w:rsidRPr="00DF1884">
        <w:rPr>
          <w:i/>
          <w:iCs/>
          <w:shd w:val="clear" w:color="auto" w:fill="FFFFFF"/>
        </w:rPr>
        <w:t xml:space="preserve"> </w:t>
      </w:r>
      <w:r w:rsidRPr="00DF1884">
        <w:rPr>
          <w:i/>
          <w:iCs/>
          <w:shd w:val="clear" w:color="auto" w:fill="FFFFFF"/>
        </w:rPr>
        <w:t>science</w:t>
      </w:r>
      <w:r w:rsidR="00DF1884" w:rsidRPr="00DF1884">
        <w:rPr>
          <w:i/>
          <w:iCs/>
          <w:shd w:val="clear" w:color="auto" w:fill="FFFFFF"/>
        </w:rPr>
        <w:t xml:space="preserve"> </w:t>
      </w:r>
      <w:r w:rsidRPr="00DF1884">
        <w:rPr>
          <w:i/>
          <w:iCs/>
          <w:shd w:val="clear" w:color="auto" w:fill="FFFFFF"/>
        </w:rPr>
        <w:t>&amp;</w:t>
      </w:r>
      <w:r w:rsidR="00DF1884" w:rsidRPr="00DF1884">
        <w:rPr>
          <w:i/>
          <w:iCs/>
          <w:shd w:val="clear" w:color="auto" w:fill="FFFFFF"/>
        </w:rPr>
        <w:t xml:space="preserve"> </w:t>
      </w:r>
      <w:r w:rsidRPr="00DF1884">
        <w:rPr>
          <w:i/>
          <w:iCs/>
          <w:shd w:val="clear" w:color="auto" w:fill="FFFFFF"/>
        </w:rPr>
        <w:t>medicine</w:t>
      </w:r>
      <w:r w:rsidR="00046618">
        <w:rPr>
          <w:shd w:val="clear" w:color="auto" w:fill="FFFFFF"/>
        </w:rPr>
        <w:t>.</w:t>
      </w:r>
      <w:r w:rsidR="00DF1884" w:rsidRPr="00DF1884">
        <w:rPr>
          <w:rStyle w:val="apple-converted-space"/>
          <w:szCs w:val="20"/>
          <w:shd w:val="clear" w:color="auto" w:fill="FFFFFF"/>
        </w:rPr>
        <w:t xml:space="preserve"> </w:t>
      </w:r>
      <w:r w:rsidRPr="00DF1884">
        <w:rPr>
          <w:i/>
          <w:iCs/>
          <w:shd w:val="clear" w:color="auto" w:fill="FFFFFF"/>
        </w:rPr>
        <w:t>16</w:t>
      </w:r>
      <w:r w:rsidRPr="00DF1884">
        <w:rPr>
          <w:shd w:val="clear" w:color="auto" w:fill="FFFFFF"/>
        </w:rPr>
        <w:t>(10),</w:t>
      </w:r>
      <w:r w:rsidR="00DF1884" w:rsidRPr="00DF1884">
        <w:rPr>
          <w:shd w:val="clear" w:color="auto" w:fill="FFFFFF"/>
        </w:rPr>
        <w:t xml:space="preserve"> </w:t>
      </w:r>
      <w:r w:rsidRPr="00DF1884">
        <w:rPr>
          <w:shd w:val="clear" w:color="auto" w:fill="FFFFFF"/>
        </w:rPr>
        <w:t>1033</w:t>
      </w:r>
      <w:r w:rsidR="00046618">
        <w:rPr>
          <w:shd w:val="clear" w:color="auto" w:fill="FFFFFF"/>
        </w:rPr>
        <w:t>–</w:t>
      </w:r>
      <w:r w:rsidRPr="00DF1884">
        <w:rPr>
          <w:shd w:val="clear" w:color="auto" w:fill="FFFFFF"/>
        </w:rPr>
        <w:t>8.</w:t>
      </w:r>
    </w:p>
    <w:p w14:paraId="536E53F9" w14:textId="34BF6E08" w:rsidR="001559AE" w:rsidRPr="00DF1884" w:rsidRDefault="001559AE" w:rsidP="00DF1884">
      <w:pPr>
        <w:pStyle w:val="Body"/>
        <w:spacing w:before="0"/>
        <w:ind w:left="360" w:hanging="360"/>
        <w:rPr>
          <w:shd w:val="clear" w:color="auto" w:fill="FFFFFF"/>
        </w:rPr>
      </w:pPr>
      <w:r w:rsidRPr="00DF1884">
        <w:rPr>
          <w:shd w:val="clear" w:color="auto" w:fill="FFFFFF"/>
        </w:rPr>
        <w:t>Johnson,</w:t>
      </w:r>
      <w:r w:rsidR="00DF1884" w:rsidRPr="00DF1884">
        <w:rPr>
          <w:shd w:val="clear" w:color="auto" w:fill="FFFFFF"/>
        </w:rPr>
        <w:t xml:space="preserve"> </w:t>
      </w:r>
      <w:r w:rsidRPr="00DF1884">
        <w:rPr>
          <w:shd w:val="clear" w:color="auto" w:fill="FFFFFF"/>
        </w:rPr>
        <w:t>P.J.,</w:t>
      </w:r>
      <w:r w:rsidR="00DF1884" w:rsidRPr="00DF1884">
        <w:rPr>
          <w:shd w:val="clear" w:color="auto" w:fill="FFFFFF"/>
        </w:rPr>
        <w:t xml:space="preserve"> </w:t>
      </w:r>
      <w:r w:rsidR="00046618">
        <w:rPr>
          <w:shd w:val="clear" w:color="auto" w:fill="FFFFFF"/>
        </w:rPr>
        <w:t xml:space="preserve">N. </w:t>
      </w:r>
      <w:r w:rsidRPr="00DF1884">
        <w:rPr>
          <w:shd w:val="clear" w:color="auto" w:fill="FFFFFF"/>
        </w:rPr>
        <w:t>Ghildayal.,</w:t>
      </w:r>
      <w:r w:rsidR="00DF1884" w:rsidRPr="00DF1884">
        <w:rPr>
          <w:shd w:val="clear" w:color="auto" w:fill="FFFFFF"/>
        </w:rPr>
        <w:t xml:space="preserve"> </w:t>
      </w:r>
      <w:r w:rsidR="00046618">
        <w:rPr>
          <w:shd w:val="clear" w:color="auto" w:fill="FFFFFF"/>
        </w:rPr>
        <w:t xml:space="preserve">A.C. </w:t>
      </w:r>
      <w:r w:rsidRPr="00DF1884">
        <w:rPr>
          <w:shd w:val="clear" w:color="auto" w:fill="FFFFFF"/>
        </w:rPr>
        <w:t>Ward,</w:t>
      </w:r>
      <w:r w:rsidR="00DF1884" w:rsidRPr="00DF1884">
        <w:rPr>
          <w:shd w:val="clear" w:color="auto" w:fill="FFFFFF"/>
        </w:rPr>
        <w:t xml:space="preserve"> </w:t>
      </w:r>
      <w:r w:rsidR="00046618">
        <w:rPr>
          <w:shd w:val="clear" w:color="auto" w:fill="FFFFFF"/>
        </w:rPr>
        <w:t xml:space="preserve">B.C. </w:t>
      </w:r>
      <w:r w:rsidRPr="00DF1884">
        <w:rPr>
          <w:shd w:val="clear" w:color="auto" w:fill="FFFFFF"/>
        </w:rPr>
        <w:t>Westgard,</w:t>
      </w:r>
      <w:r w:rsidR="00DF1884" w:rsidRPr="00DF1884">
        <w:rPr>
          <w:shd w:val="clear" w:color="auto" w:fill="FFFFFF"/>
        </w:rPr>
        <w:t xml:space="preserve"> </w:t>
      </w:r>
      <w:r w:rsidR="00046618">
        <w:rPr>
          <w:shd w:val="clear" w:color="auto" w:fill="FFFFFF"/>
        </w:rPr>
        <w:t xml:space="preserve">L.L. </w:t>
      </w:r>
      <w:r w:rsidRPr="00DF1884">
        <w:rPr>
          <w:shd w:val="clear" w:color="auto" w:fill="FFFFFF"/>
        </w:rPr>
        <w:t>Boland</w:t>
      </w:r>
      <w:r w:rsidR="00046618">
        <w:rPr>
          <w:shd w:val="clear" w:color="auto" w:fill="FFFFFF"/>
        </w:rPr>
        <w:t>,</w:t>
      </w:r>
      <w:r w:rsidR="00DF1884" w:rsidRPr="00DF1884">
        <w:rPr>
          <w:shd w:val="clear" w:color="auto" w:fill="FFFFFF"/>
        </w:rPr>
        <w:t xml:space="preserve"> </w:t>
      </w:r>
      <w:r w:rsidR="00046618">
        <w:rPr>
          <w:shd w:val="clear" w:color="auto" w:fill="FFFFFF"/>
        </w:rPr>
        <w:t>and J.S. H</w:t>
      </w:r>
      <w:r w:rsidRPr="00DF1884">
        <w:rPr>
          <w:shd w:val="clear" w:color="auto" w:fill="FFFFFF"/>
        </w:rPr>
        <w:t>okanson.</w:t>
      </w:r>
      <w:r w:rsidR="00DF1884" w:rsidRPr="00DF1884">
        <w:rPr>
          <w:shd w:val="clear" w:color="auto" w:fill="FFFFFF"/>
        </w:rPr>
        <w:t xml:space="preserve"> </w:t>
      </w:r>
      <w:r w:rsidRPr="00DF1884">
        <w:rPr>
          <w:shd w:val="clear" w:color="auto" w:fill="FFFFFF"/>
        </w:rPr>
        <w:t>2012.</w:t>
      </w:r>
      <w:r w:rsidR="00DF1884" w:rsidRPr="00DF1884">
        <w:rPr>
          <w:shd w:val="clear" w:color="auto" w:fill="FFFFFF"/>
        </w:rPr>
        <w:t xml:space="preserve"> </w:t>
      </w:r>
      <w:r w:rsidRPr="00DF1884">
        <w:rPr>
          <w:shd w:val="clear" w:color="auto" w:fill="FFFFFF"/>
        </w:rPr>
        <w:t>Disparities</w:t>
      </w:r>
      <w:r w:rsidR="00DF1884" w:rsidRPr="00DF1884">
        <w:rPr>
          <w:shd w:val="clear" w:color="auto" w:fill="FFFFFF"/>
        </w:rPr>
        <w:t xml:space="preserve"> </w:t>
      </w:r>
      <w:r w:rsidRPr="00DF1884">
        <w:rPr>
          <w:shd w:val="clear" w:color="auto" w:fill="FFFFFF"/>
        </w:rPr>
        <w:t>in</w:t>
      </w:r>
      <w:r w:rsidR="00DF1884" w:rsidRPr="00DF1884">
        <w:rPr>
          <w:shd w:val="clear" w:color="auto" w:fill="FFFFFF"/>
        </w:rPr>
        <w:t xml:space="preserve"> </w:t>
      </w:r>
      <w:r w:rsidRPr="00DF1884">
        <w:rPr>
          <w:shd w:val="clear" w:color="auto" w:fill="FFFFFF"/>
        </w:rPr>
        <w:t>potentially</w:t>
      </w:r>
      <w:r w:rsidR="00DF1884" w:rsidRPr="00DF1884">
        <w:rPr>
          <w:shd w:val="clear" w:color="auto" w:fill="FFFFFF"/>
        </w:rPr>
        <w:t xml:space="preserve"> </w:t>
      </w:r>
      <w:r w:rsidRPr="00DF1884">
        <w:rPr>
          <w:shd w:val="clear" w:color="auto" w:fill="FFFFFF"/>
        </w:rPr>
        <w:t>avoidable</w:t>
      </w:r>
      <w:r w:rsidR="00DF1884" w:rsidRPr="00DF1884">
        <w:rPr>
          <w:shd w:val="clear" w:color="auto" w:fill="FFFFFF"/>
        </w:rPr>
        <w:t xml:space="preserve"> </w:t>
      </w:r>
      <w:r w:rsidRPr="00DF1884">
        <w:rPr>
          <w:shd w:val="clear" w:color="auto" w:fill="FFFFFF"/>
        </w:rPr>
        <w:t>emergency</w:t>
      </w:r>
      <w:r w:rsidR="00DF1884" w:rsidRPr="00DF1884">
        <w:rPr>
          <w:shd w:val="clear" w:color="auto" w:fill="FFFFFF"/>
        </w:rPr>
        <w:t xml:space="preserve"> </w:t>
      </w:r>
      <w:r w:rsidRPr="00DF1884">
        <w:rPr>
          <w:shd w:val="clear" w:color="auto" w:fill="FFFFFF"/>
        </w:rPr>
        <w:t>department</w:t>
      </w:r>
      <w:r w:rsidR="00DF1884" w:rsidRPr="00DF1884">
        <w:rPr>
          <w:shd w:val="clear" w:color="auto" w:fill="FFFFFF"/>
        </w:rPr>
        <w:t xml:space="preserve"> </w:t>
      </w:r>
      <w:r w:rsidRPr="00DF1884">
        <w:rPr>
          <w:shd w:val="clear" w:color="auto" w:fill="FFFFFF"/>
        </w:rPr>
        <w:t>(ED)</w:t>
      </w:r>
      <w:r w:rsidR="00DF1884" w:rsidRPr="00DF1884">
        <w:rPr>
          <w:shd w:val="clear" w:color="auto" w:fill="FFFFFF"/>
        </w:rPr>
        <w:t xml:space="preserve"> </w:t>
      </w:r>
      <w:r w:rsidRPr="00DF1884">
        <w:rPr>
          <w:shd w:val="clear" w:color="auto" w:fill="FFFFFF"/>
        </w:rPr>
        <w:t>care:</w:t>
      </w:r>
      <w:r w:rsidR="00DF1884" w:rsidRPr="00DF1884">
        <w:rPr>
          <w:shd w:val="clear" w:color="auto" w:fill="FFFFFF"/>
        </w:rPr>
        <w:t xml:space="preserve"> </w:t>
      </w:r>
      <w:r w:rsidRPr="00DF1884">
        <w:rPr>
          <w:shd w:val="clear" w:color="auto" w:fill="FFFFFF"/>
        </w:rPr>
        <w:t>ED</w:t>
      </w:r>
      <w:r w:rsidR="00DF1884" w:rsidRPr="00DF1884">
        <w:rPr>
          <w:shd w:val="clear" w:color="auto" w:fill="FFFFFF"/>
        </w:rPr>
        <w:t xml:space="preserve"> </w:t>
      </w:r>
      <w:r w:rsidRPr="00DF1884">
        <w:rPr>
          <w:shd w:val="clear" w:color="auto" w:fill="FFFFFF"/>
        </w:rPr>
        <w:t>visits</w:t>
      </w:r>
      <w:r w:rsidR="00DF1884" w:rsidRPr="00DF1884">
        <w:rPr>
          <w:shd w:val="clear" w:color="auto" w:fill="FFFFFF"/>
        </w:rPr>
        <w:t xml:space="preserve"> </w:t>
      </w:r>
      <w:r w:rsidRPr="00DF1884">
        <w:rPr>
          <w:shd w:val="clear" w:color="auto" w:fill="FFFFFF"/>
        </w:rPr>
        <w:t>for</w:t>
      </w:r>
      <w:r w:rsidR="00DF1884" w:rsidRPr="00DF1884">
        <w:rPr>
          <w:shd w:val="clear" w:color="auto" w:fill="FFFFFF"/>
        </w:rPr>
        <w:t xml:space="preserve"> </w:t>
      </w:r>
      <w:r w:rsidRPr="00DF1884">
        <w:rPr>
          <w:shd w:val="clear" w:color="auto" w:fill="FFFFFF"/>
        </w:rPr>
        <w:t>ambulatory</w:t>
      </w:r>
      <w:r w:rsidR="00DF1884" w:rsidRPr="00DF1884">
        <w:rPr>
          <w:shd w:val="clear" w:color="auto" w:fill="FFFFFF"/>
        </w:rPr>
        <w:t xml:space="preserve"> </w:t>
      </w:r>
      <w:r w:rsidRPr="00DF1884">
        <w:rPr>
          <w:shd w:val="clear" w:color="auto" w:fill="FFFFFF"/>
        </w:rPr>
        <w:t>care</w:t>
      </w:r>
      <w:r w:rsidR="00DF1884" w:rsidRPr="00DF1884">
        <w:rPr>
          <w:shd w:val="clear" w:color="auto" w:fill="FFFFFF"/>
        </w:rPr>
        <w:t xml:space="preserve"> </w:t>
      </w:r>
      <w:r w:rsidRPr="00DF1884">
        <w:rPr>
          <w:shd w:val="clear" w:color="auto" w:fill="FFFFFF"/>
        </w:rPr>
        <w:t>sensitive</w:t>
      </w:r>
      <w:r w:rsidR="00DF1884" w:rsidRPr="00DF1884">
        <w:rPr>
          <w:shd w:val="clear" w:color="auto" w:fill="FFFFFF"/>
        </w:rPr>
        <w:t xml:space="preserve"> </w:t>
      </w:r>
      <w:r w:rsidRPr="00DF1884">
        <w:rPr>
          <w:shd w:val="clear" w:color="auto" w:fill="FFFFFF"/>
        </w:rPr>
        <w:t>conditions.</w:t>
      </w:r>
      <w:r w:rsidR="00046618">
        <w:rPr>
          <w:shd w:val="clear" w:color="auto" w:fill="FFFFFF"/>
        </w:rPr>
        <w:t xml:space="preserve"> </w:t>
      </w:r>
      <w:r w:rsidRPr="00DF1884">
        <w:rPr>
          <w:i/>
          <w:iCs/>
          <w:shd w:val="clear" w:color="auto" w:fill="FFFFFF"/>
        </w:rPr>
        <w:t>Medical</w:t>
      </w:r>
      <w:r w:rsidR="00DF1884" w:rsidRPr="00DF1884">
        <w:rPr>
          <w:i/>
          <w:iCs/>
          <w:shd w:val="clear" w:color="auto" w:fill="FFFFFF"/>
        </w:rPr>
        <w:t xml:space="preserve"> </w:t>
      </w:r>
      <w:r w:rsidRPr="00DF1884">
        <w:rPr>
          <w:i/>
          <w:iCs/>
          <w:shd w:val="clear" w:color="auto" w:fill="FFFFFF"/>
        </w:rPr>
        <w:t>Care</w:t>
      </w:r>
      <w:r w:rsidR="00046618">
        <w:rPr>
          <w:shd w:val="clear" w:color="auto" w:fill="FFFFFF"/>
        </w:rPr>
        <w:t>.</w:t>
      </w:r>
      <w:r w:rsidR="00DF1884" w:rsidRPr="00DF1884">
        <w:rPr>
          <w:rStyle w:val="apple-converted-space"/>
          <w:szCs w:val="20"/>
          <w:shd w:val="clear" w:color="auto" w:fill="FFFFFF"/>
        </w:rPr>
        <w:t xml:space="preserve"> </w:t>
      </w:r>
      <w:r w:rsidRPr="00DF1884">
        <w:rPr>
          <w:i/>
          <w:iCs/>
          <w:shd w:val="clear" w:color="auto" w:fill="FFFFFF"/>
        </w:rPr>
        <w:t>50</w:t>
      </w:r>
      <w:r w:rsidRPr="00DF1884">
        <w:rPr>
          <w:shd w:val="clear" w:color="auto" w:fill="FFFFFF"/>
        </w:rPr>
        <w:t>(12),</w:t>
      </w:r>
      <w:r w:rsidR="00DF1884" w:rsidRPr="00DF1884">
        <w:rPr>
          <w:shd w:val="clear" w:color="auto" w:fill="FFFFFF"/>
        </w:rPr>
        <w:t xml:space="preserve"> </w:t>
      </w:r>
      <w:r w:rsidRPr="00DF1884">
        <w:rPr>
          <w:shd w:val="clear" w:color="auto" w:fill="FFFFFF"/>
        </w:rPr>
        <w:t>1020</w:t>
      </w:r>
      <w:r w:rsidR="00046618">
        <w:rPr>
          <w:shd w:val="clear" w:color="auto" w:fill="FFFFFF"/>
        </w:rPr>
        <w:t>–</w:t>
      </w:r>
      <w:r w:rsidRPr="00DF1884">
        <w:rPr>
          <w:shd w:val="clear" w:color="auto" w:fill="FFFFFF"/>
        </w:rPr>
        <w:t>8.</w:t>
      </w:r>
    </w:p>
    <w:p w14:paraId="52E08659" w14:textId="17D1B443" w:rsidR="001559AE" w:rsidRPr="00DF1884" w:rsidRDefault="001559AE" w:rsidP="00DF1884">
      <w:pPr>
        <w:pStyle w:val="Body"/>
        <w:spacing w:before="0"/>
        <w:ind w:left="360" w:hanging="360"/>
      </w:pPr>
      <w:r w:rsidRPr="00DF1884">
        <w:t>Kaiser</w:t>
      </w:r>
      <w:r w:rsidR="00DF1884" w:rsidRPr="00DF1884">
        <w:t xml:space="preserve"> </w:t>
      </w:r>
      <w:r w:rsidRPr="00DF1884">
        <w:t>Family</w:t>
      </w:r>
      <w:r w:rsidR="00DF1884" w:rsidRPr="00DF1884">
        <w:t xml:space="preserve"> </w:t>
      </w:r>
      <w:r w:rsidRPr="00DF1884">
        <w:t>Foundation</w:t>
      </w:r>
      <w:r w:rsidR="00DF1884" w:rsidRPr="00DF1884">
        <w:t xml:space="preserve"> </w:t>
      </w:r>
      <w:r w:rsidRPr="00DF1884">
        <w:t>(KFF).</w:t>
      </w:r>
      <w:r w:rsidR="00DF1884" w:rsidRPr="00DF1884">
        <w:rPr>
          <w:i/>
        </w:rPr>
        <w:t xml:space="preserve"> </w:t>
      </w:r>
      <w:r w:rsidRPr="00DF1884">
        <w:t>Medicare</w:t>
      </w:r>
      <w:r w:rsidR="00DF1884" w:rsidRPr="00DF1884">
        <w:t xml:space="preserve"> </w:t>
      </w:r>
      <w:r w:rsidRPr="00DF1884">
        <w:t>Spending</w:t>
      </w:r>
      <w:r w:rsidR="00DF1884" w:rsidRPr="00DF1884">
        <w:t xml:space="preserve"> </w:t>
      </w:r>
      <w:r w:rsidRPr="00DF1884">
        <w:t>and</w:t>
      </w:r>
      <w:r w:rsidR="00DF1884" w:rsidRPr="00DF1884">
        <w:t xml:space="preserve"> </w:t>
      </w:r>
      <w:r w:rsidRPr="00DF1884">
        <w:t>Financing</w:t>
      </w:r>
      <w:r w:rsidR="00DF1884" w:rsidRPr="00DF1884">
        <w:t xml:space="preserve"> </w:t>
      </w:r>
      <w:r w:rsidRPr="00DF1884">
        <w:t>Fact</w:t>
      </w:r>
      <w:r w:rsidR="00DF1884" w:rsidRPr="00DF1884">
        <w:t xml:space="preserve"> </w:t>
      </w:r>
      <w:r w:rsidRPr="00DF1884">
        <w:t>Sheet.</w:t>
      </w:r>
      <w:r w:rsidR="00DF1884" w:rsidRPr="00DF1884">
        <w:rPr>
          <w:i/>
        </w:rPr>
        <w:t xml:space="preserve"> </w:t>
      </w:r>
      <w:r w:rsidRPr="00DF1884">
        <w:t>Accessed</w:t>
      </w:r>
      <w:r w:rsidR="00DF1884" w:rsidRPr="00DF1884">
        <w:t xml:space="preserve"> </w:t>
      </w:r>
      <w:r w:rsidRPr="00DF1884">
        <w:t>July</w:t>
      </w:r>
      <w:r w:rsidR="00DF1884" w:rsidRPr="00DF1884">
        <w:t xml:space="preserve"> </w:t>
      </w:r>
      <w:r w:rsidRPr="00DF1884">
        <w:t>31,</w:t>
      </w:r>
      <w:r w:rsidR="00DF1884" w:rsidRPr="00DF1884">
        <w:t xml:space="preserve"> </w:t>
      </w:r>
      <w:r w:rsidRPr="00DF1884">
        <w:t>2013.</w:t>
      </w:r>
      <w:r w:rsidR="00DF1884" w:rsidRPr="00DF1884">
        <w:rPr>
          <w:i/>
        </w:rPr>
        <w:t xml:space="preserve"> </w:t>
      </w:r>
      <w:r w:rsidRPr="00DF1884">
        <w:t>Available</w:t>
      </w:r>
      <w:r w:rsidR="00DF1884" w:rsidRPr="00DF1884">
        <w:t xml:space="preserve"> </w:t>
      </w:r>
      <w:r w:rsidRPr="00DF1884">
        <w:t>at:</w:t>
      </w:r>
      <w:r w:rsidR="00DF1884" w:rsidRPr="00DF1884">
        <w:t xml:space="preserve"> </w:t>
      </w:r>
      <w:hyperlink r:id="rId81" w:history="1">
        <w:r w:rsidRPr="00DF1884">
          <w:rPr>
            <w:rStyle w:val="Hyperlink"/>
            <w:color w:val="auto"/>
          </w:rPr>
          <w:t>http://kff.org/medicare/fact-sheet/medicare-spending-and-financing-fact-sheet/</w:t>
        </w:r>
      </w:hyperlink>
    </w:p>
    <w:p w14:paraId="24B1DDE2" w14:textId="33C0729E" w:rsidR="001559AE" w:rsidRPr="00DF1884" w:rsidRDefault="001559AE" w:rsidP="00DF1884">
      <w:pPr>
        <w:pStyle w:val="Body"/>
        <w:spacing w:before="0"/>
        <w:ind w:left="360" w:hanging="360"/>
        <w:rPr>
          <w:i/>
        </w:rPr>
      </w:pPr>
      <w:r w:rsidRPr="00DF1884">
        <w:t>McCall,</w:t>
      </w:r>
      <w:r w:rsidR="00DF1884" w:rsidRPr="00DF1884">
        <w:t xml:space="preserve"> </w:t>
      </w:r>
      <w:r w:rsidRPr="00DF1884">
        <w:t>N.T.,</w:t>
      </w:r>
      <w:r w:rsidR="00046618">
        <w:t xml:space="preserve"> E.</w:t>
      </w:r>
      <w:r w:rsidR="00DF1884" w:rsidRPr="00DF1884">
        <w:t xml:space="preserve"> </w:t>
      </w:r>
      <w:r w:rsidRPr="00DF1884">
        <w:t>Brody,</w:t>
      </w:r>
      <w:r w:rsidR="00DF1884" w:rsidRPr="00DF1884">
        <w:t xml:space="preserve"> </w:t>
      </w:r>
      <w:r w:rsidR="00046618">
        <w:t xml:space="preserve">L. </w:t>
      </w:r>
      <w:r w:rsidRPr="00DF1884">
        <w:t>Mobley,</w:t>
      </w:r>
      <w:r w:rsidR="00DF1884" w:rsidRPr="00DF1884">
        <w:t xml:space="preserve"> </w:t>
      </w:r>
      <w:r w:rsidR="00046618">
        <w:t>and S.</w:t>
      </w:r>
      <w:r w:rsidR="00DF1884" w:rsidRPr="00DF1884">
        <w:rPr>
          <w:i/>
        </w:rPr>
        <w:t xml:space="preserve"> </w:t>
      </w:r>
      <w:r w:rsidRPr="00DF1884">
        <w:t>Subramanian.</w:t>
      </w:r>
      <w:r w:rsidR="00DF1884" w:rsidRPr="00DF1884">
        <w:t xml:space="preserve"> </w:t>
      </w:r>
      <w:r w:rsidR="00046618">
        <w:t>2004.</w:t>
      </w:r>
      <w:r w:rsidR="00DF1884" w:rsidRPr="00DF1884">
        <w:t xml:space="preserve"> </w:t>
      </w:r>
      <w:r w:rsidRPr="00DF1884">
        <w:t>Investigation</w:t>
      </w:r>
      <w:r w:rsidR="00DF1884" w:rsidRPr="00DF1884">
        <w:t xml:space="preserve"> </w:t>
      </w:r>
      <w:r w:rsidRPr="00DF1884">
        <w:t>of</w:t>
      </w:r>
      <w:r w:rsidR="00DF1884" w:rsidRPr="00DF1884">
        <w:t xml:space="preserve"> </w:t>
      </w:r>
      <w:r w:rsidRPr="00DF1884">
        <w:t>Increasing</w:t>
      </w:r>
      <w:r w:rsidR="00DF1884" w:rsidRPr="00DF1884">
        <w:t xml:space="preserve"> </w:t>
      </w:r>
      <w:r w:rsidRPr="00DF1884">
        <w:t>Rates</w:t>
      </w:r>
      <w:r w:rsidR="00DF1884" w:rsidRPr="00DF1884">
        <w:t xml:space="preserve"> </w:t>
      </w:r>
      <w:r w:rsidRPr="00DF1884">
        <w:t>of</w:t>
      </w:r>
      <w:r w:rsidR="00DF1884" w:rsidRPr="00DF1884">
        <w:t xml:space="preserve"> </w:t>
      </w:r>
      <w:r w:rsidRPr="00DF1884">
        <w:t>Hospitalization</w:t>
      </w:r>
      <w:r w:rsidR="00DF1884" w:rsidRPr="00DF1884">
        <w:t xml:space="preserve"> </w:t>
      </w:r>
      <w:r w:rsidRPr="00DF1884">
        <w:t>for</w:t>
      </w:r>
      <w:r w:rsidR="00DF1884" w:rsidRPr="00DF1884">
        <w:t xml:space="preserve"> </w:t>
      </w:r>
      <w:r w:rsidRPr="00DF1884">
        <w:t>Ambulatory</w:t>
      </w:r>
      <w:r w:rsidR="00DF1884" w:rsidRPr="00DF1884">
        <w:t xml:space="preserve"> </w:t>
      </w:r>
      <w:r w:rsidRPr="00DF1884">
        <w:t>Care</w:t>
      </w:r>
      <w:r w:rsidR="00DF1884" w:rsidRPr="00DF1884">
        <w:t xml:space="preserve"> </w:t>
      </w:r>
      <w:r w:rsidRPr="00DF1884">
        <w:t>Sensitive</w:t>
      </w:r>
      <w:r w:rsidR="00DF1884" w:rsidRPr="00DF1884">
        <w:t xml:space="preserve"> </w:t>
      </w:r>
      <w:r w:rsidRPr="00DF1884">
        <w:t>Conditions</w:t>
      </w:r>
      <w:r w:rsidR="00DF1884" w:rsidRPr="00DF1884">
        <w:t xml:space="preserve"> </w:t>
      </w:r>
      <w:r w:rsidRPr="00DF1884">
        <w:t>Among</w:t>
      </w:r>
      <w:r w:rsidR="00DF1884" w:rsidRPr="00DF1884">
        <w:t xml:space="preserve"> </w:t>
      </w:r>
      <w:r w:rsidRPr="00DF1884">
        <w:t>Medicare</w:t>
      </w:r>
      <w:r w:rsidR="00DF1884" w:rsidRPr="00DF1884">
        <w:t xml:space="preserve"> </w:t>
      </w:r>
      <w:r w:rsidRPr="00DF1884">
        <w:t>Fee-for-Service</w:t>
      </w:r>
      <w:r w:rsidR="00DF1884" w:rsidRPr="00DF1884">
        <w:t xml:space="preserve"> </w:t>
      </w:r>
      <w:r w:rsidRPr="00DF1884">
        <w:t>Beneficiaries.</w:t>
      </w:r>
      <w:r w:rsidR="00DF1884" w:rsidRPr="00DF1884">
        <w:rPr>
          <w:i/>
        </w:rPr>
        <w:t xml:space="preserve"> </w:t>
      </w:r>
      <w:r w:rsidRPr="00DF1884">
        <w:t>Prepared</w:t>
      </w:r>
      <w:r w:rsidR="00DF1884" w:rsidRPr="00DF1884">
        <w:t xml:space="preserve"> </w:t>
      </w:r>
      <w:r w:rsidRPr="00DF1884">
        <w:t>for</w:t>
      </w:r>
      <w:r w:rsidR="00DF1884" w:rsidRPr="00DF1884">
        <w:t xml:space="preserve"> </w:t>
      </w:r>
      <w:r w:rsidRPr="00DF1884">
        <w:t>the</w:t>
      </w:r>
      <w:r w:rsidR="00DF1884" w:rsidRPr="00DF1884">
        <w:t xml:space="preserve"> </w:t>
      </w:r>
      <w:r w:rsidRPr="00DF1884">
        <w:t>Centers</w:t>
      </w:r>
      <w:r w:rsidR="00DF1884" w:rsidRPr="00DF1884">
        <w:t xml:space="preserve"> </w:t>
      </w:r>
      <w:r w:rsidRPr="00DF1884">
        <w:t>for</w:t>
      </w:r>
      <w:r w:rsidR="00DF1884" w:rsidRPr="00DF1884">
        <w:t xml:space="preserve"> </w:t>
      </w:r>
      <w:r w:rsidRPr="00DF1884">
        <w:t>Medicare</w:t>
      </w:r>
      <w:r w:rsidR="00DF1884" w:rsidRPr="00DF1884">
        <w:t xml:space="preserve"> </w:t>
      </w:r>
      <w:r w:rsidRPr="00DF1884">
        <w:t>and</w:t>
      </w:r>
      <w:r w:rsidR="00DF1884" w:rsidRPr="00DF1884">
        <w:t xml:space="preserve"> </w:t>
      </w:r>
      <w:r w:rsidRPr="00DF1884">
        <w:t>Medicaid</w:t>
      </w:r>
      <w:r w:rsidR="00DF1884" w:rsidRPr="00DF1884">
        <w:t xml:space="preserve"> </w:t>
      </w:r>
      <w:r w:rsidRPr="00DF1884">
        <w:t>Services.</w:t>
      </w:r>
      <w:r w:rsidR="00DF1884" w:rsidRPr="00DF1884">
        <w:rPr>
          <w:i/>
        </w:rPr>
        <w:t xml:space="preserve"> </w:t>
      </w:r>
      <w:r w:rsidRPr="00DF1884">
        <w:t>Accessed</w:t>
      </w:r>
      <w:r w:rsidR="00DF1884" w:rsidRPr="00DF1884">
        <w:t xml:space="preserve"> </w:t>
      </w:r>
      <w:r w:rsidRPr="00DF1884">
        <w:t>July</w:t>
      </w:r>
      <w:r w:rsidR="00DF1884" w:rsidRPr="00DF1884">
        <w:t xml:space="preserve"> </w:t>
      </w:r>
      <w:r w:rsidRPr="00DF1884">
        <w:t>31,</w:t>
      </w:r>
      <w:r w:rsidR="00DF1884" w:rsidRPr="00DF1884">
        <w:t xml:space="preserve"> </w:t>
      </w:r>
      <w:r w:rsidRPr="00DF1884">
        <w:t>2013.</w:t>
      </w:r>
      <w:r w:rsidR="00DF1884" w:rsidRPr="00DF1884">
        <w:t xml:space="preserve"> </w:t>
      </w:r>
      <w:r w:rsidRPr="00DF1884">
        <w:t>Available</w:t>
      </w:r>
      <w:r w:rsidR="00DF1884" w:rsidRPr="00DF1884">
        <w:t xml:space="preserve"> </w:t>
      </w:r>
      <w:r w:rsidRPr="00DF1884">
        <w:t>at:</w:t>
      </w:r>
      <w:r w:rsidR="00DF1884" w:rsidRPr="00DF1884">
        <w:t xml:space="preserve"> </w:t>
      </w:r>
      <w:hyperlink r:id="rId82" w:history="1">
        <w:r w:rsidRPr="00DF1884">
          <w:rPr>
            <w:rStyle w:val="Hyperlink"/>
            <w:color w:val="auto"/>
            <w:szCs w:val="20"/>
          </w:rPr>
          <w:t>http://www.cms.gov/Research-Statistics-Data-and-Systems/Statistics-Trends-and-Reports/Reports/downloads/McCall_2004_3.pdf</w:t>
        </w:r>
      </w:hyperlink>
    </w:p>
    <w:p w14:paraId="6C037C27" w14:textId="14BFB523" w:rsidR="001559AE" w:rsidRPr="00DF1884" w:rsidRDefault="001559AE" w:rsidP="00DF1884">
      <w:pPr>
        <w:pStyle w:val="Body"/>
        <w:spacing w:before="0"/>
        <w:ind w:left="360" w:hanging="360"/>
      </w:pPr>
      <w:r w:rsidRPr="00DF1884">
        <w:t>McCall,</w:t>
      </w:r>
      <w:r w:rsidR="00DF1884" w:rsidRPr="00DF1884">
        <w:t xml:space="preserve"> </w:t>
      </w:r>
      <w:r w:rsidRPr="00DF1884">
        <w:t>N.T.,</w:t>
      </w:r>
      <w:r w:rsidR="00DF1884" w:rsidRPr="00DF1884">
        <w:t xml:space="preserve"> </w:t>
      </w:r>
      <w:r w:rsidR="00046618">
        <w:t xml:space="preserve">J. </w:t>
      </w:r>
      <w:r w:rsidRPr="00DF1884">
        <w:t>Harlow,</w:t>
      </w:r>
      <w:r w:rsidR="00DF1884" w:rsidRPr="00DF1884">
        <w:t xml:space="preserve"> </w:t>
      </w:r>
      <w:r w:rsidR="00046618">
        <w:t>and D. D</w:t>
      </w:r>
      <w:r w:rsidRPr="00DF1884">
        <w:t>ayhoff.</w:t>
      </w:r>
      <w:r w:rsidR="00DF1884" w:rsidRPr="00DF1884">
        <w:rPr>
          <w:i/>
        </w:rPr>
        <w:t xml:space="preserve"> </w:t>
      </w:r>
      <w:r w:rsidRPr="00DF1884">
        <w:t>2001</w:t>
      </w:r>
      <w:r w:rsidR="00046618">
        <w:t>.</w:t>
      </w:r>
      <w:r w:rsidR="00DF1884" w:rsidRPr="00DF1884">
        <w:t xml:space="preserve"> </w:t>
      </w:r>
      <w:r w:rsidRPr="00DF1884">
        <w:t>Rates</w:t>
      </w:r>
      <w:r w:rsidR="00DF1884" w:rsidRPr="00DF1884">
        <w:t xml:space="preserve"> </w:t>
      </w:r>
      <w:r w:rsidRPr="00DF1884">
        <w:t>of</w:t>
      </w:r>
      <w:r w:rsidR="00DF1884" w:rsidRPr="00DF1884">
        <w:t xml:space="preserve"> </w:t>
      </w:r>
      <w:r w:rsidRPr="00DF1884">
        <w:t>Hospitalization</w:t>
      </w:r>
      <w:r w:rsidR="00DF1884" w:rsidRPr="00DF1884">
        <w:t xml:space="preserve"> </w:t>
      </w:r>
      <w:r w:rsidRPr="00DF1884">
        <w:t>for</w:t>
      </w:r>
      <w:r w:rsidR="00DF1884" w:rsidRPr="00DF1884">
        <w:t xml:space="preserve"> </w:t>
      </w:r>
      <w:r w:rsidRPr="00DF1884">
        <w:t>Ambulatory</w:t>
      </w:r>
      <w:r w:rsidR="00DF1884" w:rsidRPr="00DF1884">
        <w:t xml:space="preserve"> </w:t>
      </w:r>
      <w:r w:rsidRPr="00DF1884">
        <w:t>Care</w:t>
      </w:r>
      <w:r w:rsidR="00DF1884" w:rsidRPr="00DF1884">
        <w:t xml:space="preserve"> </w:t>
      </w:r>
      <w:r w:rsidRPr="00DF1884">
        <w:t>Sensitive</w:t>
      </w:r>
      <w:r w:rsidR="00DF1884" w:rsidRPr="00DF1884">
        <w:t xml:space="preserve"> </w:t>
      </w:r>
      <w:r w:rsidRPr="00DF1884">
        <w:t>Conditions</w:t>
      </w:r>
      <w:r w:rsidR="00DF1884" w:rsidRPr="00DF1884">
        <w:t xml:space="preserve"> </w:t>
      </w:r>
      <w:r w:rsidRPr="00DF1884">
        <w:t>in</w:t>
      </w:r>
      <w:r w:rsidR="00DF1884" w:rsidRPr="00DF1884">
        <w:t xml:space="preserve"> </w:t>
      </w:r>
      <w:r w:rsidRPr="00DF1884">
        <w:t>the</w:t>
      </w:r>
      <w:r w:rsidR="00DF1884" w:rsidRPr="00DF1884">
        <w:t xml:space="preserve"> </w:t>
      </w:r>
      <w:r w:rsidRPr="00DF1884">
        <w:t>Medicare+Choice</w:t>
      </w:r>
      <w:r w:rsidR="00DF1884" w:rsidRPr="00DF1884">
        <w:t xml:space="preserve"> </w:t>
      </w:r>
      <w:r w:rsidRPr="00DF1884">
        <w:t>Population.</w:t>
      </w:r>
      <w:r w:rsidR="00DF1884" w:rsidRPr="00DF1884">
        <w:rPr>
          <w:i/>
        </w:rPr>
        <w:t xml:space="preserve"> </w:t>
      </w:r>
      <w:r w:rsidRPr="00DF1884">
        <w:rPr>
          <w:i/>
        </w:rPr>
        <w:t>Health</w:t>
      </w:r>
      <w:r w:rsidR="00DF1884" w:rsidRPr="00DF1884">
        <w:rPr>
          <w:i/>
        </w:rPr>
        <w:t xml:space="preserve"> </w:t>
      </w:r>
      <w:r w:rsidRPr="00DF1884">
        <w:rPr>
          <w:i/>
        </w:rPr>
        <w:t>Care</w:t>
      </w:r>
      <w:r w:rsidR="00DF1884" w:rsidRPr="00DF1884">
        <w:rPr>
          <w:i/>
        </w:rPr>
        <w:t xml:space="preserve"> </w:t>
      </w:r>
      <w:r w:rsidRPr="00DF1884">
        <w:rPr>
          <w:i/>
        </w:rPr>
        <w:t>Financing</w:t>
      </w:r>
      <w:r w:rsidR="00DF1884" w:rsidRPr="00DF1884">
        <w:rPr>
          <w:i/>
        </w:rPr>
        <w:t xml:space="preserve"> </w:t>
      </w:r>
      <w:r w:rsidRPr="00DF1884">
        <w:rPr>
          <w:i/>
        </w:rPr>
        <w:t>Review</w:t>
      </w:r>
      <w:r w:rsidRPr="00DF1884">
        <w:t>,</w:t>
      </w:r>
      <w:r w:rsidR="00DF1884" w:rsidRPr="00DF1884">
        <w:t xml:space="preserve"> </w:t>
      </w:r>
      <w:r w:rsidRPr="00DF1884">
        <w:t>22(3):</w:t>
      </w:r>
      <w:r w:rsidR="00DF1884" w:rsidRPr="00DF1884">
        <w:t xml:space="preserve"> </w:t>
      </w:r>
      <w:r w:rsidRPr="00DF1884">
        <w:t>127</w:t>
      </w:r>
      <w:r w:rsidR="00046618">
        <w:t>–</w:t>
      </w:r>
      <w:r w:rsidRPr="00DF1884">
        <w:t>45.</w:t>
      </w:r>
    </w:p>
    <w:p w14:paraId="20BF341C" w14:textId="0F700869" w:rsidR="001559AE" w:rsidRPr="00DF1884" w:rsidRDefault="001559AE" w:rsidP="00DF1884">
      <w:pPr>
        <w:pStyle w:val="Body"/>
        <w:spacing w:before="0"/>
        <w:ind w:left="360" w:hanging="360"/>
        <w:rPr>
          <w:shd w:val="clear" w:color="auto" w:fill="FFFFFF"/>
        </w:rPr>
      </w:pPr>
      <w:r w:rsidRPr="00DF1884">
        <w:rPr>
          <w:shd w:val="clear" w:color="auto" w:fill="FFFFFF"/>
        </w:rPr>
        <w:t>O'Neil,</w:t>
      </w:r>
      <w:r w:rsidR="00DF1884" w:rsidRPr="00DF1884">
        <w:rPr>
          <w:shd w:val="clear" w:color="auto" w:fill="FFFFFF"/>
        </w:rPr>
        <w:t xml:space="preserve"> </w:t>
      </w:r>
      <w:r w:rsidRPr="00DF1884">
        <w:rPr>
          <w:shd w:val="clear" w:color="auto" w:fill="FFFFFF"/>
        </w:rPr>
        <w:t>S.S.,</w:t>
      </w:r>
      <w:r w:rsidR="00046618">
        <w:rPr>
          <w:shd w:val="clear" w:color="auto" w:fill="FFFFFF"/>
        </w:rPr>
        <w:t xml:space="preserve"> T. </w:t>
      </w:r>
      <w:r w:rsidRPr="00DF1884">
        <w:rPr>
          <w:shd w:val="clear" w:color="auto" w:fill="FFFFFF"/>
        </w:rPr>
        <w:t>Lake,</w:t>
      </w:r>
      <w:r w:rsidR="00DF1884" w:rsidRPr="00DF1884">
        <w:rPr>
          <w:shd w:val="clear" w:color="auto" w:fill="FFFFFF"/>
        </w:rPr>
        <w:t xml:space="preserve"> </w:t>
      </w:r>
      <w:r w:rsidR="00046618">
        <w:rPr>
          <w:shd w:val="clear" w:color="auto" w:fill="FFFFFF"/>
        </w:rPr>
        <w:t xml:space="preserve">A. </w:t>
      </w:r>
      <w:r w:rsidRPr="00DF1884">
        <w:rPr>
          <w:shd w:val="clear" w:color="auto" w:fill="FFFFFF"/>
        </w:rPr>
        <w:t>Merrill,</w:t>
      </w:r>
      <w:r w:rsidR="00DF1884" w:rsidRPr="00DF1884">
        <w:rPr>
          <w:shd w:val="clear" w:color="auto" w:fill="FFFFFF"/>
        </w:rPr>
        <w:t xml:space="preserve"> </w:t>
      </w:r>
      <w:r w:rsidR="00046618">
        <w:rPr>
          <w:shd w:val="clear" w:color="auto" w:fill="FFFFFF"/>
        </w:rPr>
        <w:t xml:space="preserve">A. </w:t>
      </w:r>
      <w:r w:rsidRPr="00DF1884">
        <w:rPr>
          <w:shd w:val="clear" w:color="auto" w:fill="FFFFFF"/>
        </w:rPr>
        <w:t>Wilson,</w:t>
      </w:r>
      <w:r w:rsidR="00046618">
        <w:rPr>
          <w:shd w:val="clear" w:color="auto" w:fill="FFFFFF"/>
        </w:rPr>
        <w:t xml:space="preserve"> D.A.</w:t>
      </w:r>
      <w:r w:rsidR="00DF1884" w:rsidRPr="00DF1884">
        <w:rPr>
          <w:shd w:val="clear" w:color="auto" w:fill="FFFFFF"/>
        </w:rPr>
        <w:t xml:space="preserve"> </w:t>
      </w:r>
      <w:r w:rsidRPr="00DF1884">
        <w:rPr>
          <w:shd w:val="clear" w:color="auto" w:fill="FFFFFF"/>
        </w:rPr>
        <w:t>Mann,</w:t>
      </w:r>
      <w:r w:rsidR="00DF1884" w:rsidRPr="00DF1884">
        <w:rPr>
          <w:shd w:val="clear" w:color="auto" w:fill="FFFFFF"/>
        </w:rPr>
        <w:t xml:space="preserve"> </w:t>
      </w:r>
      <w:r w:rsidR="00046618">
        <w:rPr>
          <w:shd w:val="clear" w:color="auto" w:fill="FFFFFF"/>
        </w:rPr>
        <w:t xml:space="preserve">and L.M. </w:t>
      </w:r>
      <w:r w:rsidRPr="00DF1884">
        <w:rPr>
          <w:shd w:val="clear" w:color="auto" w:fill="FFFFFF"/>
        </w:rPr>
        <w:t>Bartnyska.</w:t>
      </w:r>
      <w:r w:rsidR="00DF1884" w:rsidRPr="00DF1884">
        <w:rPr>
          <w:shd w:val="clear" w:color="auto" w:fill="FFFFFF"/>
        </w:rPr>
        <w:t xml:space="preserve"> </w:t>
      </w:r>
      <w:r w:rsidR="00046618">
        <w:rPr>
          <w:shd w:val="clear" w:color="auto" w:fill="FFFFFF"/>
        </w:rPr>
        <w:t>2010</w:t>
      </w:r>
      <w:r w:rsidRPr="00DF1884">
        <w:rPr>
          <w:shd w:val="clear" w:color="auto" w:fill="FFFFFF"/>
        </w:rPr>
        <w:t>.</w:t>
      </w:r>
      <w:r w:rsidR="00DF1884" w:rsidRPr="00DF1884">
        <w:rPr>
          <w:shd w:val="clear" w:color="auto" w:fill="FFFFFF"/>
        </w:rPr>
        <w:t xml:space="preserve"> </w:t>
      </w:r>
      <w:r w:rsidRPr="00DF1884">
        <w:rPr>
          <w:shd w:val="clear" w:color="auto" w:fill="FFFFFF"/>
        </w:rPr>
        <w:t>Racial</w:t>
      </w:r>
      <w:r w:rsidR="00DF1884" w:rsidRPr="00DF1884">
        <w:rPr>
          <w:shd w:val="clear" w:color="auto" w:fill="FFFFFF"/>
        </w:rPr>
        <w:t xml:space="preserve"> </w:t>
      </w:r>
      <w:r w:rsidRPr="00DF1884">
        <w:rPr>
          <w:shd w:val="clear" w:color="auto" w:fill="FFFFFF"/>
        </w:rPr>
        <w:t>Disparities</w:t>
      </w:r>
      <w:r w:rsidR="00DF1884" w:rsidRPr="00DF1884">
        <w:rPr>
          <w:shd w:val="clear" w:color="auto" w:fill="FFFFFF"/>
        </w:rPr>
        <w:t xml:space="preserve"> </w:t>
      </w:r>
      <w:r w:rsidRPr="00DF1884">
        <w:rPr>
          <w:shd w:val="clear" w:color="auto" w:fill="FFFFFF"/>
        </w:rPr>
        <w:t>in</w:t>
      </w:r>
      <w:r w:rsidR="00DF1884" w:rsidRPr="00DF1884">
        <w:rPr>
          <w:shd w:val="clear" w:color="auto" w:fill="FFFFFF"/>
        </w:rPr>
        <w:t xml:space="preserve"> </w:t>
      </w:r>
      <w:r w:rsidRPr="00DF1884">
        <w:rPr>
          <w:shd w:val="clear" w:color="auto" w:fill="FFFFFF"/>
        </w:rPr>
        <w:t>Hospitalizations</w:t>
      </w:r>
      <w:r w:rsidR="00DF1884" w:rsidRPr="00DF1884">
        <w:rPr>
          <w:shd w:val="clear" w:color="auto" w:fill="FFFFFF"/>
        </w:rPr>
        <w:t xml:space="preserve"> </w:t>
      </w:r>
      <w:r w:rsidRPr="00DF1884">
        <w:rPr>
          <w:shd w:val="clear" w:color="auto" w:fill="FFFFFF"/>
        </w:rPr>
        <w:t>for</w:t>
      </w:r>
      <w:r w:rsidR="00DF1884" w:rsidRPr="00DF1884">
        <w:rPr>
          <w:shd w:val="clear" w:color="auto" w:fill="FFFFFF"/>
        </w:rPr>
        <w:t xml:space="preserve"> </w:t>
      </w:r>
      <w:r w:rsidRPr="00DF1884">
        <w:rPr>
          <w:shd w:val="clear" w:color="auto" w:fill="FFFFFF"/>
        </w:rPr>
        <w:t>Ambulatory</w:t>
      </w:r>
      <w:r w:rsidR="00DF1884" w:rsidRPr="00DF1884">
        <w:rPr>
          <w:shd w:val="clear" w:color="auto" w:fill="FFFFFF"/>
        </w:rPr>
        <w:t xml:space="preserve"> </w:t>
      </w:r>
      <w:r w:rsidRPr="00DF1884">
        <w:rPr>
          <w:shd w:val="clear" w:color="auto" w:fill="FFFFFF"/>
        </w:rPr>
        <w:t>Care–Sensitive</w:t>
      </w:r>
      <w:r w:rsidR="00DF1884" w:rsidRPr="00DF1884">
        <w:rPr>
          <w:shd w:val="clear" w:color="auto" w:fill="FFFFFF"/>
        </w:rPr>
        <w:t xml:space="preserve"> </w:t>
      </w:r>
      <w:r w:rsidRPr="00DF1884">
        <w:rPr>
          <w:shd w:val="clear" w:color="auto" w:fill="FFFFFF"/>
        </w:rPr>
        <w:t>Conditions.</w:t>
      </w:r>
      <w:r w:rsidR="00DF1884" w:rsidRPr="00DF1884">
        <w:rPr>
          <w:rStyle w:val="apple-converted-space"/>
          <w:szCs w:val="20"/>
          <w:shd w:val="clear" w:color="auto" w:fill="FFFFFF"/>
        </w:rPr>
        <w:t xml:space="preserve"> </w:t>
      </w:r>
      <w:r w:rsidRPr="00DF1884">
        <w:rPr>
          <w:i/>
          <w:iCs/>
          <w:shd w:val="clear" w:color="auto" w:fill="FFFFFF"/>
        </w:rPr>
        <w:t>American</w:t>
      </w:r>
      <w:r w:rsidR="00DF1884" w:rsidRPr="00DF1884">
        <w:rPr>
          <w:i/>
          <w:iCs/>
          <w:shd w:val="clear" w:color="auto" w:fill="FFFFFF"/>
        </w:rPr>
        <w:t xml:space="preserve"> </w:t>
      </w:r>
      <w:r w:rsidRPr="00DF1884">
        <w:rPr>
          <w:i/>
          <w:iCs/>
          <w:shd w:val="clear" w:color="auto" w:fill="FFFFFF"/>
        </w:rPr>
        <w:t>journal</w:t>
      </w:r>
      <w:r w:rsidR="00DF1884" w:rsidRPr="00DF1884">
        <w:rPr>
          <w:i/>
          <w:iCs/>
          <w:shd w:val="clear" w:color="auto" w:fill="FFFFFF"/>
        </w:rPr>
        <w:t xml:space="preserve"> </w:t>
      </w:r>
      <w:r w:rsidRPr="00DF1884">
        <w:rPr>
          <w:i/>
          <w:iCs/>
          <w:shd w:val="clear" w:color="auto" w:fill="FFFFFF"/>
        </w:rPr>
        <w:t>of</w:t>
      </w:r>
      <w:r w:rsidR="00DF1884" w:rsidRPr="00DF1884">
        <w:rPr>
          <w:i/>
          <w:iCs/>
          <w:shd w:val="clear" w:color="auto" w:fill="FFFFFF"/>
        </w:rPr>
        <w:t xml:space="preserve"> </w:t>
      </w:r>
      <w:r w:rsidRPr="00DF1884">
        <w:rPr>
          <w:i/>
          <w:iCs/>
          <w:shd w:val="clear" w:color="auto" w:fill="FFFFFF"/>
        </w:rPr>
        <w:t>preventive</w:t>
      </w:r>
      <w:r w:rsidR="00DF1884" w:rsidRPr="00DF1884">
        <w:rPr>
          <w:i/>
          <w:iCs/>
          <w:shd w:val="clear" w:color="auto" w:fill="FFFFFF"/>
        </w:rPr>
        <w:t xml:space="preserve"> </w:t>
      </w:r>
      <w:r w:rsidRPr="00DF1884">
        <w:rPr>
          <w:i/>
          <w:iCs/>
          <w:shd w:val="clear" w:color="auto" w:fill="FFFFFF"/>
        </w:rPr>
        <w:t>medicine</w:t>
      </w:r>
      <w:r w:rsidRPr="00DF1884">
        <w:rPr>
          <w:shd w:val="clear" w:color="auto" w:fill="FFFFFF"/>
        </w:rPr>
        <w:t>,</w:t>
      </w:r>
      <w:r w:rsidR="00DF1884" w:rsidRPr="00DF1884">
        <w:rPr>
          <w:rStyle w:val="apple-converted-space"/>
          <w:szCs w:val="20"/>
          <w:shd w:val="clear" w:color="auto" w:fill="FFFFFF"/>
        </w:rPr>
        <w:t xml:space="preserve"> </w:t>
      </w:r>
      <w:r w:rsidRPr="00DF1884">
        <w:rPr>
          <w:i/>
          <w:iCs/>
          <w:shd w:val="clear" w:color="auto" w:fill="FFFFFF"/>
        </w:rPr>
        <w:t>38</w:t>
      </w:r>
      <w:r w:rsidRPr="00DF1884">
        <w:rPr>
          <w:shd w:val="clear" w:color="auto" w:fill="FFFFFF"/>
        </w:rPr>
        <w:t>(4),</w:t>
      </w:r>
      <w:r w:rsidR="00DF1884" w:rsidRPr="00DF1884">
        <w:rPr>
          <w:shd w:val="clear" w:color="auto" w:fill="FFFFFF"/>
        </w:rPr>
        <w:t xml:space="preserve"> </w:t>
      </w:r>
      <w:r w:rsidRPr="00DF1884">
        <w:rPr>
          <w:shd w:val="clear" w:color="auto" w:fill="FFFFFF"/>
        </w:rPr>
        <w:t>381</w:t>
      </w:r>
      <w:r w:rsidR="00046618">
        <w:rPr>
          <w:shd w:val="clear" w:color="auto" w:fill="FFFFFF"/>
        </w:rPr>
        <w:t>–</w:t>
      </w:r>
      <w:r w:rsidRPr="00DF1884">
        <w:rPr>
          <w:shd w:val="clear" w:color="auto" w:fill="FFFFFF"/>
        </w:rPr>
        <w:t>8.</w:t>
      </w:r>
    </w:p>
    <w:p w14:paraId="1DC2175E" w14:textId="5EC88A26" w:rsidR="001559AE" w:rsidRPr="00DF1884" w:rsidRDefault="001559AE" w:rsidP="00DF1884">
      <w:pPr>
        <w:pStyle w:val="Body"/>
        <w:spacing w:before="0"/>
        <w:ind w:left="360" w:hanging="360"/>
      </w:pPr>
      <w:r w:rsidRPr="00DF1884">
        <w:t>Porell</w:t>
      </w:r>
      <w:r w:rsidR="00DF1884">
        <w:t>,</w:t>
      </w:r>
      <w:r w:rsidR="00DF1884" w:rsidRPr="00DF1884">
        <w:t xml:space="preserve"> </w:t>
      </w:r>
      <w:r w:rsidRPr="00DF1884">
        <w:t>F</w:t>
      </w:r>
      <w:r w:rsidR="00DF1884">
        <w:t>.</w:t>
      </w:r>
      <w:r w:rsidRPr="00DF1884">
        <w:t>W.</w:t>
      </w:r>
      <w:r w:rsidR="00DF1884" w:rsidRPr="00DF1884">
        <w:t xml:space="preserve"> </w:t>
      </w:r>
      <w:r w:rsidRPr="00DF1884">
        <w:t>2001.</w:t>
      </w:r>
      <w:r w:rsidR="00DF1884" w:rsidRPr="00DF1884">
        <w:t xml:space="preserve"> </w:t>
      </w:r>
      <w:r w:rsidRPr="00DF1884">
        <w:t>A</w:t>
      </w:r>
      <w:r w:rsidR="00DF1884" w:rsidRPr="00DF1884">
        <w:t xml:space="preserve"> </w:t>
      </w:r>
      <w:r w:rsidRPr="00DF1884">
        <w:t>Comparison</w:t>
      </w:r>
      <w:r w:rsidR="00DF1884" w:rsidRPr="00DF1884">
        <w:t xml:space="preserve"> </w:t>
      </w:r>
      <w:r w:rsidRPr="00DF1884">
        <w:t>of</w:t>
      </w:r>
      <w:r w:rsidR="00DF1884" w:rsidRPr="00DF1884">
        <w:t xml:space="preserve"> </w:t>
      </w:r>
      <w:r w:rsidRPr="00DF1884">
        <w:t>Ambulatory</w:t>
      </w:r>
      <w:r w:rsidR="00DF1884" w:rsidRPr="00DF1884">
        <w:t xml:space="preserve"> </w:t>
      </w:r>
      <w:r w:rsidRPr="00DF1884">
        <w:t>Care</w:t>
      </w:r>
      <w:r w:rsidR="00DF1884" w:rsidRPr="00DF1884">
        <w:t xml:space="preserve"> </w:t>
      </w:r>
      <w:r w:rsidRPr="00DF1884">
        <w:t>Sensitive</w:t>
      </w:r>
      <w:r w:rsidR="00DF1884" w:rsidRPr="00DF1884">
        <w:t xml:space="preserve"> </w:t>
      </w:r>
      <w:r w:rsidRPr="00DF1884">
        <w:t>Hospital</w:t>
      </w:r>
      <w:r w:rsidR="00DF1884" w:rsidRPr="00DF1884">
        <w:t xml:space="preserve"> </w:t>
      </w:r>
      <w:r w:rsidRPr="00DF1884">
        <w:t>Discharge</w:t>
      </w:r>
      <w:r w:rsidR="00DF1884" w:rsidRPr="00DF1884">
        <w:t xml:space="preserve"> </w:t>
      </w:r>
      <w:r w:rsidRPr="00DF1884">
        <w:t>Rate</w:t>
      </w:r>
      <w:r w:rsidR="00DF1884" w:rsidRPr="00DF1884">
        <w:t xml:space="preserve"> </w:t>
      </w:r>
      <w:r w:rsidRPr="00DF1884">
        <w:t>for</w:t>
      </w:r>
      <w:r w:rsidR="00DF1884" w:rsidRPr="00DF1884">
        <w:t xml:space="preserve"> </w:t>
      </w:r>
      <w:r w:rsidRPr="00DF1884">
        <w:t>Medicaid</w:t>
      </w:r>
      <w:r w:rsidR="00DF1884" w:rsidRPr="00DF1884">
        <w:t xml:space="preserve"> </w:t>
      </w:r>
      <w:r w:rsidRPr="00DF1884">
        <w:t>HMO</w:t>
      </w:r>
      <w:r w:rsidR="00DF1884" w:rsidRPr="00DF1884">
        <w:t xml:space="preserve"> </w:t>
      </w:r>
      <w:r w:rsidRPr="00DF1884">
        <w:t>Enrollees</w:t>
      </w:r>
      <w:r w:rsidR="00DF1884" w:rsidRPr="00DF1884">
        <w:t xml:space="preserve"> </w:t>
      </w:r>
      <w:r w:rsidRPr="00DF1884">
        <w:t>and</w:t>
      </w:r>
      <w:r w:rsidR="00DF1884" w:rsidRPr="00DF1884">
        <w:t xml:space="preserve"> </w:t>
      </w:r>
      <w:r w:rsidRPr="00DF1884">
        <w:t>Non-Enrollees.</w:t>
      </w:r>
      <w:r w:rsidR="00DF1884" w:rsidRPr="00DF1884">
        <w:t xml:space="preserve"> </w:t>
      </w:r>
      <w:r w:rsidRPr="00DF1884">
        <w:rPr>
          <w:i/>
        </w:rPr>
        <w:t>Medical</w:t>
      </w:r>
      <w:r w:rsidR="00DF1884" w:rsidRPr="00DF1884">
        <w:rPr>
          <w:i/>
        </w:rPr>
        <w:t xml:space="preserve"> </w:t>
      </w:r>
      <w:r w:rsidRPr="00DF1884">
        <w:rPr>
          <w:i/>
        </w:rPr>
        <w:t>Care</w:t>
      </w:r>
      <w:r w:rsidR="00DF1884" w:rsidRPr="00DF1884">
        <w:rPr>
          <w:i/>
        </w:rPr>
        <w:t xml:space="preserve"> </w:t>
      </w:r>
      <w:r w:rsidRPr="00DF1884">
        <w:rPr>
          <w:i/>
        </w:rPr>
        <w:t>Research</w:t>
      </w:r>
      <w:r w:rsidR="00DF1884" w:rsidRPr="00DF1884">
        <w:rPr>
          <w:i/>
        </w:rPr>
        <w:t xml:space="preserve"> </w:t>
      </w:r>
      <w:r w:rsidRPr="00DF1884">
        <w:rPr>
          <w:i/>
        </w:rPr>
        <w:t>and</w:t>
      </w:r>
      <w:r w:rsidR="00DF1884" w:rsidRPr="00DF1884">
        <w:rPr>
          <w:i/>
        </w:rPr>
        <w:t xml:space="preserve"> </w:t>
      </w:r>
      <w:r w:rsidRPr="00DF1884">
        <w:rPr>
          <w:i/>
        </w:rPr>
        <w:t>Review</w:t>
      </w:r>
      <w:r w:rsidRPr="00DF1884">
        <w:t>.</w:t>
      </w:r>
      <w:r w:rsidR="00DF1884" w:rsidRPr="00DF1884">
        <w:t xml:space="preserve"> </w:t>
      </w:r>
      <w:r w:rsidRPr="00DF1884">
        <w:t>58(4):404–24.</w:t>
      </w:r>
    </w:p>
    <w:p w14:paraId="40DDEB3C" w14:textId="35C90C48" w:rsidR="001559AE" w:rsidRPr="00DF1884" w:rsidRDefault="001559AE" w:rsidP="00DF1884">
      <w:pPr>
        <w:pStyle w:val="Body"/>
        <w:spacing w:before="0"/>
        <w:ind w:left="360" w:hanging="360"/>
      </w:pPr>
      <w:r w:rsidRPr="00DF1884">
        <w:rPr>
          <w:shd w:val="clear" w:color="auto" w:fill="FFFFFF"/>
        </w:rPr>
        <w:t>Vest,</w:t>
      </w:r>
      <w:r w:rsidR="00DF1884" w:rsidRPr="00DF1884">
        <w:rPr>
          <w:shd w:val="clear" w:color="auto" w:fill="FFFFFF"/>
        </w:rPr>
        <w:t xml:space="preserve"> </w:t>
      </w:r>
      <w:r w:rsidRPr="00DF1884">
        <w:rPr>
          <w:shd w:val="clear" w:color="auto" w:fill="FFFFFF"/>
        </w:rPr>
        <w:t>J.R.,</w:t>
      </w:r>
      <w:r w:rsidR="00DF1884" w:rsidRPr="00DF1884">
        <w:rPr>
          <w:shd w:val="clear" w:color="auto" w:fill="FFFFFF"/>
        </w:rPr>
        <w:t xml:space="preserve"> </w:t>
      </w:r>
      <w:r w:rsidR="00046618">
        <w:rPr>
          <w:shd w:val="clear" w:color="auto" w:fill="FFFFFF"/>
        </w:rPr>
        <w:t xml:space="preserve">L.D. </w:t>
      </w:r>
      <w:r w:rsidRPr="00DF1884">
        <w:rPr>
          <w:shd w:val="clear" w:color="auto" w:fill="FFFFFF"/>
        </w:rPr>
        <w:t>Gamm,</w:t>
      </w:r>
      <w:r w:rsidR="00DF1884" w:rsidRPr="00DF1884">
        <w:rPr>
          <w:shd w:val="clear" w:color="auto" w:fill="FFFFFF"/>
        </w:rPr>
        <w:t xml:space="preserve"> </w:t>
      </w:r>
      <w:r w:rsidR="00046618">
        <w:rPr>
          <w:shd w:val="clear" w:color="auto" w:fill="FFFFFF"/>
        </w:rPr>
        <w:t xml:space="preserve">B.A. </w:t>
      </w:r>
      <w:r w:rsidRPr="00DF1884">
        <w:rPr>
          <w:shd w:val="clear" w:color="auto" w:fill="FFFFFF"/>
        </w:rPr>
        <w:t>Oxford,</w:t>
      </w:r>
      <w:r w:rsidR="00DF1884" w:rsidRPr="00DF1884">
        <w:rPr>
          <w:shd w:val="clear" w:color="auto" w:fill="FFFFFF"/>
        </w:rPr>
        <w:t xml:space="preserve"> </w:t>
      </w:r>
      <w:r w:rsidR="00046618">
        <w:rPr>
          <w:shd w:val="clear" w:color="auto" w:fill="FFFFFF"/>
        </w:rPr>
        <w:t xml:space="preserve">M.I. </w:t>
      </w:r>
      <w:r w:rsidRPr="00DF1884">
        <w:rPr>
          <w:shd w:val="clear" w:color="auto" w:fill="FFFFFF"/>
        </w:rPr>
        <w:t>Gonzalez,</w:t>
      </w:r>
      <w:r w:rsidR="00046618">
        <w:rPr>
          <w:shd w:val="clear" w:color="auto" w:fill="FFFFFF"/>
        </w:rPr>
        <w:t xml:space="preserve"> and K.M.</w:t>
      </w:r>
      <w:r w:rsidR="00DF1884" w:rsidRPr="00DF1884">
        <w:rPr>
          <w:shd w:val="clear" w:color="auto" w:fill="FFFFFF"/>
        </w:rPr>
        <w:t xml:space="preserve"> </w:t>
      </w:r>
      <w:r w:rsidRPr="00DF1884">
        <w:rPr>
          <w:shd w:val="clear" w:color="auto" w:fill="FFFFFF"/>
        </w:rPr>
        <w:t>Slawson.</w:t>
      </w:r>
      <w:r w:rsidR="00DF1884" w:rsidRPr="00DF1884">
        <w:rPr>
          <w:shd w:val="clear" w:color="auto" w:fill="FFFFFF"/>
        </w:rPr>
        <w:t xml:space="preserve"> </w:t>
      </w:r>
      <w:r w:rsidR="00046618">
        <w:rPr>
          <w:shd w:val="clear" w:color="auto" w:fill="FFFFFF"/>
        </w:rPr>
        <w:t>2010</w:t>
      </w:r>
      <w:r w:rsidRPr="00DF1884">
        <w:rPr>
          <w:shd w:val="clear" w:color="auto" w:fill="FFFFFF"/>
        </w:rPr>
        <w:t>.</w:t>
      </w:r>
      <w:r w:rsidR="00DF1884" w:rsidRPr="00DF1884">
        <w:rPr>
          <w:shd w:val="clear" w:color="auto" w:fill="FFFFFF"/>
        </w:rPr>
        <w:t xml:space="preserve"> </w:t>
      </w:r>
      <w:r w:rsidRPr="00DF1884">
        <w:rPr>
          <w:shd w:val="clear" w:color="auto" w:fill="FFFFFF"/>
        </w:rPr>
        <w:t>Determinants</w:t>
      </w:r>
      <w:r w:rsidR="00DF1884" w:rsidRPr="00DF1884">
        <w:rPr>
          <w:shd w:val="clear" w:color="auto" w:fill="FFFFFF"/>
        </w:rPr>
        <w:t xml:space="preserve"> </w:t>
      </w:r>
      <w:r w:rsidRPr="00DF1884">
        <w:rPr>
          <w:shd w:val="clear" w:color="auto" w:fill="FFFFFF"/>
        </w:rPr>
        <w:t>of</w:t>
      </w:r>
      <w:r w:rsidR="00DF1884" w:rsidRPr="00DF1884">
        <w:rPr>
          <w:shd w:val="clear" w:color="auto" w:fill="FFFFFF"/>
        </w:rPr>
        <w:t xml:space="preserve"> </w:t>
      </w:r>
      <w:r w:rsidRPr="00DF1884">
        <w:rPr>
          <w:shd w:val="clear" w:color="auto" w:fill="FFFFFF"/>
        </w:rPr>
        <w:t>preventable</w:t>
      </w:r>
      <w:r w:rsidR="00DF1884" w:rsidRPr="00DF1884">
        <w:rPr>
          <w:shd w:val="clear" w:color="auto" w:fill="FFFFFF"/>
        </w:rPr>
        <w:t xml:space="preserve"> </w:t>
      </w:r>
      <w:r w:rsidRPr="00DF1884">
        <w:rPr>
          <w:shd w:val="clear" w:color="auto" w:fill="FFFFFF"/>
        </w:rPr>
        <w:t>readmissions</w:t>
      </w:r>
      <w:r w:rsidR="00DF1884" w:rsidRPr="00DF1884">
        <w:rPr>
          <w:shd w:val="clear" w:color="auto" w:fill="FFFFFF"/>
        </w:rPr>
        <w:t xml:space="preserve"> </w:t>
      </w:r>
      <w:r w:rsidRPr="00DF1884">
        <w:rPr>
          <w:shd w:val="clear" w:color="auto" w:fill="FFFFFF"/>
        </w:rPr>
        <w:t>in</w:t>
      </w:r>
      <w:r w:rsidR="00DF1884" w:rsidRPr="00DF1884">
        <w:rPr>
          <w:shd w:val="clear" w:color="auto" w:fill="FFFFFF"/>
        </w:rPr>
        <w:t xml:space="preserve"> </w:t>
      </w:r>
      <w:r w:rsidRPr="00DF1884">
        <w:rPr>
          <w:shd w:val="clear" w:color="auto" w:fill="FFFFFF"/>
        </w:rPr>
        <w:t>the</w:t>
      </w:r>
      <w:r w:rsidR="00DF1884" w:rsidRPr="00DF1884">
        <w:rPr>
          <w:shd w:val="clear" w:color="auto" w:fill="FFFFFF"/>
        </w:rPr>
        <w:t xml:space="preserve"> </w:t>
      </w:r>
      <w:r w:rsidRPr="00DF1884">
        <w:rPr>
          <w:shd w:val="clear" w:color="auto" w:fill="FFFFFF"/>
        </w:rPr>
        <w:t>United</w:t>
      </w:r>
      <w:r w:rsidR="00DF1884" w:rsidRPr="00DF1884">
        <w:rPr>
          <w:shd w:val="clear" w:color="auto" w:fill="FFFFFF"/>
        </w:rPr>
        <w:t xml:space="preserve"> </w:t>
      </w:r>
      <w:r w:rsidRPr="00DF1884">
        <w:rPr>
          <w:shd w:val="clear" w:color="auto" w:fill="FFFFFF"/>
        </w:rPr>
        <w:t>States:</w:t>
      </w:r>
      <w:r w:rsidR="00DF1884" w:rsidRPr="00DF1884">
        <w:rPr>
          <w:shd w:val="clear" w:color="auto" w:fill="FFFFFF"/>
        </w:rPr>
        <w:t xml:space="preserve"> </w:t>
      </w:r>
      <w:r w:rsidRPr="00DF1884">
        <w:rPr>
          <w:shd w:val="clear" w:color="auto" w:fill="FFFFFF"/>
        </w:rPr>
        <w:t>a</w:t>
      </w:r>
      <w:r w:rsidR="00DF1884" w:rsidRPr="00DF1884">
        <w:rPr>
          <w:shd w:val="clear" w:color="auto" w:fill="FFFFFF"/>
        </w:rPr>
        <w:t xml:space="preserve"> </w:t>
      </w:r>
      <w:r w:rsidRPr="00DF1884">
        <w:rPr>
          <w:shd w:val="clear" w:color="auto" w:fill="FFFFFF"/>
        </w:rPr>
        <w:t>systematic</w:t>
      </w:r>
      <w:r w:rsidR="00DF1884" w:rsidRPr="00DF1884">
        <w:rPr>
          <w:shd w:val="clear" w:color="auto" w:fill="FFFFFF"/>
        </w:rPr>
        <w:t xml:space="preserve"> </w:t>
      </w:r>
      <w:r w:rsidRPr="00DF1884">
        <w:rPr>
          <w:shd w:val="clear" w:color="auto" w:fill="FFFFFF"/>
        </w:rPr>
        <w:t>review.</w:t>
      </w:r>
      <w:r w:rsidR="00DF1884" w:rsidRPr="00DF1884">
        <w:rPr>
          <w:rStyle w:val="apple-converted-space"/>
          <w:szCs w:val="20"/>
          <w:shd w:val="clear" w:color="auto" w:fill="FFFFFF"/>
        </w:rPr>
        <w:t xml:space="preserve"> </w:t>
      </w:r>
      <w:r w:rsidRPr="00DF1884">
        <w:rPr>
          <w:i/>
          <w:iCs/>
          <w:shd w:val="clear" w:color="auto" w:fill="FFFFFF"/>
        </w:rPr>
        <w:t>Implementation</w:t>
      </w:r>
      <w:r w:rsidR="00DF1884" w:rsidRPr="00DF1884">
        <w:rPr>
          <w:i/>
          <w:iCs/>
          <w:shd w:val="clear" w:color="auto" w:fill="FFFFFF"/>
        </w:rPr>
        <w:t xml:space="preserve"> </w:t>
      </w:r>
      <w:r w:rsidRPr="00DF1884">
        <w:rPr>
          <w:i/>
          <w:iCs/>
          <w:shd w:val="clear" w:color="auto" w:fill="FFFFFF"/>
        </w:rPr>
        <w:t>Science</w:t>
      </w:r>
      <w:r w:rsidR="00046618">
        <w:rPr>
          <w:shd w:val="clear" w:color="auto" w:fill="FFFFFF"/>
        </w:rPr>
        <w:t>.</w:t>
      </w:r>
      <w:r w:rsidR="00DF1884" w:rsidRPr="00DF1884">
        <w:rPr>
          <w:rStyle w:val="apple-converted-space"/>
          <w:szCs w:val="20"/>
          <w:shd w:val="clear" w:color="auto" w:fill="FFFFFF"/>
        </w:rPr>
        <w:t xml:space="preserve"> </w:t>
      </w:r>
      <w:r w:rsidRPr="00DF1884">
        <w:rPr>
          <w:i/>
          <w:iCs/>
          <w:shd w:val="clear" w:color="auto" w:fill="FFFFFF"/>
        </w:rPr>
        <w:t>5</w:t>
      </w:r>
      <w:r w:rsidRPr="00DF1884">
        <w:rPr>
          <w:shd w:val="clear" w:color="auto" w:fill="FFFFFF"/>
        </w:rPr>
        <w:t>(1),</w:t>
      </w:r>
      <w:r w:rsidR="00DF1884" w:rsidRPr="00DF1884">
        <w:rPr>
          <w:shd w:val="clear" w:color="auto" w:fill="FFFFFF"/>
        </w:rPr>
        <w:t xml:space="preserve"> </w:t>
      </w:r>
      <w:r w:rsidRPr="00DF1884">
        <w:rPr>
          <w:shd w:val="clear" w:color="auto" w:fill="FFFFFF"/>
        </w:rPr>
        <w:t>88.</w:t>
      </w:r>
    </w:p>
    <w:p w14:paraId="1678889A" w14:textId="77777777" w:rsidR="00CA0676" w:rsidRPr="00DF1884" w:rsidRDefault="00CA0676" w:rsidP="00463667">
      <w:pPr>
        <w:sectPr w:rsidR="00CA0676" w:rsidRPr="00DF1884" w:rsidSect="0039781B">
          <w:footerReference w:type="default" r:id="rId83"/>
          <w:endnotePr>
            <w:numFmt w:val="decimal"/>
          </w:endnotePr>
          <w:pgSz w:w="12240" w:h="15840" w:code="1"/>
          <w:pgMar w:top="1080" w:right="1080" w:bottom="1080" w:left="1440" w:header="720" w:footer="720" w:gutter="0"/>
          <w:cols w:space="720"/>
          <w:docGrid w:linePitch="360"/>
        </w:sectPr>
      </w:pPr>
    </w:p>
    <w:p w14:paraId="0ABA26EC" w14:textId="77777777" w:rsidR="000C547E" w:rsidRPr="00442DEE" w:rsidRDefault="000C547E" w:rsidP="000C547E">
      <w:pPr>
        <w:keepNext/>
        <w:jc w:val="center"/>
        <w:outlineLvl w:val="0"/>
        <w:rPr>
          <w:rFonts w:cs="Arial"/>
          <w:b/>
          <w:i/>
          <w:sz w:val="28"/>
          <w:szCs w:val="28"/>
        </w:rPr>
      </w:pPr>
      <w:r>
        <w:rPr>
          <w:rFonts w:cs="Arial"/>
          <w:b/>
          <w:i/>
          <w:sz w:val="28"/>
          <w:szCs w:val="28"/>
        </w:rPr>
        <w:lastRenderedPageBreak/>
        <w:t xml:space="preserve">Utilization of PHQ-9 to Monitor Depression Symptoms </w:t>
      </w:r>
      <w:r w:rsidRPr="000F0317">
        <w:rPr>
          <w:rFonts w:cs="Arial"/>
          <w:b/>
          <w:i/>
          <w:sz w:val="28"/>
          <w:szCs w:val="28"/>
        </w:rPr>
        <w:t>for</w:t>
      </w:r>
      <w:r>
        <w:rPr>
          <w:rFonts w:cs="Arial"/>
          <w:b/>
          <w:i/>
          <w:sz w:val="28"/>
          <w:szCs w:val="28"/>
        </w:rPr>
        <w:t xml:space="preserve"> </w:t>
      </w:r>
      <w:r w:rsidRPr="000F0317">
        <w:rPr>
          <w:rFonts w:cs="Arial"/>
          <w:b/>
          <w:i/>
          <w:sz w:val="28"/>
          <w:szCs w:val="28"/>
        </w:rPr>
        <w:t>Adolescents</w:t>
      </w:r>
      <w:r>
        <w:rPr>
          <w:rFonts w:cs="Arial"/>
          <w:b/>
          <w:i/>
          <w:sz w:val="28"/>
          <w:szCs w:val="28"/>
        </w:rPr>
        <w:t xml:space="preserve"> </w:t>
      </w:r>
      <w:r w:rsidRPr="000F0317">
        <w:rPr>
          <w:rFonts w:cs="Arial"/>
          <w:b/>
          <w:i/>
          <w:sz w:val="28"/>
          <w:szCs w:val="28"/>
        </w:rPr>
        <w:t>and</w:t>
      </w:r>
      <w:r>
        <w:rPr>
          <w:rFonts w:cs="Arial"/>
          <w:b/>
          <w:i/>
          <w:sz w:val="28"/>
          <w:szCs w:val="28"/>
        </w:rPr>
        <w:t xml:space="preserve"> </w:t>
      </w:r>
      <w:r w:rsidRPr="000F0317">
        <w:rPr>
          <w:rFonts w:cs="Arial"/>
          <w:b/>
          <w:i/>
          <w:sz w:val="28"/>
          <w:szCs w:val="28"/>
        </w:rPr>
        <w:t>Adults</w:t>
      </w:r>
      <w:r>
        <w:rPr>
          <w:rFonts w:cs="Arial"/>
          <w:b/>
          <w:i/>
          <w:sz w:val="28"/>
          <w:szCs w:val="28"/>
        </w:rPr>
        <w:t xml:space="preserve"> (DMS) </w:t>
      </w:r>
    </w:p>
    <w:p w14:paraId="2273D878" w14:textId="77777777" w:rsidR="000C547E" w:rsidRPr="00DF1884" w:rsidRDefault="000C547E" w:rsidP="000C547E">
      <w:pPr>
        <w:pStyle w:val="StdHead"/>
      </w:pPr>
      <w:r w:rsidRPr="00DF1884">
        <w:t>Description</w:t>
      </w:r>
    </w:p>
    <w:p w14:paraId="5B6DC3A8" w14:textId="77777777" w:rsidR="002155C3" w:rsidRDefault="002155C3" w:rsidP="002155C3">
      <w:pPr>
        <w:pStyle w:val="Body"/>
      </w:pPr>
      <w:r>
        <w:t xml:space="preserve">The percentage of members 12 years of age and older with a diagnosis of major depression or dysthymia, </w:t>
      </w:r>
      <w:r w:rsidRPr="007D3312">
        <w:t>who have a PHQ-9</w:t>
      </w:r>
      <w:r>
        <w:t xml:space="preserve"> or PHQ-A </w:t>
      </w:r>
      <w:r w:rsidRPr="007D3312">
        <w:t>tool admin</w:t>
      </w:r>
      <w:r>
        <w:t>istered at least once during a</w:t>
      </w:r>
      <w:r w:rsidRPr="007D3312">
        <w:t xml:space="preserve"> four</w:t>
      </w:r>
      <w:r>
        <w:t>-</w:t>
      </w:r>
      <w:r w:rsidRPr="007D3312">
        <w:t>month period</w:t>
      </w:r>
      <w:r w:rsidRPr="00375084">
        <w:t>.</w:t>
      </w:r>
      <w:r>
        <w:t xml:space="preserve"> Two rates are reported.</w:t>
      </w:r>
    </w:p>
    <w:p w14:paraId="1CF7F194" w14:textId="77777777" w:rsidR="002155C3" w:rsidRDefault="002155C3" w:rsidP="002155C3">
      <w:pPr>
        <w:pStyle w:val="Body"/>
        <w:numPr>
          <w:ilvl w:val="0"/>
          <w:numId w:val="32"/>
        </w:numPr>
        <w:spacing w:before="120"/>
        <w:ind w:left="648" w:hanging="288"/>
      </w:pPr>
      <w:r>
        <w:rPr>
          <w:b/>
        </w:rPr>
        <w:t>Inclusion in ECDS</w:t>
      </w:r>
      <w:r w:rsidRPr="00615062">
        <w:rPr>
          <w:b/>
        </w:rPr>
        <w:t xml:space="preserve"> </w:t>
      </w:r>
      <w:r>
        <w:rPr>
          <w:b/>
        </w:rPr>
        <w:t>Rate.</w:t>
      </w:r>
      <w:r>
        <w:t xml:space="preserve"> The percentage of members 12 and older with a diagnosis of major depression or dysthymia, who are included in an electronic clinical data system (ECDS).</w:t>
      </w:r>
    </w:p>
    <w:p w14:paraId="6EFB83AB" w14:textId="77777777" w:rsidR="002155C3" w:rsidRDefault="002155C3" w:rsidP="002155C3">
      <w:pPr>
        <w:pStyle w:val="Body"/>
        <w:numPr>
          <w:ilvl w:val="0"/>
          <w:numId w:val="32"/>
        </w:numPr>
        <w:spacing w:before="120"/>
        <w:ind w:left="648" w:hanging="288"/>
      </w:pPr>
      <w:r>
        <w:rPr>
          <w:b/>
        </w:rPr>
        <w:t>Utilization of PHQ-9 Rate.</w:t>
      </w:r>
      <w:r>
        <w:t xml:space="preserve"> The percentage of PHQ utilization. Members with a diagnosis of major depression or dysthymia who are covered by an ECDS and, if they had an outpatient encounter, have </w:t>
      </w:r>
      <w:r w:rsidRPr="00F86640">
        <w:rPr>
          <w:i/>
        </w:rPr>
        <w:t>either</w:t>
      </w:r>
      <w:r>
        <w:t xml:space="preserve"> a </w:t>
      </w:r>
      <w:r w:rsidRPr="007D3312">
        <w:t>PHQ-9</w:t>
      </w:r>
      <w:r>
        <w:t xml:space="preserve"> or a PHQ-A score present in their </w:t>
      </w:r>
      <w:r w:rsidRPr="00BC4016">
        <w:t>record</w:t>
      </w:r>
      <w:r>
        <w:t xml:space="preserve">. </w:t>
      </w:r>
    </w:p>
    <w:p w14:paraId="4122721D" w14:textId="77777777" w:rsidR="000C547E" w:rsidRPr="00DF1884" w:rsidRDefault="000C547E" w:rsidP="000C547E">
      <w:pPr>
        <w:pStyle w:val="StdHead"/>
      </w:pPr>
      <w:r w:rsidRPr="00DF1884">
        <w:t>Background</w:t>
      </w:r>
      <w:r w:rsidRPr="00DF1884">
        <w:tab/>
      </w:r>
    </w:p>
    <w:p w14:paraId="61809567" w14:textId="77777777" w:rsidR="000C547E" w:rsidRPr="00E72CC0" w:rsidRDefault="000C547E" w:rsidP="000C547E">
      <w:pPr>
        <w:pStyle w:val="Body"/>
        <w:spacing w:before="60"/>
      </w:pPr>
      <w:r w:rsidRPr="00E72CC0">
        <w:t>Depression—an</w:t>
      </w:r>
      <w:r>
        <w:t xml:space="preserve"> </w:t>
      </w:r>
      <w:r w:rsidRPr="00E72CC0">
        <w:t>overwhelming</w:t>
      </w:r>
      <w:r>
        <w:t xml:space="preserve"> </w:t>
      </w:r>
      <w:r w:rsidRPr="00E72CC0">
        <w:t>feeling</w:t>
      </w:r>
      <w:r>
        <w:t xml:space="preserve"> </w:t>
      </w:r>
      <w:r w:rsidRPr="00E72CC0">
        <w:t>of</w:t>
      </w:r>
      <w:r>
        <w:t xml:space="preserve"> </w:t>
      </w:r>
      <w:r w:rsidRPr="00E72CC0">
        <w:t>sadness</w:t>
      </w:r>
      <w:r>
        <w:t xml:space="preserve"> </w:t>
      </w:r>
      <w:r w:rsidRPr="00E72CC0">
        <w:t>and</w:t>
      </w:r>
      <w:r>
        <w:t xml:space="preserve"> </w:t>
      </w:r>
      <w:r w:rsidRPr="00E72CC0">
        <w:t>hopelessness</w:t>
      </w:r>
      <w:r>
        <w:t xml:space="preserve"> </w:t>
      </w:r>
      <w:r w:rsidRPr="00E72CC0">
        <w:t>that</w:t>
      </w:r>
      <w:r>
        <w:t xml:space="preserve"> </w:t>
      </w:r>
      <w:r w:rsidRPr="00E72CC0">
        <w:t>can</w:t>
      </w:r>
      <w:r>
        <w:t xml:space="preserve"> </w:t>
      </w:r>
      <w:r w:rsidRPr="00E72CC0">
        <w:t>last</w:t>
      </w:r>
      <w:r>
        <w:t xml:space="preserve"> </w:t>
      </w:r>
      <w:r w:rsidRPr="00E72CC0">
        <w:t>for</w:t>
      </w:r>
      <w:r>
        <w:t xml:space="preserve"> </w:t>
      </w:r>
      <w:r w:rsidRPr="00E72CC0">
        <w:t>months</w:t>
      </w:r>
      <w:r>
        <w:t xml:space="preserve"> </w:t>
      </w:r>
      <w:r w:rsidRPr="00E72CC0">
        <w:t>or</w:t>
      </w:r>
      <w:r>
        <w:t xml:space="preserve"> </w:t>
      </w:r>
      <w:r w:rsidRPr="00E72CC0">
        <w:t>years—can</w:t>
      </w:r>
      <w:r>
        <w:t xml:space="preserve"> </w:t>
      </w:r>
      <w:r w:rsidRPr="00E72CC0">
        <w:t>make</w:t>
      </w:r>
      <w:r>
        <w:t xml:space="preserve"> </w:t>
      </w:r>
      <w:r w:rsidRPr="00E72CC0">
        <w:t>people</w:t>
      </w:r>
      <w:r>
        <w:t xml:space="preserve"> </w:t>
      </w:r>
      <w:r w:rsidRPr="00E72CC0">
        <w:t>feel</w:t>
      </w:r>
      <w:r>
        <w:t xml:space="preserve"> </w:t>
      </w:r>
      <w:r w:rsidRPr="00E72CC0">
        <w:t>that</w:t>
      </w:r>
      <w:r>
        <w:t xml:space="preserve"> </w:t>
      </w:r>
      <w:r w:rsidRPr="00E72CC0">
        <w:t>life</w:t>
      </w:r>
      <w:r>
        <w:t xml:space="preserve"> </w:t>
      </w:r>
      <w:r w:rsidRPr="00E72CC0">
        <w:t>is</w:t>
      </w:r>
      <w:r>
        <w:t xml:space="preserve"> </w:t>
      </w:r>
      <w:r w:rsidRPr="00E72CC0">
        <w:t>no</w:t>
      </w:r>
      <w:r>
        <w:t xml:space="preserve"> </w:t>
      </w:r>
      <w:r w:rsidRPr="00E72CC0">
        <w:t>longer</w:t>
      </w:r>
      <w:r>
        <w:t xml:space="preserve"> </w:t>
      </w:r>
      <w:r w:rsidRPr="00E72CC0">
        <w:t>worth</w:t>
      </w:r>
      <w:r>
        <w:t xml:space="preserve"> </w:t>
      </w:r>
      <w:r w:rsidRPr="00E72CC0">
        <w:t>living.</w:t>
      </w:r>
      <w:r>
        <w:t xml:space="preserve"> </w:t>
      </w:r>
      <w:r w:rsidRPr="00E72CC0">
        <w:t>People</w:t>
      </w:r>
      <w:r>
        <w:t xml:space="preserve"> </w:t>
      </w:r>
      <w:r w:rsidRPr="00E72CC0">
        <w:t>affected</w:t>
      </w:r>
      <w:r>
        <w:t xml:space="preserve"> </w:t>
      </w:r>
      <w:r w:rsidRPr="00E72CC0">
        <w:t>by</w:t>
      </w:r>
      <w:r>
        <w:t xml:space="preserve"> </w:t>
      </w:r>
      <w:r w:rsidRPr="00E72CC0">
        <w:t>depression</w:t>
      </w:r>
      <w:r>
        <w:t xml:space="preserve"> </w:t>
      </w:r>
      <w:r w:rsidRPr="00E72CC0">
        <w:t>lose</w:t>
      </w:r>
      <w:r>
        <w:t xml:space="preserve"> </w:t>
      </w:r>
      <w:r w:rsidRPr="00E72CC0">
        <w:t>interest</w:t>
      </w:r>
      <w:r>
        <w:t xml:space="preserve"> </w:t>
      </w:r>
      <w:r w:rsidRPr="00E72CC0">
        <w:t>in</w:t>
      </w:r>
      <w:r>
        <w:t xml:space="preserve"> </w:t>
      </w:r>
      <w:r w:rsidRPr="00E72CC0">
        <w:t>activities</w:t>
      </w:r>
      <w:r>
        <w:t xml:space="preserve"> </w:t>
      </w:r>
      <w:r w:rsidRPr="00E72CC0">
        <w:t>they</w:t>
      </w:r>
      <w:r>
        <w:t xml:space="preserve"> </w:t>
      </w:r>
      <w:r w:rsidRPr="00E72CC0">
        <w:t>used</w:t>
      </w:r>
      <w:r>
        <w:t xml:space="preserve"> </w:t>
      </w:r>
      <w:r w:rsidRPr="00E72CC0">
        <w:t>to</w:t>
      </w:r>
      <w:r>
        <w:t xml:space="preserve"> </w:t>
      </w:r>
      <w:r w:rsidRPr="00E72CC0">
        <w:t>enjoy</w:t>
      </w:r>
      <w:r>
        <w:t xml:space="preserve"> </w:t>
      </w:r>
      <w:r w:rsidRPr="00E72CC0">
        <w:t>and</w:t>
      </w:r>
      <w:r>
        <w:t xml:space="preserve"> </w:t>
      </w:r>
      <w:r w:rsidRPr="00E72CC0">
        <w:t>can</w:t>
      </w:r>
      <w:r>
        <w:t xml:space="preserve"> </w:t>
      </w:r>
      <w:r w:rsidRPr="00E72CC0">
        <w:t>also</w:t>
      </w:r>
      <w:r>
        <w:t xml:space="preserve"> </w:t>
      </w:r>
      <w:r w:rsidRPr="00E72CC0">
        <w:t>be</w:t>
      </w:r>
      <w:r>
        <w:t xml:space="preserve"> </w:t>
      </w:r>
      <w:r w:rsidRPr="00E72CC0">
        <w:t>affected</w:t>
      </w:r>
      <w:r>
        <w:t xml:space="preserve"> </w:t>
      </w:r>
      <w:r w:rsidRPr="00E72CC0">
        <w:t>by</w:t>
      </w:r>
      <w:r>
        <w:t xml:space="preserve"> </w:t>
      </w:r>
      <w:r w:rsidRPr="00E72CC0">
        <w:t>physical</w:t>
      </w:r>
      <w:r>
        <w:t xml:space="preserve"> </w:t>
      </w:r>
      <w:r w:rsidRPr="00E72CC0">
        <w:t>symptoms</w:t>
      </w:r>
      <w:r>
        <w:t xml:space="preserve"> </w:t>
      </w:r>
      <w:r w:rsidRPr="00E72CC0">
        <w:t>that</w:t>
      </w:r>
      <w:r>
        <w:t xml:space="preserve"> </w:t>
      </w:r>
      <w:r w:rsidRPr="00E72CC0">
        <w:t>interfere</w:t>
      </w:r>
      <w:r>
        <w:t xml:space="preserve"> </w:t>
      </w:r>
      <w:r w:rsidRPr="00E72CC0">
        <w:t>with</w:t>
      </w:r>
      <w:r>
        <w:t xml:space="preserve"> </w:t>
      </w:r>
      <w:r w:rsidRPr="00E72CC0">
        <w:t>their</w:t>
      </w:r>
      <w:r>
        <w:t xml:space="preserve"> </w:t>
      </w:r>
      <w:r w:rsidRPr="00E72CC0">
        <w:t>ability</w:t>
      </w:r>
      <w:r>
        <w:t xml:space="preserve"> </w:t>
      </w:r>
      <w:r w:rsidRPr="00E72CC0">
        <w:t>to</w:t>
      </w:r>
      <w:r>
        <w:t xml:space="preserve"> </w:t>
      </w:r>
      <w:r w:rsidRPr="00E72CC0">
        <w:t>participate</w:t>
      </w:r>
      <w:r>
        <w:t xml:space="preserve"> </w:t>
      </w:r>
      <w:r w:rsidRPr="00E72CC0">
        <w:t>in</w:t>
      </w:r>
      <w:r>
        <w:t xml:space="preserve"> </w:t>
      </w:r>
      <w:r w:rsidRPr="00E72CC0">
        <w:t>normal</w:t>
      </w:r>
      <w:r>
        <w:t xml:space="preserve"> </w:t>
      </w:r>
      <w:r w:rsidRPr="00E72CC0">
        <w:t>daily</w:t>
      </w:r>
      <w:r>
        <w:t xml:space="preserve"> </w:t>
      </w:r>
      <w:r w:rsidRPr="00E72CC0">
        <w:t>activities.</w:t>
      </w:r>
      <w:r>
        <w:t xml:space="preserve"> </w:t>
      </w:r>
      <w:r w:rsidRPr="00E72CC0">
        <w:t>For</w:t>
      </w:r>
      <w:r>
        <w:t xml:space="preserve"> </w:t>
      </w:r>
      <w:r w:rsidRPr="00E72CC0">
        <w:t>adolescents,</w:t>
      </w:r>
      <w:r>
        <w:t xml:space="preserve"> </w:t>
      </w:r>
      <w:r w:rsidRPr="00E72CC0">
        <w:t>depression</w:t>
      </w:r>
      <w:r>
        <w:t xml:space="preserve"> </w:t>
      </w:r>
      <w:r w:rsidRPr="00E72CC0">
        <w:t>can</w:t>
      </w:r>
      <w:r>
        <w:t xml:space="preserve"> </w:t>
      </w:r>
      <w:r w:rsidRPr="00E72CC0">
        <w:t>also</w:t>
      </w:r>
      <w:r>
        <w:t xml:space="preserve"> </w:t>
      </w:r>
      <w:r w:rsidRPr="00E72CC0">
        <w:t>have</w:t>
      </w:r>
      <w:r>
        <w:t xml:space="preserve"> </w:t>
      </w:r>
      <w:r w:rsidRPr="00E72CC0">
        <w:t>a</w:t>
      </w:r>
      <w:r>
        <w:t xml:space="preserve"> </w:t>
      </w:r>
      <w:r w:rsidRPr="00E72CC0">
        <w:t>major</w:t>
      </w:r>
      <w:r>
        <w:t xml:space="preserve"> </w:t>
      </w:r>
      <w:r w:rsidRPr="00E72CC0">
        <w:t>impact,</w:t>
      </w:r>
      <w:r>
        <w:t xml:space="preserve"> </w:t>
      </w:r>
      <w:r w:rsidRPr="00E72CC0">
        <w:t>disrupting</w:t>
      </w:r>
      <w:r>
        <w:t xml:space="preserve"> </w:t>
      </w:r>
      <w:r w:rsidRPr="00E72CC0">
        <w:t>daily</w:t>
      </w:r>
      <w:r>
        <w:t xml:space="preserve"> </w:t>
      </w:r>
      <w:r w:rsidRPr="00E72CC0">
        <w:t>life</w:t>
      </w:r>
      <w:r>
        <w:t xml:space="preserve"> </w:t>
      </w:r>
      <w:r w:rsidRPr="00E72CC0">
        <w:t>at</w:t>
      </w:r>
      <w:r>
        <w:t xml:space="preserve"> </w:t>
      </w:r>
      <w:r w:rsidRPr="00E72CC0">
        <w:t>home,</w:t>
      </w:r>
      <w:r>
        <w:t xml:space="preserve"> </w:t>
      </w:r>
      <w:r w:rsidRPr="00E72CC0">
        <w:t>school</w:t>
      </w:r>
      <w:r>
        <w:t xml:space="preserve"> </w:t>
      </w:r>
      <w:r w:rsidRPr="00E72CC0">
        <w:t>or</w:t>
      </w:r>
      <w:r>
        <w:t xml:space="preserve"> </w:t>
      </w:r>
      <w:r w:rsidRPr="00E72CC0">
        <w:t>in</w:t>
      </w:r>
      <w:r>
        <w:t xml:space="preserve"> </w:t>
      </w:r>
      <w:r w:rsidRPr="00E72CC0">
        <w:t>the</w:t>
      </w:r>
      <w:r>
        <w:t xml:space="preserve"> </w:t>
      </w:r>
      <w:r w:rsidRPr="00E72CC0">
        <w:t>community.</w:t>
      </w:r>
      <w:r>
        <w:t xml:space="preserve"> </w:t>
      </w:r>
    </w:p>
    <w:p w14:paraId="1CF08C94" w14:textId="77777777" w:rsidR="000C547E" w:rsidRPr="00854737" w:rsidRDefault="000C547E" w:rsidP="000C547E">
      <w:pPr>
        <w:pStyle w:val="Body"/>
      </w:pPr>
      <w:r w:rsidRPr="00854737">
        <w:t>Depressive</w:t>
      </w:r>
      <w:r>
        <w:t xml:space="preserve"> </w:t>
      </w:r>
      <w:r w:rsidRPr="00854737">
        <w:t>disorders</w:t>
      </w:r>
      <w:r>
        <w:t xml:space="preserve"> </w:t>
      </w:r>
      <w:r w:rsidRPr="00854737">
        <w:t>are</w:t>
      </w:r>
      <w:r>
        <w:t xml:space="preserve"> </w:t>
      </w:r>
      <w:r w:rsidRPr="00854737">
        <w:t>common</w:t>
      </w:r>
      <w:r>
        <w:t xml:space="preserve"> </w:t>
      </w:r>
      <w:r w:rsidRPr="00854737">
        <w:t>mental</w:t>
      </w:r>
      <w:r>
        <w:t xml:space="preserve"> </w:t>
      </w:r>
      <w:r w:rsidRPr="00854737">
        <w:t>disorders</w:t>
      </w:r>
      <w:r>
        <w:t xml:space="preserve"> </w:t>
      </w:r>
      <w:r w:rsidRPr="00854737">
        <w:t>that</w:t>
      </w:r>
      <w:r>
        <w:t xml:space="preserve"> </w:t>
      </w:r>
      <w:r w:rsidRPr="00854737">
        <w:t>occur</w:t>
      </w:r>
      <w:r>
        <w:t xml:space="preserve"> </w:t>
      </w:r>
      <w:r w:rsidRPr="00854737">
        <w:t>in</w:t>
      </w:r>
      <w:r>
        <w:t xml:space="preserve"> </w:t>
      </w:r>
      <w:r w:rsidRPr="00854737">
        <w:t>people</w:t>
      </w:r>
      <w:r>
        <w:t xml:space="preserve"> </w:t>
      </w:r>
      <w:r w:rsidRPr="00854737">
        <w:t>of</w:t>
      </w:r>
      <w:r>
        <w:t xml:space="preserve"> </w:t>
      </w:r>
      <w:r w:rsidRPr="00854737">
        <w:t>all</w:t>
      </w:r>
      <w:r>
        <w:t xml:space="preserve"> </w:t>
      </w:r>
      <w:r w:rsidRPr="00854737">
        <w:t>ages.</w:t>
      </w:r>
      <w:r>
        <w:t xml:space="preserve"> </w:t>
      </w:r>
      <w:r w:rsidRPr="00854737">
        <w:t>Major</w:t>
      </w:r>
      <w:r>
        <w:t xml:space="preserve"> </w:t>
      </w:r>
      <w:r w:rsidRPr="00854737">
        <w:t>depressive</w:t>
      </w:r>
      <w:r>
        <w:t xml:space="preserve"> </w:t>
      </w:r>
      <w:r w:rsidRPr="00854737">
        <w:t>disorder</w:t>
      </w:r>
      <w:r>
        <w:t xml:space="preserve"> </w:t>
      </w:r>
      <w:r w:rsidRPr="00854737">
        <w:t>(MDD)</w:t>
      </w:r>
      <w:r>
        <w:t xml:space="preserve"> </w:t>
      </w:r>
      <w:r w:rsidRPr="00854737">
        <w:t>is</w:t>
      </w:r>
      <w:r>
        <w:t xml:space="preserve"> </w:t>
      </w:r>
      <w:r w:rsidRPr="00854737">
        <w:t>a</w:t>
      </w:r>
      <w:r>
        <w:t xml:space="preserve"> </w:t>
      </w:r>
      <w:r w:rsidRPr="00854737">
        <w:t>leading</w:t>
      </w:r>
      <w:r>
        <w:t xml:space="preserve"> </w:t>
      </w:r>
      <w:r w:rsidRPr="00854737">
        <w:t>cause</w:t>
      </w:r>
      <w:r>
        <w:t xml:space="preserve"> </w:t>
      </w:r>
      <w:r w:rsidRPr="00854737">
        <w:t>of</w:t>
      </w:r>
      <w:r>
        <w:t xml:space="preserve"> </w:t>
      </w:r>
      <w:r w:rsidRPr="00854737">
        <w:t>disability</w:t>
      </w:r>
      <w:r>
        <w:t xml:space="preserve"> </w:t>
      </w:r>
      <w:r w:rsidRPr="00854737">
        <w:t>worldwide,</w:t>
      </w:r>
      <w:r>
        <w:t xml:space="preserve"> </w:t>
      </w:r>
      <w:r w:rsidRPr="00854737">
        <w:t>affecting</w:t>
      </w:r>
      <w:r>
        <w:t xml:space="preserve"> </w:t>
      </w:r>
      <w:r w:rsidRPr="00854737">
        <w:t>an</w:t>
      </w:r>
      <w:r>
        <w:t xml:space="preserve"> </w:t>
      </w:r>
      <w:r w:rsidRPr="00854737">
        <w:t>estimated</w:t>
      </w:r>
      <w:r>
        <w:t xml:space="preserve"> </w:t>
      </w:r>
      <w:r w:rsidRPr="00854737">
        <w:t>120</w:t>
      </w:r>
      <w:r>
        <w:t xml:space="preserve"> </w:t>
      </w:r>
      <w:r w:rsidRPr="00854737">
        <w:t>million</w:t>
      </w:r>
      <w:r>
        <w:t xml:space="preserve"> </w:t>
      </w:r>
      <w:r w:rsidRPr="00854737">
        <w:t>people</w:t>
      </w:r>
      <w:r>
        <w:t xml:space="preserve"> </w:t>
      </w:r>
      <w:r w:rsidRPr="00854737">
        <w:t>(Murray</w:t>
      </w:r>
      <w:r>
        <w:t xml:space="preserve"> </w:t>
      </w:r>
      <w:r w:rsidRPr="00854737">
        <w:t>et</w:t>
      </w:r>
      <w:r>
        <w:t xml:space="preserve"> </w:t>
      </w:r>
      <w:r w:rsidRPr="00854737">
        <w:t>al.,</w:t>
      </w:r>
      <w:r>
        <w:t xml:space="preserve"> </w:t>
      </w:r>
      <w:r w:rsidRPr="00854737">
        <w:t>2013).</w:t>
      </w:r>
      <w:r>
        <w:t xml:space="preserve"> </w:t>
      </w:r>
      <w:r w:rsidRPr="00854737">
        <w:t>The</w:t>
      </w:r>
      <w:r>
        <w:t xml:space="preserve"> </w:t>
      </w:r>
      <w:r w:rsidRPr="00854737">
        <w:t>lifelong</w:t>
      </w:r>
      <w:r>
        <w:t xml:space="preserve"> </w:t>
      </w:r>
      <w:r w:rsidRPr="00854737">
        <w:t>prevalence</w:t>
      </w:r>
      <w:r>
        <w:t xml:space="preserve"> </w:t>
      </w:r>
      <w:r w:rsidRPr="00854737">
        <w:t>is</w:t>
      </w:r>
      <w:r>
        <w:t xml:space="preserve"> </w:t>
      </w:r>
      <w:r w:rsidRPr="00854737">
        <w:t>estimated</w:t>
      </w:r>
      <w:r>
        <w:t xml:space="preserve"> </w:t>
      </w:r>
      <w:r w:rsidRPr="00854737">
        <w:t>to</w:t>
      </w:r>
      <w:r>
        <w:t xml:space="preserve"> </w:t>
      </w:r>
      <w:r w:rsidRPr="00854737">
        <w:t>range</w:t>
      </w:r>
      <w:r>
        <w:t xml:space="preserve"> </w:t>
      </w:r>
      <w:r w:rsidRPr="00854737">
        <w:t>from</w:t>
      </w:r>
      <w:r>
        <w:t xml:space="preserve"> </w:t>
      </w:r>
      <w:r w:rsidRPr="00854737">
        <w:t>10</w:t>
      </w:r>
      <w:r>
        <w:t xml:space="preserve"> percent–15 percent </w:t>
      </w:r>
      <w:r w:rsidRPr="00854737">
        <w:t>(Lepine</w:t>
      </w:r>
      <w:r>
        <w:t xml:space="preserve"> </w:t>
      </w:r>
      <w:r w:rsidRPr="00854737">
        <w:t>and</w:t>
      </w:r>
      <w:r>
        <w:t xml:space="preserve"> </w:t>
      </w:r>
      <w:r w:rsidRPr="00854737">
        <w:t>Briley,</w:t>
      </w:r>
      <w:r>
        <w:t xml:space="preserve"> </w:t>
      </w:r>
      <w:r w:rsidRPr="00854737">
        <w:t>2011).</w:t>
      </w:r>
      <w:r>
        <w:t xml:space="preserve"> </w:t>
      </w:r>
      <w:r w:rsidRPr="00854737">
        <w:t>In</w:t>
      </w:r>
      <w:r>
        <w:t xml:space="preserve"> </w:t>
      </w:r>
      <w:r w:rsidRPr="00854737">
        <w:t>the</w:t>
      </w:r>
      <w:r>
        <w:t xml:space="preserve"> </w:t>
      </w:r>
      <w:r w:rsidRPr="00854737">
        <w:t>United</w:t>
      </w:r>
      <w:r>
        <w:t xml:space="preserve"> </w:t>
      </w:r>
      <w:r w:rsidRPr="00854737">
        <w:t>States,</w:t>
      </w:r>
      <w:r>
        <w:t xml:space="preserve"> </w:t>
      </w:r>
      <w:r w:rsidRPr="00854737">
        <w:t>15.7</w:t>
      </w:r>
      <w:r>
        <w:t xml:space="preserve"> percent </w:t>
      </w:r>
      <w:r w:rsidRPr="00854737">
        <w:t>of</w:t>
      </w:r>
      <w:r>
        <w:t xml:space="preserve"> </w:t>
      </w:r>
      <w:r w:rsidRPr="00854737">
        <w:t>people</w:t>
      </w:r>
      <w:r>
        <w:t xml:space="preserve"> </w:t>
      </w:r>
      <w:r w:rsidRPr="00854737">
        <w:t>report</w:t>
      </w:r>
      <w:r>
        <w:t xml:space="preserve"> that </w:t>
      </w:r>
      <w:r w:rsidRPr="00854737">
        <w:t>at</w:t>
      </w:r>
      <w:r>
        <w:t xml:space="preserve"> </w:t>
      </w:r>
      <w:r w:rsidRPr="00854737">
        <w:t>some</w:t>
      </w:r>
      <w:r>
        <w:t xml:space="preserve"> </w:t>
      </w:r>
      <w:r w:rsidRPr="00854737">
        <w:t>point</w:t>
      </w:r>
      <w:r>
        <w:t xml:space="preserve"> </w:t>
      </w:r>
      <w:r w:rsidRPr="00854737">
        <w:t>in</w:t>
      </w:r>
      <w:r>
        <w:t xml:space="preserve"> </w:t>
      </w:r>
      <w:r w:rsidRPr="00854737">
        <w:t>their</w:t>
      </w:r>
      <w:r>
        <w:t xml:space="preserve"> </w:t>
      </w:r>
      <w:r w:rsidRPr="00854737">
        <w:t>lifetime</w:t>
      </w:r>
      <w:r>
        <w:t xml:space="preserve"> they were </w:t>
      </w:r>
      <w:r w:rsidRPr="00854737">
        <w:t>told</w:t>
      </w:r>
      <w:r>
        <w:t xml:space="preserve"> </w:t>
      </w:r>
      <w:r w:rsidRPr="00854737">
        <w:t>by</w:t>
      </w:r>
      <w:r>
        <w:t xml:space="preserve"> </w:t>
      </w:r>
      <w:r w:rsidRPr="00854737">
        <w:t>a</w:t>
      </w:r>
      <w:r>
        <w:t xml:space="preserve"> </w:t>
      </w:r>
      <w:r w:rsidRPr="00854737">
        <w:t>health</w:t>
      </w:r>
      <w:r>
        <w:t xml:space="preserve"> </w:t>
      </w:r>
      <w:r w:rsidRPr="00854737">
        <w:t>care</w:t>
      </w:r>
      <w:r>
        <w:t xml:space="preserve"> </w:t>
      </w:r>
      <w:r w:rsidRPr="00854737">
        <w:t>professional</w:t>
      </w:r>
      <w:r>
        <w:t xml:space="preserve"> </w:t>
      </w:r>
      <w:r w:rsidRPr="00854737">
        <w:t>that</w:t>
      </w:r>
      <w:r>
        <w:t xml:space="preserve"> </w:t>
      </w:r>
      <w:r w:rsidRPr="00854737">
        <w:t>they</w:t>
      </w:r>
      <w:r>
        <w:t xml:space="preserve"> </w:t>
      </w:r>
      <w:r w:rsidRPr="00854737">
        <w:t>had</w:t>
      </w:r>
      <w:r>
        <w:t xml:space="preserve"> </w:t>
      </w:r>
      <w:r w:rsidRPr="00854737">
        <w:t>depression</w:t>
      </w:r>
      <w:r>
        <w:t xml:space="preserve"> </w:t>
      </w:r>
      <w:r w:rsidRPr="00854737">
        <w:t>(CDC,</w:t>
      </w:r>
      <w:r>
        <w:t xml:space="preserve"> </w:t>
      </w:r>
      <w:r w:rsidRPr="00854737">
        <w:t>2009).</w:t>
      </w:r>
    </w:p>
    <w:p w14:paraId="534DBC6B" w14:textId="77777777" w:rsidR="000C547E" w:rsidRPr="00DF1884" w:rsidRDefault="000C547E" w:rsidP="000C547E">
      <w:pPr>
        <w:pStyle w:val="Body"/>
      </w:pPr>
      <w:r w:rsidRPr="00E72CC0">
        <w:t>Depression</w:t>
      </w:r>
      <w:r>
        <w:t xml:space="preserve"> </w:t>
      </w:r>
      <w:r w:rsidRPr="00E72CC0">
        <w:t>has</w:t>
      </w:r>
      <w:r>
        <w:t xml:space="preserve"> </w:t>
      </w:r>
      <w:r w:rsidRPr="00E72CC0">
        <w:t>long</w:t>
      </w:r>
      <w:r>
        <w:t xml:space="preserve"> </w:t>
      </w:r>
      <w:r w:rsidRPr="00E72CC0">
        <w:t>been</w:t>
      </w:r>
      <w:r>
        <w:t xml:space="preserve"> </w:t>
      </w:r>
      <w:r w:rsidRPr="00E72CC0">
        <w:t>recognized</w:t>
      </w:r>
      <w:r>
        <w:t xml:space="preserve"> </w:t>
      </w:r>
      <w:r w:rsidRPr="00E72CC0">
        <w:t>as</w:t>
      </w:r>
      <w:r>
        <w:t xml:space="preserve"> </w:t>
      </w:r>
      <w:r w:rsidRPr="00E72CC0">
        <w:t>a</w:t>
      </w:r>
      <w:r>
        <w:t xml:space="preserve"> </w:t>
      </w:r>
      <w:r w:rsidRPr="00E72CC0">
        <w:t>major</w:t>
      </w:r>
      <w:r>
        <w:t xml:space="preserve"> </w:t>
      </w:r>
      <w:r w:rsidRPr="00E72CC0">
        <w:t>contributor</w:t>
      </w:r>
      <w:r>
        <w:t xml:space="preserve"> </w:t>
      </w:r>
      <w:r w:rsidRPr="00E72CC0">
        <w:t>to</w:t>
      </w:r>
      <w:r>
        <w:t xml:space="preserve"> </w:t>
      </w:r>
      <w:r w:rsidRPr="00E72CC0">
        <w:t>disease</w:t>
      </w:r>
      <w:r>
        <w:t xml:space="preserve"> </w:t>
      </w:r>
      <w:r w:rsidRPr="00E72CC0">
        <w:t>burden</w:t>
      </w:r>
      <w:r>
        <w:t xml:space="preserve"> </w:t>
      </w:r>
      <w:r w:rsidRPr="00E72CC0">
        <w:t>(Murray</w:t>
      </w:r>
      <w:r>
        <w:t xml:space="preserve"> </w:t>
      </w:r>
      <w:r w:rsidRPr="00E72CC0">
        <w:t>et</w:t>
      </w:r>
      <w:r>
        <w:t xml:space="preserve"> </w:t>
      </w:r>
      <w:r w:rsidRPr="00E72CC0">
        <w:t>al.,</w:t>
      </w:r>
      <w:r>
        <w:t xml:space="preserve"> </w:t>
      </w:r>
      <w:r w:rsidRPr="00E72CC0">
        <w:t>1997;</w:t>
      </w:r>
      <w:r>
        <w:t xml:space="preserve"> </w:t>
      </w:r>
      <w:r w:rsidRPr="00E72CC0">
        <w:t>Üstün</w:t>
      </w:r>
      <w:r>
        <w:t xml:space="preserve"> </w:t>
      </w:r>
      <w:r w:rsidRPr="00E72CC0">
        <w:t>et</w:t>
      </w:r>
      <w:r>
        <w:t xml:space="preserve"> </w:t>
      </w:r>
      <w:r w:rsidRPr="00E72CC0">
        <w:t>al.,</w:t>
      </w:r>
      <w:r>
        <w:t xml:space="preserve"> </w:t>
      </w:r>
      <w:r w:rsidRPr="00E72CC0">
        <w:t>2004).</w:t>
      </w:r>
      <w:r>
        <w:t xml:space="preserve"> </w:t>
      </w:r>
      <w:r w:rsidRPr="00E72CC0">
        <w:t>The</w:t>
      </w:r>
      <w:r>
        <w:t xml:space="preserve"> </w:t>
      </w:r>
      <w:r w:rsidRPr="00E72CC0">
        <w:t>Global</w:t>
      </w:r>
      <w:r>
        <w:t xml:space="preserve"> </w:t>
      </w:r>
      <w:r w:rsidRPr="00E72CC0">
        <w:t>Burden</w:t>
      </w:r>
      <w:r>
        <w:t xml:space="preserve"> </w:t>
      </w:r>
      <w:r w:rsidRPr="00E72CC0">
        <w:t>of</w:t>
      </w:r>
      <w:r>
        <w:t xml:space="preserve"> </w:t>
      </w:r>
      <w:r w:rsidRPr="00E72CC0">
        <w:t>Disease</w:t>
      </w:r>
      <w:r>
        <w:t xml:space="preserve"> </w:t>
      </w:r>
      <w:r w:rsidRPr="00E72CC0">
        <w:t>study</w:t>
      </w:r>
      <w:r>
        <w:t xml:space="preserve"> </w:t>
      </w:r>
      <w:r w:rsidRPr="00E72CC0">
        <w:t>of</w:t>
      </w:r>
      <w:r>
        <w:t xml:space="preserve"> </w:t>
      </w:r>
      <w:r w:rsidRPr="00E72CC0">
        <w:t>2010</w:t>
      </w:r>
      <w:r>
        <w:t xml:space="preserve"> </w:t>
      </w:r>
      <w:r w:rsidRPr="00E72CC0">
        <w:t>identified</w:t>
      </w:r>
      <w:r>
        <w:t xml:space="preserve"> </w:t>
      </w:r>
      <w:r w:rsidRPr="00E72CC0">
        <w:t>depression</w:t>
      </w:r>
      <w:r>
        <w:t xml:space="preserve"> </w:t>
      </w:r>
      <w:r w:rsidRPr="00E72CC0">
        <w:t>as</w:t>
      </w:r>
      <w:r>
        <w:t xml:space="preserve"> a </w:t>
      </w:r>
      <w:r w:rsidRPr="00E72CC0">
        <w:t>leading</w:t>
      </w:r>
      <w:r>
        <w:t xml:space="preserve"> </w:t>
      </w:r>
      <w:r w:rsidRPr="00E72CC0">
        <w:t>cause</w:t>
      </w:r>
      <w:r>
        <w:t xml:space="preserve"> </w:t>
      </w:r>
      <w:r w:rsidRPr="00E72CC0">
        <w:t>of</w:t>
      </w:r>
      <w:r>
        <w:t xml:space="preserve"> </w:t>
      </w:r>
      <w:r w:rsidRPr="00E72CC0">
        <w:t>disease</w:t>
      </w:r>
      <w:r>
        <w:t xml:space="preserve"> </w:t>
      </w:r>
      <w:r w:rsidRPr="00E72CC0">
        <w:t>burden</w:t>
      </w:r>
      <w:r>
        <w:t xml:space="preserve"> </w:t>
      </w:r>
      <w:r w:rsidRPr="00E72CC0">
        <w:t>in</w:t>
      </w:r>
      <w:r>
        <w:t xml:space="preserve"> </w:t>
      </w:r>
      <w:r w:rsidRPr="00E72CC0">
        <w:t>the</w:t>
      </w:r>
      <w:r>
        <w:t xml:space="preserve"> </w:t>
      </w:r>
      <w:r w:rsidRPr="00E72CC0">
        <w:t>world.</w:t>
      </w:r>
      <w:r>
        <w:t xml:space="preserve"> </w:t>
      </w:r>
      <w:r w:rsidRPr="00E72CC0">
        <w:t>Depressive</w:t>
      </w:r>
      <w:r>
        <w:t xml:space="preserve"> </w:t>
      </w:r>
      <w:r w:rsidRPr="00E72CC0">
        <w:t>disorders</w:t>
      </w:r>
      <w:r>
        <w:t xml:space="preserve"> </w:t>
      </w:r>
      <w:r w:rsidRPr="00E72CC0">
        <w:t>were</w:t>
      </w:r>
      <w:r>
        <w:t xml:space="preserve"> </w:t>
      </w:r>
      <w:r w:rsidRPr="00E72CC0">
        <w:t>the</w:t>
      </w:r>
      <w:r>
        <w:t xml:space="preserve"> </w:t>
      </w:r>
      <w:r w:rsidRPr="00E72CC0">
        <w:t>second</w:t>
      </w:r>
      <w:r>
        <w:t xml:space="preserve"> </w:t>
      </w:r>
      <w:r w:rsidRPr="00E72CC0">
        <w:t>largest</w:t>
      </w:r>
      <w:r>
        <w:t xml:space="preserve"> </w:t>
      </w:r>
      <w:r w:rsidRPr="00E72CC0">
        <w:t>contributor</w:t>
      </w:r>
      <w:r>
        <w:t xml:space="preserve"> </w:t>
      </w:r>
      <w:r w:rsidRPr="00E72CC0">
        <w:t>to</w:t>
      </w:r>
      <w:r>
        <w:t xml:space="preserve"> </w:t>
      </w:r>
      <w:r w:rsidRPr="00E72CC0">
        <w:t>years</w:t>
      </w:r>
      <w:r>
        <w:t xml:space="preserve"> </w:t>
      </w:r>
      <w:r w:rsidRPr="00E72CC0">
        <w:t>lived</w:t>
      </w:r>
      <w:r>
        <w:t xml:space="preserve"> </w:t>
      </w:r>
      <w:r w:rsidRPr="00E72CC0">
        <w:t>with</w:t>
      </w:r>
      <w:r>
        <w:t xml:space="preserve"> </w:t>
      </w:r>
      <w:r w:rsidRPr="00E72CC0">
        <w:t>disability,</w:t>
      </w:r>
      <w:r>
        <w:t xml:space="preserve"> </w:t>
      </w:r>
      <w:r w:rsidRPr="00E72CC0">
        <w:t>an</w:t>
      </w:r>
      <w:r>
        <w:t xml:space="preserve"> </w:t>
      </w:r>
      <w:r w:rsidRPr="00E72CC0">
        <w:t>indicator</w:t>
      </w:r>
      <w:r>
        <w:t xml:space="preserve"> </w:t>
      </w:r>
      <w:r w:rsidRPr="00E72CC0">
        <w:t>of</w:t>
      </w:r>
      <w:r>
        <w:t xml:space="preserve"> </w:t>
      </w:r>
      <w:r w:rsidRPr="00E72CC0">
        <w:t>the</w:t>
      </w:r>
      <w:r>
        <w:t xml:space="preserve"> </w:t>
      </w:r>
      <w:r w:rsidRPr="00E72CC0">
        <w:t>impact</w:t>
      </w:r>
      <w:r>
        <w:t xml:space="preserve"> </w:t>
      </w:r>
      <w:r w:rsidRPr="00E72CC0">
        <w:t>of</w:t>
      </w:r>
      <w:r>
        <w:t xml:space="preserve"> </w:t>
      </w:r>
      <w:r w:rsidRPr="00E72CC0">
        <w:t>disease</w:t>
      </w:r>
      <w:r>
        <w:t xml:space="preserve"> </w:t>
      </w:r>
      <w:r w:rsidRPr="00E72CC0">
        <w:t>burden</w:t>
      </w:r>
      <w:r>
        <w:t xml:space="preserve"> </w:t>
      </w:r>
      <w:r w:rsidRPr="00E72CC0">
        <w:t>(Ferrari</w:t>
      </w:r>
      <w:r>
        <w:t xml:space="preserve"> </w:t>
      </w:r>
      <w:r w:rsidRPr="00E72CC0">
        <w:t>et</w:t>
      </w:r>
      <w:r>
        <w:t xml:space="preserve"> </w:t>
      </w:r>
      <w:r w:rsidRPr="00E72CC0">
        <w:t>al.,</w:t>
      </w:r>
      <w:r>
        <w:t xml:space="preserve"> </w:t>
      </w:r>
      <w:r w:rsidRPr="00E72CC0">
        <w:t>2013).</w:t>
      </w:r>
      <w:r>
        <w:t xml:space="preserve"> </w:t>
      </w:r>
      <w:r w:rsidRPr="00E72CC0">
        <w:t>This</w:t>
      </w:r>
      <w:r>
        <w:t xml:space="preserve"> </w:t>
      </w:r>
      <w:r w:rsidRPr="00E72CC0">
        <w:t>accounts</w:t>
      </w:r>
      <w:r>
        <w:t xml:space="preserve"> </w:t>
      </w:r>
      <w:r w:rsidRPr="00E72CC0">
        <w:t>for</w:t>
      </w:r>
      <w:r>
        <w:t xml:space="preserve"> </w:t>
      </w:r>
      <w:r w:rsidRPr="00E72CC0">
        <w:t>an</w:t>
      </w:r>
      <w:r>
        <w:t xml:space="preserve"> </w:t>
      </w:r>
      <w:r w:rsidRPr="00E72CC0">
        <w:t>estimated</w:t>
      </w:r>
      <w:r>
        <w:t xml:space="preserve"> </w:t>
      </w:r>
      <w:r w:rsidRPr="00E72CC0">
        <w:t>10</w:t>
      </w:r>
      <w:r>
        <w:t xml:space="preserve"> percent </w:t>
      </w:r>
      <w:r w:rsidRPr="00E72CC0">
        <w:t>of</w:t>
      </w:r>
      <w:r>
        <w:t xml:space="preserve"> </w:t>
      </w:r>
      <w:r w:rsidRPr="00E72CC0">
        <w:t>Years</w:t>
      </w:r>
      <w:r>
        <w:t xml:space="preserve"> </w:t>
      </w:r>
      <w:r w:rsidRPr="00E72CC0">
        <w:t>Lived</w:t>
      </w:r>
      <w:r>
        <w:t xml:space="preserve"> </w:t>
      </w:r>
      <w:r w:rsidRPr="00E72CC0">
        <w:t>with</w:t>
      </w:r>
      <w:r>
        <w:t xml:space="preserve"> </w:t>
      </w:r>
      <w:r w:rsidRPr="00E72CC0">
        <w:t>Disability</w:t>
      </w:r>
      <w:r>
        <w:t xml:space="preserve"> </w:t>
      </w:r>
      <w:r w:rsidRPr="00E72CC0">
        <w:t>worldwide,</w:t>
      </w:r>
      <w:r>
        <w:t xml:space="preserve"> </w:t>
      </w:r>
      <w:r w:rsidRPr="00E72CC0">
        <w:t>which</w:t>
      </w:r>
      <w:r>
        <w:t xml:space="preserve"> </w:t>
      </w:r>
      <w:r w:rsidRPr="00E72CC0">
        <w:t>is</w:t>
      </w:r>
      <w:r>
        <w:t xml:space="preserve"> </w:t>
      </w:r>
      <w:r w:rsidRPr="00E72CC0">
        <w:t>three</w:t>
      </w:r>
      <w:r>
        <w:t xml:space="preserve"> </w:t>
      </w:r>
      <w:r w:rsidRPr="00E72CC0">
        <w:t>times</w:t>
      </w:r>
      <w:r>
        <w:t xml:space="preserve"> </w:t>
      </w:r>
      <w:r w:rsidRPr="00E72CC0">
        <w:t>the</w:t>
      </w:r>
      <w:r>
        <w:t xml:space="preserve"> </w:t>
      </w:r>
      <w:r w:rsidRPr="00E72CC0">
        <w:t>impact</w:t>
      </w:r>
      <w:r>
        <w:t xml:space="preserve"> </w:t>
      </w:r>
      <w:r w:rsidRPr="00E72CC0">
        <w:t>of</w:t>
      </w:r>
      <w:r>
        <w:t xml:space="preserve"> </w:t>
      </w:r>
      <w:r w:rsidRPr="00E72CC0">
        <w:t>diabetes,</w:t>
      </w:r>
      <w:r>
        <w:t xml:space="preserve"> </w:t>
      </w:r>
      <w:r w:rsidRPr="00E72CC0">
        <w:t>eight</w:t>
      </w:r>
      <w:r>
        <w:t xml:space="preserve"> </w:t>
      </w:r>
      <w:r w:rsidRPr="00E72CC0">
        <w:t>times</w:t>
      </w:r>
      <w:r>
        <w:t xml:space="preserve"> </w:t>
      </w:r>
      <w:r w:rsidRPr="00E72CC0">
        <w:t>the</w:t>
      </w:r>
      <w:r>
        <w:t xml:space="preserve"> </w:t>
      </w:r>
      <w:r w:rsidRPr="00E72CC0">
        <w:t>impact</w:t>
      </w:r>
      <w:r>
        <w:t xml:space="preserve"> </w:t>
      </w:r>
      <w:r w:rsidRPr="00E72CC0">
        <w:t>of</w:t>
      </w:r>
      <w:r>
        <w:t xml:space="preserve"> </w:t>
      </w:r>
      <w:r w:rsidRPr="00E72CC0">
        <w:t>heart</w:t>
      </w:r>
      <w:r>
        <w:t xml:space="preserve"> </w:t>
      </w:r>
      <w:r w:rsidRPr="00E72CC0">
        <w:t>disease,</w:t>
      </w:r>
      <w:r>
        <w:t xml:space="preserve"> </w:t>
      </w:r>
      <w:r w:rsidRPr="00E72CC0">
        <w:t>and</w:t>
      </w:r>
      <w:r>
        <w:t xml:space="preserve"> </w:t>
      </w:r>
      <w:r w:rsidRPr="00E72CC0">
        <w:t>forty</w:t>
      </w:r>
      <w:r>
        <w:t xml:space="preserve"> </w:t>
      </w:r>
      <w:r w:rsidRPr="00E72CC0">
        <w:t>times</w:t>
      </w:r>
      <w:r>
        <w:t xml:space="preserve"> </w:t>
      </w:r>
      <w:r w:rsidRPr="00E72CC0">
        <w:t>the</w:t>
      </w:r>
      <w:r>
        <w:t xml:space="preserve"> </w:t>
      </w:r>
      <w:r w:rsidRPr="00E72CC0">
        <w:t>impact</w:t>
      </w:r>
      <w:r>
        <w:t xml:space="preserve"> </w:t>
      </w:r>
      <w:r w:rsidRPr="00E72CC0">
        <w:t>of</w:t>
      </w:r>
      <w:r>
        <w:t xml:space="preserve"> </w:t>
      </w:r>
      <w:r w:rsidRPr="00E72CC0">
        <w:t>cancer</w:t>
      </w:r>
      <w:r>
        <w:t xml:space="preserve"> </w:t>
      </w:r>
      <w:r w:rsidRPr="00E72CC0">
        <w:t>(Murray</w:t>
      </w:r>
      <w:r>
        <w:t xml:space="preserve"> </w:t>
      </w:r>
      <w:r w:rsidRPr="00E72CC0">
        <w:t>et</w:t>
      </w:r>
      <w:r>
        <w:t xml:space="preserve"> </w:t>
      </w:r>
      <w:r w:rsidRPr="00E72CC0">
        <w:t>al.,</w:t>
      </w:r>
      <w:r>
        <w:t xml:space="preserve"> </w:t>
      </w:r>
      <w:r w:rsidRPr="00E72CC0">
        <w:t>2013).</w:t>
      </w:r>
      <w:r>
        <w:t xml:space="preserve"> </w:t>
      </w:r>
      <w:r w:rsidRPr="00E72CC0">
        <w:t>These</w:t>
      </w:r>
      <w:r>
        <w:t xml:space="preserve"> </w:t>
      </w:r>
      <w:r w:rsidRPr="00E72CC0">
        <w:t>findings</w:t>
      </w:r>
      <w:r>
        <w:t xml:space="preserve"> </w:t>
      </w:r>
      <w:r w:rsidRPr="00E72CC0">
        <w:t>underscore</w:t>
      </w:r>
      <w:r>
        <w:t xml:space="preserve"> </w:t>
      </w:r>
      <w:r w:rsidRPr="00E72CC0">
        <w:t>the</w:t>
      </w:r>
      <w:r>
        <w:t xml:space="preserve"> </w:t>
      </w:r>
      <w:r w:rsidRPr="00E72CC0">
        <w:t>need</w:t>
      </w:r>
      <w:r>
        <w:t xml:space="preserve"> </w:t>
      </w:r>
      <w:r w:rsidRPr="00E72CC0">
        <w:t>for</w:t>
      </w:r>
      <w:r>
        <w:t xml:space="preserve"> </w:t>
      </w:r>
      <w:r w:rsidRPr="00E72CC0">
        <w:t>attention</w:t>
      </w:r>
      <w:r>
        <w:t xml:space="preserve"> </w:t>
      </w:r>
      <w:r w:rsidRPr="00E72CC0">
        <w:t>to</w:t>
      </w:r>
      <w:r>
        <w:t xml:space="preserve"> </w:t>
      </w:r>
      <w:r w:rsidRPr="00E72CC0">
        <w:t>depressive</w:t>
      </w:r>
      <w:r>
        <w:t xml:space="preserve"> </w:t>
      </w:r>
      <w:r w:rsidRPr="00E72CC0">
        <w:t>disorders</w:t>
      </w:r>
      <w:r>
        <w:t xml:space="preserve"> </w:t>
      </w:r>
      <w:r w:rsidRPr="00E72CC0">
        <w:t>and</w:t>
      </w:r>
      <w:r>
        <w:t xml:space="preserve"> </w:t>
      </w:r>
      <w:r w:rsidRPr="00E72CC0">
        <w:t>the</w:t>
      </w:r>
      <w:r>
        <w:t xml:space="preserve"> </w:t>
      </w:r>
      <w:r w:rsidRPr="00E72CC0">
        <w:t>implementation</w:t>
      </w:r>
      <w:r>
        <w:t xml:space="preserve"> </w:t>
      </w:r>
      <w:r w:rsidRPr="00E72CC0">
        <w:t>of</w:t>
      </w:r>
      <w:r>
        <w:t xml:space="preserve"> </w:t>
      </w:r>
      <w:r w:rsidRPr="00E72CC0">
        <w:t>effective</w:t>
      </w:r>
      <w:r>
        <w:t xml:space="preserve"> </w:t>
      </w:r>
      <w:r w:rsidRPr="00E72CC0">
        <w:t>interventions</w:t>
      </w:r>
      <w:r>
        <w:t xml:space="preserve"> </w:t>
      </w:r>
      <w:r w:rsidRPr="00E72CC0">
        <w:t>to</w:t>
      </w:r>
      <w:r>
        <w:t xml:space="preserve"> </w:t>
      </w:r>
      <w:r w:rsidRPr="00E72CC0">
        <w:t>reduce</w:t>
      </w:r>
      <w:r>
        <w:t xml:space="preserve"> </w:t>
      </w:r>
      <w:r w:rsidRPr="00E72CC0">
        <w:t>their</w:t>
      </w:r>
      <w:r>
        <w:t xml:space="preserve"> </w:t>
      </w:r>
      <w:r w:rsidRPr="00E72CC0">
        <w:t>disease</w:t>
      </w:r>
      <w:r>
        <w:t xml:space="preserve"> </w:t>
      </w:r>
      <w:r w:rsidRPr="00E72CC0">
        <w:t>burden.</w:t>
      </w:r>
    </w:p>
    <w:p w14:paraId="6842269E" w14:textId="77777777" w:rsidR="000C547E" w:rsidRPr="00DF1884" w:rsidRDefault="000C547E" w:rsidP="000C547E">
      <w:pPr>
        <w:pStyle w:val="StdHead"/>
      </w:pPr>
      <w:r w:rsidRPr="00DF1884">
        <w:t>Relevance</w:t>
      </w:r>
    </w:p>
    <w:tbl>
      <w:tblPr>
        <w:tblStyle w:val="TableGrid"/>
        <w:tblW w:w="1007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8270"/>
      </w:tblGrid>
      <w:tr w:rsidR="000C547E" w:rsidRPr="00DF1884" w14:paraId="37C67F42" w14:textId="77777777" w:rsidTr="00991EDB">
        <w:tc>
          <w:tcPr>
            <w:tcW w:w="1800" w:type="dxa"/>
          </w:tcPr>
          <w:p w14:paraId="4CD05BC1" w14:textId="77777777" w:rsidR="000C547E" w:rsidRPr="00DF1884" w:rsidRDefault="000C547E" w:rsidP="00991EDB">
            <w:pPr>
              <w:pStyle w:val="MarginSubhead"/>
            </w:pPr>
            <w:r w:rsidRPr="00DF1884">
              <w:t>Health importance</w:t>
            </w:r>
          </w:p>
        </w:tc>
        <w:tc>
          <w:tcPr>
            <w:tcW w:w="8270" w:type="dxa"/>
          </w:tcPr>
          <w:p w14:paraId="705CEB94" w14:textId="77777777" w:rsidR="000C547E" w:rsidRPr="00DF1884" w:rsidRDefault="000C547E" w:rsidP="00991EDB">
            <w:pPr>
              <w:pStyle w:val="Body"/>
            </w:pPr>
            <w:r w:rsidRPr="00E72CC0">
              <w:t>Depression</w:t>
            </w:r>
            <w:r>
              <w:t xml:space="preserve"> </w:t>
            </w:r>
            <w:r w:rsidRPr="00E72CC0">
              <w:t>is</w:t>
            </w:r>
            <w:r>
              <w:t xml:space="preserve"> </w:t>
            </w:r>
            <w:r w:rsidRPr="00E72CC0">
              <w:t>associated</w:t>
            </w:r>
            <w:r>
              <w:t xml:space="preserve"> </w:t>
            </w:r>
            <w:r w:rsidRPr="00E72CC0">
              <w:t>with</w:t>
            </w:r>
            <w:r>
              <w:t xml:space="preserve"> </w:t>
            </w:r>
            <w:r w:rsidRPr="00E72CC0">
              <w:t>other</w:t>
            </w:r>
            <w:r>
              <w:t xml:space="preserve"> </w:t>
            </w:r>
            <w:r w:rsidRPr="00E72CC0">
              <w:t>chronic</w:t>
            </w:r>
            <w:r>
              <w:t xml:space="preserve"> </w:t>
            </w:r>
            <w:r w:rsidRPr="00E72CC0">
              <w:t>medical</w:t>
            </w:r>
            <w:r>
              <w:t xml:space="preserve"> </w:t>
            </w:r>
            <w:r w:rsidRPr="00E72CC0">
              <w:t>conditions</w:t>
            </w:r>
            <w:r>
              <w:t xml:space="preserve"> </w:t>
            </w:r>
            <w:r w:rsidRPr="00E72CC0">
              <w:t>and</w:t>
            </w:r>
            <w:r>
              <w:t xml:space="preserve"> </w:t>
            </w:r>
            <w:r w:rsidRPr="00E72CC0">
              <w:t>increased</w:t>
            </w:r>
            <w:r>
              <w:t xml:space="preserve"> </w:t>
            </w:r>
            <w:r w:rsidRPr="00E72CC0">
              <w:t>morbidity</w:t>
            </w:r>
            <w:r>
              <w:t xml:space="preserve"> </w:t>
            </w:r>
            <w:r w:rsidRPr="00E72CC0">
              <w:t>and</w:t>
            </w:r>
            <w:r>
              <w:t xml:space="preserve"> </w:t>
            </w:r>
            <w:r w:rsidRPr="00E72CC0">
              <w:t>mortality.</w:t>
            </w:r>
            <w:r>
              <w:t xml:space="preserve"> </w:t>
            </w:r>
            <w:r w:rsidRPr="00E72CC0">
              <w:t>The</w:t>
            </w:r>
            <w:r>
              <w:t xml:space="preserve"> </w:t>
            </w:r>
            <w:r w:rsidRPr="00E72CC0">
              <w:t>mortality</w:t>
            </w:r>
            <w:r>
              <w:t xml:space="preserve"> </w:t>
            </w:r>
            <w:r w:rsidRPr="00E72CC0">
              <w:t>risk</w:t>
            </w:r>
            <w:r>
              <w:t xml:space="preserve"> </w:t>
            </w:r>
            <w:r w:rsidRPr="00E72CC0">
              <w:t>for</w:t>
            </w:r>
            <w:r>
              <w:t xml:space="preserve"> </w:t>
            </w:r>
            <w:r w:rsidRPr="00E72CC0">
              <w:t>suicide</w:t>
            </w:r>
            <w:r>
              <w:t xml:space="preserve"> </w:t>
            </w:r>
            <w:r w:rsidRPr="00E72CC0">
              <w:t>in</w:t>
            </w:r>
            <w:r>
              <w:t xml:space="preserve"> </w:t>
            </w:r>
            <w:r w:rsidRPr="00E72CC0">
              <w:t>depressed</w:t>
            </w:r>
            <w:r>
              <w:t xml:space="preserve"> </w:t>
            </w:r>
            <w:r w:rsidRPr="00E72CC0">
              <w:t>patients</w:t>
            </w:r>
            <w:r>
              <w:t xml:space="preserve"> </w:t>
            </w:r>
            <w:r w:rsidRPr="00E72CC0">
              <w:t>is</w:t>
            </w:r>
            <w:r>
              <w:t xml:space="preserve"> </w:t>
            </w:r>
            <w:r w:rsidRPr="00E72CC0">
              <w:t>more</w:t>
            </w:r>
            <w:r>
              <w:t xml:space="preserve"> </w:t>
            </w:r>
            <w:r w:rsidRPr="00E72CC0">
              <w:t>than</w:t>
            </w:r>
            <w:r>
              <w:t xml:space="preserve"> </w:t>
            </w:r>
            <w:r w:rsidRPr="00E72CC0">
              <w:t>20-fold</w:t>
            </w:r>
            <w:r>
              <w:t xml:space="preserve"> </w:t>
            </w:r>
            <w:r w:rsidRPr="00E72CC0">
              <w:t>greater</w:t>
            </w:r>
            <w:r>
              <w:t xml:space="preserve"> </w:t>
            </w:r>
            <w:r w:rsidRPr="00E72CC0">
              <w:t>than</w:t>
            </w:r>
            <w:r>
              <w:t xml:space="preserve"> </w:t>
            </w:r>
            <w:r w:rsidRPr="00E72CC0">
              <w:t>in</w:t>
            </w:r>
            <w:r>
              <w:t xml:space="preserve"> </w:t>
            </w:r>
            <w:r w:rsidRPr="00E72CC0">
              <w:t>the</w:t>
            </w:r>
            <w:r>
              <w:t xml:space="preserve"> </w:t>
            </w:r>
            <w:r w:rsidRPr="00E72CC0">
              <w:t>general</w:t>
            </w:r>
            <w:r>
              <w:t xml:space="preserve"> </w:t>
            </w:r>
            <w:r w:rsidRPr="00E72CC0">
              <w:t>population</w:t>
            </w:r>
            <w:r>
              <w:t xml:space="preserve"> </w:t>
            </w:r>
            <w:r w:rsidRPr="00E72CC0">
              <w:t>(Bostwick</w:t>
            </w:r>
            <w:r>
              <w:t xml:space="preserve"> </w:t>
            </w:r>
            <w:r w:rsidRPr="00E72CC0">
              <w:t>and</w:t>
            </w:r>
            <w:r>
              <w:t xml:space="preserve"> </w:t>
            </w:r>
            <w:r w:rsidRPr="00E72CC0">
              <w:t>Pankratz,</w:t>
            </w:r>
            <w:r>
              <w:t xml:space="preserve"> </w:t>
            </w:r>
            <w:r w:rsidRPr="00E72CC0">
              <w:t>2000).</w:t>
            </w:r>
            <w:r>
              <w:t xml:space="preserve"> </w:t>
            </w:r>
            <w:r w:rsidRPr="00E72CC0">
              <w:t>In</w:t>
            </w:r>
            <w:r>
              <w:t xml:space="preserve"> </w:t>
            </w:r>
            <w:r w:rsidRPr="00E72CC0">
              <w:t>terms</w:t>
            </w:r>
            <w:r>
              <w:t xml:space="preserve"> </w:t>
            </w:r>
            <w:r w:rsidRPr="00E72CC0">
              <w:t>of</w:t>
            </w:r>
            <w:r>
              <w:t xml:space="preserve"> </w:t>
            </w:r>
            <w:r w:rsidRPr="00E72CC0">
              <w:t>other</w:t>
            </w:r>
            <w:r>
              <w:t xml:space="preserve"> </w:t>
            </w:r>
            <w:r w:rsidRPr="00E72CC0">
              <w:t>chronic</w:t>
            </w:r>
            <w:r>
              <w:t xml:space="preserve"> </w:t>
            </w:r>
            <w:r w:rsidRPr="00E72CC0">
              <w:t>conditions,</w:t>
            </w:r>
            <w:r>
              <w:t xml:space="preserve"> </w:t>
            </w:r>
            <w:r w:rsidRPr="00E72CC0">
              <w:t>depression</w:t>
            </w:r>
            <w:r>
              <w:t xml:space="preserve"> </w:t>
            </w:r>
            <w:r w:rsidRPr="00E72CC0">
              <w:t>is</w:t>
            </w:r>
            <w:r>
              <w:t xml:space="preserve"> </w:t>
            </w:r>
            <w:r w:rsidRPr="00E72CC0">
              <w:t>associated</w:t>
            </w:r>
            <w:r>
              <w:t xml:space="preserve"> </w:t>
            </w:r>
            <w:r w:rsidRPr="00E72CC0">
              <w:t>with</w:t>
            </w:r>
            <w:r>
              <w:t xml:space="preserve"> </w:t>
            </w:r>
            <w:r w:rsidRPr="00E72CC0">
              <w:t>a</w:t>
            </w:r>
            <w:r>
              <w:t xml:space="preserve"> </w:t>
            </w:r>
            <w:r w:rsidRPr="00E72CC0">
              <w:t>60</w:t>
            </w:r>
            <w:r>
              <w:t xml:space="preserve"> percent </w:t>
            </w:r>
            <w:r w:rsidRPr="00E72CC0">
              <w:t>increased</w:t>
            </w:r>
            <w:r>
              <w:t xml:space="preserve"> </w:t>
            </w:r>
            <w:r w:rsidRPr="00E72CC0">
              <w:t>risk</w:t>
            </w:r>
            <w:r>
              <w:t xml:space="preserve"> </w:t>
            </w:r>
            <w:r w:rsidRPr="00E72CC0">
              <w:t>of</w:t>
            </w:r>
            <w:r>
              <w:t xml:space="preserve"> </w:t>
            </w:r>
            <w:r w:rsidRPr="00E72CC0">
              <w:t>type</w:t>
            </w:r>
            <w:r>
              <w:t xml:space="preserve"> </w:t>
            </w:r>
            <w:r w:rsidRPr="00E72CC0">
              <w:t>2</w:t>
            </w:r>
            <w:r>
              <w:t xml:space="preserve"> </w:t>
            </w:r>
            <w:r w:rsidRPr="00E72CC0">
              <w:t>diabetes</w:t>
            </w:r>
            <w:r>
              <w:t xml:space="preserve"> </w:t>
            </w:r>
            <w:r w:rsidRPr="00E72CC0">
              <w:t>(Mezuk</w:t>
            </w:r>
            <w:r>
              <w:t xml:space="preserve"> </w:t>
            </w:r>
            <w:r w:rsidRPr="00E72CC0">
              <w:t>et</w:t>
            </w:r>
            <w:r>
              <w:t xml:space="preserve"> </w:t>
            </w:r>
            <w:r w:rsidRPr="00E72CC0">
              <w:t>al.,</w:t>
            </w:r>
            <w:r>
              <w:t xml:space="preserve"> </w:t>
            </w:r>
            <w:r w:rsidRPr="00E72CC0">
              <w:t>2008),</w:t>
            </w:r>
            <w:r>
              <w:t xml:space="preserve"> </w:t>
            </w:r>
            <w:r w:rsidRPr="00E72CC0">
              <w:t>and</w:t>
            </w:r>
            <w:r>
              <w:t xml:space="preserve"> </w:t>
            </w:r>
            <w:r w:rsidRPr="00E72CC0">
              <w:t>has</w:t>
            </w:r>
            <w:r>
              <w:t xml:space="preserve"> </w:t>
            </w:r>
            <w:r w:rsidRPr="00E72CC0">
              <w:t>been</w:t>
            </w:r>
            <w:r>
              <w:t xml:space="preserve"> </w:t>
            </w:r>
            <w:r w:rsidRPr="00E72CC0">
              <w:t>identified</w:t>
            </w:r>
            <w:r>
              <w:t xml:space="preserve"> </w:t>
            </w:r>
            <w:r w:rsidRPr="00E72CC0">
              <w:t>as</w:t>
            </w:r>
            <w:r>
              <w:t xml:space="preserve"> </w:t>
            </w:r>
            <w:r w:rsidRPr="00E72CC0">
              <w:t>a</w:t>
            </w:r>
            <w:r>
              <w:t xml:space="preserve"> </w:t>
            </w:r>
            <w:r w:rsidRPr="00E72CC0">
              <w:t>risk</w:t>
            </w:r>
            <w:r>
              <w:t xml:space="preserve"> </w:t>
            </w:r>
            <w:r w:rsidRPr="00E72CC0">
              <w:t>factor</w:t>
            </w:r>
            <w:r>
              <w:t xml:space="preserve"> </w:t>
            </w:r>
            <w:r w:rsidRPr="00E72CC0">
              <w:t>for</w:t>
            </w:r>
            <w:r>
              <w:t xml:space="preserve"> </w:t>
            </w:r>
            <w:r w:rsidRPr="00E72CC0">
              <w:t>development</w:t>
            </w:r>
            <w:r>
              <w:t xml:space="preserve"> </w:t>
            </w:r>
            <w:r w:rsidRPr="00E72CC0">
              <w:t>of</w:t>
            </w:r>
            <w:r>
              <w:t xml:space="preserve"> </w:t>
            </w:r>
            <w:r w:rsidRPr="00E72CC0">
              <w:t>cardiovascular</w:t>
            </w:r>
            <w:r>
              <w:t xml:space="preserve"> </w:t>
            </w:r>
            <w:r w:rsidRPr="00E72CC0">
              <w:t>disease</w:t>
            </w:r>
            <w:r>
              <w:t xml:space="preserve"> </w:t>
            </w:r>
            <w:r w:rsidRPr="00E72CC0">
              <w:t>(Van</w:t>
            </w:r>
            <w:r>
              <w:t xml:space="preserve"> </w:t>
            </w:r>
            <w:r w:rsidRPr="00E72CC0">
              <w:t>de</w:t>
            </w:r>
            <w:r>
              <w:t xml:space="preserve"> </w:t>
            </w:r>
            <w:r w:rsidRPr="00E72CC0">
              <w:t>Kooy</w:t>
            </w:r>
            <w:r>
              <w:t xml:space="preserve"> </w:t>
            </w:r>
            <w:r w:rsidRPr="00E72CC0">
              <w:t>et</w:t>
            </w:r>
            <w:r>
              <w:t xml:space="preserve"> </w:t>
            </w:r>
            <w:r w:rsidRPr="00E72CC0">
              <w:t>al.,</w:t>
            </w:r>
            <w:r>
              <w:t xml:space="preserve"> </w:t>
            </w:r>
            <w:r w:rsidRPr="00E72CC0">
              <w:t>2007).</w:t>
            </w:r>
            <w:r>
              <w:t xml:space="preserve"> </w:t>
            </w:r>
            <w:r w:rsidRPr="00E72CC0">
              <w:t>In</w:t>
            </w:r>
            <w:r>
              <w:t xml:space="preserve"> </w:t>
            </w:r>
            <w:r w:rsidRPr="00E72CC0">
              <w:t>addition,</w:t>
            </w:r>
            <w:r>
              <w:t xml:space="preserve"> </w:t>
            </w:r>
            <w:r w:rsidRPr="00E72CC0">
              <w:t>depression</w:t>
            </w:r>
            <w:r>
              <w:t xml:space="preserve"> </w:t>
            </w:r>
            <w:r w:rsidRPr="00E72CC0">
              <w:t>adversely</w:t>
            </w:r>
            <w:r>
              <w:t xml:space="preserve"> </w:t>
            </w:r>
            <w:r w:rsidRPr="00E72CC0">
              <w:t>affects</w:t>
            </w:r>
            <w:r>
              <w:t xml:space="preserve"> </w:t>
            </w:r>
            <w:r w:rsidRPr="00E72CC0">
              <w:t>the</w:t>
            </w:r>
            <w:r>
              <w:t xml:space="preserve"> </w:t>
            </w:r>
            <w:r w:rsidRPr="00E72CC0">
              <w:t>course,</w:t>
            </w:r>
            <w:r>
              <w:t xml:space="preserve"> </w:t>
            </w:r>
            <w:r w:rsidRPr="00E72CC0">
              <w:t>complications</w:t>
            </w:r>
            <w:r>
              <w:t xml:space="preserve"> </w:t>
            </w:r>
            <w:r w:rsidRPr="00E72CC0">
              <w:t>and</w:t>
            </w:r>
            <w:r>
              <w:t xml:space="preserve"> </w:t>
            </w:r>
            <w:r w:rsidRPr="00E72CC0">
              <w:t>management</w:t>
            </w:r>
            <w:r>
              <w:t xml:space="preserve"> </w:t>
            </w:r>
            <w:r w:rsidRPr="00E72CC0">
              <w:t>of</w:t>
            </w:r>
            <w:r>
              <w:t xml:space="preserve"> </w:t>
            </w:r>
            <w:r w:rsidRPr="00E72CC0">
              <w:t>other</w:t>
            </w:r>
            <w:r>
              <w:t xml:space="preserve"> </w:t>
            </w:r>
            <w:r w:rsidRPr="00E72CC0">
              <w:t>chronic</w:t>
            </w:r>
            <w:r>
              <w:t xml:space="preserve"> </w:t>
            </w:r>
            <w:r w:rsidRPr="00E72CC0">
              <w:t>medical</w:t>
            </w:r>
            <w:r>
              <w:t xml:space="preserve"> </w:t>
            </w:r>
            <w:r w:rsidRPr="00E72CC0">
              <w:t>illnesses</w:t>
            </w:r>
            <w:r>
              <w:t xml:space="preserve"> </w:t>
            </w:r>
            <w:r w:rsidRPr="00E72CC0">
              <w:t>(Katon,</w:t>
            </w:r>
            <w:r>
              <w:t xml:space="preserve"> </w:t>
            </w:r>
            <w:r w:rsidRPr="00E72CC0">
              <w:t>2011).</w:t>
            </w:r>
            <w:r>
              <w:t xml:space="preserve"> </w:t>
            </w:r>
            <w:r w:rsidRPr="00E72CC0">
              <w:t>In</w:t>
            </w:r>
            <w:r>
              <w:t xml:space="preserve"> </w:t>
            </w:r>
            <w:r w:rsidRPr="00E72CC0">
              <w:t>adolescents,</w:t>
            </w:r>
            <w:r>
              <w:t xml:space="preserve"> </w:t>
            </w:r>
            <w:r w:rsidRPr="00E72CC0">
              <w:t>depression</w:t>
            </w:r>
            <w:r>
              <w:t xml:space="preserve"> </w:t>
            </w:r>
            <w:r w:rsidRPr="00E72CC0">
              <w:t>can</w:t>
            </w:r>
            <w:r>
              <w:t xml:space="preserve"> </w:t>
            </w:r>
            <w:r w:rsidRPr="00E72CC0">
              <w:t>also</w:t>
            </w:r>
            <w:r>
              <w:t xml:space="preserve"> </w:t>
            </w:r>
            <w:r w:rsidRPr="00E72CC0">
              <w:t>result</w:t>
            </w:r>
            <w:r>
              <w:t xml:space="preserve"> </w:t>
            </w:r>
            <w:r w:rsidRPr="00E72CC0">
              <w:t>in</w:t>
            </w:r>
            <w:r>
              <w:t xml:space="preserve"> </w:t>
            </w:r>
            <w:r w:rsidRPr="00E72CC0">
              <w:t>serious</w:t>
            </w:r>
            <w:r>
              <w:t xml:space="preserve"> </w:t>
            </w:r>
            <w:r w:rsidRPr="00E72CC0">
              <w:t>long-term</w:t>
            </w:r>
            <w:r>
              <w:t xml:space="preserve"> </w:t>
            </w:r>
            <w:r w:rsidRPr="00E72CC0">
              <w:t>morbidities</w:t>
            </w:r>
            <w:r>
              <w:t xml:space="preserve"> </w:t>
            </w:r>
            <w:r w:rsidRPr="00E72CC0">
              <w:t>such</w:t>
            </w:r>
            <w:r>
              <w:t xml:space="preserve"> </w:t>
            </w:r>
            <w:r w:rsidRPr="00E72CC0">
              <w:t>as</w:t>
            </w:r>
            <w:r>
              <w:t xml:space="preserve"> </w:t>
            </w:r>
            <w:r w:rsidRPr="00E72CC0">
              <w:t>generalized</w:t>
            </w:r>
            <w:r>
              <w:t xml:space="preserve"> </w:t>
            </w:r>
            <w:r w:rsidRPr="00E72CC0">
              <w:t>anxiety</w:t>
            </w:r>
            <w:r>
              <w:t xml:space="preserve"> </w:t>
            </w:r>
            <w:r w:rsidRPr="00E72CC0">
              <w:t>disorder</w:t>
            </w:r>
            <w:r>
              <w:t xml:space="preserve"> </w:t>
            </w:r>
            <w:r w:rsidRPr="00E72CC0">
              <w:t>and</w:t>
            </w:r>
            <w:r>
              <w:t xml:space="preserve"> </w:t>
            </w:r>
            <w:r w:rsidRPr="00E72CC0">
              <w:t>panic</w:t>
            </w:r>
            <w:r>
              <w:t xml:space="preserve"> </w:t>
            </w:r>
            <w:r w:rsidRPr="00E72CC0">
              <w:t>disorder</w:t>
            </w:r>
            <w:r>
              <w:t xml:space="preserve"> </w:t>
            </w:r>
            <w:r w:rsidRPr="00E72CC0">
              <w:t>or</w:t>
            </w:r>
            <w:r>
              <w:t xml:space="preserve"> </w:t>
            </w:r>
            <w:r w:rsidRPr="00E72CC0">
              <w:t>lead</w:t>
            </w:r>
            <w:r>
              <w:t xml:space="preserve"> </w:t>
            </w:r>
            <w:r w:rsidRPr="00E72CC0">
              <w:t>to</w:t>
            </w:r>
            <w:r>
              <w:t xml:space="preserve"> </w:t>
            </w:r>
            <w:r w:rsidRPr="00E72CC0">
              <w:t>engagement</w:t>
            </w:r>
            <w:r>
              <w:t xml:space="preserve"> </w:t>
            </w:r>
            <w:r w:rsidRPr="00E72CC0">
              <w:t>in</w:t>
            </w:r>
            <w:r>
              <w:t xml:space="preserve"> </w:t>
            </w:r>
            <w:r w:rsidRPr="00E72CC0">
              <w:t>risky</w:t>
            </w:r>
            <w:r>
              <w:t xml:space="preserve"> </w:t>
            </w:r>
            <w:r w:rsidRPr="00E72CC0">
              <w:t>behaviors</w:t>
            </w:r>
            <w:r>
              <w:t xml:space="preserve"> </w:t>
            </w:r>
            <w:r w:rsidRPr="00E72CC0">
              <w:t>such</w:t>
            </w:r>
            <w:r>
              <w:t xml:space="preserve"> </w:t>
            </w:r>
            <w:r w:rsidRPr="00E72CC0">
              <w:t>as</w:t>
            </w:r>
            <w:r>
              <w:t xml:space="preserve"> </w:t>
            </w:r>
            <w:r w:rsidRPr="00E72CC0">
              <w:t>substance</w:t>
            </w:r>
            <w:r>
              <w:t xml:space="preserve"> </w:t>
            </w:r>
            <w:r w:rsidRPr="00E72CC0">
              <w:t>use</w:t>
            </w:r>
            <w:r>
              <w:t xml:space="preserve"> </w:t>
            </w:r>
            <w:r w:rsidRPr="00E72CC0">
              <w:t>(Taylor</w:t>
            </w:r>
            <w:r>
              <w:t xml:space="preserve"> </w:t>
            </w:r>
            <w:r w:rsidRPr="00E72CC0">
              <w:t>et</w:t>
            </w:r>
            <w:r>
              <w:t xml:space="preserve"> </w:t>
            </w:r>
            <w:r w:rsidRPr="00E72CC0">
              <w:t>al.,</w:t>
            </w:r>
            <w:r>
              <w:t xml:space="preserve"> </w:t>
            </w:r>
            <w:r w:rsidRPr="00E72CC0">
              <w:t>1996;</w:t>
            </w:r>
            <w:r>
              <w:t xml:space="preserve"> </w:t>
            </w:r>
            <w:r w:rsidRPr="00E72CC0">
              <w:t>Foley</w:t>
            </w:r>
            <w:r>
              <w:t xml:space="preserve"> </w:t>
            </w:r>
            <w:r w:rsidRPr="00E72CC0">
              <w:t>et</w:t>
            </w:r>
            <w:r>
              <w:t xml:space="preserve"> </w:t>
            </w:r>
            <w:r w:rsidRPr="00E72CC0">
              <w:t>al.,</w:t>
            </w:r>
            <w:r>
              <w:t xml:space="preserve"> </w:t>
            </w:r>
            <w:r w:rsidRPr="00E72CC0">
              <w:t>1996;</w:t>
            </w:r>
            <w:r>
              <w:t xml:space="preserve"> </w:t>
            </w:r>
            <w:r w:rsidRPr="00E72CC0">
              <w:t>Friedman</w:t>
            </w:r>
            <w:r>
              <w:t xml:space="preserve"> </w:t>
            </w:r>
            <w:r w:rsidRPr="00E72CC0">
              <w:t>et</w:t>
            </w:r>
            <w:r>
              <w:t xml:space="preserve"> </w:t>
            </w:r>
            <w:r w:rsidRPr="00E72CC0">
              <w:t>al.,</w:t>
            </w:r>
            <w:r>
              <w:t xml:space="preserve"> </w:t>
            </w:r>
            <w:r w:rsidRPr="00E72CC0">
              <w:t>1996;</w:t>
            </w:r>
            <w:r>
              <w:t xml:space="preserve"> </w:t>
            </w:r>
            <w:r w:rsidRPr="00E72CC0">
              <w:t>National</w:t>
            </w:r>
            <w:r>
              <w:t xml:space="preserve"> </w:t>
            </w:r>
            <w:r w:rsidRPr="00E72CC0">
              <w:t>Research</w:t>
            </w:r>
            <w:r>
              <w:t xml:space="preserve"> </w:t>
            </w:r>
            <w:r w:rsidRPr="00E72CC0">
              <w:t>Council</w:t>
            </w:r>
            <w:r>
              <w:t xml:space="preserve"> </w:t>
            </w:r>
            <w:r w:rsidRPr="00E72CC0">
              <w:t>and</w:t>
            </w:r>
            <w:r>
              <w:t xml:space="preserve"> </w:t>
            </w:r>
            <w:r w:rsidRPr="00E72CC0">
              <w:t>Institute</w:t>
            </w:r>
            <w:r>
              <w:t xml:space="preserve"> </w:t>
            </w:r>
            <w:r w:rsidRPr="00E72CC0">
              <w:t>of</w:t>
            </w:r>
            <w:r>
              <w:t xml:space="preserve"> </w:t>
            </w:r>
            <w:r w:rsidRPr="00E72CC0">
              <w:t>Medicine.,</w:t>
            </w:r>
            <w:r>
              <w:t xml:space="preserve"> </w:t>
            </w:r>
            <w:r w:rsidRPr="00E72CC0">
              <w:t>2009).</w:t>
            </w:r>
            <w:r>
              <w:t xml:space="preserve"> </w:t>
            </w:r>
            <w:r w:rsidRPr="00E72CC0">
              <w:t>Adolescent-onset</w:t>
            </w:r>
            <w:r>
              <w:t xml:space="preserve"> </w:t>
            </w:r>
            <w:r w:rsidRPr="00E72CC0">
              <w:t>depression</w:t>
            </w:r>
            <w:r>
              <w:t xml:space="preserve"> </w:t>
            </w:r>
            <w:r w:rsidRPr="00E72CC0">
              <w:t>increases</w:t>
            </w:r>
            <w:r>
              <w:t xml:space="preserve"> </w:t>
            </w:r>
            <w:r w:rsidRPr="00E72CC0">
              <w:t>the</w:t>
            </w:r>
            <w:r>
              <w:t xml:space="preserve"> </w:t>
            </w:r>
            <w:r w:rsidRPr="00E72CC0">
              <w:t>risk</w:t>
            </w:r>
            <w:r>
              <w:t xml:space="preserve"> </w:t>
            </w:r>
            <w:r w:rsidRPr="00E72CC0">
              <w:t>of</w:t>
            </w:r>
            <w:r>
              <w:t xml:space="preserve"> </w:t>
            </w:r>
            <w:r w:rsidRPr="00E72CC0">
              <w:t>attempted</w:t>
            </w:r>
            <w:r>
              <w:t xml:space="preserve"> </w:t>
            </w:r>
            <w:r w:rsidRPr="00E72CC0">
              <w:t>suicide</w:t>
            </w:r>
            <w:r>
              <w:t xml:space="preserve"> </w:t>
            </w:r>
            <w:r w:rsidRPr="00E72CC0">
              <w:t>by</w:t>
            </w:r>
            <w:r>
              <w:t xml:space="preserve"> </w:t>
            </w:r>
            <w:r w:rsidRPr="00E72CC0">
              <w:t>five-fold</w:t>
            </w:r>
            <w:r>
              <w:t xml:space="preserve"> </w:t>
            </w:r>
            <w:r w:rsidRPr="00E72CC0">
              <w:t>in</w:t>
            </w:r>
            <w:r>
              <w:t xml:space="preserve"> </w:t>
            </w:r>
            <w:r w:rsidRPr="00E72CC0">
              <w:t>comparison</w:t>
            </w:r>
            <w:r>
              <w:t xml:space="preserve"> </w:t>
            </w:r>
            <w:r w:rsidRPr="00E72CC0">
              <w:t>to</w:t>
            </w:r>
            <w:r>
              <w:t xml:space="preserve"> </w:t>
            </w:r>
            <w:r w:rsidRPr="00E72CC0">
              <w:t>non-depressed</w:t>
            </w:r>
            <w:r>
              <w:t xml:space="preserve"> </w:t>
            </w:r>
            <w:r w:rsidRPr="00E72CC0">
              <w:t>adolescents</w:t>
            </w:r>
            <w:r>
              <w:t xml:space="preserve"> </w:t>
            </w:r>
            <w:r w:rsidRPr="00E72CC0">
              <w:t>(Garber,</w:t>
            </w:r>
            <w:r>
              <w:t xml:space="preserve"> </w:t>
            </w:r>
            <w:r w:rsidRPr="00E72CC0">
              <w:t>2009).</w:t>
            </w:r>
            <w:r>
              <w:t xml:space="preserve"> </w:t>
            </w:r>
            <w:r w:rsidRPr="00E72CC0">
              <w:t>Most</w:t>
            </w:r>
            <w:r>
              <w:t xml:space="preserve"> </w:t>
            </w:r>
            <w:r w:rsidRPr="00E72CC0">
              <w:t>adolescents</w:t>
            </w:r>
            <w:r>
              <w:t xml:space="preserve"> </w:t>
            </w:r>
            <w:r w:rsidRPr="00E72CC0">
              <w:t>who</w:t>
            </w:r>
            <w:r>
              <w:t xml:space="preserve"> </w:t>
            </w:r>
            <w:r w:rsidRPr="00E72CC0">
              <w:t>commit</w:t>
            </w:r>
            <w:r>
              <w:t xml:space="preserve"> </w:t>
            </w:r>
            <w:r w:rsidRPr="00E72CC0">
              <w:t>suicide,</w:t>
            </w:r>
            <w:r>
              <w:t xml:space="preserve"> </w:t>
            </w:r>
            <w:r w:rsidRPr="00E72CC0">
              <w:t>the</w:t>
            </w:r>
            <w:r>
              <w:t xml:space="preserve"> </w:t>
            </w:r>
            <w:r w:rsidRPr="00E72CC0">
              <w:t>third</w:t>
            </w:r>
            <w:r>
              <w:t xml:space="preserve"> </w:t>
            </w:r>
            <w:r w:rsidRPr="00E72CC0">
              <w:lastRenderedPageBreak/>
              <w:t>leading</w:t>
            </w:r>
            <w:r>
              <w:t xml:space="preserve"> </w:t>
            </w:r>
            <w:r w:rsidRPr="00E72CC0">
              <w:t>cause</w:t>
            </w:r>
            <w:r>
              <w:t xml:space="preserve"> </w:t>
            </w:r>
            <w:r w:rsidRPr="00E72CC0">
              <w:t>of</w:t>
            </w:r>
            <w:r>
              <w:t xml:space="preserve"> </w:t>
            </w:r>
            <w:r w:rsidRPr="00E72CC0">
              <w:t>death</w:t>
            </w:r>
            <w:r>
              <w:t xml:space="preserve"> </w:t>
            </w:r>
            <w:r w:rsidRPr="00E72CC0">
              <w:t>among</w:t>
            </w:r>
            <w:r>
              <w:t xml:space="preserve"> </w:t>
            </w:r>
            <w:r w:rsidRPr="00E72CC0">
              <w:t>15</w:t>
            </w:r>
            <w:r>
              <w:t>–</w:t>
            </w:r>
            <w:r w:rsidRPr="00E72CC0">
              <w:t>24</w:t>
            </w:r>
            <w:r>
              <w:t xml:space="preserve"> </w:t>
            </w:r>
            <w:r w:rsidRPr="00E72CC0">
              <w:t>year</w:t>
            </w:r>
            <w:r>
              <w:t xml:space="preserve"> </w:t>
            </w:r>
            <w:r w:rsidRPr="00E72CC0">
              <w:t>olds,</w:t>
            </w:r>
            <w:r>
              <w:t xml:space="preserve"> </w:t>
            </w:r>
            <w:r w:rsidRPr="00E72CC0">
              <w:t>have</w:t>
            </w:r>
            <w:r>
              <w:t xml:space="preserve"> </w:t>
            </w:r>
            <w:r w:rsidRPr="00E72CC0">
              <w:t>a</w:t>
            </w:r>
            <w:r>
              <w:t xml:space="preserve"> </w:t>
            </w:r>
            <w:r w:rsidRPr="00E72CC0">
              <w:t>previous</w:t>
            </w:r>
            <w:r>
              <w:t xml:space="preserve"> </w:t>
            </w:r>
            <w:r w:rsidRPr="00E72CC0">
              <w:t>history</w:t>
            </w:r>
            <w:r>
              <w:t xml:space="preserve"> </w:t>
            </w:r>
            <w:r w:rsidRPr="00E72CC0">
              <w:t>of</w:t>
            </w:r>
            <w:r>
              <w:t xml:space="preserve"> </w:t>
            </w:r>
            <w:r w:rsidRPr="00E72CC0">
              <w:t>depression</w:t>
            </w:r>
            <w:r>
              <w:t xml:space="preserve"> </w:t>
            </w:r>
            <w:r w:rsidRPr="00E72CC0">
              <w:t>(Williams</w:t>
            </w:r>
            <w:r>
              <w:t xml:space="preserve"> </w:t>
            </w:r>
            <w:r w:rsidRPr="00E72CC0">
              <w:t>et</w:t>
            </w:r>
            <w:r>
              <w:t xml:space="preserve"> </w:t>
            </w:r>
            <w:r w:rsidRPr="00E72CC0">
              <w:t>al.,</w:t>
            </w:r>
            <w:r>
              <w:t xml:space="preserve"> </w:t>
            </w:r>
            <w:r w:rsidRPr="00E72CC0">
              <w:t>2009;</w:t>
            </w:r>
            <w:r>
              <w:t xml:space="preserve"> </w:t>
            </w:r>
            <w:r w:rsidRPr="00E72CC0">
              <w:t>National</w:t>
            </w:r>
            <w:r>
              <w:t xml:space="preserve"> </w:t>
            </w:r>
            <w:r w:rsidRPr="00E72CC0">
              <w:t>Research</w:t>
            </w:r>
            <w:r>
              <w:t xml:space="preserve"> </w:t>
            </w:r>
            <w:r w:rsidRPr="00E72CC0">
              <w:t>Council</w:t>
            </w:r>
            <w:r>
              <w:t xml:space="preserve"> </w:t>
            </w:r>
            <w:r w:rsidRPr="00E72CC0">
              <w:t>and</w:t>
            </w:r>
            <w:r>
              <w:t xml:space="preserve"> </w:t>
            </w:r>
            <w:r w:rsidRPr="00E72CC0">
              <w:t>Institute</w:t>
            </w:r>
            <w:r>
              <w:t xml:space="preserve"> </w:t>
            </w:r>
            <w:r w:rsidRPr="00E72CC0">
              <w:t>of</w:t>
            </w:r>
            <w:r>
              <w:t xml:space="preserve"> </w:t>
            </w:r>
            <w:r w:rsidRPr="00E72CC0">
              <w:t>Medicine,</w:t>
            </w:r>
            <w:r>
              <w:t xml:space="preserve"> </w:t>
            </w:r>
            <w:r w:rsidRPr="00E72CC0">
              <w:t>2009).</w:t>
            </w:r>
            <w:r>
              <w:rPr>
                <w:rFonts w:cs="Arial"/>
                <w:szCs w:val="20"/>
              </w:rPr>
              <w:t xml:space="preserve"> </w:t>
            </w:r>
          </w:p>
        </w:tc>
      </w:tr>
    </w:tbl>
    <w:tbl>
      <w:tblPr>
        <w:tblW w:w="9671" w:type="dxa"/>
        <w:tblInd w:w="-41" w:type="dxa"/>
        <w:tblLayout w:type="fixed"/>
        <w:tblCellMar>
          <w:left w:w="180" w:type="dxa"/>
          <w:right w:w="180" w:type="dxa"/>
        </w:tblCellMar>
        <w:tblLook w:val="0000" w:firstRow="0" w:lastRow="0" w:firstColumn="0" w:lastColumn="0" w:noHBand="0" w:noVBand="0"/>
      </w:tblPr>
      <w:tblGrid>
        <w:gridCol w:w="1751"/>
        <w:gridCol w:w="7920"/>
      </w:tblGrid>
      <w:tr w:rsidR="000C547E" w:rsidRPr="00DF1884" w14:paraId="51C2FDD6" w14:textId="77777777" w:rsidTr="00991EDB">
        <w:tc>
          <w:tcPr>
            <w:tcW w:w="1751" w:type="dxa"/>
            <w:tcMar>
              <w:left w:w="115" w:type="dxa"/>
              <w:right w:w="115" w:type="dxa"/>
            </w:tcMar>
          </w:tcPr>
          <w:p w14:paraId="550CCF6E" w14:textId="77777777" w:rsidR="000C547E" w:rsidRDefault="000C547E" w:rsidP="00991EDB">
            <w:pPr>
              <w:pStyle w:val="MarginSubhead"/>
              <w:spacing w:before="0"/>
            </w:pPr>
          </w:p>
          <w:p w14:paraId="677EA199" w14:textId="77777777" w:rsidR="000C547E" w:rsidRPr="00DF1884" w:rsidRDefault="000C547E" w:rsidP="00991EDB">
            <w:pPr>
              <w:pStyle w:val="MarginSubhead"/>
              <w:spacing w:before="0"/>
            </w:pPr>
            <w:r w:rsidRPr="00DF1884">
              <w:t xml:space="preserve">Financial importance </w:t>
            </w:r>
          </w:p>
        </w:tc>
        <w:tc>
          <w:tcPr>
            <w:tcW w:w="7920" w:type="dxa"/>
            <w:tcMar>
              <w:left w:w="115" w:type="dxa"/>
              <w:right w:w="115" w:type="dxa"/>
            </w:tcMar>
          </w:tcPr>
          <w:p w14:paraId="000A6758" w14:textId="77777777" w:rsidR="000C547E" w:rsidRPr="00DF1884" w:rsidRDefault="000C547E" w:rsidP="00991EDB">
            <w:pPr>
              <w:pStyle w:val="Body"/>
              <w:spacing w:before="0"/>
            </w:pPr>
          </w:p>
          <w:p w14:paraId="2A2B38A4" w14:textId="77777777" w:rsidR="000C547E" w:rsidRDefault="000C547E" w:rsidP="00991EDB">
            <w:pPr>
              <w:pStyle w:val="Body"/>
              <w:spacing w:before="0"/>
              <w:rPr>
                <w:rFonts w:eastAsia="Calibri" w:cs="Arial"/>
              </w:rPr>
            </w:pPr>
            <w:r w:rsidRPr="008C000D">
              <w:rPr>
                <w:rFonts w:eastAsia="Calibri" w:cs="Arial"/>
              </w:rPr>
              <w:t>Depression</w:t>
            </w:r>
            <w:r>
              <w:rPr>
                <w:rFonts w:eastAsia="Calibri" w:cs="Arial"/>
              </w:rPr>
              <w:t xml:space="preserve"> </w:t>
            </w:r>
            <w:r w:rsidRPr="008C000D">
              <w:rPr>
                <w:rFonts w:eastAsia="Calibri" w:cs="Arial"/>
              </w:rPr>
              <w:t>has</w:t>
            </w:r>
            <w:r>
              <w:rPr>
                <w:rFonts w:eastAsia="Calibri" w:cs="Arial"/>
              </w:rPr>
              <w:t xml:space="preserve"> </w:t>
            </w:r>
            <w:r w:rsidRPr="008C000D">
              <w:rPr>
                <w:rFonts w:eastAsia="Calibri" w:cs="Arial"/>
              </w:rPr>
              <w:t>large</w:t>
            </w:r>
            <w:r>
              <w:rPr>
                <w:rFonts w:eastAsia="Calibri" w:cs="Arial"/>
              </w:rPr>
              <w:t xml:space="preserve"> </w:t>
            </w:r>
            <w:r w:rsidRPr="008C000D">
              <w:rPr>
                <w:rFonts w:eastAsia="Calibri" w:cs="Arial"/>
              </w:rPr>
              <w:t>effects</w:t>
            </w:r>
            <w:r>
              <w:rPr>
                <w:rFonts w:eastAsia="Calibri" w:cs="Arial"/>
              </w:rPr>
              <w:t xml:space="preserve"> </w:t>
            </w:r>
            <w:r w:rsidRPr="008C000D">
              <w:rPr>
                <w:rFonts w:eastAsia="Calibri" w:cs="Arial"/>
              </w:rPr>
              <w:t>on</w:t>
            </w:r>
            <w:r>
              <w:rPr>
                <w:rFonts w:eastAsia="Calibri" w:cs="Arial"/>
              </w:rPr>
              <w:t xml:space="preserve"> </w:t>
            </w:r>
            <w:r w:rsidRPr="008C000D">
              <w:rPr>
                <w:rFonts w:eastAsia="Calibri" w:cs="Arial"/>
              </w:rPr>
              <w:t>both</w:t>
            </w:r>
            <w:r>
              <w:rPr>
                <w:rFonts w:eastAsia="Calibri" w:cs="Arial"/>
              </w:rPr>
              <w:t xml:space="preserve"> </w:t>
            </w:r>
            <w:r w:rsidRPr="008C000D">
              <w:rPr>
                <w:rFonts w:eastAsia="Calibri" w:cs="Arial"/>
              </w:rPr>
              <w:t>health</w:t>
            </w:r>
            <w:r>
              <w:rPr>
                <w:rFonts w:eastAsia="Calibri" w:cs="Arial"/>
              </w:rPr>
              <w:t xml:space="preserve"> </w:t>
            </w:r>
            <w:r w:rsidRPr="008C000D">
              <w:rPr>
                <w:rFonts w:eastAsia="Calibri" w:cs="Arial"/>
              </w:rPr>
              <w:t>care</w:t>
            </w:r>
            <w:r>
              <w:rPr>
                <w:rFonts w:eastAsia="Calibri" w:cs="Arial"/>
              </w:rPr>
              <w:t xml:space="preserve"> </w:t>
            </w:r>
            <w:r w:rsidRPr="008C000D">
              <w:rPr>
                <w:rFonts w:eastAsia="Calibri" w:cs="Arial"/>
              </w:rPr>
              <w:t>costs</w:t>
            </w:r>
            <w:r>
              <w:rPr>
                <w:rFonts w:eastAsia="Calibri" w:cs="Arial"/>
              </w:rPr>
              <w:t xml:space="preserve"> </w:t>
            </w:r>
            <w:r w:rsidRPr="008C000D">
              <w:rPr>
                <w:rFonts w:eastAsia="Calibri" w:cs="Arial"/>
              </w:rPr>
              <w:t>and</w:t>
            </w:r>
            <w:r>
              <w:rPr>
                <w:rFonts w:eastAsia="Calibri" w:cs="Arial"/>
              </w:rPr>
              <w:t xml:space="preserve"> </w:t>
            </w:r>
            <w:r w:rsidRPr="008C000D">
              <w:rPr>
                <w:rFonts w:eastAsia="Calibri" w:cs="Arial"/>
              </w:rPr>
              <w:t>lost</w:t>
            </w:r>
            <w:r>
              <w:rPr>
                <w:rFonts w:eastAsia="Calibri" w:cs="Arial"/>
              </w:rPr>
              <w:t xml:space="preserve"> </w:t>
            </w:r>
            <w:r w:rsidRPr="008C000D">
              <w:rPr>
                <w:rFonts w:eastAsia="Calibri" w:cs="Arial"/>
              </w:rPr>
              <w:t>productivity.</w:t>
            </w:r>
            <w:r>
              <w:rPr>
                <w:rFonts w:eastAsia="Calibri" w:cs="Arial"/>
              </w:rPr>
              <w:t xml:space="preserve"> </w:t>
            </w:r>
            <w:r w:rsidRPr="008C000D">
              <w:rPr>
                <w:rFonts w:eastAsia="Calibri" w:cs="Arial"/>
              </w:rPr>
              <w:t>Adolescents</w:t>
            </w:r>
            <w:r>
              <w:rPr>
                <w:rFonts w:eastAsia="Calibri" w:cs="Arial"/>
              </w:rPr>
              <w:t xml:space="preserve"> </w:t>
            </w:r>
            <w:r w:rsidRPr="008C000D">
              <w:rPr>
                <w:rFonts w:eastAsia="Calibri" w:cs="Arial"/>
              </w:rPr>
              <w:t>with</w:t>
            </w:r>
            <w:r>
              <w:rPr>
                <w:rFonts w:eastAsia="Calibri" w:cs="Arial"/>
              </w:rPr>
              <w:t xml:space="preserve"> </w:t>
            </w:r>
            <w:r w:rsidRPr="008C000D">
              <w:rPr>
                <w:rFonts w:eastAsia="Calibri" w:cs="Arial"/>
              </w:rPr>
              <w:t>depression</w:t>
            </w:r>
            <w:r>
              <w:rPr>
                <w:rFonts w:eastAsia="Calibri" w:cs="Arial"/>
              </w:rPr>
              <w:t xml:space="preserve"> </w:t>
            </w:r>
            <w:r w:rsidRPr="008C000D">
              <w:rPr>
                <w:rFonts w:eastAsia="Calibri" w:cs="Arial"/>
              </w:rPr>
              <w:t>have</w:t>
            </w:r>
            <w:r>
              <w:rPr>
                <w:rFonts w:eastAsia="Calibri" w:cs="Arial"/>
              </w:rPr>
              <w:t xml:space="preserve"> </w:t>
            </w:r>
            <w:r w:rsidRPr="008C000D">
              <w:rPr>
                <w:rFonts w:eastAsia="Calibri" w:cs="Arial"/>
              </w:rPr>
              <w:t>higher</w:t>
            </w:r>
            <w:r>
              <w:rPr>
                <w:rFonts w:eastAsia="Calibri" w:cs="Arial"/>
              </w:rPr>
              <w:t xml:space="preserve"> </w:t>
            </w:r>
            <w:r w:rsidRPr="008C000D">
              <w:rPr>
                <w:rFonts w:eastAsia="Calibri" w:cs="Arial"/>
              </w:rPr>
              <w:t>medical</w:t>
            </w:r>
            <w:r>
              <w:rPr>
                <w:rFonts w:eastAsia="Calibri" w:cs="Arial"/>
              </w:rPr>
              <w:t xml:space="preserve"> </w:t>
            </w:r>
            <w:r w:rsidRPr="008C000D">
              <w:rPr>
                <w:rFonts w:eastAsia="Calibri" w:cs="Arial"/>
              </w:rPr>
              <w:t>expenditures,</w:t>
            </w:r>
            <w:r>
              <w:rPr>
                <w:rFonts w:eastAsia="Calibri" w:cs="Arial"/>
              </w:rPr>
              <w:t xml:space="preserve"> </w:t>
            </w:r>
            <w:r w:rsidRPr="008C000D">
              <w:rPr>
                <w:rFonts w:eastAsia="Calibri" w:cs="Arial"/>
              </w:rPr>
              <w:t>including</w:t>
            </w:r>
            <w:r>
              <w:rPr>
                <w:rFonts w:eastAsia="Calibri" w:cs="Arial"/>
              </w:rPr>
              <w:t xml:space="preserve"> </w:t>
            </w:r>
            <w:r w:rsidRPr="008C000D">
              <w:rPr>
                <w:rFonts w:eastAsia="Calibri" w:cs="Arial"/>
              </w:rPr>
              <w:t>those</w:t>
            </w:r>
            <w:r>
              <w:rPr>
                <w:rFonts w:eastAsia="Calibri" w:cs="Arial"/>
              </w:rPr>
              <w:t xml:space="preserve"> </w:t>
            </w:r>
            <w:r w:rsidRPr="008C000D">
              <w:rPr>
                <w:rFonts w:eastAsia="Calibri" w:cs="Arial"/>
              </w:rPr>
              <w:t>related</w:t>
            </w:r>
            <w:r>
              <w:rPr>
                <w:rFonts w:eastAsia="Calibri" w:cs="Arial"/>
              </w:rPr>
              <w:t xml:space="preserve"> </w:t>
            </w:r>
            <w:r w:rsidRPr="008C000D">
              <w:rPr>
                <w:rFonts w:eastAsia="Calibri" w:cs="Arial"/>
              </w:rPr>
              <w:t>to</w:t>
            </w:r>
            <w:r>
              <w:rPr>
                <w:rFonts w:eastAsia="Calibri" w:cs="Arial"/>
              </w:rPr>
              <w:t xml:space="preserve"> </w:t>
            </w:r>
            <w:r w:rsidRPr="008C000D">
              <w:rPr>
                <w:rFonts w:eastAsia="Calibri" w:cs="Arial"/>
              </w:rPr>
              <w:t>general</w:t>
            </w:r>
            <w:r>
              <w:rPr>
                <w:rFonts w:eastAsia="Calibri" w:cs="Arial"/>
              </w:rPr>
              <w:t xml:space="preserve"> </w:t>
            </w:r>
            <w:r w:rsidRPr="008C000D">
              <w:rPr>
                <w:rFonts w:eastAsia="Calibri" w:cs="Arial"/>
              </w:rPr>
              <w:t>and</w:t>
            </w:r>
            <w:r>
              <w:rPr>
                <w:rFonts w:eastAsia="Calibri" w:cs="Arial"/>
              </w:rPr>
              <w:t xml:space="preserve"> </w:t>
            </w:r>
            <w:r w:rsidRPr="008C000D">
              <w:rPr>
                <w:rFonts w:eastAsia="Calibri" w:cs="Arial"/>
              </w:rPr>
              <w:t>mental</w:t>
            </w:r>
            <w:r>
              <w:rPr>
                <w:rFonts w:eastAsia="Calibri" w:cs="Arial"/>
              </w:rPr>
              <w:t xml:space="preserve"> </w:t>
            </w:r>
            <w:r w:rsidRPr="008C000D">
              <w:rPr>
                <w:rFonts w:eastAsia="Calibri" w:cs="Arial"/>
              </w:rPr>
              <w:t>health</w:t>
            </w:r>
            <w:r>
              <w:rPr>
                <w:rFonts w:eastAsia="Calibri" w:cs="Arial"/>
              </w:rPr>
              <w:t xml:space="preserve"> </w:t>
            </w:r>
            <w:r w:rsidRPr="008C000D">
              <w:rPr>
                <w:rFonts w:eastAsia="Calibri" w:cs="Arial"/>
              </w:rPr>
              <w:t>care,</w:t>
            </w:r>
            <w:r>
              <w:rPr>
                <w:rFonts w:eastAsia="Calibri" w:cs="Arial"/>
              </w:rPr>
              <w:t xml:space="preserve"> </w:t>
            </w:r>
            <w:r w:rsidRPr="008C000D">
              <w:rPr>
                <w:rFonts w:eastAsia="Calibri" w:cs="Arial"/>
              </w:rPr>
              <w:t>than</w:t>
            </w:r>
            <w:r>
              <w:rPr>
                <w:rFonts w:eastAsia="Calibri" w:cs="Arial"/>
              </w:rPr>
              <w:t xml:space="preserve"> </w:t>
            </w:r>
            <w:r w:rsidRPr="008C000D">
              <w:rPr>
                <w:rFonts w:eastAsia="Calibri" w:cs="Arial"/>
              </w:rPr>
              <w:t>adolescents</w:t>
            </w:r>
            <w:r>
              <w:rPr>
                <w:rFonts w:eastAsia="Calibri" w:cs="Arial"/>
              </w:rPr>
              <w:t xml:space="preserve"> </w:t>
            </w:r>
            <w:r w:rsidRPr="008C000D">
              <w:rPr>
                <w:rFonts w:eastAsia="Calibri" w:cs="Arial"/>
              </w:rPr>
              <w:t>without</w:t>
            </w:r>
            <w:r>
              <w:rPr>
                <w:rFonts w:eastAsia="Calibri" w:cs="Arial"/>
              </w:rPr>
              <w:t xml:space="preserve"> </w:t>
            </w:r>
            <w:r w:rsidRPr="008C000D">
              <w:rPr>
                <w:rFonts w:eastAsia="Calibri" w:cs="Arial"/>
              </w:rPr>
              <w:t>a</w:t>
            </w:r>
            <w:r>
              <w:rPr>
                <w:rFonts w:eastAsia="Calibri" w:cs="Arial"/>
              </w:rPr>
              <w:t xml:space="preserve"> </w:t>
            </w:r>
            <w:r w:rsidRPr="008C000D">
              <w:rPr>
                <w:rFonts w:eastAsia="Calibri" w:cs="Arial"/>
              </w:rPr>
              <w:t>depression</w:t>
            </w:r>
            <w:r>
              <w:rPr>
                <w:rFonts w:eastAsia="Calibri" w:cs="Arial"/>
              </w:rPr>
              <w:t xml:space="preserve"> </w:t>
            </w:r>
            <w:r w:rsidRPr="008C000D">
              <w:rPr>
                <w:rFonts w:eastAsia="Calibri" w:cs="Arial"/>
              </w:rPr>
              <w:t>diagnosis</w:t>
            </w:r>
            <w:r>
              <w:rPr>
                <w:rFonts w:eastAsia="Calibri" w:cs="Arial"/>
              </w:rPr>
              <w:t xml:space="preserve"> </w:t>
            </w:r>
            <w:r w:rsidRPr="008C000D">
              <w:rPr>
                <w:rFonts w:eastAsia="Calibri" w:cs="Arial"/>
              </w:rPr>
              <w:t>(O’Connor</w:t>
            </w:r>
            <w:r>
              <w:rPr>
                <w:rFonts w:eastAsia="Calibri" w:cs="Arial"/>
              </w:rPr>
              <w:t xml:space="preserve"> </w:t>
            </w:r>
            <w:r w:rsidRPr="008C000D">
              <w:rPr>
                <w:rFonts w:eastAsia="Calibri" w:cs="Arial"/>
              </w:rPr>
              <w:t>et</w:t>
            </w:r>
            <w:r>
              <w:rPr>
                <w:rFonts w:eastAsia="Calibri" w:cs="Arial"/>
              </w:rPr>
              <w:t xml:space="preserve"> </w:t>
            </w:r>
            <w:r w:rsidRPr="008C000D">
              <w:rPr>
                <w:rFonts w:eastAsia="Calibri" w:cs="Arial"/>
              </w:rPr>
              <w:t>al.,</w:t>
            </w:r>
            <w:r>
              <w:rPr>
                <w:rFonts w:eastAsia="Calibri" w:cs="Arial"/>
              </w:rPr>
              <w:t xml:space="preserve"> </w:t>
            </w:r>
            <w:r w:rsidRPr="008C000D">
              <w:rPr>
                <w:rFonts w:eastAsia="Calibri" w:cs="Arial"/>
              </w:rPr>
              <w:t>2009).</w:t>
            </w:r>
            <w:r>
              <w:rPr>
                <w:rFonts w:eastAsia="Calibri" w:cs="Arial"/>
              </w:rPr>
              <w:t xml:space="preserve"> </w:t>
            </w:r>
            <w:r w:rsidRPr="008C000D">
              <w:rPr>
                <w:rFonts w:eastAsia="Calibri" w:cs="Arial"/>
              </w:rPr>
              <w:t>Older</w:t>
            </w:r>
            <w:r>
              <w:rPr>
                <w:rFonts w:eastAsia="Calibri" w:cs="Arial"/>
              </w:rPr>
              <w:t xml:space="preserve"> </w:t>
            </w:r>
            <w:r w:rsidRPr="008C000D">
              <w:rPr>
                <w:rFonts w:eastAsia="Calibri" w:cs="Arial"/>
              </w:rPr>
              <w:t>adults</w:t>
            </w:r>
            <w:r>
              <w:rPr>
                <w:rFonts w:eastAsia="Calibri" w:cs="Arial"/>
              </w:rPr>
              <w:t xml:space="preserve"> </w:t>
            </w:r>
            <w:r w:rsidRPr="008C000D">
              <w:rPr>
                <w:rFonts w:eastAsia="Calibri" w:cs="Arial"/>
              </w:rPr>
              <w:t>with</w:t>
            </w:r>
            <w:r>
              <w:rPr>
                <w:rFonts w:eastAsia="Calibri" w:cs="Arial"/>
              </w:rPr>
              <w:t xml:space="preserve"> </w:t>
            </w:r>
            <w:r w:rsidRPr="008C000D">
              <w:rPr>
                <w:rFonts w:eastAsia="Calibri" w:cs="Arial"/>
              </w:rPr>
              <w:t>depression</w:t>
            </w:r>
            <w:r>
              <w:rPr>
                <w:rFonts w:eastAsia="Calibri" w:cs="Arial"/>
              </w:rPr>
              <w:t xml:space="preserve"> </w:t>
            </w:r>
            <w:r w:rsidRPr="008C000D">
              <w:rPr>
                <w:rFonts w:eastAsia="Calibri" w:cs="Arial"/>
              </w:rPr>
              <w:t>or</w:t>
            </w:r>
            <w:r>
              <w:rPr>
                <w:rFonts w:eastAsia="Calibri" w:cs="Arial"/>
              </w:rPr>
              <w:t xml:space="preserve"> </w:t>
            </w:r>
            <w:r w:rsidRPr="008C000D">
              <w:rPr>
                <w:rFonts w:eastAsia="Calibri" w:cs="Arial"/>
              </w:rPr>
              <w:t>depressive</w:t>
            </w:r>
            <w:r>
              <w:rPr>
                <w:rFonts w:eastAsia="Calibri" w:cs="Arial"/>
              </w:rPr>
              <w:t xml:space="preserve"> </w:t>
            </w:r>
            <w:r w:rsidRPr="008C000D">
              <w:rPr>
                <w:rFonts w:eastAsia="Calibri" w:cs="Arial"/>
              </w:rPr>
              <w:t>symptoms</w:t>
            </w:r>
            <w:r>
              <w:rPr>
                <w:rFonts w:eastAsia="Calibri" w:cs="Arial"/>
              </w:rPr>
              <w:t xml:space="preserve"> </w:t>
            </w:r>
            <w:r w:rsidRPr="008C000D">
              <w:rPr>
                <w:rFonts w:eastAsia="Calibri" w:cs="Arial"/>
              </w:rPr>
              <w:t>have</w:t>
            </w:r>
            <w:r>
              <w:rPr>
                <w:rFonts w:eastAsia="Calibri" w:cs="Arial"/>
              </w:rPr>
              <w:t xml:space="preserve"> </w:t>
            </w:r>
            <w:r w:rsidRPr="008C000D">
              <w:rPr>
                <w:rFonts w:eastAsia="Calibri" w:cs="Arial"/>
              </w:rPr>
              <w:t>significantly</w:t>
            </w:r>
            <w:r>
              <w:rPr>
                <w:rFonts w:eastAsia="Calibri" w:cs="Arial"/>
              </w:rPr>
              <w:t xml:space="preserve"> </w:t>
            </w:r>
            <w:r w:rsidRPr="008C000D">
              <w:rPr>
                <w:rFonts w:eastAsia="Calibri" w:cs="Arial"/>
              </w:rPr>
              <w:t>higher</w:t>
            </w:r>
            <w:r>
              <w:rPr>
                <w:rFonts w:eastAsia="Calibri" w:cs="Arial"/>
              </w:rPr>
              <w:t xml:space="preserve"> </w:t>
            </w:r>
            <w:r w:rsidRPr="008C000D">
              <w:rPr>
                <w:rFonts w:eastAsia="Calibri" w:cs="Arial"/>
              </w:rPr>
              <w:t>health</w:t>
            </w:r>
            <w:r>
              <w:rPr>
                <w:rFonts w:eastAsia="Calibri" w:cs="Arial"/>
              </w:rPr>
              <w:t xml:space="preserve"> </w:t>
            </w:r>
            <w:r w:rsidRPr="008C000D">
              <w:rPr>
                <w:rFonts w:eastAsia="Calibri" w:cs="Arial"/>
              </w:rPr>
              <w:t>care</w:t>
            </w:r>
            <w:r>
              <w:rPr>
                <w:rFonts w:eastAsia="Calibri" w:cs="Arial"/>
              </w:rPr>
              <w:t xml:space="preserve"> </w:t>
            </w:r>
            <w:r w:rsidRPr="008C000D">
              <w:rPr>
                <w:rFonts w:eastAsia="Calibri" w:cs="Arial"/>
              </w:rPr>
              <w:t>costs</w:t>
            </w:r>
            <w:r>
              <w:rPr>
                <w:rFonts w:eastAsia="Calibri" w:cs="Arial"/>
              </w:rPr>
              <w:t xml:space="preserve"> </w:t>
            </w:r>
            <w:r w:rsidRPr="008C000D">
              <w:rPr>
                <w:rFonts w:eastAsia="Calibri" w:cs="Arial"/>
              </w:rPr>
              <w:t>even</w:t>
            </w:r>
            <w:r>
              <w:rPr>
                <w:rFonts w:eastAsia="Calibri" w:cs="Arial"/>
              </w:rPr>
              <w:t xml:space="preserve"> </w:t>
            </w:r>
            <w:r w:rsidRPr="008C000D">
              <w:rPr>
                <w:rFonts w:eastAsia="Calibri" w:cs="Arial"/>
              </w:rPr>
              <w:t>after</w:t>
            </w:r>
            <w:r>
              <w:rPr>
                <w:rFonts w:eastAsia="Calibri" w:cs="Arial"/>
              </w:rPr>
              <w:t xml:space="preserve"> </w:t>
            </w:r>
            <w:r w:rsidRPr="008C000D">
              <w:rPr>
                <w:rFonts w:eastAsia="Calibri" w:cs="Arial"/>
              </w:rPr>
              <w:t>adjusting</w:t>
            </w:r>
            <w:r>
              <w:rPr>
                <w:rFonts w:eastAsia="Calibri" w:cs="Arial"/>
              </w:rPr>
              <w:t xml:space="preserve"> </w:t>
            </w:r>
            <w:r w:rsidRPr="008C000D">
              <w:rPr>
                <w:rFonts w:eastAsia="Calibri" w:cs="Arial"/>
              </w:rPr>
              <w:t>for</w:t>
            </w:r>
            <w:r>
              <w:rPr>
                <w:rFonts w:eastAsia="Calibri" w:cs="Arial"/>
              </w:rPr>
              <w:t xml:space="preserve"> </w:t>
            </w:r>
            <w:r w:rsidRPr="008C000D">
              <w:rPr>
                <w:rFonts w:eastAsia="Calibri" w:cs="Arial"/>
              </w:rPr>
              <w:t>chronic</w:t>
            </w:r>
            <w:r>
              <w:rPr>
                <w:rFonts w:eastAsia="Calibri" w:cs="Arial"/>
              </w:rPr>
              <w:t xml:space="preserve"> </w:t>
            </w:r>
            <w:r w:rsidRPr="008C000D">
              <w:rPr>
                <w:rFonts w:eastAsia="Calibri" w:cs="Arial"/>
              </w:rPr>
              <w:t>medical</w:t>
            </w:r>
            <w:r>
              <w:rPr>
                <w:rFonts w:eastAsia="Calibri" w:cs="Arial"/>
              </w:rPr>
              <w:t xml:space="preserve"> </w:t>
            </w:r>
            <w:r w:rsidRPr="008C000D">
              <w:rPr>
                <w:rFonts w:eastAsia="Calibri" w:cs="Arial"/>
              </w:rPr>
              <w:t>conditions</w:t>
            </w:r>
            <w:r>
              <w:rPr>
                <w:rFonts w:eastAsia="Calibri" w:cs="Arial"/>
              </w:rPr>
              <w:t xml:space="preserve"> </w:t>
            </w:r>
            <w:r w:rsidRPr="008C000D">
              <w:rPr>
                <w:rFonts w:eastAsia="Calibri" w:cs="Arial"/>
              </w:rPr>
              <w:t>(Katon</w:t>
            </w:r>
            <w:r>
              <w:rPr>
                <w:rFonts w:eastAsia="Calibri" w:cs="Arial"/>
              </w:rPr>
              <w:t xml:space="preserve"> </w:t>
            </w:r>
            <w:r w:rsidRPr="008C000D">
              <w:rPr>
                <w:rFonts w:eastAsia="Calibri" w:cs="Arial"/>
              </w:rPr>
              <w:t>et</w:t>
            </w:r>
            <w:r>
              <w:rPr>
                <w:rFonts w:eastAsia="Calibri" w:cs="Arial"/>
              </w:rPr>
              <w:t xml:space="preserve"> </w:t>
            </w:r>
            <w:r w:rsidRPr="008C000D">
              <w:rPr>
                <w:rFonts w:eastAsia="Calibri" w:cs="Arial"/>
              </w:rPr>
              <w:t>al.,</w:t>
            </w:r>
            <w:r>
              <w:rPr>
                <w:rFonts w:eastAsia="Calibri" w:cs="Arial"/>
              </w:rPr>
              <w:t xml:space="preserve"> </w:t>
            </w:r>
            <w:r w:rsidRPr="008C000D">
              <w:rPr>
                <w:rFonts w:eastAsia="Calibri" w:cs="Arial"/>
              </w:rPr>
              <w:t>2003).</w:t>
            </w:r>
          </w:p>
          <w:p w14:paraId="5728C2B8" w14:textId="77777777" w:rsidR="000C547E" w:rsidRPr="00381A5B" w:rsidRDefault="000C547E" w:rsidP="00991EDB">
            <w:pPr>
              <w:pStyle w:val="Body"/>
              <w:rPr>
                <w:rFonts w:eastAsia="Calibri" w:cs="Arial"/>
              </w:rPr>
            </w:pPr>
            <w:r w:rsidRPr="008C000D">
              <w:rPr>
                <w:rFonts w:eastAsia="Calibri" w:cs="Arial"/>
              </w:rPr>
              <w:t>For</w:t>
            </w:r>
            <w:r>
              <w:rPr>
                <w:rFonts w:eastAsia="Calibri" w:cs="Arial"/>
              </w:rPr>
              <w:t xml:space="preserve"> </w:t>
            </w:r>
            <w:r w:rsidRPr="008C000D">
              <w:rPr>
                <w:rFonts w:eastAsia="Calibri" w:cs="Arial"/>
              </w:rPr>
              <w:t>working-age</w:t>
            </w:r>
            <w:r>
              <w:rPr>
                <w:rFonts w:eastAsia="Calibri" w:cs="Arial"/>
              </w:rPr>
              <w:t xml:space="preserve"> </w:t>
            </w:r>
            <w:r w:rsidRPr="008C000D">
              <w:rPr>
                <w:rFonts w:eastAsia="Calibri" w:cs="Arial"/>
              </w:rPr>
              <w:t>adults,</w:t>
            </w:r>
            <w:r>
              <w:rPr>
                <w:rFonts w:eastAsia="Calibri" w:cs="Arial"/>
              </w:rPr>
              <w:t xml:space="preserve"> </w:t>
            </w:r>
            <w:r w:rsidRPr="008C000D">
              <w:rPr>
                <w:rFonts w:eastAsia="Calibri" w:cs="Arial"/>
              </w:rPr>
              <w:t>a</w:t>
            </w:r>
            <w:r>
              <w:rPr>
                <w:rFonts w:eastAsia="Calibri" w:cs="Arial"/>
              </w:rPr>
              <w:t xml:space="preserve"> </w:t>
            </w:r>
            <w:r w:rsidRPr="008C000D">
              <w:rPr>
                <w:rFonts w:eastAsia="Calibri" w:cs="Arial"/>
              </w:rPr>
              <w:t>recent</w:t>
            </w:r>
            <w:r>
              <w:rPr>
                <w:rFonts w:eastAsia="Calibri" w:cs="Arial"/>
              </w:rPr>
              <w:t xml:space="preserve"> </w:t>
            </w:r>
            <w:r w:rsidRPr="008C000D">
              <w:rPr>
                <w:rFonts w:eastAsia="Calibri" w:cs="Arial"/>
              </w:rPr>
              <w:t>study</w:t>
            </w:r>
            <w:r>
              <w:rPr>
                <w:rFonts w:eastAsia="Calibri" w:cs="Arial"/>
              </w:rPr>
              <w:t xml:space="preserve"> </w:t>
            </w:r>
            <w:r w:rsidRPr="008C000D">
              <w:rPr>
                <w:rFonts w:eastAsia="Calibri" w:cs="Arial"/>
              </w:rPr>
              <w:t>showed</w:t>
            </w:r>
            <w:r>
              <w:rPr>
                <w:rFonts w:eastAsia="Calibri" w:cs="Arial"/>
              </w:rPr>
              <w:t xml:space="preserve"> </w:t>
            </w:r>
            <w:r w:rsidRPr="008C000D">
              <w:rPr>
                <w:rFonts w:eastAsia="Calibri" w:cs="Arial"/>
              </w:rPr>
              <w:t>a</w:t>
            </w:r>
            <w:r>
              <w:rPr>
                <w:rFonts w:eastAsia="Calibri" w:cs="Arial"/>
              </w:rPr>
              <w:t xml:space="preserve"> </w:t>
            </w:r>
            <w:r w:rsidRPr="008C000D">
              <w:rPr>
                <w:rFonts w:eastAsia="Calibri" w:cs="Arial"/>
              </w:rPr>
              <w:t>relationship</w:t>
            </w:r>
            <w:r>
              <w:rPr>
                <w:rFonts w:eastAsia="Calibri" w:cs="Arial"/>
              </w:rPr>
              <w:t xml:space="preserve"> </w:t>
            </w:r>
            <w:r w:rsidRPr="008C000D">
              <w:rPr>
                <w:rFonts w:eastAsia="Calibri" w:cs="Arial"/>
              </w:rPr>
              <w:t>between</w:t>
            </w:r>
            <w:r>
              <w:rPr>
                <w:rFonts w:eastAsia="Calibri" w:cs="Arial"/>
              </w:rPr>
              <w:t xml:space="preserve"> </w:t>
            </w:r>
            <w:r w:rsidRPr="008C000D">
              <w:rPr>
                <w:rFonts w:eastAsia="Calibri" w:cs="Arial"/>
              </w:rPr>
              <w:t>the</w:t>
            </w:r>
            <w:r>
              <w:rPr>
                <w:rFonts w:eastAsia="Calibri" w:cs="Arial"/>
              </w:rPr>
              <w:t xml:space="preserve"> </w:t>
            </w:r>
            <w:r w:rsidRPr="008C000D">
              <w:rPr>
                <w:rFonts w:eastAsia="Calibri" w:cs="Arial"/>
              </w:rPr>
              <w:t>severity</w:t>
            </w:r>
            <w:r>
              <w:rPr>
                <w:rFonts w:eastAsia="Calibri" w:cs="Arial"/>
              </w:rPr>
              <w:t xml:space="preserve"> </w:t>
            </w:r>
            <w:r w:rsidRPr="008C000D">
              <w:rPr>
                <w:rFonts w:eastAsia="Calibri" w:cs="Arial"/>
              </w:rPr>
              <w:t>of</w:t>
            </w:r>
            <w:r>
              <w:rPr>
                <w:rFonts w:eastAsia="Calibri" w:cs="Arial"/>
              </w:rPr>
              <w:t xml:space="preserve"> </w:t>
            </w:r>
            <w:r w:rsidRPr="008C000D">
              <w:rPr>
                <w:rFonts w:eastAsia="Calibri" w:cs="Arial"/>
              </w:rPr>
              <w:t>depression</w:t>
            </w:r>
            <w:r>
              <w:rPr>
                <w:rFonts w:eastAsia="Calibri" w:cs="Arial"/>
              </w:rPr>
              <w:t xml:space="preserve"> </w:t>
            </w:r>
            <w:r w:rsidRPr="008C000D">
              <w:rPr>
                <w:rFonts w:eastAsia="Calibri" w:cs="Arial"/>
              </w:rPr>
              <w:t>symptoms</w:t>
            </w:r>
            <w:r>
              <w:rPr>
                <w:rFonts w:eastAsia="Calibri" w:cs="Arial"/>
              </w:rPr>
              <w:t xml:space="preserve"> </w:t>
            </w:r>
            <w:r w:rsidRPr="008C000D">
              <w:rPr>
                <w:rFonts w:eastAsia="Calibri" w:cs="Arial"/>
              </w:rPr>
              <w:t>and</w:t>
            </w:r>
            <w:r>
              <w:rPr>
                <w:rFonts w:eastAsia="Calibri" w:cs="Arial"/>
              </w:rPr>
              <w:t xml:space="preserve"> </w:t>
            </w:r>
            <w:r w:rsidRPr="008C000D">
              <w:rPr>
                <w:rFonts w:eastAsia="Calibri" w:cs="Arial"/>
              </w:rPr>
              <w:t>work</w:t>
            </w:r>
            <w:r>
              <w:rPr>
                <w:rFonts w:eastAsia="Calibri" w:cs="Arial"/>
              </w:rPr>
              <w:t xml:space="preserve"> </w:t>
            </w:r>
            <w:r w:rsidRPr="008C000D">
              <w:rPr>
                <w:rFonts w:eastAsia="Calibri" w:cs="Arial"/>
              </w:rPr>
              <w:t>function</w:t>
            </w:r>
            <w:r>
              <w:rPr>
                <w:rFonts w:eastAsia="Calibri" w:cs="Arial"/>
              </w:rPr>
              <w:t xml:space="preserve"> </w:t>
            </w:r>
            <w:r w:rsidRPr="008C000D">
              <w:rPr>
                <w:rFonts w:eastAsia="Calibri" w:cs="Arial"/>
              </w:rPr>
              <w:t>and</w:t>
            </w:r>
            <w:r>
              <w:rPr>
                <w:rFonts w:eastAsia="Calibri" w:cs="Arial"/>
              </w:rPr>
              <w:t xml:space="preserve"> </w:t>
            </w:r>
            <w:r w:rsidRPr="008C000D">
              <w:rPr>
                <w:rFonts w:eastAsia="Calibri" w:cs="Arial"/>
              </w:rPr>
              <w:t>found</w:t>
            </w:r>
            <w:r>
              <w:rPr>
                <w:rFonts w:eastAsia="Calibri" w:cs="Arial"/>
              </w:rPr>
              <w:t xml:space="preserve"> </w:t>
            </w:r>
            <w:r w:rsidRPr="008C000D">
              <w:rPr>
                <w:rFonts w:eastAsia="Calibri" w:cs="Arial"/>
              </w:rPr>
              <w:t>that</w:t>
            </w:r>
            <w:r>
              <w:rPr>
                <w:rFonts w:eastAsia="Calibri" w:cs="Arial"/>
              </w:rPr>
              <w:t xml:space="preserve"> </w:t>
            </w:r>
            <w:r w:rsidRPr="008C000D">
              <w:rPr>
                <w:rFonts w:eastAsia="Calibri" w:cs="Arial"/>
              </w:rPr>
              <w:t>for</w:t>
            </w:r>
            <w:r>
              <w:rPr>
                <w:rFonts w:eastAsia="Calibri" w:cs="Arial"/>
              </w:rPr>
              <w:t xml:space="preserve"> </w:t>
            </w:r>
            <w:r w:rsidRPr="008C000D">
              <w:rPr>
                <w:rFonts w:eastAsia="Calibri" w:cs="Arial"/>
              </w:rPr>
              <w:t>every</w:t>
            </w:r>
            <w:r>
              <w:rPr>
                <w:rFonts w:eastAsia="Calibri" w:cs="Arial"/>
              </w:rPr>
              <w:t xml:space="preserve"> </w:t>
            </w:r>
            <w:r w:rsidRPr="008C000D">
              <w:rPr>
                <w:rFonts w:eastAsia="Calibri" w:cs="Arial"/>
              </w:rPr>
              <w:t>1-point</w:t>
            </w:r>
            <w:r>
              <w:rPr>
                <w:rFonts w:eastAsia="Calibri" w:cs="Arial"/>
              </w:rPr>
              <w:t xml:space="preserve"> </w:t>
            </w:r>
            <w:r w:rsidRPr="008C000D">
              <w:rPr>
                <w:rFonts w:eastAsia="Calibri" w:cs="Arial"/>
              </w:rPr>
              <w:t>increase</w:t>
            </w:r>
            <w:r>
              <w:rPr>
                <w:rFonts w:eastAsia="Calibri" w:cs="Arial"/>
              </w:rPr>
              <w:t xml:space="preserve"> </w:t>
            </w:r>
            <w:r w:rsidRPr="008C000D">
              <w:rPr>
                <w:rFonts w:eastAsia="Calibri" w:cs="Arial"/>
              </w:rPr>
              <w:t>in</w:t>
            </w:r>
            <w:r>
              <w:rPr>
                <w:rFonts w:eastAsia="Calibri" w:cs="Arial"/>
              </w:rPr>
              <w:t xml:space="preserve"> </w:t>
            </w:r>
            <w:r w:rsidRPr="008C000D">
              <w:rPr>
                <w:rFonts w:eastAsia="Calibri" w:cs="Arial"/>
              </w:rPr>
              <w:t>PHQ-9</w:t>
            </w:r>
            <w:r>
              <w:rPr>
                <w:rFonts w:eastAsia="Calibri" w:cs="Arial"/>
              </w:rPr>
              <w:t xml:space="preserve"> </w:t>
            </w:r>
            <w:r w:rsidRPr="008C000D">
              <w:rPr>
                <w:rFonts w:eastAsia="Calibri" w:cs="Arial"/>
              </w:rPr>
              <w:t>score</w:t>
            </w:r>
            <w:r>
              <w:rPr>
                <w:rFonts w:eastAsia="Calibri" w:cs="Arial"/>
              </w:rPr>
              <w:t xml:space="preserve"> </w:t>
            </w:r>
            <w:r w:rsidRPr="008C000D">
              <w:rPr>
                <w:rFonts w:eastAsia="Calibri" w:cs="Arial"/>
              </w:rPr>
              <w:t>(a</w:t>
            </w:r>
            <w:r>
              <w:rPr>
                <w:rFonts w:eastAsia="Calibri" w:cs="Arial"/>
              </w:rPr>
              <w:t xml:space="preserve"> </w:t>
            </w:r>
            <w:r w:rsidRPr="008C000D">
              <w:rPr>
                <w:rFonts w:eastAsia="Calibri" w:cs="Arial"/>
              </w:rPr>
              <w:t>measure</w:t>
            </w:r>
            <w:r>
              <w:rPr>
                <w:rFonts w:eastAsia="Calibri" w:cs="Arial"/>
              </w:rPr>
              <w:t xml:space="preserve"> </w:t>
            </w:r>
            <w:r w:rsidRPr="008C000D">
              <w:rPr>
                <w:rFonts w:eastAsia="Calibri" w:cs="Arial"/>
              </w:rPr>
              <w:t>of</w:t>
            </w:r>
            <w:r>
              <w:rPr>
                <w:rFonts w:eastAsia="Calibri" w:cs="Arial"/>
              </w:rPr>
              <w:t xml:space="preserve"> </w:t>
            </w:r>
            <w:r w:rsidRPr="008C000D">
              <w:rPr>
                <w:rFonts w:eastAsia="Calibri" w:cs="Arial"/>
              </w:rPr>
              <w:t>depression</w:t>
            </w:r>
            <w:r>
              <w:rPr>
                <w:rFonts w:eastAsia="Calibri" w:cs="Arial"/>
              </w:rPr>
              <w:t xml:space="preserve"> </w:t>
            </w:r>
            <w:r w:rsidRPr="008C000D">
              <w:rPr>
                <w:rFonts w:eastAsia="Calibri" w:cs="Arial"/>
              </w:rPr>
              <w:t>severity),</w:t>
            </w:r>
            <w:r>
              <w:rPr>
                <w:rFonts w:eastAsia="Calibri" w:cs="Arial"/>
              </w:rPr>
              <w:t xml:space="preserve"> </w:t>
            </w:r>
            <w:r w:rsidRPr="008C000D">
              <w:rPr>
                <w:rFonts w:eastAsia="Calibri" w:cs="Arial"/>
              </w:rPr>
              <w:t>patients</w:t>
            </w:r>
            <w:r>
              <w:rPr>
                <w:rFonts w:eastAsia="Calibri" w:cs="Arial"/>
              </w:rPr>
              <w:t xml:space="preserve"> </w:t>
            </w:r>
            <w:r w:rsidRPr="008C000D">
              <w:rPr>
                <w:rFonts w:eastAsia="Calibri" w:cs="Arial"/>
              </w:rPr>
              <w:t>experienced</w:t>
            </w:r>
            <w:r>
              <w:rPr>
                <w:rFonts w:eastAsia="Calibri" w:cs="Arial"/>
              </w:rPr>
              <w:t xml:space="preserve"> </w:t>
            </w:r>
            <w:r w:rsidRPr="008C000D">
              <w:rPr>
                <w:rFonts w:eastAsia="Calibri" w:cs="Arial"/>
              </w:rPr>
              <w:t>an</w:t>
            </w:r>
            <w:r>
              <w:rPr>
                <w:rFonts w:eastAsia="Calibri" w:cs="Arial"/>
              </w:rPr>
              <w:t xml:space="preserve"> </w:t>
            </w:r>
            <w:r w:rsidRPr="008C000D">
              <w:rPr>
                <w:rFonts w:eastAsia="Calibri" w:cs="Arial"/>
              </w:rPr>
              <w:t>additional</w:t>
            </w:r>
            <w:r>
              <w:rPr>
                <w:rFonts w:eastAsia="Calibri" w:cs="Arial"/>
              </w:rPr>
              <w:t xml:space="preserve"> </w:t>
            </w:r>
            <w:r w:rsidRPr="008C000D">
              <w:rPr>
                <w:rFonts w:eastAsia="Calibri" w:cs="Arial"/>
              </w:rPr>
              <w:t>mean</w:t>
            </w:r>
            <w:r>
              <w:rPr>
                <w:rFonts w:eastAsia="Calibri" w:cs="Arial"/>
              </w:rPr>
              <w:t xml:space="preserve"> </w:t>
            </w:r>
            <w:r w:rsidRPr="008C000D">
              <w:rPr>
                <w:rFonts w:eastAsia="Calibri" w:cs="Arial"/>
              </w:rPr>
              <w:t>productivity</w:t>
            </w:r>
            <w:r>
              <w:rPr>
                <w:rFonts w:eastAsia="Calibri" w:cs="Arial"/>
              </w:rPr>
              <w:t xml:space="preserve"> </w:t>
            </w:r>
            <w:r w:rsidRPr="008C000D">
              <w:rPr>
                <w:rFonts w:eastAsia="Calibri" w:cs="Arial"/>
              </w:rPr>
              <w:t>loss</w:t>
            </w:r>
            <w:r>
              <w:rPr>
                <w:rFonts w:eastAsia="Calibri" w:cs="Arial"/>
              </w:rPr>
              <w:t xml:space="preserve"> </w:t>
            </w:r>
            <w:r w:rsidRPr="008C000D">
              <w:rPr>
                <w:rFonts w:eastAsia="Calibri" w:cs="Arial"/>
              </w:rPr>
              <w:t>of</w:t>
            </w:r>
            <w:r>
              <w:rPr>
                <w:rFonts w:eastAsia="Calibri" w:cs="Arial"/>
              </w:rPr>
              <w:t xml:space="preserve"> </w:t>
            </w:r>
            <w:r w:rsidRPr="008C000D">
              <w:rPr>
                <w:rFonts w:eastAsia="Calibri" w:cs="Arial"/>
              </w:rPr>
              <w:t>1.65</w:t>
            </w:r>
            <w:r>
              <w:rPr>
                <w:rFonts w:eastAsia="Calibri" w:cs="Arial"/>
              </w:rPr>
              <w:t xml:space="preserve"> </w:t>
            </w:r>
            <w:r w:rsidRPr="008C000D">
              <w:rPr>
                <w:rFonts w:eastAsia="Calibri" w:cs="Arial"/>
              </w:rPr>
              <w:t>percent.</w:t>
            </w:r>
            <w:r>
              <w:rPr>
                <w:rFonts w:eastAsia="Calibri" w:cs="Arial"/>
              </w:rPr>
              <w:t xml:space="preserve"> </w:t>
            </w:r>
            <w:r w:rsidRPr="008C000D">
              <w:rPr>
                <w:rFonts w:eastAsia="Calibri" w:cs="Arial"/>
              </w:rPr>
              <w:t>Even</w:t>
            </w:r>
            <w:r>
              <w:rPr>
                <w:rFonts w:eastAsia="Calibri" w:cs="Arial"/>
              </w:rPr>
              <w:t xml:space="preserve"> </w:t>
            </w:r>
            <w:r w:rsidRPr="008C000D">
              <w:rPr>
                <w:rFonts w:eastAsia="Calibri" w:cs="Arial"/>
              </w:rPr>
              <w:t>minor</w:t>
            </w:r>
            <w:r>
              <w:rPr>
                <w:rFonts w:eastAsia="Calibri" w:cs="Arial"/>
              </w:rPr>
              <w:t xml:space="preserve"> </w:t>
            </w:r>
            <w:r w:rsidRPr="008C000D">
              <w:rPr>
                <w:rFonts w:eastAsia="Calibri" w:cs="Arial"/>
              </w:rPr>
              <w:t>levels</w:t>
            </w:r>
            <w:r>
              <w:rPr>
                <w:rFonts w:eastAsia="Calibri" w:cs="Arial"/>
              </w:rPr>
              <w:t xml:space="preserve"> </w:t>
            </w:r>
            <w:r w:rsidRPr="008C000D">
              <w:rPr>
                <w:rFonts w:eastAsia="Calibri" w:cs="Arial"/>
              </w:rPr>
              <w:t>of</w:t>
            </w:r>
            <w:r>
              <w:rPr>
                <w:rFonts w:eastAsia="Calibri" w:cs="Arial"/>
              </w:rPr>
              <w:t xml:space="preserve"> </w:t>
            </w:r>
            <w:r w:rsidRPr="008C000D">
              <w:rPr>
                <w:rFonts w:eastAsia="Calibri" w:cs="Arial"/>
              </w:rPr>
              <w:t>depression</w:t>
            </w:r>
            <w:r>
              <w:rPr>
                <w:rFonts w:eastAsia="Calibri" w:cs="Arial"/>
              </w:rPr>
              <w:t xml:space="preserve"> </w:t>
            </w:r>
            <w:r w:rsidRPr="008C000D">
              <w:rPr>
                <w:rFonts w:eastAsia="Calibri" w:cs="Arial"/>
              </w:rPr>
              <w:t>symptoms</w:t>
            </w:r>
            <w:r>
              <w:rPr>
                <w:rFonts w:eastAsia="Calibri" w:cs="Arial"/>
              </w:rPr>
              <w:t xml:space="preserve"> </w:t>
            </w:r>
            <w:r w:rsidRPr="008C000D">
              <w:rPr>
                <w:rFonts w:eastAsia="Calibri" w:cs="Arial"/>
              </w:rPr>
              <w:t>were</w:t>
            </w:r>
            <w:r>
              <w:rPr>
                <w:rFonts w:eastAsia="Calibri" w:cs="Arial"/>
              </w:rPr>
              <w:t xml:space="preserve"> </w:t>
            </w:r>
            <w:r w:rsidRPr="008C000D">
              <w:rPr>
                <w:rFonts w:eastAsia="Calibri" w:cs="Arial"/>
              </w:rPr>
              <w:t>associated</w:t>
            </w:r>
            <w:r>
              <w:rPr>
                <w:rFonts w:eastAsia="Calibri" w:cs="Arial"/>
              </w:rPr>
              <w:t xml:space="preserve"> </w:t>
            </w:r>
            <w:r w:rsidRPr="008C000D">
              <w:rPr>
                <w:rFonts w:eastAsia="Calibri" w:cs="Arial"/>
              </w:rPr>
              <w:t>with</w:t>
            </w:r>
            <w:r>
              <w:rPr>
                <w:rFonts w:eastAsia="Calibri" w:cs="Arial"/>
              </w:rPr>
              <w:t xml:space="preserve"> </w:t>
            </w:r>
            <w:r w:rsidRPr="008C000D">
              <w:rPr>
                <w:rFonts w:eastAsia="Calibri" w:cs="Arial"/>
              </w:rPr>
              <w:t>decreases</w:t>
            </w:r>
            <w:r>
              <w:rPr>
                <w:rFonts w:eastAsia="Calibri" w:cs="Arial"/>
              </w:rPr>
              <w:t xml:space="preserve"> </w:t>
            </w:r>
            <w:r w:rsidRPr="008C000D">
              <w:rPr>
                <w:rFonts w:eastAsia="Calibri" w:cs="Arial"/>
              </w:rPr>
              <w:t>in</w:t>
            </w:r>
            <w:r>
              <w:rPr>
                <w:rFonts w:eastAsia="Calibri" w:cs="Arial"/>
              </w:rPr>
              <w:t xml:space="preserve"> </w:t>
            </w:r>
            <w:r w:rsidRPr="008C000D">
              <w:rPr>
                <w:rFonts w:eastAsia="Calibri" w:cs="Arial"/>
              </w:rPr>
              <w:t>work</w:t>
            </w:r>
            <w:r>
              <w:rPr>
                <w:rFonts w:eastAsia="Calibri" w:cs="Arial"/>
              </w:rPr>
              <w:t xml:space="preserve"> </w:t>
            </w:r>
            <w:r w:rsidRPr="008C000D">
              <w:rPr>
                <w:rFonts w:eastAsia="Calibri" w:cs="Arial"/>
              </w:rPr>
              <w:t>function</w:t>
            </w:r>
            <w:r>
              <w:rPr>
                <w:rFonts w:eastAsia="Calibri" w:cs="Arial"/>
              </w:rPr>
              <w:t xml:space="preserve"> </w:t>
            </w:r>
            <w:r w:rsidRPr="008C000D">
              <w:rPr>
                <w:rFonts w:eastAsia="Calibri" w:cs="Arial"/>
              </w:rPr>
              <w:t>(Beck</w:t>
            </w:r>
            <w:r>
              <w:rPr>
                <w:rFonts w:eastAsia="Calibri" w:cs="Arial"/>
              </w:rPr>
              <w:t xml:space="preserve"> </w:t>
            </w:r>
            <w:r w:rsidRPr="008C000D">
              <w:rPr>
                <w:rFonts w:eastAsia="Calibri" w:cs="Arial"/>
              </w:rPr>
              <w:t>et</w:t>
            </w:r>
            <w:r>
              <w:rPr>
                <w:rFonts w:eastAsia="Calibri" w:cs="Arial"/>
              </w:rPr>
              <w:t xml:space="preserve"> </w:t>
            </w:r>
            <w:r w:rsidRPr="008C000D">
              <w:rPr>
                <w:rFonts w:eastAsia="Calibri" w:cs="Arial"/>
              </w:rPr>
              <w:t>al.,</w:t>
            </w:r>
            <w:r>
              <w:rPr>
                <w:rFonts w:eastAsia="Calibri" w:cs="Arial"/>
              </w:rPr>
              <w:t xml:space="preserve"> </w:t>
            </w:r>
            <w:r w:rsidRPr="008C000D">
              <w:rPr>
                <w:rFonts w:eastAsia="Calibri" w:cs="Arial"/>
              </w:rPr>
              <w:t>2011).</w:t>
            </w:r>
            <w:r>
              <w:rPr>
                <w:rFonts w:eastAsia="Calibri" w:cs="Arial"/>
              </w:rPr>
              <w:t xml:space="preserve"> </w:t>
            </w:r>
            <w:r w:rsidRPr="008C000D">
              <w:rPr>
                <w:rFonts w:eastAsia="Calibri" w:cs="Arial"/>
              </w:rPr>
              <w:t>In</w:t>
            </w:r>
            <w:r>
              <w:rPr>
                <w:rFonts w:eastAsia="Calibri" w:cs="Arial"/>
              </w:rPr>
              <w:t xml:space="preserve"> </w:t>
            </w:r>
            <w:r w:rsidRPr="008C000D">
              <w:rPr>
                <w:rFonts w:eastAsia="Calibri" w:cs="Arial"/>
              </w:rPr>
              <w:t>a</w:t>
            </w:r>
            <w:r>
              <w:rPr>
                <w:rFonts w:eastAsia="Calibri" w:cs="Arial"/>
              </w:rPr>
              <w:t xml:space="preserve"> </w:t>
            </w:r>
            <w:r w:rsidRPr="008C000D">
              <w:rPr>
                <w:rFonts w:eastAsia="Calibri" w:cs="Arial"/>
              </w:rPr>
              <w:t>survey</w:t>
            </w:r>
            <w:r>
              <w:rPr>
                <w:rFonts w:eastAsia="Calibri" w:cs="Arial"/>
              </w:rPr>
              <w:t xml:space="preserve"> </w:t>
            </w:r>
            <w:r w:rsidRPr="008C000D">
              <w:rPr>
                <w:rFonts w:eastAsia="Calibri" w:cs="Arial"/>
              </w:rPr>
              <w:t>study,</w:t>
            </w:r>
            <w:r>
              <w:rPr>
                <w:rFonts w:eastAsia="Calibri" w:cs="Arial"/>
              </w:rPr>
              <w:t xml:space="preserve"> </w:t>
            </w:r>
            <w:r w:rsidRPr="008C000D">
              <w:rPr>
                <w:rFonts w:eastAsia="Calibri" w:cs="Arial"/>
              </w:rPr>
              <w:t>Birnbaum</w:t>
            </w:r>
            <w:r>
              <w:rPr>
                <w:rFonts w:eastAsia="Calibri" w:cs="Arial"/>
              </w:rPr>
              <w:t xml:space="preserve"> </w:t>
            </w:r>
            <w:r w:rsidRPr="008C000D">
              <w:rPr>
                <w:rFonts w:eastAsia="Calibri" w:cs="Arial"/>
              </w:rPr>
              <w:t>et</w:t>
            </w:r>
            <w:r>
              <w:rPr>
                <w:rFonts w:eastAsia="Calibri" w:cs="Arial"/>
              </w:rPr>
              <w:t xml:space="preserve"> </w:t>
            </w:r>
            <w:r w:rsidRPr="008C000D">
              <w:rPr>
                <w:rFonts w:eastAsia="Calibri" w:cs="Arial"/>
              </w:rPr>
              <w:t>al.</w:t>
            </w:r>
            <w:r>
              <w:rPr>
                <w:rFonts w:eastAsia="Calibri" w:cs="Arial"/>
              </w:rPr>
              <w:t xml:space="preserve"> </w:t>
            </w:r>
            <w:r w:rsidRPr="008C000D">
              <w:rPr>
                <w:rFonts w:eastAsia="Calibri" w:cs="Arial"/>
              </w:rPr>
              <w:t>(2011)</w:t>
            </w:r>
            <w:r>
              <w:rPr>
                <w:rFonts w:eastAsia="Calibri" w:cs="Arial"/>
              </w:rPr>
              <w:t xml:space="preserve"> </w:t>
            </w:r>
            <w:r w:rsidRPr="008C000D">
              <w:rPr>
                <w:rFonts w:eastAsia="Calibri" w:cs="Arial"/>
              </w:rPr>
              <w:t>found</w:t>
            </w:r>
            <w:r>
              <w:rPr>
                <w:rFonts w:eastAsia="Calibri" w:cs="Arial"/>
              </w:rPr>
              <w:t xml:space="preserve"> </w:t>
            </w:r>
            <w:r w:rsidRPr="008C000D">
              <w:rPr>
                <w:rFonts w:eastAsia="Calibri" w:cs="Arial"/>
              </w:rPr>
              <w:t>that</w:t>
            </w:r>
            <w:r>
              <w:rPr>
                <w:rFonts w:eastAsia="Calibri" w:cs="Arial"/>
              </w:rPr>
              <w:t xml:space="preserve"> </w:t>
            </w:r>
            <w:r w:rsidRPr="008C000D">
              <w:rPr>
                <w:rFonts w:eastAsia="Calibri" w:cs="Arial"/>
              </w:rPr>
              <w:t>major</w:t>
            </w:r>
            <w:r>
              <w:rPr>
                <w:rFonts w:eastAsia="Calibri" w:cs="Arial"/>
              </w:rPr>
              <w:t xml:space="preserve"> </w:t>
            </w:r>
            <w:r w:rsidRPr="008C000D">
              <w:rPr>
                <w:rFonts w:eastAsia="Calibri" w:cs="Arial"/>
              </w:rPr>
              <w:t>depressive</w:t>
            </w:r>
            <w:r>
              <w:rPr>
                <w:rFonts w:eastAsia="Calibri" w:cs="Arial"/>
              </w:rPr>
              <w:t xml:space="preserve"> </w:t>
            </w:r>
            <w:r w:rsidRPr="008C000D">
              <w:rPr>
                <w:rFonts w:eastAsia="Calibri" w:cs="Arial"/>
              </w:rPr>
              <w:t>disorder</w:t>
            </w:r>
            <w:r>
              <w:rPr>
                <w:rFonts w:eastAsia="Calibri" w:cs="Arial"/>
              </w:rPr>
              <w:t xml:space="preserve"> </w:t>
            </w:r>
            <w:r w:rsidRPr="008C000D">
              <w:rPr>
                <w:rFonts w:eastAsia="Calibri" w:cs="Arial"/>
              </w:rPr>
              <w:t>severity</w:t>
            </w:r>
            <w:r>
              <w:rPr>
                <w:rFonts w:eastAsia="Calibri" w:cs="Arial"/>
              </w:rPr>
              <w:t xml:space="preserve"> </w:t>
            </w:r>
            <w:r w:rsidRPr="008C000D">
              <w:rPr>
                <w:rFonts w:eastAsia="Calibri" w:cs="Arial"/>
              </w:rPr>
              <w:t>is</w:t>
            </w:r>
            <w:r>
              <w:rPr>
                <w:rFonts w:eastAsia="Calibri" w:cs="Arial"/>
              </w:rPr>
              <w:t xml:space="preserve"> </w:t>
            </w:r>
            <w:r w:rsidRPr="008C000D">
              <w:rPr>
                <w:rFonts w:eastAsia="Calibri" w:cs="Arial"/>
              </w:rPr>
              <w:t>significantly</w:t>
            </w:r>
            <w:r>
              <w:rPr>
                <w:rFonts w:eastAsia="Calibri" w:cs="Arial"/>
              </w:rPr>
              <w:t xml:space="preserve"> </w:t>
            </w:r>
            <w:r w:rsidRPr="008C000D">
              <w:rPr>
                <w:rFonts w:eastAsia="Calibri" w:cs="Arial"/>
              </w:rPr>
              <w:t>associated</w:t>
            </w:r>
            <w:r>
              <w:rPr>
                <w:rFonts w:eastAsia="Calibri" w:cs="Arial"/>
              </w:rPr>
              <w:t xml:space="preserve"> </w:t>
            </w:r>
            <w:r w:rsidRPr="008C000D">
              <w:rPr>
                <w:rFonts w:eastAsia="Calibri" w:cs="Arial"/>
              </w:rPr>
              <w:t>with</w:t>
            </w:r>
            <w:r>
              <w:rPr>
                <w:rFonts w:eastAsia="Calibri" w:cs="Arial"/>
              </w:rPr>
              <w:t xml:space="preserve"> </w:t>
            </w:r>
            <w:r w:rsidRPr="008C000D">
              <w:rPr>
                <w:rFonts w:eastAsia="Calibri" w:cs="Arial"/>
              </w:rPr>
              <w:t>increased</w:t>
            </w:r>
            <w:r>
              <w:rPr>
                <w:rFonts w:eastAsia="Calibri" w:cs="Arial"/>
              </w:rPr>
              <w:t xml:space="preserve"> </w:t>
            </w:r>
            <w:r w:rsidRPr="008C000D">
              <w:rPr>
                <w:rFonts w:eastAsia="Calibri" w:cs="Arial"/>
              </w:rPr>
              <w:t>treatment</w:t>
            </w:r>
            <w:r>
              <w:rPr>
                <w:rFonts w:eastAsia="Calibri" w:cs="Arial"/>
              </w:rPr>
              <w:t xml:space="preserve"> </w:t>
            </w:r>
            <w:r w:rsidRPr="008C000D">
              <w:rPr>
                <w:rFonts w:eastAsia="Calibri" w:cs="Arial"/>
              </w:rPr>
              <w:t>usage</w:t>
            </w:r>
            <w:r>
              <w:rPr>
                <w:rFonts w:eastAsia="Calibri" w:cs="Arial"/>
              </w:rPr>
              <w:t xml:space="preserve"> </w:t>
            </w:r>
            <w:r w:rsidRPr="008C000D">
              <w:rPr>
                <w:rFonts w:eastAsia="Calibri" w:cs="Arial"/>
              </w:rPr>
              <w:t>and</w:t>
            </w:r>
            <w:r>
              <w:rPr>
                <w:rFonts w:eastAsia="Calibri" w:cs="Arial"/>
              </w:rPr>
              <w:t xml:space="preserve"> </w:t>
            </w:r>
            <w:r w:rsidRPr="008C000D">
              <w:rPr>
                <w:rFonts w:eastAsia="Calibri" w:cs="Arial"/>
              </w:rPr>
              <w:t>costs,</w:t>
            </w:r>
            <w:r>
              <w:rPr>
                <w:rFonts w:eastAsia="Calibri" w:cs="Arial"/>
              </w:rPr>
              <w:t xml:space="preserve"> </w:t>
            </w:r>
            <w:r w:rsidRPr="008C000D">
              <w:rPr>
                <w:rFonts w:eastAsia="Calibri" w:cs="Arial"/>
              </w:rPr>
              <w:t>unemployment,</w:t>
            </w:r>
            <w:r>
              <w:rPr>
                <w:rFonts w:eastAsia="Calibri" w:cs="Arial"/>
              </w:rPr>
              <w:t xml:space="preserve"> </w:t>
            </w:r>
            <w:r w:rsidRPr="008C000D">
              <w:rPr>
                <w:rFonts w:eastAsia="Calibri" w:cs="Arial"/>
              </w:rPr>
              <w:t>disability</w:t>
            </w:r>
            <w:r>
              <w:rPr>
                <w:rFonts w:eastAsia="Calibri" w:cs="Arial"/>
              </w:rPr>
              <w:t xml:space="preserve"> </w:t>
            </w:r>
            <w:r w:rsidRPr="008C000D">
              <w:rPr>
                <w:rFonts w:eastAsia="Calibri" w:cs="Arial"/>
              </w:rPr>
              <w:t>and</w:t>
            </w:r>
            <w:r>
              <w:rPr>
                <w:rFonts w:eastAsia="Calibri" w:cs="Arial"/>
              </w:rPr>
              <w:t xml:space="preserve"> </w:t>
            </w:r>
            <w:r w:rsidRPr="008C000D">
              <w:rPr>
                <w:rFonts w:eastAsia="Calibri" w:cs="Arial"/>
              </w:rPr>
              <w:t>reduced</w:t>
            </w:r>
            <w:r>
              <w:rPr>
                <w:rFonts w:eastAsia="Calibri" w:cs="Arial"/>
              </w:rPr>
              <w:t xml:space="preserve"> </w:t>
            </w:r>
            <w:r w:rsidRPr="008C000D">
              <w:rPr>
                <w:rFonts w:eastAsia="Calibri" w:cs="Arial"/>
              </w:rPr>
              <w:t>work</w:t>
            </w:r>
            <w:r>
              <w:rPr>
                <w:rFonts w:eastAsia="Calibri" w:cs="Arial"/>
              </w:rPr>
              <w:t xml:space="preserve"> </w:t>
            </w:r>
            <w:r w:rsidRPr="008C000D">
              <w:rPr>
                <w:rFonts w:eastAsia="Calibri" w:cs="Arial"/>
              </w:rPr>
              <w:t>performance.</w:t>
            </w:r>
            <w:r>
              <w:rPr>
                <w:rFonts w:eastAsia="Calibri" w:cs="Arial"/>
              </w:rPr>
              <w:t xml:space="preserve"> </w:t>
            </w:r>
            <w:r w:rsidRPr="008C000D">
              <w:rPr>
                <w:rFonts w:eastAsia="Calibri" w:cs="Arial"/>
              </w:rPr>
              <w:t>When</w:t>
            </w:r>
            <w:r>
              <w:rPr>
                <w:rFonts w:eastAsia="Calibri" w:cs="Arial"/>
              </w:rPr>
              <w:t xml:space="preserve"> </w:t>
            </w:r>
            <w:r w:rsidRPr="008C000D">
              <w:rPr>
                <w:rFonts w:eastAsia="Calibri" w:cs="Arial"/>
              </w:rPr>
              <w:t>the</w:t>
            </w:r>
            <w:r>
              <w:rPr>
                <w:rFonts w:eastAsia="Calibri" w:cs="Arial"/>
              </w:rPr>
              <w:t xml:space="preserve"> </w:t>
            </w:r>
            <w:r w:rsidRPr="008C000D">
              <w:rPr>
                <w:rFonts w:eastAsia="Calibri" w:cs="Arial"/>
              </w:rPr>
              <w:t>results</w:t>
            </w:r>
            <w:r>
              <w:rPr>
                <w:rFonts w:eastAsia="Calibri" w:cs="Arial"/>
              </w:rPr>
              <w:t xml:space="preserve"> </w:t>
            </w:r>
            <w:r w:rsidRPr="008C000D">
              <w:rPr>
                <w:rFonts w:eastAsia="Calibri" w:cs="Arial"/>
              </w:rPr>
              <w:t>of</w:t>
            </w:r>
            <w:r>
              <w:rPr>
                <w:rFonts w:eastAsia="Calibri" w:cs="Arial"/>
              </w:rPr>
              <w:t xml:space="preserve"> </w:t>
            </w:r>
            <w:r w:rsidRPr="008C000D">
              <w:rPr>
                <w:rFonts w:eastAsia="Calibri" w:cs="Arial"/>
              </w:rPr>
              <w:t>the</w:t>
            </w:r>
            <w:r>
              <w:rPr>
                <w:rFonts w:eastAsia="Calibri" w:cs="Arial"/>
              </w:rPr>
              <w:t xml:space="preserve"> </w:t>
            </w:r>
            <w:r w:rsidRPr="008C000D">
              <w:rPr>
                <w:rFonts w:eastAsia="Calibri" w:cs="Arial"/>
              </w:rPr>
              <w:t>study</w:t>
            </w:r>
            <w:r>
              <w:rPr>
                <w:rFonts w:eastAsia="Calibri" w:cs="Arial"/>
              </w:rPr>
              <w:t xml:space="preserve"> </w:t>
            </w:r>
            <w:r w:rsidRPr="008C000D">
              <w:rPr>
                <w:rFonts w:eastAsia="Calibri" w:cs="Arial"/>
              </w:rPr>
              <w:t>were</w:t>
            </w:r>
            <w:r>
              <w:rPr>
                <w:rFonts w:eastAsia="Calibri" w:cs="Arial"/>
              </w:rPr>
              <w:t xml:space="preserve"> </w:t>
            </w:r>
            <w:r w:rsidRPr="008C000D">
              <w:rPr>
                <w:rFonts w:eastAsia="Calibri" w:cs="Arial"/>
              </w:rPr>
              <w:t>projected</w:t>
            </w:r>
            <w:r>
              <w:rPr>
                <w:rFonts w:eastAsia="Calibri" w:cs="Arial"/>
              </w:rPr>
              <w:t xml:space="preserve"> </w:t>
            </w:r>
            <w:r w:rsidRPr="008C000D">
              <w:rPr>
                <w:rFonts w:eastAsia="Calibri" w:cs="Arial"/>
              </w:rPr>
              <w:t>to</w:t>
            </w:r>
            <w:r>
              <w:rPr>
                <w:rFonts w:eastAsia="Calibri" w:cs="Arial"/>
              </w:rPr>
              <w:t xml:space="preserve"> </w:t>
            </w:r>
            <w:r w:rsidRPr="008C000D">
              <w:rPr>
                <w:rFonts w:eastAsia="Calibri" w:cs="Arial"/>
              </w:rPr>
              <w:t>the</w:t>
            </w:r>
            <w:r>
              <w:rPr>
                <w:rFonts w:eastAsia="Calibri" w:cs="Arial"/>
              </w:rPr>
              <w:t xml:space="preserve"> </w:t>
            </w:r>
            <w:r w:rsidRPr="008C000D">
              <w:rPr>
                <w:rFonts w:eastAsia="Calibri" w:cs="Arial"/>
              </w:rPr>
              <w:t>U</w:t>
            </w:r>
            <w:r>
              <w:rPr>
                <w:rFonts w:eastAsia="Calibri" w:cs="Arial"/>
              </w:rPr>
              <w:t>.</w:t>
            </w:r>
            <w:r w:rsidRPr="008C000D">
              <w:rPr>
                <w:rFonts w:eastAsia="Calibri" w:cs="Arial"/>
              </w:rPr>
              <w:t>S</w:t>
            </w:r>
            <w:r>
              <w:rPr>
                <w:rFonts w:eastAsia="Calibri" w:cs="Arial"/>
              </w:rPr>
              <w:t xml:space="preserve">. </w:t>
            </w:r>
            <w:r w:rsidRPr="008C000D">
              <w:rPr>
                <w:rFonts w:eastAsia="Calibri" w:cs="Arial"/>
              </w:rPr>
              <w:t>workforce,</w:t>
            </w:r>
            <w:r>
              <w:rPr>
                <w:rFonts w:eastAsia="Calibri" w:cs="Arial"/>
              </w:rPr>
              <w:t xml:space="preserve"> </w:t>
            </w:r>
            <w:r w:rsidRPr="008C000D">
              <w:rPr>
                <w:rFonts w:eastAsia="Calibri" w:cs="Arial"/>
              </w:rPr>
              <w:t>it</w:t>
            </w:r>
            <w:r>
              <w:rPr>
                <w:rFonts w:eastAsia="Calibri" w:cs="Arial"/>
              </w:rPr>
              <w:t xml:space="preserve"> </w:t>
            </w:r>
            <w:r w:rsidRPr="008C000D">
              <w:rPr>
                <w:rFonts w:eastAsia="Calibri" w:cs="Arial"/>
              </w:rPr>
              <w:t>was</w:t>
            </w:r>
            <w:r>
              <w:rPr>
                <w:rFonts w:eastAsia="Calibri" w:cs="Arial"/>
              </w:rPr>
              <w:t xml:space="preserve"> </w:t>
            </w:r>
            <w:r w:rsidRPr="008C000D">
              <w:rPr>
                <w:rFonts w:eastAsia="Calibri" w:cs="Arial"/>
              </w:rPr>
              <w:t>estimated</w:t>
            </w:r>
            <w:r>
              <w:rPr>
                <w:rFonts w:eastAsia="Calibri" w:cs="Arial"/>
              </w:rPr>
              <w:t xml:space="preserve"> </w:t>
            </w:r>
            <w:r w:rsidRPr="008C000D">
              <w:rPr>
                <w:rFonts w:eastAsia="Calibri" w:cs="Arial"/>
              </w:rPr>
              <w:t>that</w:t>
            </w:r>
            <w:r>
              <w:rPr>
                <w:rFonts w:eastAsia="Calibri" w:cs="Arial"/>
              </w:rPr>
              <w:t xml:space="preserve"> </w:t>
            </w:r>
            <w:r w:rsidRPr="008C000D">
              <w:rPr>
                <w:rFonts w:eastAsia="Calibri" w:cs="Arial"/>
              </w:rPr>
              <w:t>monthly</w:t>
            </w:r>
            <w:r>
              <w:rPr>
                <w:rFonts w:eastAsia="Calibri" w:cs="Arial"/>
              </w:rPr>
              <w:t xml:space="preserve"> </w:t>
            </w:r>
            <w:r w:rsidRPr="008C000D">
              <w:rPr>
                <w:rFonts w:eastAsia="Calibri" w:cs="Arial"/>
              </w:rPr>
              <w:t>depression-related</w:t>
            </w:r>
            <w:r>
              <w:rPr>
                <w:rFonts w:eastAsia="Calibri" w:cs="Arial"/>
              </w:rPr>
              <w:t xml:space="preserve"> </w:t>
            </w:r>
            <w:r w:rsidRPr="008C000D">
              <w:rPr>
                <w:rFonts w:eastAsia="Calibri" w:cs="Arial"/>
              </w:rPr>
              <w:t>worker</w:t>
            </w:r>
            <w:r>
              <w:rPr>
                <w:rFonts w:eastAsia="Calibri" w:cs="Arial"/>
              </w:rPr>
              <w:t xml:space="preserve"> </w:t>
            </w:r>
            <w:r w:rsidRPr="008C000D">
              <w:rPr>
                <w:rFonts w:eastAsia="Calibri" w:cs="Arial"/>
              </w:rPr>
              <w:t>productivity</w:t>
            </w:r>
            <w:r>
              <w:rPr>
                <w:rFonts w:eastAsia="Calibri" w:cs="Arial"/>
              </w:rPr>
              <w:t xml:space="preserve"> </w:t>
            </w:r>
            <w:r w:rsidRPr="008C000D">
              <w:rPr>
                <w:rFonts w:eastAsia="Calibri" w:cs="Arial"/>
              </w:rPr>
              <w:t>losses</w:t>
            </w:r>
            <w:r>
              <w:rPr>
                <w:rFonts w:eastAsia="Calibri" w:cs="Arial"/>
              </w:rPr>
              <w:t xml:space="preserve"> </w:t>
            </w:r>
            <w:r w:rsidRPr="008C000D">
              <w:rPr>
                <w:rFonts w:eastAsia="Calibri" w:cs="Arial"/>
              </w:rPr>
              <w:t>had</w:t>
            </w:r>
            <w:r>
              <w:rPr>
                <w:rFonts w:eastAsia="Calibri" w:cs="Arial"/>
              </w:rPr>
              <w:t xml:space="preserve"> </w:t>
            </w:r>
            <w:r w:rsidRPr="008C000D">
              <w:rPr>
                <w:rFonts w:eastAsia="Calibri" w:cs="Arial"/>
              </w:rPr>
              <w:t>human</w:t>
            </w:r>
            <w:r>
              <w:rPr>
                <w:rFonts w:eastAsia="Calibri" w:cs="Arial"/>
              </w:rPr>
              <w:t xml:space="preserve"> </w:t>
            </w:r>
            <w:r w:rsidRPr="008C000D">
              <w:rPr>
                <w:rFonts w:eastAsia="Calibri" w:cs="Arial"/>
              </w:rPr>
              <w:t>capital</w:t>
            </w:r>
            <w:r>
              <w:rPr>
                <w:rFonts w:eastAsia="Calibri" w:cs="Arial"/>
              </w:rPr>
              <w:t xml:space="preserve"> </w:t>
            </w:r>
            <w:r w:rsidRPr="008C000D">
              <w:rPr>
                <w:rFonts w:eastAsia="Calibri" w:cs="Arial"/>
              </w:rPr>
              <w:t>costs</w:t>
            </w:r>
            <w:r>
              <w:rPr>
                <w:rFonts w:eastAsia="Calibri" w:cs="Arial"/>
              </w:rPr>
              <w:t xml:space="preserve"> </w:t>
            </w:r>
            <w:r w:rsidRPr="008C000D">
              <w:rPr>
                <w:rFonts w:eastAsia="Calibri" w:cs="Arial"/>
              </w:rPr>
              <w:t>of</w:t>
            </w:r>
            <w:r>
              <w:rPr>
                <w:rFonts w:eastAsia="Calibri" w:cs="Arial"/>
              </w:rPr>
              <w:t xml:space="preserve"> </w:t>
            </w:r>
            <w:r w:rsidRPr="008C000D">
              <w:rPr>
                <w:rFonts w:eastAsia="Calibri" w:cs="Arial"/>
              </w:rPr>
              <w:t>nearly</w:t>
            </w:r>
            <w:r>
              <w:rPr>
                <w:rFonts w:eastAsia="Calibri" w:cs="Arial"/>
              </w:rPr>
              <w:t xml:space="preserve"> </w:t>
            </w:r>
            <w:r w:rsidRPr="008C000D">
              <w:rPr>
                <w:rFonts w:eastAsia="Calibri" w:cs="Arial"/>
              </w:rPr>
              <w:t>$2</w:t>
            </w:r>
            <w:r>
              <w:rPr>
                <w:rFonts w:eastAsia="Calibri" w:cs="Arial"/>
              </w:rPr>
              <w:t xml:space="preserve"> </w:t>
            </w:r>
            <w:r w:rsidRPr="008C000D">
              <w:rPr>
                <w:rFonts w:eastAsia="Calibri" w:cs="Arial"/>
              </w:rPr>
              <w:t>billion.</w:t>
            </w:r>
            <w:r>
              <w:rPr>
                <w:rFonts w:eastAsia="Calibri" w:cs="Arial"/>
              </w:rPr>
              <w:t xml:space="preserve"> </w:t>
            </w:r>
          </w:p>
        </w:tc>
      </w:tr>
      <w:tr w:rsidR="000C547E" w:rsidRPr="00DF1884" w14:paraId="4D94CB1B" w14:textId="77777777" w:rsidTr="00991EDB">
        <w:trPr>
          <w:trHeight w:val="648"/>
        </w:trPr>
        <w:tc>
          <w:tcPr>
            <w:tcW w:w="1751" w:type="dxa"/>
            <w:tcMar>
              <w:left w:w="115" w:type="dxa"/>
              <w:right w:w="115" w:type="dxa"/>
            </w:tcMar>
          </w:tcPr>
          <w:p w14:paraId="4090D149" w14:textId="77777777" w:rsidR="000C547E" w:rsidRPr="00DF1884" w:rsidRDefault="000C547E" w:rsidP="00991EDB">
            <w:pPr>
              <w:pStyle w:val="MarginSubhead"/>
            </w:pPr>
            <w:r w:rsidRPr="00DF1884">
              <w:t>Potential for improvement</w:t>
            </w:r>
          </w:p>
        </w:tc>
        <w:tc>
          <w:tcPr>
            <w:tcW w:w="7920" w:type="dxa"/>
            <w:tcMar>
              <w:left w:w="115" w:type="dxa"/>
              <w:right w:w="115" w:type="dxa"/>
            </w:tcMar>
          </w:tcPr>
          <w:p w14:paraId="0EB9AF7F" w14:textId="77777777" w:rsidR="000C547E" w:rsidRDefault="000C547E" w:rsidP="00991EDB">
            <w:pPr>
              <w:spacing w:before="180"/>
              <w:rPr>
                <w:rFonts w:cs="Arial"/>
              </w:rPr>
            </w:pPr>
            <w:r w:rsidRPr="00064CA8">
              <w:rPr>
                <w:rFonts w:cs="Arial"/>
              </w:rPr>
              <w:t>There</w:t>
            </w:r>
            <w:r>
              <w:rPr>
                <w:rFonts w:cs="Arial"/>
              </w:rPr>
              <w:t xml:space="preserve"> </w:t>
            </w:r>
            <w:r w:rsidRPr="00064CA8">
              <w:rPr>
                <w:rFonts w:cs="Arial"/>
              </w:rPr>
              <w:t>are</w:t>
            </w:r>
            <w:r>
              <w:rPr>
                <w:rFonts w:cs="Arial"/>
              </w:rPr>
              <w:t xml:space="preserve"> </w:t>
            </w:r>
            <w:r w:rsidRPr="00064CA8">
              <w:rPr>
                <w:rFonts w:cs="Arial"/>
              </w:rPr>
              <w:t>significant</w:t>
            </w:r>
            <w:r>
              <w:rPr>
                <w:rFonts w:cs="Arial"/>
              </w:rPr>
              <w:t xml:space="preserve"> </w:t>
            </w:r>
            <w:r w:rsidRPr="00064CA8">
              <w:rPr>
                <w:rFonts w:cs="Arial"/>
              </w:rPr>
              <w:t>quality</w:t>
            </w:r>
            <w:r>
              <w:rPr>
                <w:rFonts w:cs="Arial"/>
              </w:rPr>
              <w:t xml:space="preserve"> </w:t>
            </w:r>
            <w:r w:rsidRPr="00064CA8">
              <w:rPr>
                <w:rFonts w:cs="Arial"/>
              </w:rPr>
              <w:t>concerns</w:t>
            </w:r>
            <w:r>
              <w:rPr>
                <w:rFonts w:cs="Arial"/>
              </w:rPr>
              <w:t xml:space="preserve"> </w:t>
            </w:r>
            <w:r w:rsidRPr="00064CA8">
              <w:rPr>
                <w:rFonts w:cs="Arial"/>
              </w:rPr>
              <w:t>along</w:t>
            </w:r>
            <w:r>
              <w:rPr>
                <w:rFonts w:cs="Arial"/>
              </w:rPr>
              <w:t xml:space="preserve"> </w:t>
            </w:r>
            <w:r w:rsidRPr="00064CA8">
              <w:rPr>
                <w:rFonts w:cs="Arial"/>
              </w:rPr>
              <w:t>the</w:t>
            </w:r>
            <w:r>
              <w:rPr>
                <w:rFonts w:cs="Arial"/>
              </w:rPr>
              <w:t xml:space="preserve"> </w:t>
            </w:r>
            <w:r w:rsidRPr="00064CA8">
              <w:rPr>
                <w:rFonts w:cs="Arial"/>
              </w:rPr>
              <w:t>continuum</w:t>
            </w:r>
            <w:r>
              <w:rPr>
                <w:rFonts w:cs="Arial"/>
              </w:rPr>
              <w:t xml:space="preserve"> </w:t>
            </w:r>
            <w:r w:rsidRPr="00064CA8">
              <w:rPr>
                <w:rFonts w:cs="Arial"/>
              </w:rPr>
              <w:t>of</w:t>
            </w:r>
            <w:r>
              <w:rPr>
                <w:rFonts w:cs="Arial"/>
              </w:rPr>
              <w:t xml:space="preserve"> </w:t>
            </w:r>
            <w:r w:rsidRPr="00064CA8">
              <w:rPr>
                <w:rFonts w:cs="Arial"/>
              </w:rPr>
              <w:t>depression</w:t>
            </w:r>
            <w:r>
              <w:rPr>
                <w:rFonts w:cs="Arial"/>
              </w:rPr>
              <w:t xml:space="preserve"> </w:t>
            </w:r>
            <w:r w:rsidRPr="00064CA8">
              <w:rPr>
                <w:rFonts w:cs="Arial"/>
              </w:rPr>
              <w:t>care</w:t>
            </w:r>
            <w:r>
              <w:rPr>
                <w:rFonts w:cs="Arial"/>
              </w:rPr>
              <w:t xml:space="preserve"> </w:t>
            </w:r>
            <w:r w:rsidRPr="00064CA8">
              <w:rPr>
                <w:rFonts w:cs="Arial"/>
              </w:rPr>
              <w:t>(Katon</w:t>
            </w:r>
            <w:r>
              <w:rPr>
                <w:rFonts w:cs="Arial"/>
              </w:rPr>
              <w:t xml:space="preserve"> </w:t>
            </w:r>
            <w:r w:rsidRPr="00064CA8">
              <w:rPr>
                <w:rFonts w:cs="Arial"/>
              </w:rPr>
              <w:t>and</w:t>
            </w:r>
            <w:r>
              <w:rPr>
                <w:rFonts w:cs="Arial"/>
              </w:rPr>
              <w:t xml:space="preserve"> </w:t>
            </w:r>
            <w:r w:rsidRPr="00064CA8">
              <w:rPr>
                <w:rFonts w:cs="Arial"/>
              </w:rPr>
              <w:t>Guico-Pabia,</w:t>
            </w:r>
            <w:r>
              <w:rPr>
                <w:rFonts w:cs="Arial"/>
              </w:rPr>
              <w:t xml:space="preserve"> </w:t>
            </w:r>
            <w:r w:rsidRPr="00064CA8">
              <w:rPr>
                <w:rFonts w:cs="Arial"/>
              </w:rPr>
              <w:t>2011)</w:t>
            </w:r>
            <w:r>
              <w:rPr>
                <w:rFonts w:cs="Arial"/>
              </w:rPr>
              <w:t xml:space="preserve">: </w:t>
            </w:r>
            <w:r w:rsidRPr="00064CA8">
              <w:rPr>
                <w:rFonts w:cs="Arial"/>
              </w:rPr>
              <w:t>under</w:t>
            </w:r>
            <w:r>
              <w:rPr>
                <w:rFonts w:cs="Arial"/>
              </w:rPr>
              <w:t>-</w:t>
            </w:r>
            <w:r w:rsidRPr="00064CA8">
              <w:rPr>
                <w:rFonts w:cs="Arial"/>
              </w:rPr>
              <w:t>treatment</w:t>
            </w:r>
            <w:r>
              <w:rPr>
                <w:rFonts w:cs="Arial"/>
              </w:rPr>
              <w:t xml:space="preserve"> </w:t>
            </w:r>
            <w:r w:rsidRPr="00064CA8">
              <w:rPr>
                <w:rFonts w:cs="Arial"/>
              </w:rPr>
              <w:t>(Kessler</w:t>
            </w:r>
            <w:r>
              <w:rPr>
                <w:rFonts w:cs="Arial"/>
              </w:rPr>
              <w:t xml:space="preserve"> </w:t>
            </w:r>
            <w:r w:rsidRPr="00064CA8">
              <w:rPr>
                <w:rFonts w:cs="Arial"/>
              </w:rPr>
              <w:t>et</w:t>
            </w:r>
            <w:r>
              <w:rPr>
                <w:rFonts w:cs="Arial"/>
              </w:rPr>
              <w:t xml:space="preserve"> </w:t>
            </w:r>
            <w:r w:rsidRPr="00064CA8">
              <w:rPr>
                <w:rFonts w:cs="Arial"/>
              </w:rPr>
              <w:t>al.,</w:t>
            </w:r>
            <w:r>
              <w:rPr>
                <w:rFonts w:cs="Arial"/>
              </w:rPr>
              <w:t xml:space="preserve"> </w:t>
            </w:r>
            <w:r w:rsidRPr="00064CA8">
              <w:rPr>
                <w:rFonts w:cs="Arial"/>
              </w:rPr>
              <w:t>2003),</w:t>
            </w:r>
            <w:r>
              <w:rPr>
                <w:rFonts w:cs="Arial"/>
              </w:rPr>
              <w:t xml:space="preserve"> </w:t>
            </w:r>
            <w:r w:rsidRPr="00064CA8">
              <w:rPr>
                <w:rFonts w:cs="Arial"/>
              </w:rPr>
              <w:t>inappropriate</w:t>
            </w:r>
            <w:r>
              <w:rPr>
                <w:rFonts w:cs="Arial"/>
              </w:rPr>
              <w:t xml:space="preserve"> </w:t>
            </w:r>
            <w:r w:rsidRPr="00064CA8">
              <w:rPr>
                <w:rFonts w:cs="Arial"/>
              </w:rPr>
              <w:t>treatment</w:t>
            </w:r>
            <w:r>
              <w:rPr>
                <w:rFonts w:cs="Arial"/>
              </w:rPr>
              <w:t xml:space="preserve"> </w:t>
            </w:r>
            <w:r w:rsidRPr="00064CA8">
              <w:rPr>
                <w:rFonts w:cs="Arial"/>
              </w:rPr>
              <w:t>(Mojtabai</w:t>
            </w:r>
            <w:r>
              <w:rPr>
                <w:rFonts w:cs="Arial"/>
              </w:rPr>
              <w:t xml:space="preserve"> </w:t>
            </w:r>
            <w:r w:rsidRPr="00064CA8">
              <w:rPr>
                <w:rFonts w:cs="Arial"/>
              </w:rPr>
              <w:t>and</w:t>
            </w:r>
            <w:r>
              <w:rPr>
                <w:rFonts w:cs="Arial"/>
              </w:rPr>
              <w:t xml:space="preserve"> </w:t>
            </w:r>
            <w:r w:rsidRPr="00064CA8">
              <w:rPr>
                <w:rFonts w:cs="Arial"/>
              </w:rPr>
              <w:t>Olfson,</w:t>
            </w:r>
            <w:r>
              <w:rPr>
                <w:rFonts w:cs="Arial"/>
              </w:rPr>
              <w:t xml:space="preserve"> </w:t>
            </w:r>
            <w:r w:rsidRPr="00064CA8">
              <w:rPr>
                <w:rFonts w:cs="Arial"/>
              </w:rPr>
              <w:t>2011)</w:t>
            </w:r>
            <w:r>
              <w:rPr>
                <w:rFonts w:cs="Arial"/>
              </w:rPr>
              <w:t xml:space="preserve">, and </w:t>
            </w:r>
            <w:r w:rsidRPr="00064CA8">
              <w:rPr>
                <w:rFonts w:cs="Arial"/>
              </w:rPr>
              <w:t>lack</w:t>
            </w:r>
            <w:r>
              <w:rPr>
                <w:rFonts w:cs="Arial"/>
              </w:rPr>
              <w:t xml:space="preserve"> </w:t>
            </w:r>
            <w:r w:rsidRPr="00064CA8">
              <w:rPr>
                <w:rFonts w:cs="Arial"/>
              </w:rPr>
              <w:t>of</w:t>
            </w:r>
            <w:r>
              <w:rPr>
                <w:rFonts w:cs="Arial"/>
              </w:rPr>
              <w:t xml:space="preserve"> </w:t>
            </w:r>
            <w:r w:rsidRPr="00064CA8">
              <w:rPr>
                <w:rFonts w:cs="Arial"/>
              </w:rPr>
              <w:t>follow-up</w:t>
            </w:r>
            <w:r>
              <w:rPr>
                <w:rFonts w:cs="Arial"/>
              </w:rPr>
              <w:t xml:space="preserve"> </w:t>
            </w:r>
            <w:r w:rsidRPr="00064CA8">
              <w:rPr>
                <w:rFonts w:cs="Arial"/>
              </w:rPr>
              <w:t>and</w:t>
            </w:r>
            <w:r>
              <w:rPr>
                <w:rFonts w:cs="Arial"/>
              </w:rPr>
              <w:t xml:space="preserve"> </w:t>
            </w:r>
            <w:r w:rsidRPr="00064CA8">
              <w:rPr>
                <w:rFonts w:cs="Arial"/>
              </w:rPr>
              <w:t>monitoring</w:t>
            </w:r>
            <w:r>
              <w:rPr>
                <w:rFonts w:cs="Arial"/>
              </w:rPr>
              <w:t xml:space="preserve"> </w:t>
            </w:r>
            <w:r w:rsidRPr="00064CA8">
              <w:rPr>
                <w:rFonts w:cs="Arial"/>
              </w:rPr>
              <w:t>(Katon</w:t>
            </w:r>
            <w:r>
              <w:rPr>
                <w:rFonts w:cs="Arial"/>
              </w:rPr>
              <w:t xml:space="preserve"> </w:t>
            </w:r>
            <w:r w:rsidRPr="00064CA8">
              <w:rPr>
                <w:rFonts w:cs="Arial"/>
              </w:rPr>
              <w:t>and</w:t>
            </w:r>
            <w:r>
              <w:rPr>
                <w:rFonts w:cs="Arial"/>
              </w:rPr>
              <w:t xml:space="preserve"> </w:t>
            </w:r>
            <w:r w:rsidRPr="00064CA8">
              <w:rPr>
                <w:rFonts w:cs="Arial"/>
              </w:rPr>
              <w:t>Seelig,</w:t>
            </w:r>
            <w:r>
              <w:rPr>
                <w:rFonts w:cs="Arial"/>
              </w:rPr>
              <w:t xml:space="preserve"> </w:t>
            </w:r>
            <w:r w:rsidRPr="00064CA8">
              <w:rPr>
                <w:rFonts w:cs="Arial"/>
              </w:rPr>
              <w:t>2008).</w:t>
            </w:r>
            <w:r>
              <w:rPr>
                <w:rFonts w:cs="Arial"/>
              </w:rPr>
              <w:t xml:space="preserve"> </w:t>
            </w:r>
          </w:p>
          <w:p w14:paraId="048E43AD" w14:textId="77777777" w:rsidR="000C547E" w:rsidRDefault="000C547E" w:rsidP="00991EDB">
            <w:pPr>
              <w:spacing w:before="180"/>
              <w:rPr>
                <w:rFonts w:cs="Arial"/>
              </w:rPr>
            </w:pPr>
            <w:r w:rsidRPr="00064CA8">
              <w:rPr>
                <w:rFonts w:cs="Arial"/>
              </w:rPr>
              <w:t>Quality</w:t>
            </w:r>
            <w:r>
              <w:rPr>
                <w:rFonts w:cs="Arial"/>
              </w:rPr>
              <w:t xml:space="preserve"> </w:t>
            </w:r>
            <w:r w:rsidRPr="00064CA8">
              <w:rPr>
                <w:rFonts w:cs="Arial"/>
              </w:rPr>
              <w:t>gaps</w:t>
            </w:r>
            <w:r>
              <w:rPr>
                <w:rFonts w:cs="Arial"/>
              </w:rPr>
              <w:t xml:space="preserve"> </w:t>
            </w:r>
            <w:r w:rsidRPr="00064CA8">
              <w:rPr>
                <w:rFonts w:cs="Arial"/>
              </w:rPr>
              <w:t>are</w:t>
            </w:r>
            <w:r>
              <w:rPr>
                <w:rFonts w:cs="Arial"/>
              </w:rPr>
              <w:t xml:space="preserve"> </w:t>
            </w:r>
            <w:r w:rsidRPr="00064CA8">
              <w:rPr>
                <w:rFonts w:cs="Arial"/>
              </w:rPr>
              <w:t>more</w:t>
            </w:r>
            <w:r>
              <w:rPr>
                <w:rFonts w:cs="Arial"/>
              </w:rPr>
              <w:t xml:space="preserve"> </w:t>
            </w:r>
            <w:r w:rsidRPr="00064CA8">
              <w:rPr>
                <w:rFonts w:cs="Arial"/>
              </w:rPr>
              <w:t>pronounced</w:t>
            </w:r>
            <w:r>
              <w:rPr>
                <w:rFonts w:cs="Arial"/>
              </w:rPr>
              <w:t xml:space="preserve"> </w:t>
            </w:r>
            <w:r w:rsidRPr="00064CA8">
              <w:rPr>
                <w:rFonts w:cs="Arial"/>
              </w:rPr>
              <w:t>among</w:t>
            </w:r>
            <w:r>
              <w:rPr>
                <w:rFonts w:cs="Arial"/>
              </w:rPr>
              <w:t xml:space="preserve"> </w:t>
            </w:r>
            <w:r w:rsidRPr="00064CA8">
              <w:rPr>
                <w:rFonts w:cs="Arial"/>
              </w:rPr>
              <w:t>ethnic</w:t>
            </w:r>
            <w:r>
              <w:rPr>
                <w:rFonts w:cs="Arial"/>
              </w:rPr>
              <w:t xml:space="preserve"> </w:t>
            </w:r>
            <w:r w:rsidRPr="00064CA8">
              <w:rPr>
                <w:rFonts w:cs="Arial"/>
              </w:rPr>
              <w:t>and</w:t>
            </w:r>
            <w:r>
              <w:rPr>
                <w:rFonts w:cs="Arial"/>
              </w:rPr>
              <w:t xml:space="preserve"> </w:t>
            </w:r>
            <w:r w:rsidRPr="00064CA8">
              <w:rPr>
                <w:rFonts w:cs="Arial"/>
              </w:rPr>
              <w:t>racial</w:t>
            </w:r>
            <w:r>
              <w:rPr>
                <w:rFonts w:cs="Arial"/>
              </w:rPr>
              <w:t xml:space="preserve"> </w:t>
            </w:r>
            <w:r w:rsidRPr="00064CA8">
              <w:rPr>
                <w:rFonts w:cs="Arial"/>
              </w:rPr>
              <w:t>minorities</w:t>
            </w:r>
            <w:r>
              <w:rPr>
                <w:rFonts w:cs="Arial"/>
              </w:rPr>
              <w:t xml:space="preserve"> </w:t>
            </w:r>
            <w:r w:rsidRPr="00064CA8">
              <w:rPr>
                <w:rFonts w:cs="Arial"/>
              </w:rPr>
              <w:t>(Gonzalez</w:t>
            </w:r>
            <w:r>
              <w:rPr>
                <w:rFonts w:cs="Arial"/>
              </w:rPr>
              <w:t xml:space="preserve"> </w:t>
            </w:r>
            <w:r w:rsidRPr="00064CA8">
              <w:rPr>
                <w:rFonts w:cs="Arial"/>
              </w:rPr>
              <w:t>et</w:t>
            </w:r>
            <w:r>
              <w:rPr>
                <w:rFonts w:cs="Arial"/>
              </w:rPr>
              <w:t xml:space="preserve"> </w:t>
            </w:r>
            <w:r w:rsidRPr="00064CA8">
              <w:rPr>
                <w:rFonts w:cs="Arial"/>
              </w:rPr>
              <w:t>al.,</w:t>
            </w:r>
            <w:r>
              <w:rPr>
                <w:rFonts w:cs="Arial"/>
              </w:rPr>
              <w:t xml:space="preserve"> </w:t>
            </w:r>
            <w:r w:rsidRPr="00064CA8">
              <w:rPr>
                <w:rFonts w:cs="Arial"/>
              </w:rPr>
              <w:t>2010)</w:t>
            </w:r>
            <w:r>
              <w:rPr>
                <w:rFonts w:cs="Arial"/>
              </w:rPr>
              <w:t xml:space="preserve"> </w:t>
            </w:r>
            <w:r w:rsidRPr="00064CA8">
              <w:rPr>
                <w:rFonts w:cs="Arial"/>
              </w:rPr>
              <w:t>and</w:t>
            </w:r>
            <w:r>
              <w:rPr>
                <w:rFonts w:cs="Arial"/>
              </w:rPr>
              <w:t xml:space="preserve"> </w:t>
            </w:r>
            <w:r w:rsidRPr="00064CA8">
              <w:rPr>
                <w:rFonts w:cs="Arial"/>
              </w:rPr>
              <w:t>individuals</w:t>
            </w:r>
            <w:r>
              <w:rPr>
                <w:rFonts w:cs="Arial"/>
              </w:rPr>
              <w:t xml:space="preserve"> </w:t>
            </w:r>
            <w:r w:rsidRPr="00064CA8">
              <w:rPr>
                <w:rFonts w:cs="Arial"/>
              </w:rPr>
              <w:t>with</w:t>
            </w:r>
            <w:r>
              <w:rPr>
                <w:rFonts w:cs="Arial"/>
              </w:rPr>
              <w:t xml:space="preserve"> </w:t>
            </w:r>
            <w:r w:rsidRPr="00064CA8">
              <w:rPr>
                <w:rFonts w:cs="Arial"/>
              </w:rPr>
              <w:t>multiple</w:t>
            </w:r>
            <w:r>
              <w:rPr>
                <w:rFonts w:cs="Arial"/>
              </w:rPr>
              <w:t xml:space="preserve"> </w:t>
            </w:r>
            <w:r w:rsidRPr="00064CA8">
              <w:rPr>
                <w:rFonts w:cs="Arial"/>
              </w:rPr>
              <w:t>chronic</w:t>
            </w:r>
            <w:r>
              <w:rPr>
                <w:rFonts w:cs="Arial"/>
              </w:rPr>
              <w:t xml:space="preserve"> </w:t>
            </w:r>
            <w:r w:rsidRPr="00064CA8">
              <w:rPr>
                <w:rFonts w:cs="Arial"/>
              </w:rPr>
              <w:t>conditions</w:t>
            </w:r>
            <w:r>
              <w:rPr>
                <w:rFonts w:cs="Arial"/>
              </w:rPr>
              <w:t xml:space="preserve"> </w:t>
            </w:r>
            <w:r w:rsidRPr="00064CA8">
              <w:rPr>
                <w:rFonts w:cs="Arial"/>
              </w:rPr>
              <w:t>(Katon</w:t>
            </w:r>
            <w:r>
              <w:rPr>
                <w:rFonts w:cs="Arial"/>
              </w:rPr>
              <w:t xml:space="preserve"> </w:t>
            </w:r>
            <w:r w:rsidRPr="00064CA8">
              <w:rPr>
                <w:rFonts w:cs="Arial"/>
              </w:rPr>
              <w:t>et</w:t>
            </w:r>
            <w:r>
              <w:rPr>
                <w:rFonts w:cs="Arial"/>
              </w:rPr>
              <w:t xml:space="preserve"> </w:t>
            </w:r>
            <w:r w:rsidRPr="00064CA8">
              <w:rPr>
                <w:rFonts w:cs="Arial"/>
              </w:rPr>
              <w:t>al.,</w:t>
            </w:r>
            <w:r>
              <w:rPr>
                <w:rFonts w:cs="Arial"/>
              </w:rPr>
              <w:t xml:space="preserve"> </w:t>
            </w:r>
            <w:r w:rsidRPr="00064CA8">
              <w:rPr>
                <w:rFonts w:cs="Arial"/>
              </w:rPr>
              <w:t>2004).</w:t>
            </w:r>
            <w:r>
              <w:rPr>
                <w:rFonts w:cs="Arial"/>
              </w:rPr>
              <w:t xml:space="preserve"> </w:t>
            </w:r>
            <w:r w:rsidRPr="00064CA8">
              <w:rPr>
                <w:rFonts w:cs="Arial"/>
              </w:rPr>
              <w:t>In</w:t>
            </w:r>
            <w:r>
              <w:rPr>
                <w:rFonts w:cs="Arial"/>
              </w:rPr>
              <w:t xml:space="preserve"> </w:t>
            </w:r>
            <w:r w:rsidRPr="00064CA8">
              <w:rPr>
                <w:rFonts w:cs="Arial"/>
              </w:rPr>
              <w:t>a</w:t>
            </w:r>
            <w:r>
              <w:rPr>
                <w:rFonts w:cs="Arial"/>
              </w:rPr>
              <w:t xml:space="preserve"> </w:t>
            </w:r>
            <w:r w:rsidRPr="00064CA8">
              <w:rPr>
                <w:rFonts w:cs="Arial"/>
              </w:rPr>
              <w:t>large</w:t>
            </w:r>
            <w:r>
              <w:rPr>
                <w:rFonts w:cs="Arial"/>
              </w:rPr>
              <w:t xml:space="preserve"> </w:t>
            </w:r>
            <w:r w:rsidRPr="00064CA8">
              <w:rPr>
                <w:rFonts w:cs="Arial"/>
              </w:rPr>
              <w:t>representative</w:t>
            </w:r>
            <w:r>
              <w:rPr>
                <w:rFonts w:cs="Arial"/>
              </w:rPr>
              <w:t xml:space="preserve"> </w:t>
            </w:r>
            <w:r w:rsidRPr="00064CA8">
              <w:rPr>
                <w:rFonts w:cs="Arial"/>
              </w:rPr>
              <w:t>survey</w:t>
            </w:r>
            <w:r>
              <w:rPr>
                <w:rFonts w:cs="Arial"/>
              </w:rPr>
              <w:t xml:space="preserve"> </w:t>
            </w:r>
            <w:r w:rsidRPr="00064CA8">
              <w:rPr>
                <w:rFonts w:cs="Arial"/>
              </w:rPr>
              <w:t>study,</w:t>
            </w:r>
            <w:r>
              <w:rPr>
                <w:rFonts w:cs="Arial"/>
              </w:rPr>
              <w:t xml:space="preserve"> </w:t>
            </w:r>
            <w:r w:rsidRPr="00064CA8">
              <w:rPr>
                <w:rFonts w:cs="Arial"/>
              </w:rPr>
              <w:t>only</w:t>
            </w:r>
            <w:r>
              <w:rPr>
                <w:rFonts w:cs="Arial"/>
              </w:rPr>
              <w:t xml:space="preserve"> </w:t>
            </w:r>
            <w:r w:rsidRPr="00064CA8">
              <w:rPr>
                <w:rFonts w:cs="Arial"/>
              </w:rPr>
              <w:t>one</w:t>
            </w:r>
            <w:r>
              <w:rPr>
                <w:rFonts w:cs="Arial"/>
              </w:rPr>
              <w:t>-</w:t>
            </w:r>
            <w:r w:rsidRPr="00064CA8">
              <w:rPr>
                <w:rFonts w:cs="Arial"/>
              </w:rPr>
              <w:t>third</w:t>
            </w:r>
            <w:r>
              <w:rPr>
                <w:rFonts w:cs="Arial"/>
              </w:rPr>
              <w:t xml:space="preserve"> </w:t>
            </w:r>
            <w:r w:rsidRPr="00064CA8">
              <w:rPr>
                <w:rFonts w:cs="Arial"/>
              </w:rPr>
              <w:t>of</w:t>
            </w:r>
            <w:r>
              <w:rPr>
                <w:rFonts w:cs="Arial"/>
              </w:rPr>
              <w:t xml:space="preserve"> </w:t>
            </w:r>
            <w:r w:rsidRPr="00064CA8">
              <w:rPr>
                <w:rFonts w:cs="Arial"/>
              </w:rPr>
              <w:t>those</w:t>
            </w:r>
            <w:r>
              <w:rPr>
                <w:rFonts w:cs="Arial"/>
              </w:rPr>
              <w:t xml:space="preserve"> </w:t>
            </w:r>
            <w:r w:rsidRPr="00064CA8">
              <w:rPr>
                <w:rFonts w:cs="Arial"/>
              </w:rPr>
              <w:t>with</w:t>
            </w:r>
            <w:r>
              <w:rPr>
                <w:rFonts w:cs="Arial"/>
              </w:rPr>
              <w:t xml:space="preserve"> </w:t>
            </w:r>
            <w:r w:rsidRPr="00064CA8">
              <w:rPr>
                <w:rFonts w:cs="Arial"/>
              </w:rPr>
              <w:t>depression</w:t>
            </w:r>
            <w:r>
              <w:rPr>
                <w:rFonts w:cs="Arial"/>
              </w:rPr>
              <w:t xml:space="preserve"> </w:t>
            </w:r>
            <w:r w:rsidRPr="00064CA8">
              <w:rPr>
                <w:rFonts w:cs="Arial"/>
              </w:rPr>
              <w:t>reported</w:t>
            </w:r>
            <w:r>
              <w:rPr>
                <w:rFonts w:cs="Arial"/>
              </w:rPr>
              <w:t xml:space="preserve"> </w:t>
            </w:r>
            <w:r w:rsidRPr="00064CA8">
              <w:rPr>
                <w:rFonts w:cs="Arial"/>
              </w:rPr>
              <w:t>receiving</w:t>
            </w:r>
            <w:r>
              <w:rPr>
                <w:rFonts w:cs="Arial"/>
              </w:rPr>
              <w:t xml:space="preserve"> </w:t>
            </w:r>
            <w:r w:rsidRPr="00064CA8">
              <w:rPr>
                <w:rFonts w:cs="Arial"/>
              </w:rPr>
              <w:t>mental</w:t>
            </w:r>
            <w:r>
              <w:rPr>
                <w:rFonts w:cs="Arial"/>
              </w:rPr>
              <w:t xml:space="preserve"> </w:t>
            </w:r>
            <w:r w:rsidRPr="00064CA8">
              <w:rPr>
                <w:rFonts w:cs="Arial"/>
              </w:rPr>
              <w:t>health</w:t>
            </w:r>
            <w:r>
              <w:rPr>
                <w:rFonts w:cs="Arial"/>
              </w:rPr>
              <w:t xml:space="preserve"> </w:t>
            </w:r>
            <w:r w:rsidRPr="00064CA8">
              <w:rPr>
                <w:rFonts w:cs="Arial"/>
              </w:rPr>
              <w:t>services</w:t>
            </w:r>
            <w:r>
              <w:rPr>
                <w:rFonts w:cs="Arial"/>
              </w:rPr>
              <w:t xml:space="preserve"> </w:t>
            </w:r>
            <w:r w:rsidRPr="00064CA8">
              <w:rPr>
                <w:rFonts w:cs="Arial"/>
              </w:rPr>
              <w:t>in</w:t>
            </w:r>
            <w:r>
              <w:rPr>
                <w:rFonts w:cs="Arial"/>
              </w:rPr>
              <w:t xml:space="preserve"> </w:t>
            </w:r>
            <w:r w:rsidRPr="00064CA8">
              <w:rPr>
                <w:rFonts w:cs="Arial"/>
              </w:rPr>
              <w:t>a</w:t>
            </w:r>
            <w:r>
              <w:rPr>
                <w:rFonts w:cs="Arial"/>
              </w:rPr>
              <w:t xml:space="preserve"> </w:t>
            </w:r>
            <w:r w:rsidRPr="00064CA8">
              <w:rPr>
                <w:rFonts w:cs="Arial"/>
              </w:rPr>
              <w:t>given</w:t>
            </w:r>
            <w:r>
              <w:rPr>
                <w:rFonts w:cs="Arial"/>
              </w:rPr>
              <w:t xml:space="preserve"> </w:t>
            </w:r>
            <w:r w:rsidRPr="00064CA8">
              <w:rPr>
                <w:rFonts w:cs="Arial"/>
              </w:rPr>
              <w:t>year</w:t>
            </w:r>
            <w:r>
              <w:rPr>
                <w:rFonts w:cs="Arial"/>
              </w:rPr>
              <w:t xml:space="preserve"> </w:t>
            </w:r>
            <w:r w:rsidRPr="00064CA8">
              <w:rPr>
                <w:rFonts w:cs="Arial"/>
              </w:rPr>
              <w:t>and</w:t>
            </w:r>
            <w:r>
              <w:rPr>
                <w:rFonts w:cs="Arial"/>
              </w:rPr>
              <w:t xml:space="preserve"> </w:t>
            </w:r>
            <w:r w:rsidRPr="00064CA8">
              <w:rPr>
                <w:rFonts w:cs="Arial"/>
              </w:rPr>
              <w:t>only</w:t>
            </w:r>
            <w:r>
              <w:rPr>
                <w:rFonts w:cs="Arial"/>
              </w:rPr>
              <w:t xml:space="preserve"> </w:t>
            </w:r>
            <w:r w:rsidRPr="00064CA8">
              <w:rPr>
                <w:rFonts w:cs="Arial"/>
              </w:rPr>
              <w:t>about</w:t>
            </w:r>
            <w:r>
              <w:rPr>
                <w:rFonts w:cs="Arial"/>
              </w:rPr>
              <w:t xml:space="preserve"> </w:t>
            </w:r>
            <w:r w:rsidRPr="00064CA8">
              <w:rPr>
                <w:rFonts w:cs="Arial"/>
              </w:rPr>
              <w:t>half</w:t>
            </w:r>
            <w:r>
              <w:rPr>
                <w:rFonts w:cs="Arial"/>
              </w:rPr>
              <w:t xml:space="preserve"> </w:t>
            </w:r>
            <w:r w:rsidRPr="00064CA8">
              <w:rPr>
                <w:rFonts w:cs="Arial"/>
              </w:rPr>
              <w:t>had</w:t>
            </w:r>
            <w:r>
              <w:rPr>
                <w:rFonts w:cs="Arial"/>
              </w:rPr>
              <w:t xml:space="preserve"> </w:t>
            </w:r>
            <w:r w:rsidRPr="00064CA8">
              <w:rPr>
                <w:rFonts w:cs="Arial"/>
              </w:rPr>
              <w:t>any</w:t>
            </w:r>
            <w:r>
              <w:rPr>
                <w:rFonts w:cs="Arial"/>
              </w:rPr>
              <w:t xml:space="preserve"> </w:t>
            </w:r>
            <w:r w:rsidRPr="00064CA8">
              <w:rPr>
                <w:rFonts w:cs="Arial"/>
              </w:rPr>
              <w:t>type</w:t>
            </w:r>
            <w:r>
              <w:rPr>
                <w:rFonts w:cs="Arial"/>
              </w:rPr>
              <w:t xml:space="preserve"> </w:t>
            </w:r>
            <w:r w:rsidRPr="00064CA8">
              <w:rPr>
                <w:rFonts w:cs="Arial"/>
              </w:rPr>
              <w:t>of</w:t>
            </w:r>
            <w:r>
              <w:rPr>
                <w:rFonts w:cs="Arial"/>
              </w:rPr>
              <w:t xml:space="preserve"> </w:t>
            </w:r>
            <w:r w:rsidRPr="00064CA8">
              <w:rPr>
                <w:rFonts w:cs="Arial"/>
              </w:rPr>
              <w:t>health</w:t>
            </w:r>
            <w:r>
              <w:rPr>
                <w:rFonts w:cs="Arial"/>
              </w:rPr>
              <w:t xml:space="preserve"> </w:t>
            </w:r>
            <w:r w:rsidRPr="00064CA8">
              <w:rPr>
                <w:rFonts w:cs="Arial"/>
              </w:rPr>
              <w:t>service</w:t>
            </w:r>
            <w:r>
              <w:rPr>
                <w:rFonts w:cs="Arial"/>
              </w:rPr>
              <w:t xml:space="preserve"> </w:t>
            </w:r>
            <w:r w:rsidRPr="00064CA8">
              <w:rPr>
                <w:rFonts w:cs="Arial"/>
              </w:rPr>
              <w:t>use</w:t>
            </w:r>
            <w:r>
              <w:rPr>
                <w:rFonts w:cs="Arial"/>
              </w:rPr>
              <w:t xml:space="preserve"> </w:t>
            </w:r>
            <w:r w:rsidRPr="00064CA8">
              <w:rPr>
                <w:rFonts w:cs="Arial"/>
              </w:rPr>
              <w:t>(Wang</w:t>
            </w:r>
            <w:r>
              <w:rPr>
                <w:rFonts w:cs="Arial"/>
              </w:rPr>
              <w:t xml:space="preserve"> </w:t>
            </w:r>
            <w:r w:rsidRPr="00064CA8">
              <w:rPr>
                <w:rFonts w:cs="Arial"/>
              </w:rPr>
              <w:t>et</w:t>
            </w:r>
            <w:r>
              <w:rPr>
                <w:rFonts w:cs="Arial"/>
              </w:rPr>
              <w:t xml:space="preserve"> </w:t>
            </w:r>
            <w:r w:rsidRPr="00064CA8">
              <w:rPr>
                <w:rFonts w:cs="Arial"/>
              </w:rPr>
              <w:t>al.,</w:t>
            </w:r>
            <w:r>
              <w:rPr>
                <w:rFonts w:cs="Arial"/>
              </w:rPr>
              <w:t xml:space="preserve"> </w:t>
            </w:r>
            <w:r w:rsidRPr="00064CA8">
              <w:rPr>
                <w:rFonts w:cs="Arial"/>
              </w:rPr>
              <w:t>2005).</w:t>
            </w:r>
          </w:p>
          <w:p w14:paraId="60C70196" w14:textId="77777777" w:rsidR="000C547E" w:rsidRPr="008C5585" w:rsidRDefault="000C547E" w:rsidP="00991EDB">
            <w:pPr>
              <w:spacing w:before="180"/>
              <w:rPr>
                <w:rFonts w:cs="Arial"/>
                <w:szCs w:val="20"/>
              </w:rPr>
            </w:pPr>
            <w:r w:rsidRPr="00064CA8">
              <w:rPr>
                <w:rFonts w:cs="Arial"/>
                <w:szCs w:val="20"/>
              </w:rPr>
              <w:t>Numerous</w:t>
            </w:r>
            <w:r>
              <w:rPr>
                <w:rFonts w:cs="Arial"/>
                <w:szCs w:val="20"/>
              </w:rPr>
              <w:t xml:space="preserve"> </w:t>
            </w:r>
            <w:r w:rsidRPr="00064CA8">
              <w:rPr>
                <w:rFonts w:cs="Arial"/>
                <w:szCs w:val="20"/>
              </w:rPr>
              <w:t>studies</w:t>
            </w:r>
            <w:r>
              <w:rPr>
                <w:rFonts w:cs="Arial"/>
                <w:szCs w:val="20"/>
              </w:rPr>
              <w:t xml:space="preserve"> </w:t>
            </w:r>
            <w:r w:rsidRPr="00064CA8">
              <w:rPr>
                <w:rFonts w:cs="Arial"/>
                <w:szCs w:val="20"/>
              </w:rPr>
              <w:t>have</w:t>
            </w:r>
            <w:r>
              <w:rPr>
                <w:rFonts w:cs="Arial"/>
                <w:szCs w:val="20"/>
              </w:rPr>
              <w:t xml:space="preserve"> </w:t>
            </w:r>
            <w:r w:rsidRPr="00064CA8">
              <w:rPr>
                <w:rFonts w:cs="Arial"/>
                <w:szCs w:val="20"/>
              </w:rPr>
              <w:t>demonstrated</w:t>
            </w:r>
            <w:r>
              <w:rPr>
                <w:rFonts w:cs="Arial"/>
                <w:szCs w:val="20"/>
              </w:rPr>
              <w:t xml:space="preserve"> </w:t>
            </w:r>
            <w:r w:rsidRPr="00064CA8">
              <w:rPr>
                <w:rFonts w:cs="Arial"/>
                <w:szCs w:val="20"/>
              </w:rPr>
              <w:t>the</w:t>
            </w:r>
            <w:r>
              <w:rPr>
                <w:rFonts w:cs="Arial"/>
                <w:szCs w:val="20"/>
              </w:rPr>
              <w:t xml:space="preserve"> </w:t>
            </w:r>
            <w:r w:rsidRPr="00064CA8">
              <w:rPr>
                <w:rFonts w:cs="Arial"/>
                <w:szCs w:val="20"/>
              </w:rPr>
              <w:t>effectiveness</w:t>
            </w:r>
            <w:r>
              <w:rPr>
                <w:rFonts w:cs="Arial"/>
                <w:szCs w:val="20"/>
              </w:rPr>
              <w:t xml:space="preserve"> </w:t>
            </w:r>
            <w:r w:rsidRPr="00064CA8">
              <w:rPr>
                <w:rFonts w:cs="Arial"/>
                <w:szCs w:val="20"/>
              </w:rPr>
              <w:t>of</w:t>
            </w:r>
            <w:r>
              <w:rPr>
                <w:rFonts w:cs="Arial"/>
                <w:szCs w:val="20"/>
              </w:rPr>
              <w:t xml:space="preserve"> </w:t>
            </w:r>
            <w:r w:rsidRPr="00064CA8">
              <w:rPr>
                <w:rFonts w:cs="Arial"/>
                <w:szCs w:val="20"/>
              </w:rPr>
              <w:t>screening</w:t>
            </w:r>
            <w:r>
              <w:rPr>
                <w:rFonts w:cs="Arial"/>
                <w:szCs w:val="20"/>
              </w:rPr>
              <w:t xml:space="preserve"> </w:t>
            </w:r>
            <w:r w:rsidRPr="00064CA8">
              <w:rPr>
                <w:rFonts w:cs="Arial"/>
                <w:szCs w:val="20"/>
              </w:rPr>
              <w:t>and</w:t>
            </w:r>
            <w:r>
              <w:rPr>
                <w:rFonts w:cs="Arial"/>
                <w:szCs w:val="20"/>
              </w:rPr>
              <w:t xml:space="preserve"> </w:t>
            </w:r>
            <w:r w:rsidRPr="00064CA8">
              <w:rPr>
                <w:rFonts w:cs="Arial"/>
                <w:szCs w:val="20"/>
              </w:rPr>
              <w:t>treatment</w:t>
            </w:r>
            <w:r>
              <w:rPr>
                <w:rFonts w:cs="Arial"/>
                <w:szCs w:val="20"/>
              </w:rPr>
              <w:t xml:space="preserve"> </w:t>
            </w:r>
            <w:r w:rsidRPr="00064CA8">
              <w:rPr>
                <w:rFonts w:cs="Arial"/>
                <w:szCs w:val="20"/>
              </w:rPr>
              <w:t>for</w:t>
            </w:r>
            <w:r>
              <w:rPr>
                <w:rFonts w:cs="Arial"/>
                <w:szCs w:val="20"/>
              </w:rPr>
              <w:t xml:space="preserve"> </w:t>
            </w:r>
            <w:r w:rsidRPr="00064CA8">
              <w:rPr>
                <w:rFonts w:cs="Arial"/>
                <w:szCs w:val="20"/>
              </w:rPr>
              <w:t>depression.</w:t>
            </w:r>
            <w:r>
              <w:rPr>
                <w:rFonts w:cs="Arial"/>
                <w:szCs w:val="20"/>
              </w:rPr>
              <w:t xml:space="preserve"> </w:t>
            </w:r>
            <w:r w:rsidRPr="00064CA8">
              <w:rPr>
                <w:rFonts w:cs="Arial"/>
                <w:szCs w:val="20"/>
              </w:rPr>
              <w:t>Recent</w:t>
            </w:r>
            <w:r>
              <w:rPr>
                <w:rFonts w:cs="Arial"/>
                <w:szCs w:val="20"/>
              </w:rPr>
              <w:t xml:space="preserve"> </w:t>
            </w:r>
            <w:r w:rsidRPr="00064CA8">
              <w:rPr>
                <w:rFonts w:cs="Arial"/>
                <w:szCs w:val="20"/>
              </w:rPr>
              <w:t>literature</w:t>
            </w:r>
            <w:r>
              <w:rPr>
                <w:rFonts w:cs="Arial"/>
                <w:szCs w:val="20"/>
              </w:rPr>
              <w:t xml:space="preserve"> </w:t>
            </w:r>
            <w:r w:rsidRPr="00064CA8">
              <w:rPr>
                <w:rFonts w:cs="Arial"/>
                <w:szCs w:val="20"/>
              </w:rPr>
              <w:t>has</w:t>
            </w:r>
            <w:r>
              <w:rPr>
                <w:rFonts w:cs="Arial"/>
                <w:szCs w:val="20"/>
              </w:rPr>
              <w:t xml:space="preserve"> </w:t>
            </w:r>
            <w:r w:rsidRPr="00064CA8">
              <w:rPr>
                <w:rFonts w:cs="Arial"/>
                <w:szCs w:val="20"/>
              </w:rPr>
              <w:t>focused</w:t>
            </w:r>
            <w:r>
              <w:rPr>
                <w:rFonts w:cs="Arial"/>
                <w:szCs w:val="20"/>
              </w:rPr>
              <w:t xml:space="preserve"> </w:t>
            </w:r>
            <w:r w:rsidRPr="00064CA8">
              <w:rPr>
                <w:rFonts w:cs="Arial"/>
                <w:szCs w:val="20"/>
              </w:rPr>
              <w:t>on</w:t>
            </w:r>
            <w:r>
              <w:rPr>
                <w:rFonts w:cs="Arial"/>
                <w:szCs w:val="20"/>
              </w:rPr>
              <w:t xml:space="preserve"> </w:t>
            </w:r>
            <w:r w:rsidRPr="00064CA8">
              <w:rPr>
                <w:rFonts w:cs="Arial"/>
                <w:szCs w:val="20"/>
              </w:rPr>
              <w:t>the</w:t>
            </w:r>
            <w:r>
              <w:rPr>
                <w:rFonts w:cs="Arial"/>
                <w:szCs w:val="20"/>
              </w:rPr>
              <w:t xml:space="preserve"> </w:t>
            </w:r>
            <w:r w:rsidRPr="00064CA8">
              <w:rPr>
                <w:rFonts w:cs="Arial"/>
                <w:szCs w:val="20"/>
              </w:rPr>
              <w:t>care</w:t>
            </w:r>
            <w:r>
              <w:rPr>
                <w:rFonts w:cs="Arial"/>
                <w:szCs w:val="20"/>
              </w:rPr>
              <w:t xml:space="preserve"> </w:t>
            </w:r>
            <w:r w:rsidRPr="00064CA8">
              <w:rPr>
                <w:rFonts w:cs="Arial"/>
                <w:szCs w:val="20"/>
              </w:rPr>
              <w:t>processes</w:t>
            </w:r>
            <w:r>
              <w:rPr>
                <w:rFonts w:cs="Arial"/>
                <w:szCs w:val="20"/>
              </w:rPr>
              <w:t xml:space="preserve"> </w:t>
            </w:r>
            <w:r w:rsidRPr="00064CA8">
              <w:rPr>
                <w:rFonts w:cs="Arial"/>
                <w:szCs w:val="20"/>
              </w:rPr>
              <w:t>needed</w:t>
            </w:r>
            <w:r>
              <w:rPr>
                <w:rFonts w:cs="Arial"/>
                <w:szCs w:val="20"/>
              </w:rPr>
              <w:t xml:space="preserve"> </w:t>
            </w:r>
            <w:r w:rsidRPr="00064CA8">
              <w:rPr>
                <w:rFonts w:cs="Arial"/>
                <w:szCs w:val="20"/>
              </w:rPr>
              <w:t>to</w:t>
            </w:r>
            <w:r>
              <w:rPr>
                <w:rFonts w:cs="Arial"/>
                <w:szCs w:val="20"/>
              </w:rPr>
              <w:t xml:space="preserve"> </w:t>
            </w:r>
            <w:r w:rsidRPr="00064CA8">
              <w:rPr>
                <w:rFonts w:cs="Arial"/>
                <w:szCs w:val="20"/>
              </w:rPr>
              <w:t>treat</w:t>
            </w:r>
            <w:r>
              <w:rPr>
                <w:rFonts w:cs="Arial"/>
                <w:szCs w:val="20"/>
              </w:rPr>
              <w:t xml:space="preserve"> </w:t>
            </w:r>
            <w:r w:rsidRPr="00064CA8">
              <w:rPr>
                <w:rFonts w:cs="Arial"/>
                <w:szCs w:val="20"/>
              </w:rPr>
              <w:t>and</w:t>
            </w:r>
            <w:r>
              <w:rPr>
                <w:rFonts w:cs="Arial"/>
                <w:szCs w:val="20"/>
              </w:rPr>
              <w:t xml:space="preserve"> </w:t>
            </w:r>
            <w:r w:rsidRPr="00064CA8">
              <w:rPr>
                <w:rFonts w:cs="Arial"/>
                <w:szCs w:val="20"/>
              </w:rPr>
              <w:t>manage</w:t>
            </w:r>
            <w:r>
              <w:rPr>
                <w:rFonts w:cs="Arial"/>
                <w:szCs w:val="20"/>
              </w:rPr>
              <w:t xml:space="preserve"> </w:t>
            </w:r>
            <w:r w:rsidRPr="00064CA8">
              <w:rPr>
                <w:rFonts w:cs="Arial"/>
                <w:szCs w:val="20"/>
              </w:rPr>
              <w:t>depression</w:t>
            </w:r>
            <w:r>
              <w:rPr>
                <w:rFonts w:cs="Arial"/>
                <w:szCs w:val="20"/>
              </w:rPr>
              <w:t xml:space="preserve"> </w:t>
            </w:r>
            <w:r w:rsidRPr="00064CA8">
              <w:rPr>
                <w:rFonts w:cs="Arial"/>
                <w:szCs w:val="20"/>
              </w:rPr>
              <w:t>in</w:t>
            </w:r>
            <w:r>
              <w:rPr>
                <w:rFonts w:cs="Arial"/>
                <w:szCs w:val="20"/>
              </w:rPr>
              <w:t xml:space="preserve"> </w:t>
            </w:r>
            <w:r w:rsidRPr="00064CA8">
              <w:rPr>
                <w:rFonts w:cs="Arial"/>
                <w:szCs w:val="20"/>
              </w:rPr>
              <w:t>primary</w:t>
            </w:r>
            <w:r>
              <w:rPr>
                <w:rFonts w:cs="Arial"/>
                <w:szCs w:val="20"/>
              </w:rPr>
              <w:t xml:space="preserve"> </w:t>
            </w:r>
            <w:r w:rsidRPr="00064CA8">
              <w:rPr>
                <w:rFonts w:cs="Arial"/>
                <w:szCs w:val="20"/>
              </w:rPr>
              <w:t>care</w:t>
            </w:r>
            <w:r>
              <w:rPr>
                <w:rFonts w:cs="Arial"/>
                <w:szCs w:val="20"/>
              </w:rPr>
              <w:t xml:space="preserve"> </w:t>
            </w:r>
            <w:r w:rsidRPr="00064CA8">
              <w:rPr>
                <w:rFonts w:cs="Arial"/>
                <w:szCs w:val="20"/>
              </w:rPr>
              <w:t>settings,</w:t>
            </w:r>
            <w:r>
              <w:rPr>
                <w:rFonts w:cs="Arial"/>
                <w:szCs w:val="20"/>
              </w:rPr>
              <w:t xml:space="preserve"> </w:t>
            </w:r>
            <w:r w:rsidRPr="00064CA8">
              <w:rPr>
                <w:rFonts w:cs="Arial"/>
                <w:szCs w:val="20"/>
              </w:rPr>
              <w:t>where</w:t>
            </w:r>
            <w:r>
              <w:rPr>
                <w:rFonts w:cs="Arial"/>
                <w:szCs w:val="20"/>
              </w:rPr>
              <w:t xml:space="preserve"> </w:t>
            </w:r>
            <w:r w:rsidRPr="00064CA8">
              <w:rPr>
                <w:rFonts w:cs="Arial"/>
                <w:szCs w:val="20"/>
              </w:rPr>
              <w:t>the</w:t>
            </w:r>
            <w:r>
              <w:rPr>
                <w:rFonts w:cs="Arial"/>
                <w:szCs w:val="20"/>
              </w:rPr>
              <w:t xml:space="preserve"> </w:t>
            </w:r>
            <w:r w:rsidRPr="00064CA8">
              <w:rPr>
                <w:rFonts w:cs="Arial"/>
                <w:szCs w:val="20"/>
              </w:rPr>
              <w:t>majority</w:t>
            </w:r>
            <w:r>
              <w:rPr>
                <w:rFonts w:cs="Arial"/>
                <w:szCs w:val="20"/>
              </w:rPr>
              <w:t xml:space="preserve"> </w:t>
            </w:r>
            <w:r w:rsidRPr="00064CA8">
              <w:rPr>
                <w:rFonts w:cs="Arial"/>
                <w:szCs w:val="20"/>
              </w:rPr>
              <w:t>of</w:t>
            </w:r>
            <w:r>
              <w:rPr>
                <w:rFonts w:cs="Arial"/>
                <w:szCs w:val="20"/>
              </w:rPr>
              <w:t xml:space="preserve"> </w:t>
            </w:r>
            <w:r w:rsidRPr="00064CA8">
              <w:rPr>
                <w:rFonts w:cs="Arial"/>
                <w:szCs w:val="20"/>
              </w:rPr>
              <w:t>depression</w:t>
            </w:r>
            <w:r>
              <w:rPr>
                <w:rFonts w:cs="Arial"/>
                <w:szCs w:val="20"/>
              </w:rPr>
              <w:t xml:space="preserve"> </w:t>
            </w:r>
            <w:r w:rsidRPr="00064CA8">
              <w:rPr>
                <w:rFonts w:cs="Arial"/>
                <w:szCs w:val="20"/>
              </w:rPr>
              <w:t>cases</w:t>
            </w:r>
            <w:r>
              <w:rPr>
                <w:rFonts w:cs="Arial"/>
                <w:szCs w:val="20"/>
              </w:rPr>
              <w:t xml:space="preserve"> </w:t>
            </w:r>
            <w:r w:rsidRPr="00064CA8">
              <w:rPr>
                <w:rFonts w:cs="Arial"/>
                <w:szCs w:val="20"/>
              </w:rPr>
              <w:t>first</w:t>
            </w:r>
            <w:r>
              <w:rPr>
                <w:rFonts w:cs="Arial"/>
                <w:szCs w:val="20"/>
              </w:rPr>
              <w:t xml:space="preserve"> </w:t>
            </w:r>
            <w:r w:rsidRPr="00064CA8">
              <w:rPr>
                <w:rFonts w:cs="Arial"/>
                <w:szCs w:val="20"/>
              </w:rPr>
              <w:t>present.</w:t>
            </w:r>
            <w:r>
              <w:rPr>
                <w:rFonts w:cs="Arial"/>
                <w:szCs w:val="20"/>
              </w:rPr>
              <w:t xml:space="preserve"> </w:t>
            </w:r>
            <w:r w:rsidRPr="00064CA8">
              <w:rPr>
                <w:rFonts w:cs="Arial"/>
                <w:szCs w:val="20"/>
              </w:rPr>
              <w:t>Studies</w:t>
            </w:r>
            <w:r>
              <w:rPr>
                <w:rFonts w:cs="Arial"/>
                <w:szCs w:val="20"/>
              </w:rPr>
              <w:t xml:space="preserve"> </w:t>
            </w:r>
            <w:r w:rsidRPr="00064CA8">
              <w:rPr>
                <w:rFonts w:cs="Arial"/>
                <w:szCs w:val="20"/>
              </w:rPr>
              <w:t>have</w:t>
            </w:r>
            <w:r>
              <w:rPr>
                <w:rFonts w:cs="Arial"/>
                <w:szCs w:val="20"/>
              </w:rPr>
              <w:t xml:space="preserve"> </w:t>
            </w:r>
            <w:r w:rsidRPr="00064CA8">
              <w:rPr>
                <w:rFonts w:cs="Arial"/>
                <w:szCs w:val="20"/>
              </w:rPr>
              <w:t>found</w:t>
            </w:r>
            <w:r>
              <w:rPr>
                <w:rFonts w:cs="Arial"/>
                <w:szCs w:val="20"/>
              </w:rPr>
              <w:t xml:space="preserve"> </w:t>
            </w:r>
            <w:r w:rsidRPr="00064CA8">
              <w:rPr>
                <w:rFonts w:cs="Arial"/>
                <w:szCs w:val="20"/>
              </w:rPr>
              <w:t>that</w:t>
            </w:r>
            <w:r>
              <w:rPr>
                <w:rFonts w:cs="Arial"/>
                <w:szCs w:val="20"/>
              </w:rPr>
              <w:t xml:space="preserve"> </w:t>
            </w:r>
            <w:r w:rsidRPr="00064CA8">
              <w:rPr>
                <w:rFonts w:cs="Arial"/>
                <w:szCs w:val="20"/>
              </w:rPr>
              <w:t>patient</w:t>
            </w:r>
            <w:r>
              <w:rPr>
                <w:rFonts w:cs="Arial"/>
                <w:szCs w:val="20"/>
              </w:rPr>
              <w:t xml:space="preserve"> </w:t>
            </w:r>
            <w:r w:rsidRPr="00064CA8">
              <w:rPr>
                <w:rFonts w:cs="Arial"/>
                <w:szCs w:val="20"/>
              </w:rPr>
              <w:t>outcomes</w:t>
            </w:r>
            <w:r>
              <w:rPr>
                <w:rFonts w:cs="Arial"/>
                <w:szCs w:val="20"/>
              </w:rPr>
              <w:t xml:space="preserve"> </w:t>
            </w:r>
            <w:r w:rsidRPr="00064CA8">
              <w:rPr>
                <w:rFonts w:cs="Arial"/>
                <w:szCs w:val="20"/>
              </w:rPr>
              <w:t>improve</w:t>
            </w:r>
            <w:r>
              <w:rPr>
                <w:rFonts w:cs="Arial"/>
                <w:szCs w:val="20"/>
              </w:rPr>
              <w:t xml:space="preserve"> </w:t>
            </w:r>
            <w:r w:rsidRPr="00064CA8">
              <w:rPr>
                <w:rFonts w:cs="Arial"/>
                <w:szCs w:val="20"/>
              </w:rPr>
              <w:t>when</w:t>
            </w:r>
            <w:r>
              <w:rPr>
                <w:rFonts w:cs="Arial"/>
                <w:szCs w:val="20"/>
              </w:rPr>
              <w:t xml:space="preserve"> there is </w:t>
            </w:r>
            <w:r w:rsidRPr="00064CA8">
              <w:rPr>
                <w:rFonts w:cs="Arial"/>
                <w:szCs w:val="20"/>
              </w:rPr>
              <w:t>collaboration</w:t>
            </w:r>
            <w:r>
              <w:rPr>
                <w:rFonts w:cs="Arial"/>
                <w:szCs w:val="20"/>
              </w:rPr>
              <w:t xml:space="preserve"> </w:t>
            </w:r>
            <w:r w:rsidRPr="00064CA8">
              <w:rPr>
                <w:rFonts w:cs="Arial"/>
                <w:szCs w:val="20"/>
              </w:rPr>
              <w:t>between</w:t>
            </w:r>
            <w:r>
              <w:rPr>
                <w:rFonts w:cs="Arial"/>
                <w:szCs w:val="20"/>
              </w:rPr>
              <w:t xml:space="preserve"> </w:t>
            </w:r>
            <w:r w:rsidRPr="00064CA8">
              <w:rPr>
                <w:rFonts w:cs="Arial"/>
                <w:szCs w:val="20"/>
              </w:rPr>
              <w:t>a</w:t>
            </w:r>
            <w:r>
              <w:rPr>
                <w:rFonts w:cs="Arial"/>
                <w:szCs w:val="20"/>
              </w:rPr>
              <w:t xml:space="preserve"> </w:t>
            </w:r>
            <w:r w:rsidRPr="00064CA8">
              <w:rPr>
                <w:rFonts w:cs="Arial"/>
                <w:szCs w:val="20"/>
              </w:rPr>
              <w:t>primary</w:t>
            </w:r>
            <w:r>
              <w:rPr>
                <w:rFonts w:cs="Arial"/>
                <w:szCs w:val="20"/>
              </w:rPr>
              <w:t xml:space="preserve"> </w:t>
            </w:r>
            <w:r w:rsidRPr="00064CA8">
              <w:rPr>
                <w:rFonts w:cs="Arial"/>
                <w:szCs w:val="20"/>
              </w:rPr>
              <w:t>care</w:t>
            </w:r>
            <w:r>
              <w:rPr>
                <w:rFonts w:cs="Arial"/>
                <w:szCs w:val="20"/>
              </w:rPr>
              <w:t xml:space="preserve"> </w:t>
            </w:r>
            <w:r w:rsidRPr="00064CA8">
              <w:rPr>
                <w:rFonts w:cs="Arial"/>
                <w:szCs w:val="20"/>
              </w:rPr>
              <w:t>doctor,</w:t>
            </w:r>
            <w:r>
              <w:rPr>
                <w:rFonts w:cs="Arial"/>
                <w:szCs w:val="20"/>
              </w:rPr>
              <w:t xml:space="preserve"> </w:t>
            </w:r>
            <w:r w:rsidRPr="00064CA8">
              <w:rPr>
                <w:rFonts w:cs="Arial"/>
                <w:szCs w:val="20"/>
              </w:rPr>
              <w:t>case</w:t>
            </w:r>
            <w:r>
              <w:rPr>
                <w:rFonts w:cs="Arial"/>
                <w:szCs w:val="20"/>
              </w:rPr>
              <w:t xml:space="preserve"> </w:t>
            </w:r>
            <w:r w:rsidRPr="00064CA8">
              <w:rPr>
                <w:rFonts w:cs="Arial"/>
                <w:szCs w:val="20"/>
              </w:rPr>
              <w:t>manager</w:t>
            </w:r>
            <w:r>
              <w:rPr>
                <w:rFonts w:cs="Arial"/>
                <w:szCs w:val="20"/>
              </w:rPr>
              <w:t xml:space="preserve"> </w:t>
            </w:r>
            <w:r w:rsidRPr="00064CA8">
              <w:rPr>
                <w:rFonts w:cs="Arial"/>
                <w:szCs w:val="20"/>
              </w:rPr>
              <w:t>and</w:t>
            </w:r>
            <w:r>
              <w:rPr>
                <w:rFonts w:cs="Arial"/>
                <w:szCs w:val="20"/>
              </w:rPr>
              <w:t xml:space="preserve"> </w:t>
            </w:r>
            <w:r w:rsidRPr="00064CA8">
              <w:rPr>
                <w:rFonts w:cs="Arial"/>
                <w:szCs w:val="20"/>
              </w:rPr>
              <w:t>a</w:t>
            </w:r>
            <w:r>
              <w:rPr>
                <w:rFonts w:cs="Arial"/>
                <w:szCs w:val="20"/>
              </w:rPr>
              <w:t xml:space="preserve"> </w:t>
            </w:r>
            <w:r w:rsidRPr="00064CA8">
              <w:rPr>
                <w:rFonts w:cs="Arial"/>
                <w:szCs w:val="20"/>
              </w:rPr>
              <w:t>mental</w:t>
            </w:r>
            <w:r>
              <w:rPr>
                <w:rFonts w:cs="Arial"/>
                <w:szCs w:val="20"/>
              </w:rPr>
              <w:t xml:space="preserve"> </w:t>
            </w:r>
            <w:r w:rsidRPr="00064CA8">
              <w:rPr>
                <w:rFonts w:cs="Arial"/>
                <w:szCs w:val="20"/>
              </w:rPr>
              <w:t>health</w:t>
            </w:r>
            <w:r>
              <w:rPr>
                <w:rFonts w:cs="Arial"/>
                <w:szCs w:val="20"/>
              </w:rPr>
              <w:t xml:space="preserve"> </w:t>
            </w:r>
            <w:r w:rsidRPr="00064CA8">
              <w:rPr>
                <w:rFonts w:cs="Arial"/>
                <w:szCs w:val="20"/>
              </w:rPr>
              <w:t>specialist</w:t>
            </w:r>
            <w:r>
              <w:rPr>
                <w:rFonts w:cs="Arial"/>
                <w:szCs w:val="20"/>
              </w:rPr>
              <w:t xml:space="preserve"> </w:t>
            </w:r>
            <w:r w:rsidRPr="00064CA8">
              <w:rPr>
                <w:rFonts w:cs="Arial"/>
                <w:szCs w:val="20"/>
              </w:rPr>
              <w:t>to</w:t>
            </w:r>
            <w:r>
              <w:rPr>
                <w:rFonts w:cs="Arial"/>
                <w:szCs w:val="20"/>
              </w:rPr>
              <w:t xml:space="preserve"> </w:t>
            </w:r>
            <w:r w:rsidRPr="00064CA8">
              <w:rPr>
                <w:rFonts w:cs="Arial"/>
                <w:szCs w:val="20"/>
              </w:rPr>
              <w:t>screen</w:t>
            </w:r>
            <w:r>
              <w:rPr>
                <w:rFonts w:cs="Arial"/>
                <w:szCs w:val="20"/>
              </w:rPr>
              <w:t xml:space="preserve"> </w:t>
            </w:r>
            <w:r w:rsidRPr="00064CA8">
              <w:rPr>
                <w:rFonts w:cs="Arial"/>
                <w:szCs w:val="20"/>
              </w:rPr>
              <w:t>for</w:t>
            </w:r>
            <w:r>
              <w:rPr>
                <w:rFonts w:cs="Arial"/>
                <w:szCs w:val="20"/>
              </w:rPr>
              <w:t xml:space="preserve"> </w:t>
            </w:r>
            <w:r w:rsidRPr="00064CA8">
              <w:rPr>
                <w:rFonts w:cs="Arial"/>
                <w:szCs w:val="20"/>
              </w:rPr>
              <w:t>depression,</w:t>
            </w:r>
            <w:r>
              <w:rPr>
                <w:rFonts w:cs="Arial"/>
                <w:szCs w:val="20"/>
              </w:rPr>
              <w:t xml:space="preserve"> </w:t>
            </w:r>
            <w:r w:rsidRPr="00064CA8">
              <w:rPr>
                <w:rFonts w:cs="Arial"/>
                <w:szCs w:val="20"/>
              </w:rPr>
              <w:t>monitor</w:t>
            </w:r>
            <w:r>
              <w:rPr>
                <w:rFonts w:cs="Arial"/>
                <w:szCs w:val="20"/>
              </w:rPr>
              <w:t xml:space="preserve"> </w:t>
            </w:r>
            <w:r w:rsidRPr="00064CA8">
              <w:rPr>
                <w:rFonts w:cs="Arial"/>
                <w:szCs w:val="20"/>
              </w:rPr>
              <w:t>symptoms,</w:t>
            </w:r>
            <w:r>
              <w:rPr>
                <w:rFonts w:cs="Arial"/>
                <w:szCs w:val="20"/>
              </w:rPr>
              <w:t xml:space="preserve"> </w:t>
            </w:r>
            <w:r w:rsidRPr="00064CA8">
              <w:rPr>
                <w:rFonts w:cs="Arial"/>
                <w:szCs w:val="20"/>
              </w:rPr>
              <w:t>provide</w:t>
            </w:r>
            <w:r>
              <w:rPr>
                <w:rFonts w:cs="Arial"/>
                <w:szCs w:val="20"/>
              </w:rPr>
              <w:t xml:space="preserve"> </w:t>
            </w:r>
            <w:r w:rsidRPr="00064CA8">
              <w:rPr>
                <w:rFonts w:cs="Arial"/>
                <w:szCs w:val="20"/>
              </w:rPr>
              <w:t>treatment</w:t>
            </w:r>
            <w:r>
              <w:rPr>
                <w:rFonts w:cs="Arial"/>
                <w:szCs w:val="20"/>
              </w:rPr>
              <w:t xml:space="preserve"> </w:t>
            </w:r>
            <w:r w:rsidRPr="00064CA8">
              <w:rPr>
                <w:rFonts w:cs="Arial"/>
                <w:szCs w:val="20"/>
              </w:rPr>
              <w:t>and</w:t>
            </w:r>
            <w:r>
              <w:rPr>
                <w:rFonts w:cs="Arial"/>
                <w:szCs w:val="20"/>
              </w:rPr>
              <w:t xml:space="preserve"> </w:t>
            </w:r>
            <w:r w:rsidRPr="00064CA8">
              <w:rPr>
                <w:rFonts w:cs="Arial"/>
                <w:szCs w:val="20"/>
              </w:rPr>
              <w:t>refer</w:t>
            </w:r>
            <w:r>
              <w:rPr>
                <w:rFonts w:cs="Arial"/>
                <w:szCs w:val="20"/>
              </w:rPr>
              <w:t xml:space="preserve"> </w:t>
            </w:r>
            <w:r w:rsidRPr="00064CA8">
              <w:rPr>
                <w:rFonts w:cs="Arial"/>
                <w:szCs w:val="20"/>
              </w:rPr>
              <w:t>to</w:t>
            </w:r>
            <w:r>
              <w:rPr>
                <w:rFonts w:cs="Arial"/>
                <w:szCs w:val="20"/>
              </w:rPr>
              <w:t xml:space="preserve"> </w:t>
            </w:r>
            <w:r w:rsidRPr="00064CA8">
              <w:rPr>
                <w:rFonts w:cs="Arial"/>
                <w:szCs w:val="20"/>
              </w:rPr>
              <w:t>specialty</w:t>
            </w:r>
            <w:r>
              <w:rPr>
                <w:rFonts w:cs="Arial"/>
                <w:szCs w:val="20"/>
              </w:rPr>
              <w:t xml:space="preserve"> </w:t>
            </w:r>
            <w:r w:rsidRPr="00064CA8">
              <w:rPr>
                <w:rFonts w:cs="Arial"/>
                <w:szCs w:val="20"/>
              </w:rPr>
              <w:t>care</w:t>
            </w:r>
            <w:r>
              <w:rPr>
                <w:rFonts w:cs="Arial"/>
                <w:szCs w:val="20"/>
              </w:rPr>
              <w:t xml:space="preserve"> </w:t>
            </w:r>
            <w:r w:rsidRPr="00064CA8">
              <w:rPr>
                <w:rFonts w:cs="Arial"/>
                <w:szCs w:val="20"/>
              </w:rPr>
              <w:t>as</w:t>
            </w:r>
            <w:r>
              <w:rPr>
                <w:rFonts w:cs="Arial"/>
                <w:szCs w:val="20"/>
              </w:rPr>
              <w:t xml:space="preserve"> </w:t>
            </w:r>
            <w:r w:rsidRPr="00064CA8">
              <w:rPr>
                <w:rFonts w:cs="Arial"/>
                <w:szCs w:val="20"/>
              </w:rPr>
              <w:t>needed</w:t>
            </w:r>
            <w:r>
              <w:rPr>
                <w:rFonts w:cs="Arial"/>
                <w:szCs w:val="20"/>
              </w:rPr>
              <w:t xml:space="preserve"> </w:t>
            </w:r>
            <w:r w:rsidRPr="00064CA8">
              <w:rPr>
                <w:rFonts w:cs="Arial"/>
                <w:szCs w:val="20"/>
              </w:rPr>
              <w:t>(Von</w:t>
            </w:r>
            <w:r>
              <w:rPr>
                <w:rFonts w:cs="Arial"/>
                <w:szCs w:val="20"/>
              </w:rPr>
              <w:t xml:space="preserve"> </w:t>
            </w:r>
            <w:r w:rsidRPr="00064CA8">
              <w:rPr>
                <w:rFonts w:cs="Arial"/>
                <w:szCs w:val="20"/>
              </w:rPr>
              <w:t>Korff</w:t>
            </w:r>
            <w:r>
              <w:rPr>
                <w:rFonts w:cs="Arial"/>
                <w:szCs w:val="20"/>
              </w:rPr>
              <w:t xml:space="preserve"> </w:t>
            </w:r>
            <w:r w:rsidRPr="00064CA8">
              <w:rPr>
                <w:rFonts w:cs="Arial"/>
                <w:szCs w:val="20"/>
              </w:rPr>
              <w:t>and</w:t>
            </w:r>
            <w:r>
              <w:rPr>
                <w:rFonts w:cs="Arial"/>
                <w:szCs w:val="20"/>
              </w:rPr>
              <w:t xml:space="preserve"> </w:t>
            </w:r>
            <w:r w:rsidRPr="00064CA8">
              <w:rPr>
                <w:rFonts w:cs="Arial"/>
                <w:szCs w:val="20"/>
              </w:rPr>
              <w:t>Goldberg,</w:t>
            </w:r>
            <w:r>
              <w:rPr>
                <w:rFonts w:cs="Arial"/>
                <w:szCs w:val="20"/>
              </w:rPr>
              <w:t xml:space="preserve"> </w:t>
            </w:r>
            <w:r w:rsidRPr="00064CA8">
              <w:rPr>
                <w:rFonts w:cs="Arial"/>
                <w:szCs w:val="20"/>
              </w:rPr>
              <w:t>2001;</w:t>
            </w:r>
            <w:r>
              <w:rPr>
                <w:rFonts w:cs="Arial"/>
                <w:szCs w:val="20"/>
              </w:rPr>
              <w:t xml:space="preserve"> </w:t>
            </w:r>
            <w:r w:rsidRPr="00064CA8">
              <w:rPr>
                <w:rFonts w:cs="Arial"/>
                <w:color w:val="000000"/>
                <w:szCs w:val="20"/>
                <w:shd w:val="clear" w:color="auto" w:fill="FFFFFF"/>
              </w:rPr>
              <w:t>Gilbody</w:t>
            </w:r>
            <w:r>
              <w:rPr>
                <w:rFonts w:cs="Arial"/>
                <w:color w:val="000000"/>
                <w:szCs w:val="20"/>
                <w:shd w:val="clear" w:color="auto" w:fill="FFFFFF"/>
              </w:rPr>
              <w:t xml:space="preserve"> </w:t>
            </w:r>
            <w:r w:rsidRPr="00064CA8">
              <w:rPr>
                <w:rFonts w:cs="Arial"/>
                <w:color w:val="000000"/>
                <w:szCs w:val="20"/>
                <w:shd w:val="clear" w:color="auto" w:fill="FFFFFF"/>
              </w:rPr>
              <w:t>et</w:t>
            </w:r>
            <w:r>
              <w:rPr>
                <w:rFonts w:cs="Arial"/>
                <w:color w:val="000000"/>
                <w:szCs w:val="20"/>
                <w:shd w:val="clear" w:color="auto" w:fill="FFFFFF"/>
              </w:rPr>
              <w:t xml:space="preserve"> </w:t>
            </w:r>
            <w:r w:rsidRPr="00064CA8">
              <w:rPr>
                <w:rFonts w:cs="Arial"/>
                <w:color w:val="000000"/>
                <w:szCs w:val="20"/>
                <w:shd w:val="clear" w:color="auto" w:fill="FFFFFF"/>
              </w:rPr>
              <w:t>al.,</w:t>
            </w:r>
            <w:r>
              <w:rPr>
                <w:rFonts w:cs="Arial"/>
                <w:color w:val="000000"/>
                <w:szCs w:val="20"/>
                <w:shd w:val="clear" w:color="auto" w:fill="FFFFFF"/>
              </w:rPr>
              <w:t xml:space="preserve"> </w:t>
            </w:r>
            <w:r w:rsidRPr="00064CA8">
              <w:rPr>
                <w:rFonts w:cs="Arial"/>
                <w:color w:val="000000"/>
                <w:szCs w:val="20"/>
                <w:shd w:val="clear" w:color="auto" w:fill="FFFFFF"/>
              </w:rPr>
              <w:t>2006;</w:t>
            </w:r>
            <w:r>
              <w:rPr>
                <w:rFonts w:cs="Arial"/>
                <w:color w:val="000000"/>
                <w:szCs w:val="20"/>
                <w:shd w:val="clear" w:color="auto" w:fill="FFFFFF"/>
              </w:rPr>
              <w:t xml:space="preserve"> </w:t>
            </w:r>
            <w:r w:rsidRPr="00064CA8">
              <w:rPr>
                <w:rFonts w:cs="Arial"/>
                <w:color w:val="000000"/>
                <w:szCs w:val="20"/>
                <w:shd w:val="clear" w:color="auto" w:fill="FFFFFF"/>
              </w:rPr>
              <w:t>Thota</w:t>
            </w:r>
            <w:r>
              <w:rPr>
                <w:rFonts w:cs="Arial"/>
                <w:color w:val="000000"/>
                <w:szCs w:val="20"/>
                <w:shd w:val="clear" w:color="auto" w:fill="FFFFFF"/>
              </w:rPr>
              <w:t xml:space="preserve"> </w:t>
            </w:r>
            <w:r w:rsidRPr="00064CA8">
              <w:rPr>
                <w:rFonts w:cs="Arial"/>
                <w:color w:val="000000"/>
                <w:szCs w:val="20"/>
                <w:shd w:val="clear" w:color="auto" w:fill="FFFFFF"/>
              </w:rPr>
              <w:t>et</w:t>
            </w:r>
            <w:r>
              <w:rPr>
                <w:rFonts w:cs="Arial"/>
                <w:color w:val="000000"/>
                <w:szCs w:val="20"/>
                <w:shd w:val="clear" w:color="auto" w:fill="FFFFFF"/>
              </w:rPr>
              <w:t xml:space="preserve"> </w:t>
            </w:r>
            <w:r w:rsidRPr="00064CA8">
              <w:rPr>
                <w:rFonts w:cs="Arial"/>
                <w:color w:val="000000"/>
                <w:szCs w:val="20"/>
                <w:shd w:val="clear" w:color="auto" w:fill="FFFFFF"/>
              </w:rPr>
              <w:t>al.,</w:t>
            </w:r>
            <w:r>
              <w:rPr>
                <w:rFonts w:cs="Arial"/>
                <w:color w:val="000000"/>
                <w:szCs w:val="20"/>
                <w:shd w:val="clear" w:color="auto" w:fill="FFFFFF"/>
              </w:rPr>
              <w:t xml:space="preserve"> </w:t>
            </w:r>
            <w:r w:rsidRPr="00064CA8">
              <w:rPr>
                <w:rFonts w:cs="Arial"/>
                <w:color w:val="000000"/>
                <w:szCs w:val="20"/>
                <w:shd w:val="clear" w:color="auto" w:fill="FFFFFF"/>
              </w:rPr>
              <w:t>2012</w:t>
            </w:r>
            <w:r w:rsidRPr="00064CA8">
              <w:rPr>
                <w:rFonts w:cs="Arial"/>
                <w:szCs w:val="20"/>
              </w:rPr>
              <w:t>).</w:t>
            </w:r>
          </w:p>
        </w:tc>
      </w:tr>
    </w:tbl>
    <w:p w14:paraId="6040AF10" w14:textId="77777777" w:rsidR="000C547E" w:rsidRPr="00DF1884" w:rsidRDefault="000C547E" w:rsidP="000C547E">
      <w:pPr>
        <w:pStyle w:val="StdHead"/>
      </w:pPr>
      <w:r w:rsidRPr="00DF1884">
        <w:t>Scientific Soundness</w:t>
      </w:r>
    </w:p>
    <w:tbl>
      <w:tblPr>
        <w:tblW w:w="0" w:type="auto"/>
        <w:tblInd w:w="-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1956"/>
        <w:gridCol w:w="7985"/>
      </w:tblGrid>
      <w:tr w:rsidR="000C547E" w:rsidRPr="00DF1884" w14:paraId="7F53AF06" w14:textId="77777777" w:rsidTr="00991EDB">
        <w:tc>
          <w:tcPr>
            <w:tcW w:w="1956" w:type="dxa"/>
            <w:tcBorders>
              <w:top w:val="nil"/>
              <w:left w:val="nil"/>
              <w:bottom w:val="nil"/>
              <w:right w:val="nil"/>
            </w:tcBorders>
            <w:tcMar>
              <w:left w:w="115" w:type="dxa"/>
              <w:right w:w="115" w:type="dxa"/>
            </w:tcMar>
          </w:tcPr>
          <w:p w14:paraId="2C88D400" w14:textId="77777777" w:rsidR="000C547E" w:rsidRPr="00DF1884" w:rsidRDefault="000C547E" w:rsidP="00991EDB">
            <w:pPr>
              <w:pStyle w:val="MarginSubhead"/>
            </w:pPr>
            <w:r w:rsidRPr="00DF1884">
              <w:t xml:space="preserve">Clinical importance </w:t>
            </w:r>
            <w:r w:rsidRPr="00DF1884">
              <w:br/>
              <w:t>and evidence</w:t>
            </w:r>
          </w:p>
        </w:tc>
        <w:tc>
          <w:tcPr>
            <w:tcW w:w="7985" w:type="dxa"/>
            <w:tcBorders>
              <w:top w:val="nil"/>
              <w:left w:val="nil"/>
              <w:bottom w:val="nil"/>
              <w:right w:val="nil"/>
            </w:tcBorders>
            <w:tcMar>
              <w:left w:w="115" w:type="dxa"/>
              <w:right w:w="115" w:type="dxa"/>
            </w:tcMar>
          </w:tcPr>
          <w:p w14:paraId="1839E004" w14:textId="77777777" w:rsidR="000C547E" w:rsidRPr="00D34DA5" w:rsidRDefault="000C547E" w:rsidP="00991EDB">
            <w:pPr>
              <w:spacing w:before="180"/>
              <w:rPr>
                <w:rFonts w:cs="Arial"/>
                <w:szCs w:val="20"/>
              </w:rPr>
            </w:pPr>
          </w:p>
        </w:tc>
      </w:tr>
      <w:tr w:rsidR="000C547E" w:rsidRPr="00DF1884" w14:paraId="572E727A" w14:textId="77777777" w:rsidTr="00991EDB">
        <w:tc>
          <w:tcPr>
            <w:tcW w:w="1956" w:type="dxa"/>
            <w:tcBorders>
              <w:top w:val="nil"/>
              <w:left w:val="nil"/>
              <w:bottom w:val="nil"/>
              <w:right w:val="nil"/>
            </w:tcBorders>
            <w:tcMar>
              <w:left w:w="115" w:type="dxa"/>
              <w:right w:w="115" w:type="dxa"/>
            </w:tcMar>
          </w:tcPr>
          <w:p w14:paraId="486E7483" w14:textId="77777777" w:rsidR="000C547E" w:rsidRPr="00DF1884" w:rsidRDefault="000C547E" w:rsidP="00991EDB">
            <w:pPr>
              <w:pStyle w:val="MarginSubhead"/>
              <w:spacing w:before="120"/>
              <w:ind w:left="0"/>
              <w:jc w:val="right"/>
              <w:rPr>
                <w:i/>
                <w:highlight w:val="yellow"/>
              </w:rPr>
            </w:pPr>
            <w:r w:rsidRPr="00DF1884">
              <w:rPr>
                <w:i/>
              </w:rPr>
              <w:t>Guideline recommendations</w:t>
            </w:r>
          </w:p>
        </w:tc>
        <w:tc>
          <w:tcPr>
            <w:tcW w:w="7985" w:type="dxa"/>
            <w:tcBorders>
              <w:top w:val="nil"/>
              <w:left w:val="nil"/>
              <w:bottom w:val="nil"/>
              <w:right w:val="nil"/>
            </w:tcBorders>
            <w:tcMar>
              <w:left w:w="115" w:type="dxa"/>
              <w:right w:w="115" w:type="dxa"/>
            </w:tcMar>
          </w:tcPr>
          <w:p w14:paraId="50789ED4" w14:textId="77777777" w:rsidR="000C547E" w:rsidRDefault="000C547E" w:rsidP="00991EDB">
            <w:pPr>
              <w:pStyle w:val="Body"/>
              <w:spacing w:before="120"/>
              <w:rPr>
                <w:rFonts w:cs="Arial"/>
              </w:rPr>
            </w:pPr>
            <w:r w:rsidRPr="00C129D8">
              <w:rPr>
                <w:u w:val="single"/>
              </w:rPr>
              <w:t>Screening and follow-up</w:t>
            </w:r>
            <w:r>
              <w:t>:</w:t>
            </w:r>
            <w:r w:rsidRPr="00D22BC9">
              <w:rPr>
                <w:rFonts w:cs="Arial"/>
              </w:rPr>
              <w:t xml:space="preserve"> Screening</w:t>
            </w:r>
            <w:r>
              <w:rPr>
                <w:rFonts w:cs="Arial"/>
              </w:rPr>
              <w:t xml:space="preserve"> </w:t>
            </w:r>
            <w:r w:rsidRPr="00D22BC9">
              <w:rPr>
                <w:rFonts w:cs="Arial"/>
              </w:rPr>
              <w:t>for</w:t>
            </w:r>
            <w:r>
              <w:rPr>
                <w:rFonts w:cs="Arial"/>
              </w:rPr>
              <w:t xml:space="preserve"> </w:t>
            </w:r>
            <w:r w:rsidRPr="00D22BC9">
              <w:rPr>
                <w:rFonts w:cs="Arial"/>
              </w:rPr>
              <w:t>depression</w:t>
            </w:r>
            <w:r>
              <w:rPr>
                <w:rFonts w:cs="Arial"/>
              </w:rPr>
              <w:t xml:space="preserve"> </w:t>
            </w:r>
            <w:r w:rsidRPr="00D22BC9">
              <w:rPr>
                <w:rFonts w:cs="Arial"/>
              </w:rPr>
              <w:t>in</w:t>
            </w:r>
            <w:r>
              <w:rPr>
                <w:rFonts w:cs="Arial"/>
              </w:rPr>
              <w:t xml:space="preserve"> </w:t>
            </w:r>
            <w:r w:rsidRPr="00D22BC9">
              <w:rPr>
                <w:rFonts w:cs="Arial"/>
              </w:rPr>
              <w:t>adults</w:t>
            </w:r>
            <w:r>
              <w:rPr>
                <w:rFonts w:cs="Arial"/>
              </w:rPr>
              <w:t xml:space="preserve"> </w:t>
            </w:r>
            <w:r w:rsidRPr="00D22BC9">
              <w:rPr>
                <w:rFonts w:cs="Arial"/>
              </w:rPr>
              <w:t>when</w:t>
            </w:r>
            <w:r>
              <w:rPr>
                <w:rFonts w:cs="Arial"/>
              </w:rPr>
              <w:t xml:space="preserve"> </w:t>
            </w:r>
            <w:r w:rsidRPr="00D22BC9">
              <w:rPr>
                <w:rFonts w:cs="Arial"/>
              </w:rPr>
              <w:t>staff-assisted</w:t>
            </w:r>
            <w:r>
              <w:rPr>
                <w:rFonts w:cs="Arial"/>
              </w:rPr>
              <w:t xml:space="preserve"> </w:t>
            </w:r>
            <w:r w:rsidRPr="00D22BC9">
              <w:rPr>
                <w:rFonts w:cs="Arial"/>
              </w:rPr>
              <w:t>depression</w:t>
            </w:r>
            <w:r>
              <w:rPr>
                <w:rFonts w:cs="Arial"/>
              </w:rPr>
              <w:t xml:space="preserve"> </w:t>
            </w:r>
            <w:r w:rsidRPr="00D22BC9">
              <w:rPr>
                <w:rFonts w:cs="Arial"/>
              </w:rPr>
              <w:t>care</w:t>
            </w:r>
            <w:r>
              <w:rPr>
                <w:rFonts w:cs="Arial"/>
              </w:rPr>
              <w:t xml:space="preserve"> </w:t>
            </w:r>
            <w:r w:rsidRPr="00D22BC9">
              <w:rPr>
                <w:rFonts w:cs="Arial"/>
              </w:rPr>
              <w:t>supports</w:t>
            </w:r>
            <w:r>
              <w:rPr>
                <w:rFonts w:cs="Arial"/>
              </w:rPr>
              <w:t xml:space="preserve"> </w:t>
            </w:r>
            <w:r w:rsidRPr="00D22BC9">
              <w:rPr>
                <w:rFonts w:cs="Arial"/>
              </w:rPr>
              <w:t>are</w:t>
            </w:r>
            <w:r>
              <w:rPr>
                <w:rFonts w:cs="Arial"/>
              </w:rPr>
              <w:t xml:space="preserve"> </w:t>
            </w:r>
            <w:r w:rsidRPr="00D22BC9">
              <w:rPr>
                <w:rFonts w:cs="Arial"/>
              </w:rPr>
              <w:t>in</w:t>
            </w:r>
            <w:r>
              <w:rPr>
                <w:rFonts w:cs="Arial"/>
              </w:rPr>
              <w:t xml:space="preserve"> </w:t>
            </w:r>
            <w:r w:rsidRPr="00D22BC9">
              <w:rPr>
                <w:rFonts w:cs="Arial"/>
              </w:rPr>
              <w:t>place</w:t>
            </w:r>
            <w:r>
              <w:rPr>
                <w:rFonts w:cs="Arial"/>
              </w:rPr>
              <w:t xml:space="preserve"> </w:t>
            </w:r>
            <w:r w:rsidRPr="00D22BC9">
              <w:rPr>
                <w:rFonts w:cs="Arial"/>
              </w:rPr>
              <w:t>received</w:t>
            </w:r>
            <w:r>
              <w:rPr>
                <w:rFonts w:cs="Arial"/>
              </w:rPr>
              <w:t xml:space="preserve"> </w:t>
            </w:r>
            <w:r w:rsidRPr="00D22BC9">
              <w:rPr>
                <w:rFonts w:cs="Arial"/>
              </w:rPr>
              <w:t>a</w:t>
            </w:r>
            <w:r>
              <w:rPr>
                <w:rFonts w:cs="Arial"/>
              </w:rPr>
              <w:t xml:space="preserve"> </w:t>
            </w:r>
            <w:r w:rsidRPr="00D22BC9">
              <w:rPr>
                <w:rFonts w:cs="Arial"/>
              </w:rPr>
              <w:t>Grade</w:t>
            </w:r>
            <w:r>
              <w:rPr>
                <w:rFonts w:cs="Arial"/>
              </w:rPr>
              <w:t xml:space="preserve"> </w:t>
            </w:r>
            <w:r w:rsidRPr="00D22BC9">
              <w:rPr>
                <w:rFonts w:cs="Arial"/>
              </w:rPr>
              <w:t>B</w:t>
            </w:r>
            <w:r>
              <w:rPr>
                <w:rFonts w:cs="Arial"/>
              </w:rPr>
              <w:t xml:space="preserve"> </w:t>
            </w:r>
            <w:r w:rsidRPr="00D22BC9">
              <w:rPr>
                <w:rFonts w:cs="Arial"/>
              </w:rPr>
              <w:t>recommendation</w:t>
            </w:r>
            <w:r>
              <w:rPr>
                <w:rFonts w:cs="Arial"/>
              </w:rPr>
              <w:t xml:space="preserve"> </w:t>
            </w:r>
            <w:r w:rsidRPr="00D22BC9">
              <w:rPr>
                <w:rFonts w:cs="Arial"/>
              </w:rPr>
              <w:t>from</w:t>
            </w:r>
            <w:r>
              <w:rPr>
                <w:rFonts w:cs="Arial"/>
              </w:rPr>
              <w:t xml:space="preserve"> </w:t>
            </w:r>
            <w:r w:rsidRPr="00D22BC9">
              <w:rPr>
                <w:rFonts w:cs="Arial"/>
              </w:rPr>
              <w:t>the</w:t>
            </w:r>
            <w:r>
              <w:rPr>
                <w:rFonts w:cs="Arial"/>
              </w:rPr>
              <w:t xml:space="preserve"> </w:t>
            </w:r>
            <w:r w:rsidRPr="00D22BC9">
              <w:rPr>
                <w:rFonts w:cs="Arial"/>
              </w:rPr>
              <w:t>U.S.</w:t>
            </w:r>
            <w:r>
              <w:rPr>
                <w:rFonts w:cs="Arial"/>
              </w:rPr>
              <w:t xml:space="preserve"> </w:t>
            </w:r>
            <w:r w:rsidRPr="00D22BC9">
              <w:rPr>
                <w:rFonts w:cs="Arial"/>
              </w:rPr>
              <w:t>Preventive</w:t>
            </w:r>
            <w:r>
              <w:rPr>
                <w:rFonts w:cs="Arial"/>
              </w:rPr>
              <w:t xml:space="preserve"> </w:t>
            </w:r>
            <w:r w:rsidRPr="00D22BC9">
              <w:rPr>
                <w:rFonts w:cs="Arial"/>
              </w:rPr>
              <w:t>Services</w:t>
            </w:r>
            <w:r>
              <w:rPr>
                <w:rFonts w:cs="Arial"/>
              </w:rPr>
              <w:t xml:space="preserve"> </w:t>
            </w:r>
            <w:r w:rsidRPr="00D22BC9">
              <w:rPr>
                <w:rFonts w:cs="Arial"/>
              </w:rPr>
              <w:t>Task</w:t>
            </w:r>
            <w:r>
              <w:rPr>
                <w:rFonts w:cs="Arial"/>
              </w:rPr>
              <w:t xml:space="preserve"> </w:t>
            </w:r>
            <w:r w:rsidRPr="00D22BC9">
              <w:rPr>
                <w:rFonts w:cs="Arial"/>
              </w:rPr>
              <w:t>Force</w:t>
            </w:r>
            <w:r>
              <w:rPr>
                <w:rFonts w:cs="Arial"/>
              </w:rPr>
              <w:t xml:space="preserve"> </w:t>
            </w:r>
            <w:r w:rsidRPr="00D22BC9">
              <w:rPr>
                <w:rFonts w:cs="Arial"/>
              </w:rPr>
              <w:t>(USPSTF,</w:t>
            </w:r>
            <w:r>
              <w:rPr>
                <w:rFonts w:cs="Arial"/>
              </w:rPr>
              <w:t xml:space="preserve"> </w:t>
            </w:r>
            <w:r w:rsidRPr="00D22BC9">
              <w:rPr>
                <w:rFonts w:cs="Arial"/>
              </w:rPr>
              <w:t>2009).</w:t>
            </w:r>
            <w:r>
              <w:rPr>
                <w:rFonts w:cs="Arial"/>
              </w:rPr>
              <w:t xml:space="preserve"> </w:t>
            </w:r>
            <w:r w:rsidRPr="00D22BC9">
              <w:rPr>
                <w:rFonts w:cs="Arial"/>
              </w:rPr>
              <w:t>The</w:t>
            </w:r>
            <w:r>
              <w:rPr>
                <w:rFonts w:cs="Arial"/>
              </w:rPr>
              <w:t xml:space="preserve"> </w:t>
            </w:r>
            <w:r w:rsidRPr="00D22BC9">
              <w:rPr>
                <w:rFonts w:cs="Arial"/>
              </w:rPr>
              <w:t>National</w:t>
            </w:r>
            <w:r>
              <w:rPr>
                <w:rFonts w:cs="Arial"/>
              </w:rPr>
              <w:t xml:space="preserve"> </w:t>
            </w:r>
            <w:r w:rsidRPr="00D22BC9">
              <w:rPr>
                <w:rFonts w:cs="Arial"/>
              </w:rPr>
              <w:t>Institute</w:t>
            </w:r>
            <w:r>
              <w:rPr>
                <w:rFonts w:cs="Arial"/>
              </w:rPr>
              <w:t xml:space="preserve"> </w:t>
            </w:r>
            <w:r w:rsidRPr="00D22BC9">
              <w:rPr>
                <w:rFonts w:cs="Arial"/>
              </w:rPr>
              <w:t>for</w:t>
            </w:r>
            <w:r>
              <w:rPr>
                <w:rFonts w:cs="Arial"/>
              </w:rPr>
              <w:t xml:space="preserve"> </w:t>
            </w:r>
            <w:r w:rsidRPr="00D22BC9">
              <w:rPr>
                <w:rFonts w:cs="Arial"/>
              </w:rPr>
              <w:t>Health</w:t>
            </w:r>
            <w:r>
              <w:rPr>
                <w:rFonts w:cs="Arial"/>
              </w:rPr>
              <w:t xml:space="preserve"> </w:t>
            </w:r>
            <w:r w:rsidRPr="00D22BC9">
              <w:rPr>
                <w:rFonts w:cs="Arial"/>
              </w:rPr>
              <w:t>and</w:t>
            </w:r>
            <w:r>
              <w:rPr>
                <w:rFonts w:cs="Arial"/>
              </w:rPr>
              <w:t xml:space="preserve"> </w:t>
            </w:r>
            <w:r w:rsidRPr="00D22BC9">
              <w:rPr>
                <w:rFonts w:cs="Arial"/>
              </w:rPr>
              <w:t>Clinical</w:t>
            </w:r>
            <w:r>
              <w:rPr>
                <w:rFonts w:cs="Arial"/>
              </w:rPr>
              <w:t xml:space="preserve"> </w:t>
            </w:r>
            <w:r w:rsidRPr="00D22BC9">
              <w:rPr>
                <w:rFonts w:cs="Arial"/>
              </w:rPr>
              <w:t>Excellence</w:t>
            </w:r>
            <w:r>
              <w:rPr>
                <w:rFonts w:cs="Arial"/>
              </w:rPr>
              <w:t xml:space="preserve"> </w:t>
            </w:r>
            <w:r w:rsidRPr="00D22BC9">
              <w:rPr>
                <w:rFonts w:cs="Arial"/>
              </w:rPr>
              <w:t>(NICE)</w:t>
            </w:r>
            <w:r>
              <w:rPr>
                <w:rFonts w:cs="Arial"/>
              </w:rPr>
              <w:t xml:space="preserve"> </w:t>
            </w:r>
            <w:r w:rsidRPr="00D22BC9">
              <w:rPr>
                <w:rFonts w:cs="Arial"/>
              </w:rPr>
              <w:t>guidelines</w:t>
            </w:r>
            <w:r>
              <w:rPr>
                <w:rFonts w:cs="Arial"/>
              </w:rPr>
              <w:t xml:space="preserve"> </w:t>
            </w:r>
            <w:r w:rsidRPr="00D22BC9">
              <w:rPr>
                <w:rFonts w:cs="Arial"/>
              </w:rPr>
              <w:t>recommend</w:t>
            </w:r>
            <w:r>
              <w:rPr>
                <w:rFonts w:cs="Arial"/>
              </w:rPr>
              <w:t xml:space="preserve"> </w:t>
            </w:r>
            <w:r w:rsidRPr="00D22BC9">
              <w:rPr>
                <w:rFonts w:cs="Arial"/>
              </w:rPr>
              <w:t>universal</w:t>
            </w:r>
            <w:r>
              <w:rPr>
                <w:rFonts w:cs="Arial"/>
              </w:rPr>
              <w:t xml:space="preserve"> </w:t>
            </w:r>
            <w:r w:rsidRPr="00D22BC9">
              <w:rPr>
                <w:rFonts w:cs="Arial"/>
              </w:rPr>
              <w:t>screening</w:t>
            </w:r>
            <w:r>
              <w:rPr>
                <w:rFonts w:cs="Arial"/>
              </w:rPr>
              <w:t xml:space="preserve"> </w:t>
            </w:r>
            <w:r w:rsidRPr="00D22BC9">
              <w:rPr>
                <w:rFonts w:cs="Arial"/>
              </w:rPr>
              <w:t>of</w:t>
            </w:r>
            <w:r>
              <w:rPr>
                <w:rFonts w:cs="Arial"/>
              </w:rPr>
              <w:t xml:space="preserve"> </w:t>
            </w:r>
            <w:r w:rsidRPr="00D22BC9">
              <w:rPr>
                <w:rFonts w:cs="Arial"/>
              </w:rPr>
              <w:t>adolescents</w:t>
            </w:r>
            <w:r>
              <w:rPr>
                <w:rFonts w:cs="Arial"/>
              </w:rPr>
              <w:t xml:space="preserve"> </w:t>
            </w:r>
            <w:r w:rsidRPr="00D22BC9">
              <w:rPr>
                <w:rFonts w:cs="Arial"/>
              </w:rPr>
              <w:t>12</w:t>
            </w:r>
            <w:r>
              <w:rPr>
                <w:rFonts w:cs="Arial"/>
              </w:rPr>
              <w:t>–</w:t>
            </w:r>
            <w:r w:rsidRPr="00D22BC9">
              <w:rPr>
                <w:rFonts w:cs="Arial"/>
              </w:rPr>
              <w:t>18</w:t>
            </w:r>
            <w:r>
              <w:rPr>
                <w:rFonts w:cs="Arial"/>
              </w:rPr>
              <w:t xml:space="preserve">  </w:t>
            </w:r>
            <w:r w:rsidRPr="00D22BC9">
              <w:rPr>
                <w:rFonts w:cs="Arial"/>
              </w:rPr>
              <w:t>for</w:t>
            </w:r>
            <w:r>
              <w:rPr>
                <w:rFonts w:cs="Arial"/>
              </w:rPr>
              <w:t xml:space="preserve"> </w:t>
            </w:r>
            <w:r w:rsidRPr="00D22BC9">
              <w:rPr>
                <w:rFonts w:cs="Arial"/>
              </w:rPr>
              <w:t>depression</w:t>
            </w:r>
            <w:r>
              <w:rPr>
                <w:rFonts w:cs="Arial"/>
              </w:rPr>
              <w:t xml:space="preserve"> </w:t>
            </w:r>
            <w:r w:rsidRPr="00D22BC9">
              <w:rPr>
                <w:rFonts w:cs="Arial"/>
              </w:rPr>
              <w:t>in</w:t>
            </w:r>
            <w:r>
              <w:rPr>
                <w:rFonts w:cs="Arial"/>
              </w:rPr>
              <w:t xml:space="preserve"> </w:t>
            </w:r>
            <w:r w:rsidRPr="00D22BC9">
              <w:rPr>
                <w:rFonts w:cs="Arial"/>
              </w:rPr>
              <w:t>primary</w:t>
            </w:r>
            <w:r>
              <w:rPr>
                <w:rFonts w:cs="Arial"/>
              </w:rPr>
              <w:t xml:space="preserve"> </w:t>
            </w:r>
            <w:r w:rsidRPr="00D22BC9">
              <w:rPr>
                <w:rFonts w:cs="Arial"/>
              </w:rPr>
              <w:t>care</w:t>
            </w:r>
            <w:r>
              <w:rPr>
                <w:rFonts w:cs="Arial"/>
              </w:rPr>
              <w:t xml:space="preserve"> </w:t>
            </w:r>
            <w:r w:rsidRPr="00D22BC9">
              <w:rPr>
                <w:rFonts w:cs="Arial"/>
              </w:rPr>
              <w:t>settings</w:t>
            </w:r>
            <w:r>
              <w:rPr>
                <w:rFonts w:cs="Arial"/>
              </w:rPr>
              <w:t xml:space="preserve"> </w:t>
            </w:r>
            <w:r w:rsidRPr="00D22BC9">
              <w:rPr>
                <w:rFonts w:cs="Arial"/>
              </w:rPr>
              <w:t>(NICE,</w:t>
            </w:r>
            <w:r>
              <w:rPr>
                <w:rFonts w:cs="Arial"/>
              </w:rPr>
              <w:t xml:space="preserve"> </w:t>
            </w:r>
            <w:r w:rsidRPr="00D22BC9">
              <w:rPr>
                <w:rFonts w:cs="Arial"/>
              </w:rPr>
              <w:t>2005).</w:t>
            </w:r>
          </w:p>
          <w:p w14:paraId="3E7211AB" w14:textId="77777777" w:rsidR="000C547E" w:rsidRDefault="000C547E" w:rsidP="00991EDB">
            <w:pPr>
              <w:pStyle w:val="Body"/>
              <w:rPr>
                <w:rFonts w:cs="Arial"/>
              </w:rPr>
            </w:pPr>
            <w:r w:rsidRPr="00D22BC9">
              <w:rPr>
                <w:rFonts w:cs="Arial"/>
              </w:rPr>
              <w:t>Limited</w:t>
            </w:r>
            <w:r>
              <w:rPr>
                <w:rFonts w:cs="Arial"/>
              </w:rPr>
              <w:t xml:space="preserve"> </w:t>
            </w:r>
            <w:r w:rsidRPr="00D22BC9">
              <w:rPr>
                <w:rFonts w:cs="Arial"/>
              </w:rPr>
              <w:t>available</w:t>
            </w:r>
            <w:r>
              <w:rPr>
                <w:rFonts w:cs="Arial"/>
              </w:rPr>
              <w:t xml:space="preserve"> </w:t>
            </w:r>
            <w:r w:rsidRPr="00D22BC9">
              <w:rPr>
                <w:rFonts w:cs="Arial"/>
              </w:rPr>
              <w:t>data</w:t>
            </w:r>
            <w:r>
              <w:rPr>
                <w:rFonts w:cs="Arial"/>
              </w:rPr>
              <w:t xml:space="preserve"> </w:t>
            </w:r>
            <w:r w:rsidRPr="00D22BC9">
              <w:rPr>
                <w:rFonts w:cs="Arial"/>
              </w:rPr>
              <w:t>suggest</w:t>
            </w:r>
            <w:r>
              <w:rPr>
                <w:rFonts w:cs="Arial"/>
              </w:rPr>
              <w:t xml:space="preserve"> </w:t>
            </w:r>
            <w:r w:rsidRPr="00D22BC9">
              <w:rPr>
                <w:rFonts w:cs="Arial"/>
              </w:rPr>
              <w:t>that</w:t>
            </w:r>
            <w:r>
              <w:rPr>
                <w:rFonts w:cs="Arial"/>
              </w:rPr>
              <w:t xml:space="preserve"> </w:t>
            </w:r>
            <w:r w:rsidRPr="00D22BC9">
              <w:rPr>
                <w:rFonts w:cs="Arial"/>
              </w:rPr>
              <w:t>screening</w:t>
            </w:r>
            <w:r>
              <w:rPr>
                <w:rFonts w:cs="Arial"/>
              </w:rPr>
              <w:t xml:space="preserve"> </w:t>
            </w:r>
            <w:r w:rsidRPr="00D22BC9">
              <w:rPr>
                <w:rFonts w:cs="Arial"/>
              </w:rPr>
              <w:t>tools,</w:t>
            </w:r>
            <w:r>
              <w:rPr>
                <w:rFonts w:cs="Arial"/>
              </w:rPr>
              <w:t xml:space="preserve"> </w:t>
            </w:r>
            <w:r w:rsidRPr="00D22BC9">
              <w:rPr>
                <w:rFonts w:cs="Arial"/>
              </w:rPr>
              <w:t>feasible</w:t>
            </w:r>
            <w:r>
              <w:rPr>
                <w:rFonts w:cs="Arial"/>
              </w:rPr>
              <w:t xml:space="preserve"> </w:t>
            </w:r>
            <w:r w:rsidRPr="00D22BC9">
              <w:rPr>
                <w:rFonts w:cs="Arial"/>
              </w:rPr>
              <w:t>for</w:t>
            </w:r>
            <w:r>
              <w:rPr>
                <w:rFonts w:cs="Arial"/>
              </w:rPr>
              <w:t xml:space="preserve"> </w:t>
            </w:r>
            <w:r w:rsidRPr="00D22BC9">
              <w:rPr>
                <w:rFonts w:cs="Arial"/>
              </w:rPr>
              <w:t>use</w:t>
            </w:r>
            <w:r>
              <w:rPr>
                <w:rFonts w:cs="Arial"/>
              </w:rPr>
              <w:t xml:space="preserve"> </w:t>
            </w:r>
            <w:r w:rsidRPr="00D22BC9">
              <w:rPr>
                <w:rFonts w:cs="Arial"/>
              </w:rPr>
              <w:t>in</w:t>
            </w:r>
            <w:r>
              <w:rPr>
                <w:rFonts w:cs="Arial"/>
              </w:rPr>
              <w:t xml:space="preserve"> </w:t>
            </w:r>
            <w:r w:rsidRPr="00D22BC9">
              <w:rPr>
                <w:rFonts w:cs="Arial"/>
              </w:rPr>
              <w:t>the</w:t>
            </w:r>
            <w:r>
              <w:rPr>
                <w:rFonts w:cs="Arial"/>
              </w:rPr>
              <w:t xml:space="preserve"> </w:t>
            </w:r>
            <w:r w:rsidRPr="00D22BC9">
              <w:rPr>
                <w:rFonts w:cs="Arial"/>
              </w:rPr>
              <w:t>primary</w:t>
            </w:r>
            <w:r>
              <w:rPr>
                <w:rFonts w:cs="Arial"/>
              </w:rPr>
              <w:t xml:space="preserve"> </w:t>
            </w:r>
            <w:r w:rsidRPr="00D22BC9">
              <w:rPr>
                <w:rFonts w:cs="Arial"/>
              </w:rPr>
              <w:t>care</w:t>
            </w:r>
            <w:r>
              <w:rPr>
                <w:rFonts w:cs="Arial"/>
              </w:rPr>
              <w:t xml:space="preserve"> </w:t>
            </w:r>
            <w:r w:rsidRPr="00D22BC9">
              <w:rPr>
                <w:rFonts w:cs="Arial"/>
              </w:rPr>
              <w:t>setting,</w:t>
            </w:r>
            <w:r>
              <w:rPr>
                <w:rFonts w:cs="Arial"/>
              </w:rPr>
              <w:t xml:space="preserve"> </w:t>
            </w:r>
            <w:r w:rsidRPr="00D22BC9">
              <w:rPr>
                <w:rFonts w:cs="Arial"/>
              </w:rPr>
              <w:t>can</w:t>
            </w:r>
            <w:r>
              <w:rPr>
                <w:rFonts w:cs="Arial"/>
              </w:rPr>
              <w:t xml:space="preserve"> </w:t>
            </w:r>
            <w:r w:rsidRPr="00D22BC9">
              <w:rPr>
                <w:rFonts w:cs="Arial"/>
              </w:rPr>
              <w:t>accurately</w:t>
            </w:r>
            <w:r>
              <w:rPr>
                <w:rFonts w:cs="Arial"/>
              </w:rPr>
              <w:t xml:space="preserve"> </w:t>
            </w:r>
            <w:r w:rsidRPr="00D22BC9">
              <w:rPr>
                <w:rFonts w:cs="Arial"/>
              </w:rPr>
              <w:t>identify</w:t>
            </w:r>
            <w:r>
              <w:rPr>
                <w:rFonts w:cs="Arial"/>
              </w:rPr>
              <w:t xml:space="preserve"> </w:t>
            </w:r>
            <w:r w:rsidRPr="00D22BC9">
              <w:rPr>
                <w:rFonts w:cs="Arial"/>
              </w:rPr>
              <w:t>depressed</w:t>
            </w:r>
            <w:r>
              <w:rPr>
                <w:rFonts w:cs="Arial"/>
              </w:rPr>
              <w:t xml:space="preserve"> </w:t>
            </w:r>
            <w:r w:rsidRPr="00D22BC9">
              <w:rPr>
                <w:rFonts w:cs="Arial"/>
              </w:rPr>
              <w:t>individuals</w:t>
            </w:r>
            <w:r>
              <w:rPr>
                <w:rFonts w:cs="Arial"/>
              </w:rPr>
              <w:t xml:space="preserve"> </w:t>
            </w:r>
            <w:r w:rsidRPr="00D22BC9">
              <w:rPr>
                <w:rFonts w:cs="Arial"/>
              </w:rPr>
              <w:t>and</w:t>
            </w:r>
            <w:r>
              <w:rPr>
                <w:rFonts w:cs="Arial"/>
              </w:rPr>
              <w:t xml:space="preserve"> </w:t>
            </w:r>
            <w:r w:rsidRPr="00D22BC9">
              <w:rPr>
                <w:rFonts w:cs="Arial"/>
              </w:rPr>
              <w:t>treatment</w:t>
            </w:r>
            <w:r>
              <w:rPr>
                <w:rFonts w:cs="Arial"/>
              </w:rPr>
              <w:t xml:space="preserve"> </w:t>
            </w:r>
            <w:r w:rsidRPr="00D22BC9">
              <w:rPr>
                <w:rFonts w:cs="Arial"/>
              </w:rPr>
              <w:t>can</w:t>
            </w:r>
            <w:r>
              <w:rPr>
                <w:rFonts w:cs="Arial"/>
              </w:rPr>
              <w:t xml:space="preserve"> </w:t>
            </w:r>
            <w:r w:rsidRPr="00D22BC9">
              <w:rPr>
                <w:rFonts w:cs="Arial"/>
              </w:rPr>
              <w:t>improve</w:t>
            </w:r>
            <w:r>
              <w:rPr>
                <w:rFonts w:cs="Arial"/>
              </w:rPr>
              <w:t xml:space="preserve"> </w:t>
            </w:r>
            <w:r w:rsidRPr="00D22BC9">
              <w:rPr>
                <w:rFonts w:cs="Arial"/>
              </w:rPr>
              <w:t>depression</w:t>
            </w:r>
            <w:r>
              <w:rPr>
                <w:rFonts w:cs="Arial"/>
              </w:rPr>
              <w:t xml:space="preserve"> </w:t>
            </w:r>
            <w:r w:rsidRPr="00D22BC9">
              <w:rPr>
                <w:rFonts w:cs="Arial"/>
              </w:rPr>
              <w:t>outcomes</w:t>
            </w:r>
            <w:r>
              <w:rPr>
                <w:rFonts w:cs="Arial"/>
              </w:rPr>
              <w:t xml:space="preserve"> </w:t>
            </w:r>
            <w:r w:rsidRPr="00D22BC9">
              <w:rPr>
                <w:rFonts w:cs="Arial"/>
              </w:rPr>
              <w:t>(O’Connor</w:t>
            </w:r>
            <w:r>
              <w:rPr>
                <w:rFonts w:cs="Arial"/>
              </w:rPr>
              <w:t xml:space="preserve"> </w:t>
            </w:r>
            <w:r w:rsidRPr="00D22BC9">
              <w:rPr>
                <w:rFonts w:cs="Arial"/>
              </w:rPr>
              <w:t>et</w:t>
            </w:r>
            <w:r>
              <w:rPr>
                <w:rFonts w:cs="Arial"/>
              </w:rPr>
              <w:t xml:space="preserve"> </w:t>
            </w:r>
            <w:r w:rsidRPr="00D22BC9">
              <w:rPr>
                <w:rFonts w:cs="Arial"/>
              </w:rPr>
              <w:t>al.,</w:t>
            </w:r>
            <w:r>
              <w:rPr>
                <w:rFonts w:cs="Arial"/>
              </w:rPr>
              <w:t xml:space="preserve"> </w:t>
            </w:r>
            <w:r w:rsidRPr="00D22BC9">
              <w:rPr>
                <w:rFonts w:cs="Arial"/>
              </w:rPr>
              <w:t>2009;</w:t>
            </w:r>
            <w:r>
              <w:rPr>
                <w:rFonts w:cs="Arial"/>
              </w:rPr>
              <w:t xml:space="preserve"> </w:t>
            </w:r>
            <w:r w:rsidRPr="00D22BC9">
              <w:rPr>
                <w:rFonts w:cs="Arial"/>
              </w:rPr>
              <w:t>Williams</w:t>
            </w:r>
            <w:r>
              <w:rPr>
                <w:rFonts w:cs="Arial"/>
              </w:rPr>
              <w:t xml:space="preserve"> </w:t>
            </w:r>
            <w:r w:rsidRPr="00D22BC9">
              <w:rPr>
                <w:rFonts w:cs="Arial"/>
              </w:rPr>
              <w:t>et</w:t>
            </w:r>
            <w:r>
              <w:rPr>
                <w:rFonts w:cs="Arial"/>
              </w:rPr>
              <w:t xml:space="preserve"> </w:t>
            </w:r>
            <w:r w:rsidRPr="00D22BC9">
              <w:rPr>
                <w:rFonts w:cs="Arial"/>
              </w:rPr>
              <w:t>al.,</w:t>
            </w:r>
            <w:r>
              <w:rPr>
                <w:rFonts w:cs="Arial"/>
              </w:rPr>
              <w:t xml:space="preserve"> </w:t>
            </w:r>
            <w:r w:rsidRPr="00D22BC9">
              <w:rPr>
                <w:rFonts w:cs="Arial"/>
              </w:rPr>
              <w:t>2009).</w:t>
            </w:r>
            <w:r>
              <w:rPr>
                <w:rFonts w:cs="Arial"/>
              </w:rPr>
              <w:t xml:space="preserve"> </w:t>
            </w:r>
            <w:r w:rsidRPr="00D22BC9">
              <w:rPr>
                <w:rFonts w:cs="Arial"/>
              </w:rPr>
              <w:t>The</w:t>
            </w:r>
            <w:r>
              <w:rPr>
                <w:rFonts w:cs="Arial"/>
              </w:rPr>
              <w:t xml:space="preserve"> </w:t>
            </w:r>
            <w:r w:rsidRPr="00D22BC9">
              <w:rPr>
                <w:rFonts w:cs="Arial"/>
              </w:rPr>
              <w:t>use</w:t>
            </w:r>
            <w:r>
              <w:rPr>
                <w:rFonts w:cs="Arial"/>
              </w:rPr>
              <w:t xml:space="preserve"> </w:t>
            </w:r>
            <w:r w:rsidRPr="00D22BC9">
              <w:rPr>
                <w:rFonts w:cs="Arial"/>
              </w:rPr>
              <w:t>of</w:t>
            </w:r>
            <w:r>
              <w:rPr>
                <w:rFonts w:cs="Arial"/>
              </w:rPr>
              <w:t xml:space="preserve"> </w:t>
            </w:r>
            <w:r w:rsidRPr="00D22BC9">
              <w:rPr>
                <w:rFonts w:cs="Arial"/>
              </w:rPr>
              <w:t>a</w:t>
            </w:r>
            <w:r>
              <w:rPr>
                <w:rFonts w:cs="Arial"/>
              </w:rPr>
              <w:t xml:space="preserve"> </w:t>
            </w:r>
            <w:r w:rsidRPr="00D22BC9">
              <w:rPr>
                <w:rFonts w:cs="Arial"/>
              </w:rPr>
              <w:t>standardized</w:t>
            </w:r>
            <w:r>
              <w:rPr>
                <w:rFonts w:cs="Arial"/>
              </w:rPr>
              <w:t xml:space="preserve"> </w:t>
            </w:r>
            <w:r w:rsidRPr="00D22BC9">
              <w:rPr>
                <w:rFonts w:cs="Arial"/>
              </w:rPr>
              <w:t>screening</w:t>
            </w:r>
            <w:r>
              <w:rPr>
                <w:rFonts w:cs="Arial"/>
              </w:rPr>
              <w:t xml:space="preserve"> </w:t>
            </w:r>
            <w:r w:rsidRPr="00D22BC9">
              <w:rPr>
                <w:rFonts w:cs="Arial"/>
              </w:rPr>
              <w:t>tool</w:t>
            </w:r>
            <w:r>
              <w:rPr>
                <w:rFonts w:cs="Arial"/>
              </w:rPr>
              <w:t xml:space="preserve"> </w:t>
            </w:r>
            <w:r w:rsidRPr="00D22BC9">
              <w:rPr>
                <w:rFonts w:cs="Arial"/>
              </w:rPr>
              <w:t>may</w:t>
            </w:r>
            <w:r>
              <w:rPr>
                <w:rFonts w:cs="Arial"/>
              </w:rPr>
              <w:t xml:space="preserve"> </w:t>
            </w:r>
            <w:r w:rsidRPr="00D22BC9">
              <w:rPr>
                <w:rFonts w:cs="Arial"/>
              </w:rPr>
              <w:t>help</w:t>
            </w:r>
            <w:r>
              <w:rPr>
                <w:rFonts w:cs="Arial"/>
              </w:rPr>
              <w:t xml:space="preserve"> </w:t>
            </w:r>
            <w:r w:rsidRPr="00D22BC9">
              <w:rPr>
                <w:rFonts w:cs="Arial"/>
              </w:rPr>
              <w:t>to</w:t>
            </w:r>
            <w:r>
              <w:rPr>
                <w:rFonts w:cs="Arial"/>
              </w:rPr>
              <w:t xml:space="preserve"> </w:t>
            </w:r>
            <w:r w:rsidRPr="00D22BC9">
              <w:rPr>
                <w:rFonts w:cs="Arial"/>
              </w:rPr>
              <w:t>reduce</w:t>
            </w:r>
            <w:r>
              <w:rPr>
                <w:rFonts w:cs="Arial"/>
              </w:rPr>
              <w:t xml:space="preserve"> </w:t>
            </w:r>
            <w:r w:rsidRPr="00D22BC9">
              <w:rPr>
                <w:rFonts w:cs="Arial"/>
              </w:rPr>
              <w:t>misdiagnosis,</w:t>
            </w:r>
            <w:r>
              <w:rPr>
                <w:rFonts w:cs="Arial"/>
              </w:rPr>
              <w:t xml:space="preserve"> </w:t>
            </w:r>
            <w:r w:rsidRPr="00D22BC9">
              <w:rPr>
                <w:rFonts w:cs="Arial"/>
              </w:rPr>
              <w:t>which</w:t>
            </w:r>
            <w:r>
              <w:rPr>
                <w:rFonts w:cs="Arial"/>
              </w:rPr>
              <w:t xml:space="preserve"> </w:t>
            </w:r>
            <w:r w:rsidRPr="00D22BC9">
              <w:rPr>
                <w:rFonts w:cs="Arial"/>
              </w:rPr>
              <w:t>one</w:t>
            </w:r>
            <w:r>
              <w:rPr>
                <w:rFonts w:cs="Arial"/>
              </w:rPr>
              <w:t xml:space="preserve"> </w:t>
            </w:r>
            <w:r w:rsidRPr="00D22BC9">
              <w:rPr>
                <w:rFonts w:cs="Arial"/>
              </w:rPr>
              <w:t>study</w:t>
            </w:r>
            <w:r>
              <w:rPr>
                <w:rFonts w:cs="Arial"/>
              </w:rPr>
              <w:t xml:space="preserve"> </w:t>
            </w:r>
            <w:r w:rsidRPr="00D22BC9">
              <w:rPr>
                <w:rFonts w:cs="Arial"/>
              </w:rPr>
              <w:lastRenderedPageBreak/>
              <w:t>suggests</w:t>
            </w:r>
            <w:r>
              <w:rPr>
                <w:rFonts w:cs="Arial"/>
              </w:rPr>
              <w:t xml:space="preserve"> </w:t>
            </w:r>
            <w:r w:rsidRPr="00D22BC9">
              <w:rPr>
                <w:rFonts w:cs="Arial"/>
              </w:rPr>
              <w:t>occurs</w:t>
            </w:r>
            <w:r>
              <w:rPr>
                <w:rFonts w:cs="Arial"/>
              </w:rPr>
              <w:t xml:space="preserve"> </w:t>
            </w:r>
            <w:r w:rsidRPr="00D22BC9">
              <w:rPr>
                <w:rFonts w:cs="Arial"/>
              </w:rPr>
              <w:t>in</w:t>
            </w:r>
            <w:r>
              <w:rPr>
                <w:rFonts w:cs="Arial"/>
              </w:rPr>
              <w:t xml:space="preserve"> </w:t>
            </w:r>
            <w:r w:rsidRPr="00D22BC9">
              <w:rPr>
                <w:rFonts w:cs="Arial"/>
              </w:rPr>
              <w:t>up</w:t>
            </w:r>
            <w:r>
              <w:rPr>
                <w:rFonts w:cs="Arial"/>
              </w:rPr>
              <w:t xml:space="preserve"> </w:t>
            </w:r>
            <w:r w:rsidRPr="00D22BC9">
              <w:rPr>
                <w:rFonts w:cs="Arial"/>
              </w:rPr>
              <w:t>to</w:t>
            </w:r>
            <w:r>
              <w:rPr>
                <w:rFonts w:cs="Arial"/>
              </w:rPr>
              <w:t xml:space="preserve"> </w:t>
            </w:r>
            <w:r w:rsidRPr="00D22BC9">
              <w:rPr>
                <w:rFonts w:cs="Arial"/>
              </w:rPr>
              <w:t>60</w:t>
            </w:r>
            <w:r>
              <w:rPr>
                <w:rFonts w:cs="Arial"/>
              </w:rPr>
              <w:t xml:space="preserve"> percent </w:t>
            </w:r>
            <w:r w:rsidRPr="00D22BC9">
              <w:rPr>
                <w:rFonts w:cs="Arial"/>
              </w:rPr>
              <w:t>of</w:t>
            </w:r>
            <w:r>
              <w:rPr>
                <w:rFonts w:cs="Arial"/>
              </w:rPr>
              <w:t xml:space="preserve"> </w:t>
            </w:r>
            <w:r w:rsidRPr="00D22BC9">
              <w:rPr>
                <w:rFonts w:cs="Arial"/>
              </w:rPr>
              <w:t>patients</w:t>
            </w:r>
            <w:r>
              <w:rPr>
                <w:rFonts w:cs="Arial"/>
              </w:rPr>
              <w:t xml:space="preserve"> </w:t>
            </w:r>
            <w:r w:rsidRPr="00D22BC9">
              <w:rPr>
                <w:rFonts w:cs="Arial"/>
              </w:rPr>
              <w:t>diagnosed</w:t>
            </w:r>
            <w:r>
              <w:rPr>
                <w:rFonts w:cs="Arial"/>
              </w:rPr>
              <w:t xml:space="preserve"> </w:t>
            </w:r>
            <w:r w:rsidRPr="00D22BC9">
              <w:rPr>
                <w:rFonts w:cs="Arial"/>
              </w:rPr>
              <w:t>with</w:t>
            </w:r>
            <w:r>
              <w:rPr>
                <w:rFonts w:cs="Arial"/>
              </w:rPr>
              <w:t xml:space="preserve"> </w:t>
            </w:r>
            <w:r w:rsidRPr="00D22BC9">
              <w:rPr>
                <w:rFonts w:cs="Arial"/>
              </w:rPr>
              <w:t>major</w:t>
            </w:r>
            <w:r>
              <w:rPr>
                <w:rFonts w:cs="Arial"/>
              </w:rPr>
              <w:t xml:space="preserve"> </w:t>
            </w:r>
            <w:r w:rsidRPr="00D22BC9">
              <w:rPr>
                <w:rFonts w:cs="Arial"/>
              </w:rPr>
              <w:t>depressive</w:t>
            </w:r>
            <w:r>
              <w:rPr>
                <w:rFonts w:cs="Arial"/>
              </w:rPr>
              <w:t xml:space="preserve"> </w:t>
            </w:r>
            <w:r w:rsidRPr="00D22BC9">
              <w:rPr>
                <w:rFonts w:cs="Arial"/>
              </w:rPr>
              <w:t>disorder</w:t>
            </w:r>
            <w:r>
              <w:rPr>
                <w:rFonts w:cs="Arial"/>
              </w:rPr>
              <w:t xml:space="preserve"> </w:t>
            </w:r>
            <w:r w:rsidRPr="00D22BC9">
              <w:rPr>
                <w:rFonts w:cs="Arial"/>
              </w:rPr>
              <w:t>(Mojtabai,</w:t>
            </w:r>
            <w:r>
              <w:rPr>
                <w:rFonts w:cs="Arial"/>
              </w:rPr>
              <w:t xml:space="preserve"> </w:t>
            </w:r>
            <w:r w:rsidRPr="00D22BC9">
              <w:rPr>
                <w:rFonts w:cs="Arial"/>
              </w:rPr>
              <w:t>2013).</w:t>
            </w:r>
            <w:r>
              <w:rPr>
                <w:rFonts w:cs="Arial"/>
              </w:rPr>
              <w:t xml:space="preserve"> </w:t>
            </w:r>
          </w:p>
          <w:p w14:paraId="391CA11E" w14:textId="77777777" w:rsidR="000C547E" w:rsidRDefault="000C547E" w:rsidP="00991EDB">
            <w:pPr>
              <w:pStyle w:val="Body"/>
              <w:spacing w:before="120"/>
              <w:rPr>
                <w:rFonts w:cs="Arial"/>
              </w:rPr>
            </w:pPr>
            <w:r w:rsidRPr="00D22BC9">
              <w:rPr>
                <w:rFonts w:cs="Arial"/>
              </w:rPr>
              <w:t>In</w:t>
            </w:r>
            <w:r>
              <w:rPr>
                <w:rFonts w:cs="Arial"/>
              </w:rPr>
              <w:t xml:space="preserve"> </w:t>
            </w:r>
            <w:r w:rsidRPr="00D22BC9">
              <w:rPr>
                <w:rFonts w:cs="Arial"/>
              </w:rPr>
              <w:t>its</w:t>
            </w:r>
            <w:r>
              <w:rPr>
                <w:rFonts w:cs="Arial"/>
              </w:rPr>
              <w:t xml:space="preserve"> </w:t>
            </w:r>
            <w:r w:rsidRPr="00D22BC9">
              <w:rPr>
                <w:rFonts w:cs="Arial"/>
              </w:rPr>
              <w:t>review</w:t>
            </w:r>
            <w:r>
              <w:rPr>
                <w:rFonts w:cs="Arial"/>
              </w:rPr>
              <w:t xml:space="preserve">, </w:t>
            </w:r>
            <w:r w:rsidRPr="00D22BC9">
              <w:rPr>
                <w:rFonts w:cs="Arial"/>
              </w:rPr>
              <w:t>the</w:t>
            </w:r>
            <w:r>
              <w:rPr>
                <w:rFonts w:cs="Arial"/>
              </w:rPr>
              <w:t xml:space="preserve"> </w:t>
            </w:r>
            <w:r w:rsidRPr="00D22BC9">
              <w:rPr>
                <w:rFonts w:cs="Arial"/>
              </w:rPr>
              <w:t>USPSTF</w:t>
            </w:r>
            <w:r>
              <w:rPr>
                <w:rFonts w:cs="Arial"/>
              </w:rPr>
              <w:t xml:space="preserve"> </w:t>
            </w:r>
            <w:r w:rsidRPr="00D22BC9">
              <w:rPr>
                <w:rFonts w:cs="Arial"/>
              </w:rPr>
              <w:t>found</w:t>
            </w:r>
            <w:r>
              <w:rPr>
                <w:rFonts w:cs="Arial"/>
              </w:rPr>
              <w:t xml:space="preserve"> </w:t>
            </w:r>
            <w:r w:rsidRPr="00D22BC9">
              <w:rPr>
                <w:rFonts w:cs="Arial"/>
              </w:rPr>
              <w:t>little</w:t>
            </w:r>
            <w:r>
              <w:rPr>
                <w:rFonts w:cs="Arial"/>
              </w:rPr>
              <w:t xml:space="preserve"> </w:t>
            </w:r>
            <w:r w:rsidRPr="00D22BC9">
              <w:rPr>
                <w:rFonts w:cs="Arial"/>
              </w:rPr>
              <w:t>evidence</w:t>
            </w:r>
            <w:r>
              <w:rPr>
                <w:rFonts w:cs="Arial"/>
              </w:rPr>
              <w:t xml:space="preserve"> </w:t>
            </w:r>
            <w:r w:rsidRPr="00D22BC9">
              <w:rPr>
                <w:rFonts w:cs="Arial"/>
              </w:rPr>
              <w:t>to</w:t>
            </w:r>
            <w:r>
              <w:rPr>
                <w:rFonts w:cs="Arial"/>
              </w:rPr>
              <w:t xml:space="preserve"> </w:t>
            </w:r>
            <w:r w:rsidRPr="00D22BC9">
              <w:rPr>
                <w:rFonts w:cs="Arial"/>
              </w:rPr>
              <w:t>support</w:t>
            </w:r>
            <w:r>
              <w:rPr>
                <w:rFonts w:cs="Arial"/>
              </w:rPr>
              <w:t xml:space="preserve"> </w:t>
            </w:r>
            <w:r w:rsidRPr="00D22BC9">
              <w:rPr>
                <w:rFonts w:cs="Arial"/>
              </w:rPr>
              <w:t>recommending</w:t>
            </w:r>
            <w:r>
              <w:rPr>
                <w:rFonts w:cs="Arial"/>
              </w:rPr>
              <w:t xml:space="preserve"> </w:t>
            </w:r>
            <w:r w:rsidRPr="00D22BC9">
              <w:rPr>
                <w:rFonts w:cs="Arial"/>
              </w:rPr>
              <w:t>one</w:t>
            </w:r>
            <w:r>
              <w:rPr>
                <w:rFonts w:cs="Arial"/>
              </w:rPr>
              <w:t xml:space="preserve"> </w:t>
            </w:r>
            <w:r w:rsidRPr="00D22BC9">
              <w:rPr>
                <w:rFonts w:cs="Arial"/>
              </w:rPr>
              <w:t>screening</w:t>
            </w:r>
            <w:r>
              <w:rPr>
                <w:rFonts w:cs="Arial"/>
              </w:rPr>
              <w:t xml:space="preserve"> </w:t>
            </w:r>
            <w:r w:rsidRPr="00D22BC9">
              <w:rPr>
                <w:rFonts w:cs="Arial"/>
              </w:rPr>
              <w:t>tool</w:t>
            </w:r>
            <w:r>
              <w:rPr>
                <w:rFonts w:cs="Arial"/>
              </w:rPr>
              <w:t xml:space="preserve"> </w:t>
            </w:r>
            <w:r w:rsidRPr="00D22BC9">
              <w:rPr>
                <w:rFonts w:cs="Arial"/>
              </w:rPr>
              <w:t>over</w:t>
            </w:r>
            <w:r>
              <w:rPr>
                <w:rFonts w:cs="Arial"/>
              </w:rPr>
              <w:t xml:space="preserve"> </w:t>
            </w:r>
            <w:r w:rsidRPr="00D22BC9">
              <w:rPr>
                <w:rFonts w:cs="Arial"/>
              </w:rPr>
              <w:t>another</w:t>
            </w:r>
            <w:r>
              <w:rPr>
                <w:rFonts w:cs="Arial"/>
              </w:rPr>
              <w:t xml:space="preserve"> </w:t>
            </w:r>
            <w:r w:rsidRPr="00D22BC9">
              <w:rPr>
                <w:rFonts w:cs="Arial"/>
              </w:rPr>
              <w:t>to</w:t>
            </w:r>
            <w:r>
              <w:rPr>
                <w:rFonts w:cs="Arial"/>
              </w:rPr>
              <w:t xml:space="preserve"> </w:t>
            </w:r>
            <w:r w:rsidRPr="00D22BC9">
              <w:rPr>
                <w:rFonts w:cs="Arial"/>
              </w:rPr>
              <w:t>identify</w:t>
            </w:r>
            <w:r>
              <w:rPr>
                <w:rFonts w:cs="Arial"/>
              </w:rPr>
              <w:t xml:space="preserve"> </w:t>
            </w:r>
            <w:r w:rsidRPr="00D22BC9">
              <w:rPr>
                <w:rFonts w:cs="Arial"/>
              </w:rPr>
              <w:t>depressed</w:t>
            </w:r>
            <w:r>
              <w:rPr>
                <w:rFonts w:cs="Arial"/>
              </w:rPr>
              <w:t xml:space="preserve"> </w:t>
            </w:r>
            <w:r w:rsidRPr="00D22BC9">
              <w:rPr>
                <w:rFonts w:cs="Arial"/>
              </w:rPr>
              <w:t>individuals</w:t>
            </w:r>
            <w:r>
              <w:rPr>
                <w:rFonts w:cs="Arial"/>
              </w:rPr>
              <w:t xml:space="preserve"> </w:t>
            </w:r>
            <w:r w:rsidRPr="00D22BC9">
              <w:rPr>
                <w:rFonts w:cs="Arial"/>
              </w:rPr>
              <w:t>accurately.</w:t>
            </w:r>
            <w:r>
              <w:rPr>
                <w:rFonts w:cs="Arial"/>
              </w:rPr>
              <w:t xml:space="preserve"> </w:t>
            </w:r>
            <w:r w:rsidRPr="00D22BC9">
              <w:rPr>
                <w:rFonts w:cs="Arial"/>
              </w:rPr>
              <w:t>Research</w:t>
            </w:r>
            <w:r>
              <w:rPr>
                <w:rFonts w:cs="Arial"/>
              </w:rPr>
              <w:t xml:space="preserve"> </w:t>
            </w:r>
            <w:r w:rsidRPr="00D22BC9">
              <w:rPr>
                <w:rFonts w:cs="Arial"/>
              </w:rPr>
              <w:t>has</w:t>
            </w:r>
            <w:r>
              <w:rPr>
                <w:rFonts w:cs="Arial"/>
              </w:rPr>
              <w:t xml:space="preserve"> </w:t>
            </w:r>
            <w:r w:rsidRPr="00D22BC9">
              <w:rPr>
                <w:rFonts w:cs="Arial"/>
              </w:rPr>
              <w:t>demonstrated</w:t>
            </w:r>
            <w:r>
              <w:rPr>
                <w:rFonts w:cs="Arial"/>
              </w:rPr>
              <w:t xml:space="preserve"> that </w:t>
            </w:r>
            <w:r w:rsidRPr="00D22BC9">
              <w:rPr>
                <w:rFonts w:cs="Arial"/>
              </w:rPr>
              <w:t>many</w:t>
            </w:r>
            <w:r>
              <w:rPr>
                <w:rFonts w:cs="Arial"/>
              </w:rPr>
              <w:t xml:space="preserve"> </w:t>
            </w:r>
            <w:r w:rsidRPr="00D22BC9">
              <w:rPr>
                <w:rFonts w:cs="Arial"/>
              </w:rPr>
              <w:t>brief</w:t>
            </w:r>
            <w:r>
              <w:rPr>
                <w:rFonts w:cs="Arial"/>
              </w:rPr>
              <w:t xml:space="preserve"> </w:t>
            </w:r>
            <w:r w:rsidRPr="00D22BC9">
              <w:rPr>
                <w:rFonts w:cs="Arial"/>
              </w:rPr>
              <w:t>self-administered</w:t>
            </w:r>
            <w:r>
              <w:rPr>
                <w:rFonts w:cs="Arial"/>
              </w:rPr>
              <w:t xml:space="preserve"> </w:t>
            </w:r>
            <w:r w:rsidRPr="00D22BC9">
              <w:rPr>
                <w:rFonts w:cs="Arial"/>
              </w:rPr>
              <w:t>tools</w:t>
            </w:r>
            <w:r>
              <w:rPr>
                <w:rFonts w:cs="Arial"/>
              </w:rPr>
              <w:t xml:space="preserve"> </w:t>
            </w:r>
            <w:r w:rsidRPr="00D22BC9">
              <w:rPr>
                <w:rFonts w:cs="Arial"/>
              </w:rPr>
              <w:t>are</w:t>
            </w:r>
            <w:r>
              <w:rPr>
                <w:rFonts w:cs="Arial"/>
              </w:rPr>
              <w:t xml:space="preserve"> </w:t>
            </w:r>
            <w:r w:rsidRPr="00D22BC9">
              <w:rPr>
                <w:rFonts w:cs="Arial"/>
              </w:rPr>
              <w:t>valid</w:t>
            </w:r>
            <w:r>
              <w:rPr>
                <w:rFonts w:cs="Arial"/>
              </w:rPr>
              <w:t xml:space="preserve"> </w:t>
            </w:r>
            <w:r w:rsidRPr="00D22BC9">
              <w:rPr>
                <w:rFonts w:cs="Arial"/>
              </w:rPr>
              <w:t>and</w:t>
            </w:r>
            <w:r>
              <w:rPr>
                <w:rFonts w:cs="Arial"/>
              </w:rPr>
              <w:t xml:space="preserve"> </w:t>
            </w:r>
            <w:r w:rsidRPr="00D22BC9">
              <w:rPr>
                <w:rFonts w:cs="Arial"/>
              </w:rPr>
              <w:t>reliable</w:t>
            </w:r>
            <w:r>
              <w:rPr>
                <w:rFonts w:cs="Arial"/>
              </w:rPr>
              <w:t xml:space="preserve"> f</w:t>
            </w:r>
            <w:r w:rsidRPr="00D22BC9">
              <w:rPr>
                <w:rFonts w:cs="Arial"/>
              </w:rPr>
              <w:t>o</w:t>
            </w:r>
            <w:r>
              <w:rPr>
                <w:rFonts w:cs="Arial"/>
              </w:rPr>
              <w:t xml:space="preserve">r </w:t>
            </w:r>
            <w:r w:rsidRPr="00D22BC9">
              <w:rPr>
                <w:rFonts w:cs="Arial"/>
              </w:rPr>
              <w:t>identify</w:t>
            </w:r>
            <w:r>
              <w:rPr>
                <w:rFonts w:cs="Arial"/>
              </w:rPr>
              <w:t xml:space="preserve">ing </w:t>
            </w:r>
            <w:r w:rsidRPr="00D22BC9">
              <w:rPr>
                <w:rFonts w:cs="Arial"/>
              </w:rPr>
              <w:t>possible</w:t>
            </w:r>
            <w:r>
              <w:rPr>
                <w:rFonts w:cs="Arial"/>
              </w:rPr>
              <w:t xml:space="preserve"> </w:t>
            </w:r>
            <w:r w:rsidRPr="00D22BC9">
              <w:rPr>
                <w:rFonts w:cs="Arial"/>
              </w:rPr>
              <w:t>depression</w:t>
            </w:r>
            <w:r>
              <w:rPr>
                <w:rFonts w:cs="Arial"/>
              </w:rPr>
              <w:t xml:space="preserve"> </w:t>
            </w:r>
            <w:r w:rsidRPr="00D22BC9">
              <w:rPr>
                <w:rFonts w:cs="Arial"/>
              </w:rPr>
              <w:t>cases</w:t>
            </w:r>
            <w:r>
              <w:rPr>
                <w:rFonts w:cs="Arial"/>
              </w:rPr>
              <w:t xml:space="preserve"> </w:t>
            </w:r>
            <w:r w:rsidRPr="00D22BC9">
              <w:rPr>
                <w:rFonts w:cs="Arial"/>
              </w:rPr>
              <w:t>(Martin</w:t>
            </w:r>
            <w:r>
              <w:rPr>
                <w:rFonts w:cs="Arial"/>
              </w:rPr>
              <w:t xml:space="preserve"> </w:t>
            </w:r>
            <w:r w:rsidRPr="00D22BC9">
              <w:rPr>
                <w:rFonts w:cs="Arial"/>
              </w:rPr>
              <w:t>et</w:t>
            </w:r>
            <w:r>
              <w:rPr>
                <w:rFonts w:cs="Arial"/>
              </w:rPr>
              <w:t xml:space="preserve"> </w:t>
            </w:r>
            <w:r w:rsidRPr="00D22BC9">
              <w:rPr>
                <w:rFonts w:cs="Arial"/>
              </w:rPr>
              <w:t>al.,</w:t>
            </w:r>
            <w:r>
              <w:rPr>
                <w:rFonts w:cs="Arial"/>
              </w:rPr>
              <w:t xml:space="preserve"> </w:t>
            </w:r>
            <w:r w:rsidRPr="00D22BC9">
              <w:rPr>
                <w:rFonts w:cs="Arial"/>
              </w:rPr>
              <w:t>2006;</w:t>
            </w:r>
            <w:r>
              <w:rPr>
                <w:rFonts w:cs="Arial"/>
              </w:rPr>
              <w:t xml:space="preserve"> </w:t>
            </w:r>
            <w:r w:rsidRPr="00D22BC9">
              <w:rPr>
                <w:rFonts w:cs="Arial"/>
              </w:rPr>
              <w:t>Williams</w:t>
            </w:r>
            <w:r>
              <w:rPr>
                <w:rFonts w:cs="Arial"/>
              </w:rPr>
              <w:t xml:space="preserve"> </w:t>
            </w:r>
            <w:r w:rsidRPr="00D22BC9">
              <w:rPr>
                <w:rFonts w:cs="Arial"/>
              </w:rPr>
              <w:t>et</w:t>
            </w:r>
            <w:r>
              <w:rPr>
                <w:rFonts w:cs="Arial"/>
              </w:rPr>
              <w:t xml:space="preserve"> </w:t>
            </w:r>
            <w:r w:rsidRPr="00D22BC9">
              <w:rPr>
                <w:rFonts w:cs="Arial"/>
              </w:rPr>
              <w:t>al.,</w:t>
            </w:r>
            <w:r>
              <w:rPr>
                <w:rFonts w:cs="Arial"/>
              </w:rPr>
              <w:t xml:space="preserve"> </w:t>
            </w:r>
            <w:r w:rsidRPr="00D22BC9">
              <w:rPr>
                <w:rFonts w:cs="Arial"/>
              </w:rPr>
              <w:t>2002).</w:t>
            </w:r>
            <w:r>
              <w:rPr>
                <w:rFonts w:cs="Arial"/>
              </w:rPr>
              <w:t xml:space="preserve"> </w:t>
            </w:r>
            <w:r w:rsidRPr="00D22BC9">
              <w:rPr>
                <w:rFonts w:cs="Arial"/>
              </w:rPr>
              <w:t>Once</w:t>
            </w:r>
            <w:r>
              <w:rPr>
                <w:rFonts w:cs="Arial"/>
              </w:rPr>
              <w:t xml:space="preserve"> </w:t>
            </w:r>
            <w:r w:rsidRPr="00D22BC9">
              <w:rPr>
                <w:rFonts w:cs="Arial"/>
              </w:rPr>
              <w:t>a</w:t>
            </w:r>
            <w:r>
              <w:rPr>
                <w:rFonts w:cs="Arial"/>
              </w:rPr>
              <w:t xml:space="preserve"> </w:t>
            </w:r>
            <w:r w:rsidRPr="00D22BC9">
              <w:rPr>
                <w:rFonts w:cs="Arial"/>
              </w:rPr>
              <w:t>positive</w:t>
            </w:r>
            <w:r>
              <w:rPr>
                <w:rFonts w:cs="Arial"/>
              </w:rPr>
              <w:t xml:space="preserve"> </w:t>
            </w:r>
            <w:r w:rsidRPr="00D22BC9">
              <w:rPr>
                <w:rFonts w:cs="Arial"/>
              </w:rPr>
              <w:t>screen</w:t>
            </w:r>
            <w:r>
              <w:rPr>
                <w:rFonts w:cs="Arial"/>
              </w:rPr>
              <w:t xml:space="preserve"> </w:t>
            </w:r>
            <w:r w:rsidRPr="00D22BC9">
              <w:rPr>
                <w:rFonts w:cs="Arial"/>
              </w:rPr>
              <w:t>is</w:t>
            </w:r>
            <w:r>
              <w:rPr>
                <w:rFonts w:cs="Arial"/>
              </w:rPr>
              <w:t xml:space="preserve"> </w:t>
            </w:r>
            <w:r w:rsidRPr="00D22BC9">
              <w:rPr>
                <w:rFonts w:cs="Arial"/>
              </w:rPr>
              <w:t>identified,</w:t>
            </w:r>
            <w:r>
              <w:rPr>
                <w:rFonts w:cs="Arial"/>
              </w:rPr>
              <w:t xml:space="preserve"> </w:t>
            </w:r>
            <w:r w:rsidRPr="00D22BC9">
              <w:rPr>
                <w:rFonts w:cs="Arial"/>
              </w:rPr>
              <w:t>follow-up</w:t>
            </w:r>
            <w:r>
              <w:rPr>
                <w:rFonts w:cs="Arial"/>
              </w:rPr>
              <w:t xml:space="preserve"> </w:t>
            </w:r>
            <w:r w:rsidRPr="00D22BC9">
              <w:rPr>
                <w:rFonts w:cs="Arial"/>
              </w:rPr>
              <w:t>is</w:t>
            </w:r>
            <w:r>
              <w:rPr>
                <w:rFonts w:cs="Arial"/>
              </w:rPr>
              <w:t xml:space="preserve"> </w:t>
            </w:r>
            <w:r w:rsidRPr="00D22BC9">
              <w:rPr>
                <w:rFonts w:cs="Arial"/>
              </w:rPr>
              <w:t>necessary</w:t>
            </w:r>
            <w:r>
              <w:rPr>
                <w:rFonts w:cs="Arial"/>
              </w:rPr>
              <w:t xml:space="preserve"> </w:t>
            </w:r>
            <w:r w:rsidRPr="00D22BC9">
              <w:rPr>
                <w:rFonts w:cs="Arial"/>
              </w:rPr>
              <w:t>and</w:t>
            </w:r>
            <w:r>
              <w:rPr>
                <w:rFonts w:cs="Arial"/>
              </w:rPr>
              <w:t xml:space="preserve"> </w:t>
            </w:r>
            <w:r w:rsidRPr="00D22BC9">
              <w:rPr>
                <w:rFonts w:cs="Arial"/>
              </w:rPr>
              <w:t>may</w:t>
            </w:r>
            <w:r>
              <w:rPr>
                <w:rFonts w:cs="Arial"/>
              </w:rPr>
              <w:t xml:space="preserve"> </w:t>
            </w:r>
            <w:r w:rsidRPr="00D22BC9">
              <w:rPr>
                <w:rFonts w:cs="Arial"/>
              </w:rPr>
              <w:t>include</w:t>
            </w:r>
            <w:r>
              <w:rPr>
                <w:rFonts w:cs="Arial"/>
              </w:rPr>
              <w:t xml:space="preserve"> </w:t>
            </w:r>
            <w:r w:rsidRPr="00D22BC9">
              <w:rPr>
                <w:rFonts w:cs="Arial"/>
              </w:rPr>
              <w:t>further</w:t>
            </w:r>
            <w:r>
              <w:rPr>
                <w:rFonts w:cs="Arial"/>
              </w:rPr>
              <w:t xml:space="preserve"> </w:t>
            </w:r>
            <w:r w:rsidRPr="00D22BC9">
              <w:rPr>
                <w:rFonts w:cs="Arial"/>
              </w:rPr>
              <w:t>evaluation</w:t>
            </w:r>
            <w:r>
              <w:rPr>
                <w:rFonts w:cs="Arial"/>
              </w:rPr>
              <w:t xml:space="preserve"> </w:t>
            </w:r>
            <w:r w:rsidRPr="00D22BC9">
              <w:rPr>
                <w:rFonts w:cs="Arial"/>
              </w:rPr>
              <w:t>to</w:t>
            </w:r>
            <w:r>
              <w:rPr>
                <w:rFonts w:cs="Arial"/>
              </w:rPr>
              <w:t xml:space="preserve"> </w:t>
            </w:r>
            <w:r w:rsidRPr="00D22BC9">
              <w:rPr>
                <w:rFonts w:cs="Arial"/>
              </w:rPr>
              <w:t>determine</w:t>
            </w:r>
            <w:r>
              <w:rPr>
                <w:rFonts w:cs="Arial"/>
              </w:rPr>
              <w:t xml:space="preserve"> </w:t>
            </w:r>
            <w:r w:rsidRPr="00D22BC9">
              <w:rPr>
                <w:rFonts w:cs="Arial"/>
              </w:rPr>
              <w:t>or</w:t>
            </w:r>
            <w:r>
              <w:rPr>
                <w:rFonts w:cs="Arial"/>
              </w:rPr>
              <w:t xml:space="preserve"> </w:t>
            </w:r>
            <w:r w:rsidRPr="00D22BC9">
              <w:rPr>
                <w:rFonts w:cs="Arial"/>
              </w:rPr>
              <w:t>rule</w:t>
            </w:r>
            <w:r>
              <w:rPr>
                <w:rFonts w:cs="Arial"/>
              </w:rPr>
              <w:t xml:space="preserve"> </w:t>
            </w:r>
            <w:r w:rsidRPr="00D22BC9">
              <w:rPr>
                <w:rFonts w:cs="Arial"/>
              </w:rPr>
              <w:t>out</w:t>
            </w:r>
            <w:r>
              <w:rPr>
                <w:rFonts w:cs="Arial"/>
              </w:rPr>
              <w:t xml:space="preserve"> </w:t>
            </w:r>
            <w:r w:rsidRPr="00D22BC9">
              <w:rPr>
                <w:rFonts w:cs="Arial"/>
              </w:rPr>
              <w:t>a</w:t>
            </w:r>
            <w:r>
              <w:rPr>
                <w:rFonts w:cs="Arial"/>
              </w:rPr>
              <w:t xml:space="preserve"> </w:t>
            </w:r>
            <w:r w:rsidRPr="00D22BC9">
              <w:rPr>
                <w:rFonts w:cs="Arial"/>
              </w:rPr>
              <w:t>diagnosis,</w:t>
            </w:r>
            <w:r>
              <w:rPr>
                <w:rFonts w:cs="Arial"/>
              </w:rPr>
              <w:t xml:space="preserve"> </w:t>
            </w:r>
            <w:r w:rsidRPr="00D22BC9">
              <w:rPr>
                <w:rFonts w:cs="Arial"/>
              </w:rPr>
              <w:t>provi</w:t>
            </w:r>
            <w:r>
              <w:rPr>
                <w:rFonts w:cs="Arial"/>
              </w:rPr>
              <w:t xml:space="preserve">de </w:t>
            </w:r>
            <w:r w:rsidRPr="00D22BC9">
              <w:rPr>
                <w:rFonts w:cs="Arial"/>
              </w:rPr>
              <w:t>education</w:t>
            </w:r>
            <w:r>
              <w:rPr>
                <w:rFonts w:cs="Arial"/>
              </w:rPr>
              <w:t xml:space="preserve"> </w:t>
            </w:r>
            <w:r w:rsidRPr="00D22BC9">
              <w:rPr>
                <w:rFonts w:cs="Arial"/>
              </w:rPr>
              <w:t>or</w:t>
            </w:r>
            <w:r>
              <w:rPr>
                <w:rFonts w:cs="Arial"/>
              </w:rPr>
              <w:t xml:space="preserve"> </w:t>
            </w:r>
            <w:r w:rsidRPr="00D22BC9">
              <w:rPr>
                <w:rFonts w:cs="Arial"/>
              </w:rPr>
              <w:t>interventions</w:t>
            </w:r>
            <w:r>
              <w:rPr>
                <w:rFonts w:cs="Arial"/>
              </w:rPr>
              <w:t xml:space="preserve"> </w:t>
            </w:r>
            <w:r w:rsidRPr="00D22BC9">
              <w:rPr>
                <w:rFonts w:cs="Arial"/>
              </w:rPr>
              <w:t>or</w:t>
            </w:r>
            <w:r>
              <w:rPr>
                <w:rFonts w:cs="Arial"/>
              </w:rPr>
              <w:t xml:space="preserve"> </w:t>
            </w:r>
            <w:r w:rsidRPr="00D22BC9">
              <w:rPr>
                <w:rFonts w:cs="Arial"/>
              </w:rPr>
              <w:t>refer</w:t>
            </w:r>
            <w:r>
              <w:rPr>
                <w:rFonts w:cs="Arial"/>
              </w:rPr>
              <w:t xml:space="preserve"> </w:t>
            </w:r>
            <w:r w:rsidRPr="00D22BC9">
              <w:rPr>
                <w:rFonts w:cs="Arial"/>
              </w:rPr>
              <w:t>treatment</w:t>
            </w:r>
            <w:r>
              <w:rPr>
                <w:rFonts w:cs="Arial"/>
              </w:rPr>
              <w:t xml:space="preserve"> </w:t>
            </w:r>
            <w:r w:rsidRPr="00D22BC9">
              <w:rPr>
                <w:rFonts w:cs="Arial"/>
              </w:rPr>
              <w:t>with</w:t>
            </w:r>
            <w:r>
              <w:rPr>
                <w:rFonts w:cs="Arial"/>
              </w:rPr>
              <w:t xml:space="preserve"> </w:t>
            </w:r>
            <w:r w:rsidRPr="00D22BC9">
              <w:rPr>
                <w:rFonts w:cs="Arial"/>
              </w:rPr>
              <w:t>another</w:t>
            </w:r>
            <w:r>
              <w:rPr>
                <w:rFonts w:cs="Arial"/>
              </w:rPr>
              <w:t xml:space="preserve"> </w:t>
            </w:r>
            <w:r w:rsidRPr="00D22BC9">
              <w:rPr>
                <w:rFonts w:cs="Arial"/>
              </w:rPr>
              <w:t>provider.</w:t>
            </w:r>
          </w:p>
          <w:p w14:paraId="1A5DC721" w14:textId="77777777" w:rsidR="000C547E" w:rsidRDefault="000C547E" w:rsidP="00991EDB">
            <w:pPr>
              <w:pStyle w:val="Body"/>
              <w:rPr>
                <w:rFonts w:cs="Arial"/>
              </w:rPr>
            </w:pPr>
            <w:r w:rsidRPr="00C129D8">
              <w:rPr>
                <w:u w:val="single"/>
              </w:rPr>
              <w:t>Monitoring depressive symptoms</w:t>
            </w:r>
            <w:r>
              <w:t xml:space="preserve">: </w:t>
            </w:r>
            <w:r>
              <w:rPr>
                <w:rFonts w:cs="Arial"/>
              </w:rPr>
              <w:t>T</w:t>
            </w:r>
            <w:r w:rsidRPr="00D22BC9">
              <w:rPr>
                <w:rFonts w:cs="Arial"/>
              </w:rPr>
              <w:t>he</w:t>
            </w:r>
            <w:r>
              <w:rPr>
                <w:rFonts w:cs="Arial"/>
              </w:rPr>
              <w:t xml:space="preserve"> </w:t>
            </w:r>
            <w:r w:rsidRPr="00D22BC9">
              <w:rPr>
                <w:rFonts w:cs="Arial"/>
              </w:rPr>
              <w:t>use</w:t>
            </w:r>
            <w:r>
              <w:rPr>
                <w:rFonts w:cs="Arial"/>
              </w:rPr>
              <w:t xml:space="preserve"> </w:t>
            </w:r>
            <w:r w:rsidRPr="00D22BC9">
              <w:rPr>
                <w:rFonts w:cs="Arial"/>
              </w:rPr>
              <w:t>of</w:t>
            </w:r>
            <w:r>
              <w:rPr>
                <w:rFonts w:cs="Arial"/>
              </w:rPr>
              <w:t xml:space="preserve"> </w:t>
            </w:r>
            <w:r w:rsidRPr="00D22BC9">
              <w:rPr>
                <w:rFonts w:cs="Arial"/>
              </w:rPr>
              <w:t>standardized</w:t>
            </w:r>
            <w:r>
              <w:rPr>
                <w:rFonts w:cs="Arial"/>
              </w:rPr>
              <w:t xml:space="preserve"> </w:t>
            </w:r>
            <w:r w:rsidRPr="00D22BC9">
              <w:rPr>
                <w:rFonts w:cs="Arial"/>
              </w:rPr>
              <w:t>tools</w:t>
            </w:r>
            <w:r>
              <w:rPr>
                <w:rFonts w:cs="Arial"/>
              </w:rPr>
              <w:t xml:space="preserve"> </w:t>
            </w:r>
            <w:r w:rsidRPr="00D22BC9">
              <w:rPr>
                <w:rFonts w:cs="Arial"/>
              </w:rPr>
              <w:t>is</w:t>
            </w:r>
            <w:r>
              <w:rPr>
                <w:rFonts w:cs="Arial"/>
              </w:rPr>
              <w:t xml:space="preserve"> </w:t>
            </w:r>
            <w:r w:rsidRPr="00D22BC9">
              <w:rPr>
                <w:rFonts w:cs="Arial"/>
              </w:rPr>
              <w:t>essential</w:t>
            </w:r>
            <w:r>
              <w:rPr>
                <w:rFonts w:cs="Arial"/>
              </w:rPr>
              <w:t xml:space="preserve"> f</w:t>
            </w:r>
            <w:r w:rsidRPr="00D22BC9">
              <w:rPr>
                <w:rFonts w:cs="Arial"/>
              </w:rPr>
              <w:t>o</w:t>
            </w:r>
            <w:r>
              <w:rPr>
                <w:rFonts w:cs="Arial"/>
              </w:rPr>
              <w:t xml:space="preserve">r </w:t>
            </w:r>
            <w:r w:rsidRPr="00D22BC9">
              <w:rPr>
                <w:rFonts w:cs="Arial"/>
              </w:rPr>
              <w:t>track</w:t>
            </w:r>
            <w:r>
              <w:rPr>
                <w:rFonts w:cs="Arial"/>
              </w:rPr>
              <w:t xml:space="preserve">ing </w:t>
            </w:r>
            <w:r w:rsidRPr="00D22BC9">
              <w:rPr>
                <w:rFonts w:cs="Arial"/>
              </w:rPr>
              <w:t>depressive</w:t>
            </w:r>
            <w:r>
              <w:rPr>
                <w:rFonts w:cs="Arial"/>
              </w:rPr>
              <w:t xml:space="preserve"> </w:t>
            </w:r>
            <w:r w:rsidRPr="00D22BC9">
              <w:rPr>
                <w:rFonts w:cs="Arial"/>
              </w:rPr>
              <w:t>symptoms</w:t>
            </w:r>
            <w:r>
              <w:rPr>
                <w:rFonts w:cs="Arial"/>
              </w:rPr>
              <w:t xml:space="preserve"> </w:t>
            </w:r>
            <w:r w:rsidRPr="00D22BC9">
              <w:rPr>
                <w:rFonts w:cs="Arial"/>
              </w:rPr>
              <w:t>and</w:t>
            </w:r>
            <w:r>
              <w:rPr>
                <w:rFonts w:cs="Arial"/>
              </w:rPr>
              <w:t xml:space="preserve"> </w:t>
            </w:r>
            <w:r w:rsidRPr="00D22BC9">
              <w:rPr>
                <w:rFonts w:cs="Arial"/>
              </w:rPr>
              <w:t>monitor</w:t>
            </w:r>
            <w:r>
              <w:rPr>
                <w:rFonts w:cs="Arial"/>
              </w:rPr>
              <w:t xml:space="preserve">ing </w:t>
            </w:r>
            <w:r w:rsidRPr="00D22BC9">
              <w:rPr>
                <w:rFonts w:cs="Arial"/>
              </w:rPr>
              <w:t>patient</w:t>
            </w:r>
            <w:r>
              <w:rPr>
                <w:rFonts w:cs="Arial"/>
              </w:rPr>
              <w:t xml:space="preserve"> </w:t>
            </w:r>
            <w:r w:rsidRPr="00D22BC9">
              <w:rPr>
                <w:rFonts w:cs="Arial"/>
              </w:rPr>
              <w:t>response</w:t>
            </w:r>
            <w:r>
              <w:rPr>
                <w:rFonts w:cs="Arial"/>
              </w:rPr>
              <w:t xml:space="preserve"> </w:t>
            </w:r>
            <w:r w:rsidRPr="00D22BC9">
              <w:rPr>
                <w:rFonts w:cs="Arial"/>
              </w:rPr>
              <w:t>to</w:t>
            </w:r>
            <w:r>
              <w:rPr>
                <w:rFonts w:cs="Arial"/>
              </w:rPr>
              <w:t xml:space="preserve"> </w:t>
            </w:r>
            <w:r w:rsidRPr="00D22BC9">
              <w:rPr>
                <w:rFonts w:cs="Arial"/>
              </w:rPr>
              <w:t>treatment.</w:t>
            </w:r>
            <w:r>
              <w:rPr>
                <w:rFonts w:cs="Arial"/>
              </w:rPr>
              <w:t xml:space="preserve"> </w:t>
            </w:r>
            <w:r w:rsidRPr="00D22BC9">
              <w:rPr>
                <w:rFonts w:cs="Arial"/>
              </w:rPr>
              <w:t>Standardized</w:t>
            </w:r>
            <w:r>
              <w:rPr>
                <w:rFonts w:cs="Arial"/>
              </w:rPr>
              <w:t xml:space="preserve"> </w:t>
            </w:r>
            <w:r w:rsidRPr="00D22BC9">
              <w:rPr>
                <w:rFonts w:cs="Arial"/>
              </w:rPr>
              <w:t>instruments</w:t>
            </w:r>
            <w:r>
              <w:rPr>
                <w:rFonts w:cs="Arial"/>
              </w:rPr>
              <w:t xml:space="preserve"> </w:t>
            </w:r>
            <w:r w:rsidRPr="00D22BC9">
              <w:rPr>
                <w:rFonts w:cs="Arial"/>
              </w:rPr>
              <w:t>are</w:t>
            </w:r>
            <w:r>
              <w:rPr>
                <w:rFonts w:cs="Arial"/>
              </w:rPr>
              <w:t xml:space="preserve"> </w:t>
            </w:r>
            <w:r w:rsidRPr="00D22BC9">
              <w:rPr>
                <w:rFonts w:cs="Arial"/>
              </w:rPr>
              <w:t>useful</w:t>
            </w:r>
            <w:r>
              <w:rPr>
                <w:rFonts w:cs="Arial"/>
              </w:rPr>
              <w:t xml:space="preserve"> </w:t>
            </w:r>
            <w:r w:rsidRPr="00D22BC9">
              <w:rPr>
                <w:rFonts w:cs="Arial"/>
              </w:rPr>
              <w:t>in</w:t>
            </w:r>
            <w:r>
              <w:rPr>
                <w:rFonts w:cs="Arial"/>
              </w:rPr>
              <w:t xml:space="preserve"> </w:t>
            </w:r>
            <w:r w:rsidRPr="00D22BC9">
              <w:rPr>
                <w:rFonts w:cs="Arial"/>
              </w:rPr>
              <w:t>identifying</w:t>
            </w:r>
            <w:r>
              <w:rPr>
                <w:rFonts w:cs="Arial"/>
              </w:rPr>
              <w:t xml:space="preserve"> </w:t>
            </w:r>
            <w:r w:rsidRPr="00D22BC9">
              <w:rPr>
                <w:rFonts w:cs="Arial"/>
              </w:rPr>
              <w:t>meaningful</w:t>
            </w:r>
            <w:r>
              <w:rPr>
                <w:rFonts w:cs="Arial"/>
              </w:rPr>
              <w:t xml:space="preserve"> </w:t>
            </w:r>
            <w:r w:rsidRPr="00D22BC9">
              <w:rPr>
                <w:rFonts w:cs="Arial"/>
              </w:rPr>
              <w:t>change</w:t>
            </w:r>
            <w:r>
              <w:rPr>
                <w:rFonts w:cs="Arial"/>
              </w:rPr>
              <w:t xml:space="preserve"> </w:t>
            </w:r>
            <w:r w:rsidRPr="00D22BC9">
              <w:rPr>
                <w:rFonts w:cs="Arial"/>
              </w:rPr>
              <w:t>in</w:t>
            </w:r>
            <w:r>
              <w:rPr>
                <w:rFonts w:cs="Arial"/>
              </w:rPr>
              <w:t xml:space="preserve"> </w:t>
            </w:r>
            <w:r w:rsidRPr="00D22BC9">
              <w:rPr>
                <w:rFonts w:cs="Arial"/>
              </w:rPr>
              <w:t>clinical</w:t>
            </w:r>
            <w:r>
              <w:rPr>
                <w:rFonts w:cs="Arial"/>
              </w:rPr>
              <w:t xml:space="preserve"> </w:t>
            </w:r>
            <w:r w:rsidRPr="00D22BC9">
              <w:rPr>
                <w:rFonts w:cs="Arial"/>
              </w:rPr>
              <w:t>outcomes</w:t>
            </w:r>
            <w:r>
              <w:rPr>
                <w:rFonts w:cs="Arial"/>
              </w:rPr>
              <w:t xml:space="preserve"> </w:t>
            </w:r>
            <w:r w:rsidRPr="00D22BC9">
              <w:rPr>
                <w:rFonts w:cs="Arial"/>
              </w:rPr>
              <w:t>over</w:t>
            </w:r>
            <w:r>
              <w:rPr>
                <w:rFonts w:cs="Arial"/>
              </w:rPr>
              <w:t xml:space="preserve"> </w:t>
            </w:r>
            <w:r w:rsidRPr="00D22BC9">
              <w:rPr>
                <w:rFonts w:cs="Arial"/>
              </w:rPr>
              <w:t>time.</w:t>
            </w:r>
            <w:r>
              <w:rPr>
                <w:rFonts w:cs="Arial"/>
              </w:rPr>
              <w:t xml:space="preserve"> </w:t>
            </w:r>
            <w:r w:rsidRPr="00D22BC9">
              <w:rPr>
                <w:rFonts w:cs="Arial"/>
              </w:rPr>
              <w:t>Guidelines</w:t>
            </w:r>
            <w:r>
              <w:rPr>
                <w:rFonts w:cs="Arial"/>
              </w:rPr>
              <w:t xml:space="preserve"> </w:t>
            </w:r>
            <w:r w:rsidRPr="00D22BC9">
              <w:rPr>
                <w:rFonts w:cs="Arial"/>
              </w:rPr>
              <w:t>recommend</w:t>
            </w:r>
            <w:r>
              <w:rPr>
                <w:rFonts w:cs="Arial"/>
              </w:rPr>
              <w:t xml:space="preserve"> </w:t>
            </w:r>
            <w:r w:rsidRPr="00D22BC9">
              <w:rPr>
                <w:rFonts w:cs="Arial"/>
              </w:rPr>
              <w:t>that</w:t>
            </w:r>
            <w:r>
              <w:rPr>
                <w:rFonts w:cs="Arial"/>
              </w:rPr>
              <w:t xml:space="preserve"> </w:t>
            </w:r>
            <w:r w:rsidRPr="00D22BC9">
              <w:rPr>
                <w:rFonts w:cs="Arial"/>
              </w:rPr>
              <w:t>providers</w:t>
            </w:r>
            <w:r>
              <w:rPr>
                <w:rFonts w:cs="Arial"/>
              </w:rPr>
              <w:t xml:space="preserve"> </w:t>
            </w:r>
            <w:r w:rsidRPr="00D22BC9">
              <w:rPr>
                <w:rFonts w:cs="Arial"/>
              </w:rPr>
              <w:t>establish</w:t>
            </w:r>
            <w:r>
              <w:rPr>
                <w:rFonts w:cs="Arial"/>
              </w:rPr>
              <w:t xml:space="preserve"> </w:t>
            </w:r>
            <w:r w:rsidRPr="00D22BC9">
              <w:rPr>
                <w:rFonts w:cs="Arial"/>
              </w:rPr>
              <w:t>and</w:t>
            </w:r>
            <w:r>
              <w:rPr>
                <w:rFonts w:cs="Arial"/>
              </w:rPr>
              <w:t xml:space="preserve"> </w:t>
            </w:r>
            <w:r w:rsidRPr="00D22BC9">
              <w:rPr>
                <w:rFonts w:cs="Arial"/>
              </w:rPr>
              <w:t>maintain</w:t>
            </w:r>
            <w:r>
              <w:rPr>
                <w:rFonts w:cs="Arial"/>
              </w:rPr>
              <w:t xml:space="preserve"> </w:t>
            </w:r>
            <w:r w:rsidRPr="00D22BC9">
              <w:rPr>
                <w:rFonts w:cs="Arial"/>
              </w:rPr>
              <w:t>regular</w:t>
            </w:r>
            <w:r>
              <w:rPr>
                <w:rFonts w:cs="Arial"/>
              </w:rPr>
              <w:t xml:space="preserve"> </w:t>
            </w:r>
            <w:r w:rsidRPr="00D22BC9">
              <w:rPr>
                <w:rFonts w:cs="Arial"/>
              </w:rPr>
              <w:t>follow</w:t>
            </w:r>
            <w:r w:rsidRPr="00D22BC9">
              <w:rPr>
                <w:rFonts w:ascii="Cambria Math" w:hAnsi="Cambria Math" w:cs="Cambria Math"/>
              </w:rPr>
              <w:t>‐</w:t>
            </w:r>
            <w:r w:rsidRPr="00D22BC9">
              <w:rPr>
                <w:rFonts w:cs="Arial"/>
              </w:rPr>
              <w:t>up</w:t>
            </w:r>
            <w:r>
              <w:rPr>
                <w:rFonts w:cs="Arial"/>
              </w:rPr>
              <w:t xml:space="preserve"> </w:t>
            </w:r>
            <w:r w:rsidRPr="00D22BC9">
              <w:rPr>
                <w:rFonts w:cs="Arial"/>
              </w:rPr>
              <w:t>with</w:t>
            </w:r>
            <w:r>
              <w:rPr>
                <w:rFonts w:cs="Arial"/>
              </w:rPr>
              <w:t xml:space="preserve"> </w:t>
            </w:r>
            <w:r w:rsidRPr="00D22BC9">
              <w:rPr>
                <w:rFonts w:cs="Arial"/>
              </w:rPr>
              <w:t>patients</w:t>
            </w:r>
            <w:r>
              <w:rPr>
                <w:rFonts w:cs="Arial"/>
              </w:rPr>
              <w:t xml:space="preserve"> </w:t>
            </w:r>
            <w:r w:rsidRPr="00D22BC9">
              <w:rPr>
                <w:rFonts w:cs="Arial"/>
              </w:rPr>
              <w:t>diagnosed</w:t>
            </w:r>
            <w:r>
              <w:rPr>
                <w:rFonts w:cs="Arial"/>
              </w:rPr>
              <w:t xml:space="preserve"> </w:t>
            </w:r>
            <w:r w:rsidRPr="00D22BC9">
              <w:rPr>
                <w:rFonts w:cs="Arial"/>
              </w:rPr>
              <w:t>with</w:t>
            </w:r>
            <w:r>
              <w:rPr>
                <w:rFonts w:cs="Arial"/>
              </w:rPr>
              <w:t xml:space="preserve"> </w:t>
            </w:r>
            <w:r w:rsidRPr="00D22BC9">
              <w:rPr>
                <w:rFonts w:cs="Arial"/>
              </w:rPr>
              <w:t>depression</w:t>
            </w:r>
            <w:r>
              <w:rPr>
                <w:rFonts w:cs="Arial"/>
              </w:rPr>
              <w:t xml:space="preserve"> </w:t>
            </w:r>
            <w:r w:rsidRPr="00D22BC9">
              <w:rPr>
                <w:rFonts w:cs="Arial"/>
              </w:rPr>
              <w:t>and</w:t>
            </w:r>
            <w:r>
              <w:rPr>
                <w:rFonts w:cs="Arial"/>
              </w:rPr>
              <w:t xml:space="preserve"> </w:t>
            </w:r>
            <w:r w:rsidRPr="00D22BC9">
              <w:rPr>
                <w:rFonts w:cs="Arial"/>
              </w:rPr>
              <w:t>use</w:t>
            </w:r>
            <w:r>
              <w:rPr>
                <w:rFonts w:cs="Arial"/>
              </w:rPr>
              <w:t xml:space="preserve"> </w:t>
            </w:r>
            <w:r w:rsidRPr="00D22BC9">
              <w:rPr>
                <w:rFonts w:cs="Arial"/>
              </w:rPr>
              <w:t>a</w:t>
            </w:r>
            <w:r>
              <w:rPr>
                <w:rFonts w:cs="Arial"/>
              </w:rPr>
              <w:t xml:space="preserve"> </w:t>
            </w:r>
            <w:r w:rsidRPr="00D22BC9">
              <w:rPr>
                <w:rFonts w:cs="Arial"/>
              </w:rPr>
              <w:t>standardized</w:t>
            </w:r>
            <w:r>
              <w:rPr>
                <w:rFonts w:cs="Arial"/>
              </w:rPr>
              <w:t xml:space="preserve"> </w:t>
            </w:r>
            <w:r w:rsidRPr="00D22BC9">
              <w:rPr>
                <w:rFonts w:cs="Arial"/>
              </w:rPr>
              <w:t>tool</w:t>
            </w:r>
            <w:r>
              <w:rPr>
                <w:rFonts w:cs="Arial"/>
              </w:rPr>
              <w:t xml:space="preserve"> </w:t>
            </w:r>
            <w:r w:rsidRPr="00D22BC9">
              <w:rPr>
                <w:rFonts w:cs="Arial"/>
              </w:rPr>
              <w:t>to</w:t>
            </w:r>
            <w:r>
              <w:rPr>
                <w:rFonts w:cs="Arial"/>
              </w:rPr>
              <w:t xml:space="preserve"> </w:t>
            </w:r>
            <w:r w:rsidRPr="00D22BC9">
              <w:rPr>
                <w:rFonts w:cs="Arial"/>
              </w:rPr>
              <w:t>track</w:t>
            </w:r>
            <w:r>
              <w:rPr>
                <w:rFonts w:cs="Arial"/>
              </w:rPr>
              <w:t xml:space="preserve"> </w:t>
            </w:r>
            <w:r w:rsidRPr="00D22BC9">
              <w:rPr>
                <w:rFonts w:cs="Arial"/>
              </w:rPr>
              <w:t>symptoms</w:t>
            </w:r>
            <w:r>
              <w:rPr>
                <w:rFonts w:cs="Arial"/>
              </w:rPr>
              <w:t xml:space="preserve"> </w:t>
            </w:r>
            <w:r w:rsidRPr="00D22BC9">
              <w:rPr>
                <w:rFonts w:cs="Arial"/>
              </w:rPr>
              <w:t>(Mitchel</w:t>
            </w:r>
            <w:r>
              <w:rPr>
                <w:rFonts w:cs="Arial"/>
              </w:rPr>
              <w:t xml:space="preserve"> </w:t>
            </w:r>
            <w:r w:rsidRPr="00D22BC9">
              <w:rPr>
                <w:rFonts w:cs="Arial"/>
              </w:rPr>
              <w:t>et</w:t>
            </w:r>
            <w:r>
              <w:rPr>
                <w:rFonts w:cs="Arial"/>
              </w:rPr>
              <w:t xml:space="preserve"> </w:t>
            </w:r>
            <w:r w:rsidRPr="00D22BC9">
              <w:rPr>
                <w:rFonts w:cs="Arial"/>
              </w:rPr>
              <w:t>al.,</w:t>
            </w:r>
            <w:r>
              <w:rPr>
                <w:rFonts w:cs="Arial"/>
              </w:rPr>
              <w:t xml:space="preserve"> </w:t>
            </w:r>
            <w:r w:rsidRPr="00D22BC9">
              <w:rPr>
                <w:rFonts w:cs="Arial"/>
              </w:rPr>
              <w:t>2013).</w:t>
            </w:r>
          </w:p>
          <w:p w14:paraId="1AACFE8E" w14:textId="77777777" w:rsidR="000C547E" w:rsidRPr="00D22BC9" w:rsidRDefault="000C547E" w:rsidP="00991EDB">
            <w:pPr>
              <w:pStyle w:val="Body"/>
              <w:rPr>
                <w:rFonts w:cs="Arial"/>
              </w:rPr>
            </w:pPr>
            <w:r w:rsidRPr="00D22BC9">
              <w:rPr>
                <w:rFonts w:cs="Arial"/>
              </w:rPr>
              <w:t>Meta-analyses</w:t>
            </w:r>
            <w:r>
              <w:rPr>
                <w:rFonts w:cs="Arial"/>
              </w:rPr>
              <w:t xml:space="preserve"> </w:t>
            </w:r>
            <w:r w:rsidRPr="00D22BC9">
              <w:rPr>
                <w:rFonts w:cs="Arial"/>
              </w:rPr>
              <w:t>of</w:t>
            </w:r>
            <w:r>
              <w:rPr>
                <w:rFonts w:cs="Arial"/>
              </w:rPr>
              <w:t xml:space="preserve"> </w:t>
            </w:r>
            <w:r w:rsidRPr="00D22BC9">
              <w:rPr>
                <w:rFonts w:cs="Arial"/>
              </w:rPr>
              <w:t>studies</w:t>
            </w:r>
            <w:r>
              <w:rPr>
                <w:rFonts w:cs="Arial"/>
              </w:rPr>
              <w:t xml:space="preserve"> </w:t>
            </w:r>
            <w:r w:rsidRPr="00D22BC9">
              <w:rPr>
                <w:rFonts w:cs="Arial"/>
              </w:rPr>
              <w:t>in</w:t>
            </w:r>
            <w:r>
              <w:rPr>
                <w:rFonts w:cs="Arial"/>
              </w:rPr>
              <w:t xml:space="preserve"> </w:t>
            </w:r>
            <w:r w:rsidRPr="00D22BC9">
              <w:rPr>
                <w:rFonts w:cs="Arial"/>
              </w:rPr>
              <w:t>adults</w:t>
            </w:r>
            <w:r>
              <w:rPr>
                <w:rFonts w:cs="Arial"/>
              </w:rPr>
              <w:t xml:space="preserve"> </w:t>
            </w:r>
            <w:r w:rsidRPr="00D22BC9">
              <w:rPr>
                <w:rFonts w:cs="Arial"/>
              </w:rPr>
              <w:t>indicate</w:t>
            </w:r>
            <w:r>
              <w:rPr>
                <w:rFonts w:cs="Arial"/>
              </w:rPr>
              <w:t xml:space="preserve"> </w:t>
            </w:r>
            <w:r w:rsidRPr="00D22BC9">
              <w:rPr>
                <w:rFonts w:cs="Arial"/>
              </w:rPr>
              <w:t>that</w:t>
            </w:r>
            <w:r>
              <w:rPr>
                <w:rFonts w:cs="Arial"/>
              </w:rPr>
              <w:t xml:space="preserve"> </w:t>
            </w:r>
            <w:r w:rsidRPr="00D22BC9">
              <w:rPr>
                <w:rFonts w:cs="Arial"/>
              </w:rPr>
              <w:t>formally</w:t>
            </w:r>
            <w:r>
              <w:rPr>
                <w:rFonts w:cs="Arial"/>
              </w:rPr>
              <w:t xml:space="preserve"> </w:t>
            </w:r>
            <w:r w:rsidRPr="00D22BC9">
              <w:rPr>
                <w:rFonts w:cs="Arial"/>
              </w:rPr>
              <w:t>monitoring</w:t>
            </w:r>
            <w:r>
              <w:rPr>
                <w:rFonts w:cs="Arial"/>
              </w:rPr>
              <w:t xml:space="preserve"> </w:t>
            </w:r>
            <w:r w:rsidRPr="00D22BC9">
              <w:rPr>
                <w:rFonts w:cs="Arial"/>
              </w:rPr>
              <w:t>patient</w:t>
            </w:r>
            <w:r>
              <w:rPr>
                <w:rFonts w:cs="Arial"/>
              </w:rPr>
              <w:t xml:space="preserve"> </w:t>
            </w:r>
            <w:r w:rsidRPr="00D22BC9">
              <w:rPr>
                <w:rFonts w:cs="Arial"/>
              </w:rPr>
              <w:t>progress</w:t>
            </w:r>
            <w:r>
              <w:rPr>
                <w:rFonts w:cs="Arial"/>
              </w:rPr>
              <w:t xml:space="preserve"> </w:t>
            </w:r>
            <w:r w:rsidRPr="00D22BC9">
              <w:rPr>
                <w:rFonts w:cs="Arial"/>
              </w:rPr>
              <w:t>improves</w:t>
            </w:r>
            <w:r>
              <w:rPr>
                <w:rFonts w:cs="Arial"/>
              </w:rPr>
              <w:t xml:space="preserve"> patient outcomes </w:t>
            </w:r>
            <w:r w:rsidRPr="00D22BC9">
              <w:rPr>
                <w:rFonts w:cs="Arial"/>
              </w:rPr>
              <w:t>(Lambert</w:t>
            </w:r>
            <w:r>
              <w:rPr>
                <w:rFonts w:cs="Arial"/>
              </w:rPr>
              <w:t xml:space="preserve"> </w:t>
            </w:r>
            <w:r w:rsidRPr="00D22BC9">
              <w:rPr>
                <w:rFonts w:cs="Arial"/>
              </w:rPr>
              <w:t>et</w:t>
            </w:r>
            <w:r>
              <w:rPr>
                <w:rFonts w:cs="Arial"/>
              </w:rPr>
              <w:t xml:space="preserve"> </w:t>
            </w:r>
            <w:r w:rsidRPr="00D22BC9">
              <w:rPr>
                <w:rFonts w:cs="Arial"/>
              </w:rPr>
              <w:t>al.,</w:t>
            </w:r>
            <w:r>
              <w:rPr>
                <w:rFonts w:cs="Arial"/>
              </w:rPr>
              <w:t xml:space="preserve"> </w:t>
            </w:r>
            <w:r w:rsidRPr="00D22BC9">
              <w:rPr>
                <w:rFonts w:cs="Arial"/>
              </w:rPr>
              <w:t>2003;</w:t>
            </w:r>
            <w:r>
              <w:rPr>
                <w:rFonts w:cs="Arial"/>
              </w:rPr>
              <w:t xml:space="preserve"> </w:t>
            </w:r>
            <w:r w:rsidRPr="00D22BC9">
              <w:rPr>
                <w:rFonts w:cs="Arial"/>
              </w:rPr>
              <w:t>Shimokawa</w:t>
            </w:r>
            <w:r>
              <w:rPr>
                <w:rFonts w:cs="Arial"/>
              </w:rPr>
              <w:t xml:space="preserve"> </w:t>
            </w:r>
            <w:r w:rsidRPr="00D22BC9">
              <w:rPr>
                <w:rFonts w:cs="Arial"/>
              </w:rPr>
              <w:t>et</w:t>
            </w:r>
            <w:r>
              <w:rPr>
                <w:rFonts w:cs="Arial"/>
              </w:rPr>
              <w:t xml:space="preserve"> </w:t>
            </w:r>
            <w:r w:rsidRPr="00D22BC9">
              <w:rPr>
                <w:rFonts w:cs="Arial"/>
              </w:rPr>
              <w:t>al.,</w:t>
            </w:r>
            <w:r>
              <w:rPr>
                <w:rFonts w:cs="Arial"/>
              </w:rPr>
              <w:t xml:space="preserve"> </w:t>
            </w:r>
            <w:r w:rsidRPr="00D22BC9">
              <w:rPr>
                <w:rFonts w:cs="Arial"/>
              </w:rPr>
              <w:t>2010;</w:t>
            </w:r>
            <w:r>
              <w:rPr>
                <w:rFonts w:cs="Arial"/>
              </w:rPr>
              <w:t xml:space="preserve"> </w:t>
            </w:r>
            <w:r w:rsidRPr="00D22BC9">
              <w:rPr>
                <w:rFonts w:cs="Arial"/>
              </w:rPr>
              <w:t>Knaup.,</w:t>
            </w:r>
            <w:r>
              <w:rPr>
                <w:rFonts w:cs="Arial"/>
              </w:rPr>
              <w:t xml:space="preserve"> </w:t>
            </w:r>
            <w:r w:rsidRPr="00D22BC9">
              <w:rPr>
                <w:rFonts w:cs="Arial"/>
              </w:rPr>
              <w:t>2009).</w:t>
            </w:r>
            <w:r>
              <w:rPr>
                <w:rFonts w:cs="Arial"/>
              </w:rPr>
              <w:t xml:space="preserve"> </w:t>
            </w:r>
            <w:r w:rsidRPr="00D22BC9">
              <w:rPr>
                <w:rFonts w:cs="Arial"/>
              </w:rPr>
              <w:t>For</w:t>
            </w:r>
            <w:r>
              <w:rPr>
                <w:rFonts w:cs="Arial"/>
              </w:rPr>
              <w:t xml:space="preserve"> </w:t>
            </w:r>
            <w:r w:rsidRPr="00D22BC9">
              <w:rPr>
                <w:rFonts w:cs="Arial"/>
              </w:rPr>
              <w:t>adolescents,</w:t>
            </w:r>
            <w:r>
              <w:rPr>
                <w:rFonts w:cs="Arial"/>
              </w:rPr>
              <w:t xml:space="preserve"> </w:t>
            </w:r>
            <w:r w:rsidRPr="00D22BC9">
              <w:rPr>
                <w:rFonts w:cs="Arial"/>
              </w:rPr>
              <w:t>the</w:t>
            </w:r>
            <w:r>
              <w:rPr>
                <w:rFonts w:cs="Arial"/>
              </w:rPr>
              <w:t xml:space="preserve"> </w:t>
            </w:r>
            <w:r w:rsidRPr="00D22BC9">
              <w:rPr>
                <w:rFonts w:cs="Arial"/>
              </w:rPr>
              <w:t>Guideline</w:t>
            </w:r>
            <w:r>
              <w:rPr>
                <w:rFonts w:cs="Arial"/>
              </w:rPr>
              <w:t xml:space="preserve"> </w:t>
            </w:r>
            <w:r w:rsidRPr="00D22BC9">
              <w:rPr>
                <w:rFonts w:cs="Arial"/>
              </w:rPr>
              <w:t>for</w:t>
            </w:r>
            <w:r>
              <w:rPr>
                <w:rFonts w:cs="Arial"/>
              </w:rPr>
              <w:t xml:space="preserve"> </w:t>
            </w:r>
            <w:r w:rsidRPr="00D22BC9">
              <w:rPr>
                <w:rFonts w:cs="Arial"/>
              </w:rPr>
              <w:t>Adolescent</w:t>
            </w:r>
            <w:r>
              <w:rPr>
                <w:rFonts w:cs="Arial"/>
              </w:rPr>
              <w:t xml:space="preserve"> </w:t>
            </w:r>
            <w:r w:rsidRPr="00D22BC9">
              <w:rPr>
                <w:rFonts w:cs="Arial"/>
              </w:rPr>
              <w:t>Depression</w:t>
            </w:r>
            <w:r>
              <w:rPr>
                <w:rFonts w:cs="Arial"/>
              </w:rPr>
              <w:t xml:space="preserve"> </w:t>
            </w:r>
            <w:r w:rsidRPr="00D22BC9">
              <w:rPr>
                <w:rFonts w:cs="Arial"/>
              </w:rPr>
              <w:t>in</w:t>
            </w:r>
            <w:r>
              <w:rPr>
                <w:rFonts w:cs="Arial"/>
              </w:rPr>
              <w:t xml:space="preserve"> </w:t>
            </w:r>
            <w:r w:rsidRPr="00D22BC9">
              <w:rPr>
                <w:rFonts w:cs="Arial"/>
              </w:rPr>
              <w:t>Primary</w:t>
            </w:r>
            <w:r>
              <w:rPr>
                <w:rFonts w:cs="Arial"/>
              </w:rPr>
              <w:t xml:space="preserve"> </w:t>
            </w:r>
            <w:r w:rsidRPr="00D22BC9">
              <w:rPr>
                <w:rFonts w:cs="Arial"/>
              </w:rPr>
              <w:t>Care</w:t>
            </w:r>
            <w:r>
              <w:rPr>
                <w:rFonts w:cs="Arial"/>
              </w:rPr>
              <w:t xml:space="preserve"> </w:t>
            </w:r>
            <w:r w:rsidRPr="00D22BC9">
              <w:rPr>
                <w:rFonts w:cs="Arial"/>
              </w:rPr>
              <w:t>(GLAD-PC)</w:t>
            </w:r>
            <w:r>
              <w:rPr>
                <w:rFonts w:cs="Arial"/>
              </w:rPr>
              <w:t xml:space="preserve"> </w:t>
            </w:r>
            <w:r w:rsidRPr="00D22BC9">
              <w:rPr>
                <w:rFonts w:cs="Arial"/>
              </w:rPr>
              <w:t>recommends</w:t>
            </w:r>
            <w:r>
              <w:rPr>
                <w:rFonts w:cs="Arial"/>
              </w:rPr>
              <w:t xml:space="preserve"> </w:t>
            </w:r>
            <w:r w:rsidRPr="00D22BC9">
              <w:rPr>
                <w:rFonts w:cs="Arial"/>
              </w:rPr>
              <w:t>systematic</w:t>
            </w:r>
            <w:r>
              <w:rPr>
                <w:rFonts w:cs="Arial"/>
              </w:rPr>
              <w:t xml:space="preserve"> </w:t>
            </w:r>
            <w:r w:rsidRPr="00D22BC9">
              <w:rPr>
                <w:rFonts w:cs="Arial"/>
              </w:rPr>
              <w:t>and</w:t>
            </w:r>
            <w:r>
              <w:rPr>
                <w:rFonts w:cs="Arial"/>
              </w:rPr>
              <w:t xml:space="preserve"> </w:t>
            </w:r>
            <w:r w:rsidRPr="00D22BC9">
              <w:rPr>
                <w:rFonts w:cs="Arial"/>
              </w:rPr>
              <w:t>regular</w:t>
            </w:r>
            <w:r>
              <w:rPr>
                <w:rFonts w:cs="Arial"/>
              </w:rPr>
              <w:t xml:space="preserve"> </w:t>
            </w:r>
            <w:r w:rsidRPr="00D22BC9">
              <w:rPr>
                <w:rFonts w:cs="Arial"/>
              </w:rPr>
              <w:t>tracking</w:t>
            </w:r>
            <w:r>
              <w:rPr>
                <w:rFonts w:cs="Arial"/>
              </w:rPr>
              <w:t xml:space="preserve"> </w:t>
            </w:r>
            <w:r w:rsidRPr="00D22BC9">
              <w:rPr>
                <w:rFonts w:cs="Arial"/>
              </w:rPr>
              <w:t>of</w:t>
            </w:r>
            <w:r>
              <w:rPr>
                <w:rFonts w:cs="Arial"/>
              </w:rPr>
              <w:t xml:space="preserve"> </w:t>
            </w:r>
            <w:r w:rsidRPr="00D22BC9">
              <w:rPr>
                <w:rFonts w:cs="Arial"/>
              </w:rPr>
              <w:t>treatment</w:t>
            </w:r>
            <w:r>
              <w:rPr>
                <w:rFonts w:cs="Arial"/>
              </w:rPr>
              <w:t xml:space="preserve"> </w:t>
            </w:r>
            <w:r w:rsidRPr="00D22BC9">
              <w:rPr>
                <w:rFonts w:cs="Arial"/>
              </w:rPr>
              <w:t>goals</w:t>
            </w:r>
            <w:r>
              <w:rPr>
                <w:rFonts w:cs="Arial"/>
              </w:rPr>
              <w:t xml:space="preserve"> </w:t>
            </w:r>
            <w:r w:rsidRPr="00D22BC9">
              <w:rPr>
                <w:rFonts w:cs="Arial"/>
              </w:rPr>
              <w:t>and</w:t>
            </w:r>
            <w:r>
              <w:rPr>
                <w:rFonts w:cs="Arial"/>
              </w:rPr>
              <w:t xml:space="preserve"> </w:t>
            </w:r>
            <w:r w:rsidRPr="00D22BC9">
              <w:rPr>
                <w:rFonts w:cs="Arial"/>
              </w:rPr>
              <w:t>outcomes,</w:t>
            </w:r>
            <w:r>
              <w:rPr>
                <w:rFonts w:cs="Arial"/>
              </w:rPr>
              <w:t xml:space="preserve"> </w:t>
            </w:r>
            <w:r w:rsidRPr="00D22BC9">
              <w:rPr>
                <w:rFonts w:cs="Arial"/>
              </w:rPr>
              <w:t>including</w:t>
            </w:r>
            <w:r>
              <w:rPr>
                <w:rFonts w:cs="Arial"/>
              </w:rPr>
              <w:t xml:space="preserve"> </w:t>
            </w:r>
            <w:r w:rsidRPr="00D22BC9">
              <w:rPr>
                <w:rFonts w:cs="Arial"/>
              </w:rPr>
              <w:t>assess</w:t>
            </w:r>
            <w:r>
              <w:rPr>
                <w:rFonts w:cs="Arial"/>
              </w:rPr>
              <w:t xml:space="preserve">ing </w:t>
            </w:r>
            <w:r w:rsidRPr="00D22BC9">
              <w:rPr>
                <w:rFonts w:cs="Arial"/>
              </w:rPr>
              <w:t>depressive</w:t>
            </w:r>
            <w:r>
              <w:rPr>
                <w:rFonts w:cs="Arial"/>
              </w:rPr>
              <w:t xml:space="preserve"> </w:t>
            </w:r>
            <w:r w:rsidRPr="00D22BC9">
              <w:rPr>
                <w:rFonts w:cs="Arial"/>
              </w:rPr>
              <w:t>symptoms</w:t>
            </w:r>
            <w:r>
              <w:rPr>
                <w:rFonts w:cs="Arial"/>
              </w:rPr>
              <w:t xml:space="preserve"> </w:t>
            </w:r>
            <w:r w:rsidRPr="00D22BC9">
              <w:rPr>
                <w:rFonts w:cs="Arial"/>
              </w:rPr>
              <w:t>and</w:t>
            </w:r>
            <w:r>
              <w:rPr>
                <w:rFonts w:cs="Arial"/>
              </w:rPr>
              <w:t xml:space="preserve"> </w:t>
            </w:r>
            <w:r w:rsidRPr="00D22BC9">
              <w:rPr>
                <w:rFonts w:cs="Arial"/>
              </w:rPr>
              <w:t>function,</w:t>
            </w:r>
            <w:r>
              <w:rPr>
                <w:rFonts w:cs="Arial"/>
              </w:rPr>
              <w:t xml:space="preserve"> </w:t>
            </w:r>
            <w:r w:rsidRPr="00D22BC9">
              <w:rPr>
                <w:rFonts w:cs="Arial"/>
              </w:rPr>
              <w:t>monitoring</w:t>
            </w:r>
            <w:r>
              <w:rPr>
                <w:rFonts w:cs="Arial"/>
              </w:rPr>
              <w:t xml:space="preserve"> </w:t>
            </w:r>
            <w:r w:rsidRPr="00D22BC9">
              <w:rPr>
                <w:rFonts w:cs="Arial"/>
              </w:rPr>
              <w:t>for</w:t>
            </w:r>
            <w:r>
              <w:rPr>
                <w:rFonts w:cs="Arial"/>
              </w:rPr>
              <w:t xml:space="preserve"> </w:t>
            </w:r>
            <w:r w:rsidRPr="00D22BC9">
              <w:rPr>
                <w:rFonts w:cs="Arial"/>
              </w:rPr>
              <w:t>adverse</w:t>
            </w:r>
            <w:r>
              <w:rPr>
                <w:rFonts w:cs="Arial"/>
              </w:rPr>
              <w:t xml:space="preserve"> </w:t>
            </w:r>
            <w:r w:rsidRPr="00D22BC9">
              <w:rPr>
                <w:rFonts w:cs="Arial"/>
              </w:rPr>
              <w:t>events</w:t>
            </w:r>
            <w:r>
              <w:rPr>
                <w:rFonts w:cs="Arial"/>
              </w:rPr>
              <w:t xml:space="preserve"> </w:t>
            </w:r>
            <w:r w:rsidRPr="00D22BC9">
              <w:rPr>
                <w:rFonts w:cs="Arial"/>
              </w:rPr>
              <w:t>during</w:t>
            </w:r>
            <w:r>
              <w:rPr>
                <w:rFonts w:cs="Arial"/>
              </w:rPr>
              <w:t xml:space="preserve"> </w:t>
            </w:r>
            <w:r w:rsidRPr="00D22BC9">
              <w:rPr>
                <w:rFonts w:cs="Arial"/>
              </w:rPr>
              <w:t>antidepressant</w:t>
            </w:r>
            <w:r>
              <w:rPr>
                <w:rFonts w:cs="Arial"/>
              </w:rPr>
              <w:t xml:space="preserve"> </w:t>
            </w:r>
            <w:r w:rsidRPr="00D22BC9">
              <w:rPr>
                <w:rFonts w:cs="Arial"/>
              </w:rPr>
              <w:t>treatment</w:t>
            </w:r>
            <w:r>
              <w:rPr>
                <w:rFonts w:cs="Arial"/>
              </w:rPr>
              <w:t xml:space="preserve"> </w:t>
            </w:r>
            <w:r w:rsidRPr="00D22BC9">
              <w:rPr>
                <w:rFonts w:cs="Arial"/>
              </w:rPr>
              <w:t>and</w:t>
            </w:r>
            <w:r>
              <w:rPr>
                <w:rFonts w:cs="Arial"/>
              </w:rPr>
              <w:t xml:space="preserve"> </w:t>
            </w:r>
            <w:r w:rsidRPr="00D22BC9">
              <w:rPr>
                <w:rFonts w:cs="Arial"/>
              </w:rPr>
              <w:t>reassess</w:t>
            </w:r>
            <w:r>
              <w:rPr>
                <w:rFonts w:cs="Arial"/>
              </w:rPr>
              <w:t xml:space="preserve">ing </w:t>
            </w:r>
            <w:r w:rsidRPr="00D22BC9">
              <w:rPr>
                <w:rFonts w:cs="Arial"/>
              </w:rPr>
              <w:t>diagnosis</w:t>
            </w:r>
            <w:r>
              <w:rPr>
                <w:rFonts w:cs="Arial"/>
              </w:rPr>
              <w:t xml:space="preserve"> </w:t>
            </w:r>
            <w:r w:rsidRPr="00D22BC9">
              <w:rPr>
                <w:rFonts w:cs="Arial"/>
              </w:rPr>
              <w:t>and</w:t>
            </w:r>
            <w:r>
              <w:rPr>
                <w:rFonts w:cs="Arial"/>
              </w:rPr>
              <w:t xml:space="preserve"> </w:t>
            </w:r>
            <w:r w:rsidRPr="00D22BC9">
              <w:rPr>
                <w:rFonts w:cs="Arial"/>
              </w:rPr>
              <w:t>treatment</w:t>
            </w:r>
            <w:r>
              <w:rPr>
                <w:rFonts w:cs="Arial"/>
              </w:rPr>
              <w:t xml:space="preserve"> </w:t>
            </w:r>
            <w:r w:rsidRPr="00D22BC9">
              <w:rPr>
                <w:rFonts w:cs="Arial"/>
              </w:rPr>
              <w:t>if</w:t>
            </w:r>
            <w:r>
              <w:rPr>
                <w:rFonts w:cs="Arial"/>
              </w:rPr>
              <w:t xml:space="preserve"> </w:t>
            </w:r>
            <w:r w:rsidRPr="00D22BC9">
              <w:rPr>
                <w:rFonts w:cs="Arial"/>
              </w:rPr>
              <w:t>no</w:t>
            </w:r>
            <w:r>
              <w:rPr>
                <w:rFonts w:cs="Arial"/>
              </w:rPr>
              <w:t xml:space="preserve"> </w:t>
            </w:r>
            <w:r w:rsidRPr="00D22BC9">
              <w:rPr>
                <w:rFonts w:cs="Arial"/>
              </w:rPr>
              <w:t>improvement</w:t>
            </w:r>
            <w:r>
              <w:rPr>
                <w:rFonts w:cs="Arial"/>
              </w:rPr>
              <w:t xml:space="preserve"> </w:t>
            </w:r>
            <w:r w:rsidRPr="00D22BC9">
              <w:rPr>
                <w:rFonts w:cs="Arial"/>
              </w:rPr>
              <w:t>is</w:t>
            </w:r>
            <w:r>
              <w:rPr>
                <w:rFonts w:cs="Arial"/>
              </w:rPr>
              <w:t xml:space="preserve"> </w:t>
            </w:r>
            <w:r w:rsidRPr="00D22BC9">
              <w:rPr>
                <w:rFonts w:cs="Arial"/>
              </w:rPr>
              <w:t>noted</w:t>
            </w:r>
            <w:r>
              <w:rPr>
                <w:rFonts w:cs="Arial"/>
              </w:rPr>
              <w:t xml:space="preserve"> </w:t>
            </w:r>
            <w:r w:rsidRPr="00D22BC9">
              <w:rPr>
                <w:rFonts w:cs="Arial"/>
              </w:rPr>
              <w:t>after</w:t>
            </w:r>
            <w:r>
              <w:rPr>
                <w:rFonts w:cs="Arial"/>
              </w:rPr>
              <w:t xml:space="preserve"> </w:t>
            </w:r>
            <w:r w:rsidRPr="00D22BC9">
              <w:rPr>
                <w:rFonts w:cs="Arial"/>
              </w:rPr>
              <w:t>6</w:t>
            </w:r>
            <w:r>
              <w:rPr>
                <w:rFonts w:cs="Arial"/>
              </w:rPr>
              <w:t>–</w:t>
            </w:r>
            <w:r w:rsidRPr="00D22BC9">
              <w:rPr>
                <w:rFonts w:cs="Arial"/>
              </w:rPr>
              <w:t>8</w:t>
            </w:r>
            <w:r>
              <w:rPr>
                <w:rFonts w:cs="Arial"/>
              </w:rPr>
              <w:t xml:space="preserve"> </w:t>
            </w:r>
            <w:r w:rsidRPr="00D22BC9">
              <w:rPr>
                <w:rFonts w:cs="Arial"/>
              </w:rPr>
              <w:t>weeks</w:t>
            </w:r>
            <w:r>
              <w:rPr>
                <w:rFonts w:cs="Arial"/>
              </w:rPr>
              <w:t xml:space="preserve"> (Cheung et al., 2007)</w:t>
            </w:r>
            <w:r w:rsidRPr="00D22BC9">
              <w:rPr>
                <w:rFonts w:cs="Arial"/>
              </w:rPr>
              <w:t>.</w:t>
            </w:r>
            <w:r>
              <w:rPr>
                <w:rFonts w:cs="Arial"/>
              </w:rPr>
              <w:t xml:space="preserve"> </w:t>
            </w:r>
            <w:r w:rsidRPr="00D22BC9">
              <w:rPr>
                <w:rFonts w:cs="Arial"/>
              </w:rPr>
              <w:t>One</w:t>
            </w:r>
            <w:r>
              <w:rPr>
                <w:rFonts w:cs="Arial"/>
              </w:rPr>
              <w:t xml:space="preserve"> </w:t>
            </w:r>
            <w:r w:rsidRPr="00D22BC9">
              <w:rPr>
                <w:rFonts w:cs="Arial"/>
              </w:rPr>
              <w:t>study</w:t>
            </w:r>
            <w:r>
              <w:rPr>
                <w:rFonts w:cs="Arial"/>
              </w:rPr>
              <w:t xml:space="preserve"> </w:t>
            </w:r>
            <w:r w:rsidRPr="00D22BC9">
              <w:rPr>
                <w:rFonts w:cs="Arial"/>
              </w:rPr>
              <w:t>found</w:t>
            </w:r>
            <w:r>
              <w:rPr>
                <w:rFonts w:cs="Arial"/>
              </w:rPr>
              <w:t xml:space="preserve"> </w:t>
            </w:r>
            <w:r w:rsidRPr="00D22BC9">
              <w:rPr>
                <w:rFonts w:cs="Arial"/>
              </w:rPr>
              <w:t>that</w:t>
            </w:r>
            <w:r>
              <w:rPr>
                <w:rFonts w:cs="Arial"/>
              </w:rPr>
              <w:t xml:space="preserve"> </w:t>
            </w:r>
            <w:r w:rsidRPr="00D22BC9">
              <w:rPr>
                <w:rFonts w:cs="Arial"/>
              </w:rPr>
              <w:t>youth</w:t>
            </w:r>
            <w:r>
              <w:rPr>
                <w:rFonts w:cs="Arial"/>
              </w:rPr>
              <w:t xml:space="preserve">s </w:t>
            </w:r>
            <w:r w:rsidRPr="00D22BC9">
              <w:rPr>
                <w:rFonts w:cs="Arial"/>
              </w:rPr>
              <w:t>with</w:t>
            </w:r>
            <w:r>
              <w:rPr>
                <w:rFonts w:cs="Arial"/>
              </w:rPr>
              <w:t xml:space="preserve"> </w:t>
            </w:r>
            <w:r w:rsidRPr="00D22BC9">
              <w:rPr>
                <w:rFonts w:cs="Arial"/>
              </w:rPr>
              <w:t>a</w:t>
            </w:r>
            <w:r>
              <w:rPr>
                <w:rFonts w:cs="Arial"/>
              </w:rPr>
              <w:t xml:space="preserve"> </w:t>
            </w:r>
            <w:r w:rsidRPr="00D22BC9">
              <w:rPr>
                <w:rFonts w:cs="Arial"/>
              </w:rPr>
              <w:t>range</w:t>
            </w:r>
            <w:r>
              <w:rPr>
                <w:rFonts w:cs="Arial"/>
              </w:rPr>
              <w:t xml:space="preserve"> </w:t>
            </w:r>
            <w:r w:rsidRPr="00D22BC9">
              <w:rPr>
                <w:rFonts w:cs="Arial"/>
              </w:rPr>
              <w:t>of</w:t>
            </w:r>
            <w:r>
              <w:rPr>
                <w:rFonts w:cs="Arial"/>
              </w:rPr>
              <w:t xml:space="preserve"> </w:t>
            </w:r>
            <w:r w:rsidRPr="00D22BC9">
              <w:rPr>
                <w:rFonts w:cs="Arial"/>
              </w:rPr>
              <w:t>symptoms</w:t>
            </w:r>
            <w:r>
              <w:rPr>
                <w:rFonts w:cs="Arial"/>
              </w:rPr>
              <w:t xml:space="preserve"> </w:t>
            </w:r>
            <w:r w:rsidRPr="00D22BC9">
              <w:rPr>
                <w:rFonts w:cs="Arial"/>
              </w:rPr>
              <w:t>improve</w:t>
            </w:r>
            <w:r>
              <w:rPr>
                <w:rFonts w:cs="Arial"/>
              </w:rPr>
              <w:t xml:space="preserve"> </w:t>
            </w:r>
            <w:r w:rsidRPr="00D22BC9">
              <w:rPr>
                <w:rFonts w:cs="Arial"/>
              </w:rPr>
              <w:t>more</w:t>
            </w:r>
            <w:r>
              <w:rPr>
                <w:rFonts w:cs="Arial"/>
              </w:rPr>
              <w:t xml:space="preserve"> </w:t>
            </w:r>
            <w:r w:rsidRPr="00D22BC9">
              <w:rPr>
                <w:rFonts w:cs="Arial"/>
              </w:rPr>
              <w:t>quickly</w:t>
            </w:r>
            <w:r>
              <w:rPr>
                <w:rFonts w:cs="Arial"/>
              </w:rPr>
              <w:t xml:space="preserve"> </w:t>
            </w:r>
            <w:r w:rsidRPr="00D22BC9">
              <w:rPr>
                <w:rFonts w:cs="Arial"/>
              </w:rPr>
              <w:t>when</w:t>
            </w:r>
            <w:r>
              <w:rPr>
                <w:rFonts w:cs="Arial"/>
              </w:rPr>
              <w:t xml:space="preserve"> </w:t>
            </w:r>
            <w:r w:rsidRPr="00D22BC9">
              <w:rPr>
                <w:rFonts w:cs="Arial"/>
              </w:rPr>
              <w:t>clinicians</w:t>
            </w:r>
            <w:r>
              <w:rPr>
                <w:rFonts w:cs="Arial"/>
              </w:rPr>
              <w:t xml:space="preserve"> </w:t>
            </w:r>
            <w:r w:rsidRPr="00D22BC9">
              <w:rPr>
                <w:rFonts w:cs="Arial"/>
              </w:rPr>
              <w:t>receive</w:t>
            </w:r>
            <w:r>
              <w:rPr>
                <w:rFonts w:cs="Arial"/>
              </w:rPr>
              <w:t xml:space="preserve"> </w:t>
            </w:r>
            <w:r w:rsidRPr="00D22BC9">
              <w:rPr>
                <w:rFonts w:cs="Arial"/>
              </w:rPr>
              <w:t>feedback</w:t>
            </w:r>
            <w:r>
              <w:rPr>
                <w:rFonts w:cs="Arial"/>
              </w:rPr>
              <w:t xml:space="preserve"> </w:t>
            </w:r>
            <w:r w:rsidRPr="00D22BC9">
              <w:rPr>
                <w:rFonts w:cs="Arial"/>
              </w:rPr>
              <w:t>from</w:t>
            </w:r>
            <w:r>
              <w:rPr>
                <w:rFonts w:cs="Arial"/>
              </w:rPr>
              <w:t xml:space="preserve"> </w:t>
            </w:r>
            <w:r w:rsidRPr="00D22BC9">
              <w:rPr>
                <w:rFonts w:cs="Arial"/>
              </w:rPr>
              <w:t>assessments</w:t>
            </w:r>
            <w:r>
              <w:rPr>
                <w:rFonts w:cs="Arial"/>
              </w:rPr>
              <w:t xml:space="preserve"> </w:t>
            </w:r>
            <w:r w:rsidRPr="00D22BC9">
              <w:rPr>
                <w:rFonts w:cs="Arial"/>
              </w:rPr>
              <w:t>every</w:t>
            </w:r>
            <w:r>
              <w:rPr>
                <w:rFonts w:cs="Arial"/>
              </w:rPr>
              <w:t xml:space="preserve"> </w:t>
            </w:r>
            <w:r w:rsidRPr="00D22BC9">
              <w:rPr>
                <w:rFonts w:cs="Arial"/>
              </w:rPr>
              <w:t>other</w:t>
            </w:r>
            <w:r>
              <w:rPr>
                <w:rFonts w:cs="Arial"/>
              </w:rPr>
              <w:t xml:space="preserve"> </w:t>
            </w:r>
            <w:r w:rsidRPr="00D22BC9">
              <w:rPr>
                <w:rFonts w:cs="Arial"/>
              </w:rPr>
              <w:t>week</w:t>
            </w:r>
            <w:r>
              <w:rPr>
                <w:rFonts w:cs="Arial"/>
              </w:rPr>
              <w:t xml:space="preserve"> </w:t>
            </w:r>
            <w:r w:rsidRPr="00D22BC9">
              <w:rPr>
                <w:rFonts w:cs="Arial"/>
              </w:rPr>
              <w:t>instead</w:t>
            </w:r>
            <w:r>
              <w:rPr>
                <w:rFonts w:cs="Arial"/>
              </w:rPr>
              <w:t xml:space="preserve"> </w:t>
            </w:r>
            <w:r w:rsidRPr="00D22BC9">
              <w:rPr>
                <w:rFonts w:cs="Arial"/>
              </w:rPr>
              <w:t>of</w:t>
            </w:r>
            <w:r>
              <w:rPr>
                <w:rFonts w:cs="Arial"/>
              </w:rPr>
              <w:t xml:space="preserve"> </w:t>
            </w:r>
            <w:r w:rsidRPr="00D22BC9">
              <w:rPr>
                <w:rFonts w:cs="Arial"/>
              </w:rPr>
              <w:t>every</w:t>
            </w:r>
            <w:r>
              <w:rPr>
                <w:rFonts w:cs="Arial"/>
              </w:rPr>
              <w:t xml:space="preserve"> </w:t>
            </w:r>
            <w:r w:rsidRPr="00D22BC9">
              <w:rPr>
                <w:rFonts w:cs="Arial"/>
              </w:rPr>
              <w:t>3</w:t>
            </w:r>
            <w:r>
              <w:rPr>
                <w:rFonts w:cs="Arial"/>
              </w:rPr>
              <w:t xml:space="preserve"> </w:t>
            </w:r>
            <w:r w:rsidRPr="00D22BC9">
              <w:rPr>
                <w:rFonts w:cs="Arial"/>
              </w:rPr>
              <w:t>months</w:t>
            </w:r>
            <w:r>
              <w:rPr>
                <w:rFonts w:cs="Arial"/>
              </w:rPr>
              <w:t xml:space="preserve"> </w:t>
            </w:r>
            <w:r w:rsidRPr="00D22BC9">
              <w:rPr>
                <w:rFonts w:cs="Arial"/>
              </w:rPr>
              <w:t>(Bickman</w:t>
            </w:r>
            <w:r>
              <w:rPr>
                <w:rFonts w:cs="Arial"/>
              </w:rPr>
              <w:t xml:space="preserve"> </w:t>
            </w:r>
            <w:r w:rsidRPr="00D22BC9">
              <w:rPr>
                <w:rFonts w:cs="Arial"/>
              </w:rPr>
              <w:t>et</w:t>
            </w:r>
            <w:r>
              <w:rPr>
                <w:rFonts w:cs="Arial"/>
              </w:rPr>
              <w:t xml:space="preserve"> </w:t>
            </w:r>
            <w:r w:rsidRPr="00D22BC9">
              <w:rPr>
                <w:rFonts w:cs="Arial"/>
              </w:rPr>
              <w:t>al.,</w:t>
            </w:r>
            <w:r>
              <w:rPr>
                <w:rFonts w:cs="Arial"/>
              </w:rPr>
              <w:t xml:space="preserve"> </w:t>
            </w:r>
            <w:r w:rsidRPr="00D22BC9">
              <w:rPr>
                <w:rFonts w:cs="Arial"/>
              </w:rPr>
              <w:t>2011).</w:t>
            </w:r>
            <w:r>
              <w:rPr>
                <w:rFonts w:cs="Arial"/>
              </w:rPr>
              <w:t xml:space="preserve"> </w:t>
            </w:r>
          </w:p>
          <w:p w14:paraId="79AE3E96" w14:textId="77777777" w:rsidR="000C547E" w:rsidRDefault="000C547E" w:rsidP="00991EDB">
            <w:pPr>
              <w:pStyle w:val="Body"/>
              <w:rPr>
                <w:rFonts w:cs="Arial"/>
              </w:rPr>
            </w:pPr>
            <w:r w:rsidRPr="00D22BC9">
              <w:rPr>
                <w:rFonts w:cs="Arial"/>
              </w:rPr>
              <w:t>Existing</w:t>
            </w:r>
            <w:r>
              <w:rPr>
                <w:rFonts w:cs="Arial"/>
              </w:rPr>
              <w:t xml:space="preserve"> </w:t>
            </w:r>
            <w:r w:rsidRPr="00D22BC9">
              <w:rPr>
                <w:rFonts w:cs="Arial"/>
              </w:rPr>
              <w:t>“gold</w:t>
            </w:r>
            <w:r>
              <w:rPr>
                <w:rFonts w:cs="Arial"/>
              </w:rPr>
              <w:t xml:space="preserve"> </w:t>
            </w:r>
            <w:r w:rsidRPr="00D22BC9">
              <w:rPr>
                <w:rFonts w:cs="Arial"/>
              </w:rPr>
              <w:t>standard”</w:t>
            </w:r>
            <w:r>
              <w:rPr>
                <w:rFonts w:cs="Arial"/>
              </w:rPr>
              <w:t xml:space="preserve"> </w:t>
            </w:r>
            <w:r w:rsidRPr="00D22BC9">
              <w:rPr>
                <w:rFonts w:cs="Arial"/>
              </w:rPr>
              <w:t>instruments,</w:t>
            </w:r>
            <w:r>
              <w:rPr>
                <w:rFonts w:cs="Arial"/>
              </w:rPr>
              <w:t xml:space="preserve"> such as </w:t>
            </w:r>
            <w:r w:rsidRPr="00D22BC9">
              <w:rPr>
                <w:rFonts w:cs="Arial"/>
              </w:rPr>
              <w:t>the</w:t>
            </w:r>
            <w:r>
              <w:rPr>
                <w:rFonts w:cs="Arial"/>
              </w:rPr>
              <w:t xml:space="preserve"> </w:t>
            </w:r>
            <w:r w:rsidRPr="00D22BC9">
              <w:rPr>
                <w:rFonts w:cs="Arial"/>
              </w:rPr>
              <w:t>Hamilton</w:t>
            </w:r>
            <w:r>
              <w:rPr>
                <w:rFonts w:cs="Arial"/>
              </w:rPr>
              <w:t xml:space="preserve"> </w:t>
            </w:r>
            <w:r w:rsidRPr="00D22BC9">
              <w:rPr>
                <w:rFonts w:cs="Arial"/>
              </w:rPr>
              <w:t>Depression</w:t>
            </w:r>
            <w:r>
              <w:rPr>
                <w:rFonts w:cs="Arial"/>
              </w:rPr>
              <w:t xml:space="preserve"> </w:t>
            </w:r>
            <w:r w:rsidRPr="00D22BC9">
              <w:rPr>
                <w:rFonts w:cs="Arial"/>
              </w:rPr>
              <w:t>Rating</w:t>
            </w:r>
            <w:r>
              <w:rPr>
                <w:rFonts w:cs="Arial"/>
              </w:rPr>
              <w:t xml:space="preserve"> </w:t>
            </w:r>
            <w:r w:rsidRPr="00D22BC9">
              <w:rPr>
                <w:rFonts w:cs="Arial"/>
              </w:rPr>
              <w:t>Scale,</w:t>
            </w:r>
            <w:r>
              <w:rPr>
                <w:rFonts w:cs="Arial"/>
              </w:rPr>
              <w:t xml:space="preserve"> </w:t>
            </w:r>
            <w:r w:rsidRPr="00D22BC9">
              <w:rPr>
                <w:rFonts w:cs="Arial"/>
              </w:rPr>
              <w:t>can</w:t>
            </w:r>
            <w:r>
              <w:rPr>
                <w:rFonts w:cs="Arial"/>
              </w:rPr>
              <w:t xml:space="preserve"> </w:t>
            </w:r>
            <w:r w:rsidRPr="00D22BC9">
              <w:rPr>
                <w:rFonts w:cs="Arial"/>
              </w:rPr>
              <w:t>be</w:t>
            </w:r>
            <w:r>
              <w:rPr>
                <w:rFonts w:cs="Arial"/>
              </w:rPr>
              <w:t xml:space="preserve"> </w:t>
            </w:r>
            <w:r w:rsidRPr="00D22BC9">
              <w:rPr>
                <w:rFonts w:cs="Arial"/>
              </w:rPr>
              <w:t>time</w:t>
            </w:r>
            <w:r>
              <w:rPr>
                <w:rFonts w:cs="Arial"/>
              </w:rPr>
              <w:t xml:space="preserve"> </w:t>
            </w:r>
            <w:r w:rsidRPr="00D22BC9">
              <w:rPr>
                <w:rFonts w:cs="Arial"/>
              </w:rPr>
              <w:t>consuming</w:t>
            </w:r>
            <w:r>
              <w:rPr>
                <w:rFonts w:cs="Arial"/>
              </w:rPr>
              <w:t xml:space="preserve"> </w:t>
            </w:r>
            <w:r w:rsidRPr="00D22BC9">
              <w:rPr>
                <w:rFonts w:cs="Arial"/>
              </w:rPr>
              <w:t>and</w:t>
            </w:r>
            <w:r>
              <w:rPr>
                <w:rFonts w:cs="Arial"/>
              </w:rPr>
              <w:t xml:space="preserve"> </w:t>
            </w:r>
            <w:r w:rsidRPr="00D22BC9">
              <w:rPr>
                <w:rFonts w:cs="Arial"/>
              </w:rPr>
              <w:t>require</w:t>
            </w:r>
            <w:r>
              <w:rPr>
                <w:rFonts w:cs="Arial"/>
              </w:rPr>
              <w:t xml:space="preserve"> </w:t>
            </w:r>
            <w:r w:rsidRPr="00D22BC9">
              <w:rPr>
                <w:rFonts w:cs="Arial"/>
              </w:rPr>
              <w:t>a</w:t>
            </w:r>
            <w:r>
              <w:rPr>
                <w:rFonts w:cs="Arial"/>
              </w:rPr>
              <w:t xml:space="preserve"> </w:t>
            </w:r>
            <w:r w:rsidRPr="00D22BC9">
              <w:rPr>
                <w:rFonts w:cs="Arial"/>
              </w:rPr>
              <w:t>specially</w:t>
            </w:r>
            <w:r>
              <w:rPr>
                <w:rFonts w:cs="Arial"/>
              </w:rPr>
              <w:t xml:space="preserve"> </w:t>
            </w:r>
            <w:r w:rsidRPr="00D22BC9">
              <w:rPr>
                <w:rFonts w:cs="Arial"/>
              </w:rPr>
              <w:t>trained</w:t>
            </w:r>
            <w:r>
              <w:rPr>
                <w:rFonts w:cs="Arial"/>
              </w:rPr>
              <w:t xml:space="preserve"> </w:t>
            </w:r>
            <w:r w:rsidRPr="00D22BC9">
              <w:rPr>
                <w:rFonts w:cs="Arial"/>
              </w:rPr>
              <w:t>interviewer.</w:t>
            </w:r>
            <w:r>
              <w:rPr>
                <w:rFonts w:cs="Arial"/>
              </w:rPr>
              <w:t xml:space="preserve"> </w:t>
            </w:r>
            <w:r w:rsidRPr="00D22BC9">
              <w:rPr>
                <w:rFonts w:cs="Arial"/>
              </w:rPr>
              <w:t>The</w:t>
            </w:r>
            <w:r>
              <w:rPr>
                <w:rFonts w:cs="Arial"/>
              </w:rPr>
              <w:t xml:space="preserve"> </w:t>
            </w:r>
            <w:r w:rsidRPr="00D22BC9">
              <w:rPr>
                <w:rFonts w:cs="Arial"/>
              </w:rPr>
              <w:t>brief</w:t>
            </w:r>
            <w:r>
              <w:rPr>
                <w:rFonts w:cs="Arial"/>
              </w:rPr>
              <w:t xml:space="preserve"> </w:t>
            </w:r>
            <w:r w:rsidRPr="00D22BC9">
              <w:rPr>
                <w:rFonts w:cs="Arial"/>
              </w:rPr>
              <w:t>PHQ-9</w:t>
            </w:r>
            <w:r>
              <w:rPr>
                <w:rFonts w:cs="Arial"/>
              </w:rPr>
              <w:t xml:space="preserve"> </w:t>
            </w:r>
            <w:r w:rsidRPr="00D22BC9">
              <w:rPr>
                <w:rFonts w:cs="Arial"/>
              </w:rPr>
              <w:t>questionnaire</w:t>
            </w:r>
            <w:r>
              <w:rPr>
                <w:rFonts w:cs="Arial"/>
              </w:rPr>
              <w:t xml:space="preserve"> </w:t>
            </w:r>
            <w:r w:rsidRPr="00D22BC9">
              <w:rPr>
                <w:rFonts w:cs="Arial"/>
              </w:rPr>
              <w:t>(©</w:t>
            </w:r>
            <w:r>
              <w:rPr>
                <w:rFonts w:cs="Arial"/>
              </w:rPr>
              <w:t xml:space="preserve"> </w:t>
            </w:r>
            <w:r w:rsidRPr="00D22BC9">
              <w:rPr>
                <w:rFonts w:cs="Arial"/>
              </w:rPr>
              <w:t>2005</w:t>
            </w:r>
            <w:r>
              <w:rPr>
                <w:rFonts w:cs="Arial"/>
              </w:rPr>
              <w:t xml:space="preserve"> </w:t>
            </w:r>
            <w:r w:rsidRPr="00D22BC9">
              <w:rPr>
                <w:rFonts w:cs="Arial"/>
              </w:rPr>
              <w:t>Pfizer)</w:t>
            </w:r>
            <w:r>
              <w:rPr>
                <w:rFonts w:cs="Arial"/>
              </w:rPr>
              <w:t xml:space="preserve"> </w:t>
            </w:r>
            <w:r w:rsidRPr="00D22BC9">
              <w:rPr>
                <w:rFonts w:cs="Arial"/>
              </w:rPr>
              <w:t>can</w:t>
            </w:r>
            <w:r>
              <w:rPr>
                <w:rFonts w:cs="Arial"/>
              </w:rPr>
              <w:t xml:space="preserve"> </w:t>
            </w:r>
            <w:r w:rsidRPr="00D22BC9">
              <w:rPr>
                <w:rFonts w:cs="Arial"/>
              </w:rPr>
              <w:t>be</w:t>
            </w:r>
            <w:r>
              <w:rPr>
                <w:rFonts w:cs="Arial"/>
              </w:rPr>
              <w:t xml:space="preserve"> </w:t>
            </w:r>
            <w:r w:rsidRPr="00D22BC9">
              <w:rPr>
                <w:rFonts w:cs="Arial"/>
              </w:rPr>
              <w:t>self-administered</w:t>
            </w:r>
            <w:r>
              <w:rPr>
                <w:rFonts w:cs="Arial"/>
              </w:rPr>
              <w:t xml:space="preserve"> </w:t>
            </w:r>
            <w:r w:rsidRPr="00D22BC9">
              <w:rPr>
                <w:rFonts w:cs="Arial"/>
              </w:rPr>
              <w:t>by</w:t>
            </w:r>
            <w:r>
              <w:rPr>
                <w:rFonts w:cs="Arial"/>
              </w:rPr>
              <w:t xml:space="preserve"> </w:t>
            </w:r>
            <w:r w:rsidRPr="00D22BC9">
              <w:rPr>
                <w:rFonts w:cs="Arial"/>
              </w:rPr>
              <w:t>the</w:t>
            </w:r>
            <w:r>
              <w:rPr>
                <w:rFonts w:cs="Arial"/>
              </w:rPr>
              <w:t xml:space="preserve"> </w:t>
            </w:r>
            <w:r w:rsidRPr="00D22BC9">
              <w:rPr>
                <w:rFonts w:cs="Arial"/>
              </w:rPr>
              <w:t>patient</w:t>
            </w:r>
            <w:r>
              <w:rPr>
                <w:rFonts w:cs="Arial"/>
              </w:rPr>
              <w:t xml:space="preserve"> and </w:t>
            </w:r>
            <w:r w:rsidRPr="00D22BC9">
              <w:rPr>
                <w:rFonts w:cs="Arial"/>
              </w:rPr>
              <w:t>has</w:t>
            </w:r>
            <w:r>
              <w:rPr>
                <w:rFonts w:cs="Arial"/>
              </w:rPr>
              <w:t xml:space="preserve"> </w:t>
            </w:r>
            <w:r w:rsidRPr="00D22BC9">
              <w:rPr>
                <w:rFonts w:cs="Arial"/>
              </w:rPr>
              <w:t>been</w:t>
            </w:r>
            <w:r>
              <w:rPr>
                <w:rFonts w:cs="Arial"/>
              </w:rPr>
              <w:t xml:space="preserve"> </w:t>
            </w:r>
            <w:r w:rsidRPr="00D22BC9">
              <w:rPr>
                <w:rFonts w:cs="Arial"/>
              </w:rPr>
              <w:t>validated</w:t>
            </w:r>
            <w:r>
              <w:rPr>
                <w:rFonts w:cs="Arial"/>
              </w:rPr>
              <w:t xml:space="preserve"> </w:t>
            </w:r>
            <w:r w:rsidRPr="00D22BC9">
              <w:rPr>
                <w:rFonts w:cs="Arial"/>
              </w:rPr>
              <w:t>for</w:t>
            </w:r>
            <w:r>
              <w:rPr>
                <w:rFonts w:cs="Arial"/>
              </w:rPr>
              <w:t xml:space="preserve"> </w:t>
            </w:r>
            <w:r w:rsidRPr="00D22BC9">
              <w:rPr>
                <w:rFonts w:cs="Arial"/>
              </w:rPr>
              <w:t>measuring</w:t>
            </w:r>
            <w:r>
              <w:rPr>
                <w:rFonts w:cs="Arial"/>
              </w:rPr>
              <w:t xml:space="preserve"> </w:t>
            </w:r>
            <w:r w:rsidRPr="00D22BC9">
              <w:rPr>
                <w:rFonts w:cs="Arial"/>
              </w:rPr>
              <w:t>depression</w:t>
            </w:r>
            <w:r>
              <w:rPr>
                <w:rFonts w:cs="Arial"/>
              </w:rPr>
              <w:t xml:space="preserve"> </w:t>
            </w:r>
            <w:r w:rsidRPr="00D22BC9">
              <w:rPr>
                <w:rFonts w:cs="Arial"/>
              </w:rPr>
              <w:t>severity</w:t>
            </w:r>
            <w:r>
              <w:rPr>
                <w:rFonts w:cs="Arial"/>
              </w:rPr>
              <w:t xml:space="preserve"> </w:t>
            </w:r>
            <w:r w:rsidRPr="00D22BC9">
              <w:rPr>
                <w:rFonts w:cs="Arial"/>
              </w:rPr>
              <w:t>and</w:t>
            </w:r>
            <w:r>
              <w:rPr>
                <w:rFonts w:cs="Arial"/>
              </w:rPr>
              <w:t xml:space="preserve"> </w:t>
            </w:r>
            <w:r w:rsidRPr="00D22BC9">
              <w:rPr>
                <w:rFonts w:cs="Arial"/>
              </w:rPr>
              <w:t>treatment</w:t>
            </w:r>
            <w:r>
              <w:rPr>
                <w:rFonts w:cs="Arial"/>
              </w:rPr>
              <w:t xml:space="preserve"> </w:t>
            </w:r>
            <w:r w:rsidRPr="00D22BC9">
              <w:rPr>
                <w:rFonts w:cs="Arial"/>
              </w:rPr>
              <w:t>response</w:t>
            </w:r>
            <w:r>
              <w:rPr>
                <w:rFonts w:cs="Arial"/>
              </w:rPr>
              <w:t xml:space="preserve"> </w:t>
            </w:r>
            <w:r w:rsidRPr="00D22BC9">
              <w:rPr>
                <w:rFonts w:cs="Arial"/>
              </w:rPr>
              <w:t>(Kroenke</w:t>
            </w:r>
            <w:r>
              <w:rPr>
                <w:rFonts w:cs="Arial"/>
              </w:rPr>
              <w:t xml:space="preserve"> </w:t>
            </w:r>
            <w:r w:rsidRPr="00D22BC9">
              <w:rPr>
                <w:rFonts w:cs="Arial"/>
              </w:rPr>
              <w:t>et</w:t>
            </w:r>
            <w:r>
              <w:rPr>
                <w:rFonts w:cs="Arial"/>
              </w:rPr>
              <w:t xml:space="preserve"> </w:t>
            </w:r>
            <w:r w:rsidRPr="00D22BC9">
              <w:rPr>
                <w:rFonts w:cs="Arial"/>
              </w:rPr>
              <w:t>al.,</w:t>
            </w:r>
            <w:r>
              <w:rPr>
                <w:rFonts w:cs="Arial"/>
              </w:rPr>
              <w:t xml:space="preserve"> </w:t>
            </w:r>
            <w:r w:rsidRPr="00D22BC9">
              <w:rPr>
                <w:rFonts w:cs="Arial"/>
              </w:rPr>
              <w:t>2001).</w:t>
            </w:r>
            <w:r>
              <w:rPr>
                <w:rFonts w:cs="Arial"/>
              </w:rPr>
              <w:t xml:space="preserve"> </w:t>
            </w:r>
          </w:p>
          <w:p w14:paraId="2CA3F8C1" w14:textId="77777777" w:rsidR="000C547E" w:rsidRDefault="000C547E" w:rsidP="00991EDB">
            <w:pPr>
              <w:pStyle w:val="Body"/>
              <w:rPr>
                <w:rFonts w:cs="Arial"/>
              </w:rPr>
            </w:pPr>
            <w:r w:rsidRPr="00D22BC9">
              <w:rPr>
                <w:rFonts w:cs="Arial"/>
              </w:rPr>
              <w:t>The</w:t>
            </w:r>
            <w:r>
              <w:rPr>
                <w:rFonts w:cs="Arial"/>
              </w:rPr>
              <w:t xml:space="preserve"> </w:t>
            </w:r>
            <w:r w:rsidRPr="00D22BC9">
              <w:rPr>
                <w:rFonts w:cs="Arial"/>
              </w:rPr>
              <w:t>tool</w:t>
            </w:r>
            <w:r>
              <w:rPr>
                <w:rFonts w:cs="Arial"/>
              </w:rPr>
              <w:t xml:space="preserve"> </w:t>
            </w:r>
            <w:r w:rsidRPr="00D22BC9">
              <w:rPr>
                <w:rFonts w:cs="Arial"/>
              </w:rPr>
              <w:t>assesses</w:t>
            </w:r>
            <w:r>
              <w:rPr>
                <w:rFonts w:cs="Arial"/>
              </w:rPr>
              <w:t xml:space="preserve"> </w:t>
            </w:r>
            <w:r w:rsidRPr="00D22BC9">
              <w:rPr>
                <w:rFonts w:cs="Arial"/>
              </w:rPr>
              <w:t>the</w:t>
            </w:r>
            <w:r>
              <w:rPr>
                <w:rFonts w:cs="Arial"/>
              </w:rPr>
              <w:t xml:space="preserve"> </w:t>
            </w:r>
            <w:r w:rsidRPr="00D22BC9">
              <w:rPr>
                <w:rFonts w:cs="Arial"/>
              </w:rPr>
              <w:t>nine</w:t>
            </w:r>
            <w:r>
              <w:rPr>
                <w:rFonts w:cs="Arial"/>
              </w:rPr>
              <w:t xml:space="preserve"> </w:t>
            </w:r>
            <w:r w:rsidRPr="00D22BC9">
              <w:rPr>
                <w:rFonts w:cs="Arial"/>
              </w:rPr>
              <w:t>DSM,</w:t>
            </w:r>
            <w:r>
              <w:rPr>
                <w:rFonts w:cs="Arial"/>
              </w:rPr>
              <w:t xml:space="preserve"> </w:t>
            </w:r>
            <w:r w:rsidRPr="00D22BC9">
              <w:rPr>
                <w:rFonts w:cs="Arial"/>
              </w:rPr>
              <w:t>Fourth</w:t>
            </w:r>
            <w:r>
              <w:rPr>
                <w:rFonts w:cs="Arial"/>
              </w:rPr>
              <w:t xml:space="preserve"> </w:t>
            </w:r>
            <w:r w:rsidRPr="00D22BC9">
              <w:rPr>
                <w:rFonts w:cs="Arial"/>
              </w:rPr>
              <w:t>Edition,</w:t>
            </w:r>
            <w:r>
              <w:rPr>
                <w:rFonts w:cs="Arial"/>
              </w:rPr>
              <w:t xml:space="preserve"> </w:t>
            </w:r>
            <w:r w:rsidRPr="00D22BC9">
              <w:rPr>
                <w:rFonts w:cs="Arial"/>
              </w:rPr>
              <w:t>Text</w:t>
            </w:r>
            <w:r>
              <w:rPr>
                <w:rFonts w:cs="Arial"/>
              </w:rPr>
              <w:t xml:space="preserve"> </w:t>
            </w:r>
            <w:r w:rsidRPr="00D22BC9">
              <w:rPr>
                <w:rFonts w:cs="Arial"/>
              </w:rPr>
              <w:t>Revision</w:t>
            </w:r>
            <w:r>
              <w:rPr>
                <w:rFonts w:cs="Arial"/>
              </w:rPr>
              <w:t xml:space="preserve"> </w:t>
            </w:r>
            <w:r w:rsidRPr="00D22BC9">
              <w:rPr>
                <w:rFonts w:cs="Arial"/>
              </w:rPr>
              <w:t>(DSM-IV-TR)</w:t>
            </w:r>
            <w:r>
              <w:rPr>
                <w:rFonts w:cs="Arial"/>
              </w:rPr>
              <w:t xml:space="preserve"> </w:t>
            </w:r>
            <w:r w:rsidRPr="00D22BC9">
              <w:rPr>
                <w:rFonts w:cs="Arial"/>
              </w:rPr>
              <w:t>criterion</w:t>
            </w:r>
            <w:r>
              <w:rPr>
                <w:rFonts w:cs="Arial"/>
              </w:rPr>
              <w:t xml:space="preserve"> </w:t>
            </w:r>
            <w:r w:rsidRPr="00D22BC9">
              <w:rPr>
                <w:rFonts w:cs="Arial"/>
              </w:rPr>
              <w:t>symptoms</w:t>
            </w:r>
            <w:r>
              <w:rPr>
                <w:rFonts w:cs="Arial"/>
              </w:rPr>
              <w:t xml:space="preserve"> </w:t>
            </w:r>
            <w:r w:rsidRPr="00D22BC9">
              <w:rPr>
                <w:rFonts w:cs="Arial"/>
              </w:rPr>
              <w:t>and</w:t>
            </w:r>
            <w:r>
              <w:rPr>
                <w:rFonts w:cs="Arial"/>
              </w:rPr>
              <w:t xml:space="preserve"> </w:t>
            </w:r>
            <w:r w:rsidRPr="00D22BC9">
              <w:rPr>
                <w:rFonts w:cs="Arial"/>
              </w:rPr>
              <w:t>effects</w:t>
            </w:r>
            <w:r>
              <w:rPr>
                <w:rFonts w:cs="Arial"/>
              </w:rPr>
              <w:t xml:space="preserve"> </w:t>
            </w:r>
            <w:r w:rsidRPr="00D22BC9">
              <w:rPr>
                <w:rFonts w:cs="Arial"/>
              </w:rPr>
              <w:t>on</w:t>
            </w:r>
            <w:r>
              <w:rPr>
                <w:rFonts w:cs="Arial"/>
              </w:rPr>
              <w:t xml:space="preserve"> </w:t>
            </w:r>
            <w:r w:rsidRPr="00D22BC9">
              <w:rPr>
                <w:rFonts w:cs="Arial"/>
              </w:rPr>
              <w:t>functioning</w:t>
            </w:r>
            <w:r>
              <w:rPr>
                <w:rFonts w:cs="Arial"/>
              </w:rPr>
              <w:t xml:space="preserve">, </w:t>
            </w:r>
            <w:r w:rsidRPr="00D22BC9">
              <w:rPr>
                <w:rFonts w:cs="Arial"/>
              </w:rPr>
              <w:t>and</w:t>
            </w:r>
            <w:r>
              <w:rPr>
                <w:rFonts w:cs="Arial"/>
              </w:rPr>
              <w:t xml:space="preserve"> </w:t>
            </w:r>
            <w:r w:rsidRPr="00D22BC9">
              <w:rPr>
                <w:rFonts w:cs="Arial"/>
              </w:rPr>
              <w:t>has</w:t>
            </w:r>
            <w:r>
              <w:rPr>
                <w:rFonts w:cs="Arial"/>
              </w:rPr>
              <w:t xml:space="preserve"> </w:t>
            </w:r>
            <w:r w:rsidRPr="00D22BC9">
              <w:rPr>
                <w:rFonts w:cs="Arial"/>
              </w:rPr>
              <w:t>been</w:t>
            </w:r>
            <w:r>
              <w:rPr>
                <w:rFonts w:cs="Arial"/>
              </w:rPr>
              <w:t xml:space="preserve"> </w:t>
            </w:r>
            <w:r w:rsidRPr="00D22BC9">
              <w:rPr>
                <w:rFonts w:cs="Arial"/>
              </w:rPr>
              <w:t>shown</w:t>
            </w:r>
            <w:r>
              <w:rPr>
                <w:rFonts w:cs="Arial"/>
              </w:rPr>
              <w:t xml:space="preserve"> </w:t>
            </w:r>
            <w:r w:rsidRPr="00D22BC9">
              <w:rPr>
                <w:rFonts w:cs="Arial"/>
              </w:rPr>
              <w:t>to</w:t>
            </w:r>
            <w:r>
              <w:rPr>
                <w:rFonts w:cs="Arial"/>
              </w:rPr>
              <w:t xml:space="preserve"> </w:t>
            </w:r>
            <w:r w:rsidRPr="00D22BC9">
              <w:rPr>
                <w:rFonts w:cs="Arial"/>
              </w:rPr>
              <w:t>be</w:t>
            </w:r>
            <w:r>
              <w:rPr>
                <w:rFonts w:cs="Arial"/>
              </w:rPr>
              <w:t xml:space="preserve"> </w:t>
            </w:r>
            <w:r w:rsidRPr="00D22BC9">
              <w:rPr>
                <w:rFonts w:cs="Arial"/>
              </w:rPr>
              <w:t>highly</w:t>
            </w:r>
            <w:r>
              <w:rPr>
                <w:rFonts w:cs="Arial"/>
              </w:rPr>
              <w:t xml:space="preserve"> </w:t>
            </w:r>
            <w:r w:rsidRPr="00D22BC9">
              <w:rPr>
                <w:rFonts w:cs="Arial"/>
              </w:rPr>
              <w:t>accurate</w:t>
            </w:r>
            <w:r>
              <w:rPr>
                <w:rFonts w:cs="Arial"/>
              </w:rPr>
              <w:t xml:space="preserve"> </w:t>
            </w:r>
            <w:r w:rsidRPr="00D22BC9">
              <w:rPr>
                <w:rFonts w:cs="Arial"/>
              </w:rPr>
              <w:t>in</w:t>
            </w:r>
            <w:r>
              <w:rPr>
                <w:rFonts w:cs="Arial"/>
              </w:rPr>
              <w:t xml:space="preserve"> </w:t>
            </w:r>
            <w:r w:rsidRPr="00D22BC9">
              <w:rPr>
                <w:rFonts w:cs="Arial"/>
              </w:rPr>
              <w:t>discriminating</w:t>
            </w:r>
            <w:r>
              <w:rPr>
                <w:rFonts w:cs="Arial"/>
              </w:rPr>
              <w:t xml:space="preserve"> </w:t>
            </w:r>
            <w:r w:rsidRPr="00D22BC9">
              <w:rPr>
                <w:rFonts w:cs="Arial"/>
              </w:rPr>
              <w:t>patients</w:t>
            </w:r>
            <w:r>
              <w:rPr>
                <w:rFonts w:cs="Arial"/>
              </w:rPr>
              <w:t xml:space="preserve"> </w:t>
            </w:r>
            <w:r w:rsidRPr="00D22BC9">
              <w:rPr>
                <w:rFonts w:cs="Arial"/>
              </w:rPr>
              <w:t>with</w:t>
            </w:r>
            <w:r>
              <w:rPr>
                <w:rFonts w:cs="Arial"/>
              </w:rPr>
              <w:t xml:space="preserve"> </w:t>
            </w:r>
            <w:r w:rsidRPr="00D22BC9">
              <w:rPr>
                <w:rFonts w:cs="Arial"/>
              </w:rPr>
              <w:t>persistent</w:t>
            </w:r>
            <w:r>
              <w:rPr>
                <w:rFonts w:cs="Arial"/>
              </w:rPr>
              <w:t xml:space="preserve"> </w:t>
            </w:r>
            <w:r w:rsidRPr="00D22BC9">
              <w:rPr>
                <w:rFonts w:cs="Arial"/>
              </w:rPr>
              <w:t>major</w:t>
            </w:r>
            <w:r>
              <w:rPr>
                <w:rFonts w:cs="Arial"/>
              </w:rPr>
              <w:t xml:space="preserve"> </w:t>
            </w:r>
            <w:r w:rsidRPr="00D22BC9">
              <w:rPr>
                <w:rFonts w:cs="Arial"/>
              </w:rPr>
              <w:t>depression,</w:t>
            </w:r>
            <w:r>
              <w:rPr>
                <w:rFonts w:cs="Arial"/>
              </w:rPr>
              <w:t xml:space="preserve"> </w:t>
            </w:r>
            <w:r w:rsidRPr="00D22BC9">
              <w:rPr>
                <w:rFonts w:cs="Arial"/>
              </w:rPr>
              <w:t>partial</w:t>
            </w:r>
            <w:r>
              <w:rPr>
                <w:rFonts w:cs="Arial"/>
              </w:rPr>
              <w:t xml:space="preserve"> </w:t>
            </w:r>
            <w:r w:rsidRPr="00D22BC9">
              <w:rPr>
                <w:rFonts w:cs="Arial"/>
              </w:rPr>
              <w:t>remission</w:t>
            </w:r>
            <w:r>
              <w:rPr>
                <w:rFonts w:cs="Arial"/>
              </w:rPr>
              <w:t xml:space="preserve"> </w:t>
            </w:r>
            <w:r w:rsidRPr="00D22BC9">
              <w:rPr>
                <w:rFonts w:cs="Arial"/>
              </w:rPr>
              <w:t>and</w:t>
            </w:r>
            <w:r>
              <w:rPr>
                <w:rFonts w:cs="Arial"/>
              </w:rPr>
              <w:t xml:space="preserve"> </w:t>
            </w:r>
            <w:r w:rsidRPr="00D22BC9">
              <w:rPr>
                <w:rFonts w:cs="Arial"/>
              </w:rPr>
              <w:t>full</w:t>
            </w:r>
            <w:r>
              <w:rPr>
                <w:rFonts w:cs="Arial"/>
              </w:rPr>
              <w:t xml:space="preserve"> </w:t>
            </w:r>
            <w:r w:rsidRPr="00D22BC9">
              <w:rPr>
                <w:rFonts w:cs="Arial"/>
              </w:rPr>
              <w:t>remission</w:t>
            </w:r>
            <w:r>
              <w:rPr>
                <w:rFonts w:cs="Arial"/>
              </w:rPr>
              <w:t xml:space="preserve"> </w:t>
            </w:r>
            <w:r w:rsidRPr="00D22BC9">
              <w:rPr>
                <w:rFonts w:cs="Arial"/>
              </w:rPr>
              <w:t>(Gilbody</w:t>
            </w:r>
            <w:r>
              <w:rPr>
                <w:rFonts w:cs="Arial"/>
              </w:rPr>
              <w:t xml:space="preserve"> </w:t>
            </w:r>
            <w:r w:rsidRPr="00D22BC9">
              <w:rPr>
                <w:rFonts w:cs="Arial"/>
              </w:rPr>
              <w:t>et</w:t>
            </w:r>
            <w:r>
              <w:rPr>
                <w:rFonts w:cs="Arial"/>
              </w:rPr>
              <w:t xml:space="preserve"> </w:t>
            </w:r>
            <w:r w:rsidRPr="00D22BC9">
              <w:rPr>
                <w:rFonts w:cs="Arial"/>
              </w:rPr>
              <w:t>al.,</w:t>
            </w:r>
            <w:r>
              <w:rPr>
                <w:rFonts w:cs="Arial"/>
              </w:rPr>
              <w:t xml:space="preserve"> </w:t>
            </w:r>
            <w:r w:rsidRPr="00D22BC9">
              <w:rPr>
                <w:rFonts w:cs="Arial"/>
              </w:rPr>
              <w:t>2007;</w:t>
            </w:r>
            <w:r>
              <w:rPr>
                <w:rFonts w:cs="Arial"/>
              </w:rPr>
              <w:t xml:space="preserve"> </w:t>
            </w:r>
            <w:r w:rsidRPr="00D22BC9">
              <w:rPr>
                <w:rFonts w:cs="Arial"/>
              </w:rPr>
              <w:t>Lowe</w:t>
            </w:r>
            <w:r>
              <w:rPr>
                <w:rFonts w:cs="Arial"/>
              </w:rPr>
              <w:t xml:space="preserve"> </w:t>
            </w:r>
            <w:r w:rsidRPr="00D22BC9">
              <w:rPr>
                <w:rFonts w:cs="Arial"/>
              </w:rPr>
              <w:t>et</w:t>
            </w:r>
            <w:r>
              <w:rPr>
                <w:rFonts w:cs="Arial"/>
              </w:rPr>
              <w:t xml:space="preserve"> </w:t>
            </w:r>
            <w:r w:rsidRPr="00D22BC9">
              <w:rPr>
                <w:rFonts w:cs="Arial"/>
              </w:rPr>
              <w:t>al.,</w:t>
            </w:r>
            <w:r>
              <w:rPr>
                <w:rFonts w:cs="Arial"/>
              </w:rPr>
              <w:t xml:space="preserve"> </w:t>
            </w:r>
            <w:r w:rsidRPr="00D22BC9">
              <w:rPr>
                <w:rFonts w:cs="Arial"/>
              </w:rPr>
              <w:t>2004;</w:t>
            </w:r>
            <w:r>
              <w:rPr>
                <w:rFonts w:cs="Arial"/>
              </w:rPr>
              <w:t xml:space="preserve"> </w:t>
            </w:r>
            <w:r w:rsidRPr="00D22BC9">
              <w:rPr>
                <w:rFonts w:cs="Arial"/>
              </w:rPr>
              <w:t>Martin</w:t>
            </w:r>
            <w:r>
              <w:rPr>
                <w:rFonts w:cs="Arial"/>
              </w:rPr>
              <w:t xml:space="preserve"> </w:t>
            </w:r>
            <w:r w:rsidRPr="00D22BC9">
              <w:rPr>
                <w:rFonts w:cs="Arial"/>
              </w:rPr>
              <w:t>et</w:t>
            </w:r>
            <w:r>
              <w:rPr>
                <w:rFonts w:cs="Arial"/>
              </w:rPr>
              <w:t xml:space="preserve"> </w:t>
            </w:r>
            <w:r w:rsidRPr="00D22BC9">
              <w:rPr>
                <w:rFonts w:cs="Arial"/>
              </w:rPr>
              <w:t>al.,</w:t>
            </w:r>
            <w:r>
              <w:rPr>
                <w:rFonts w:cs="Arial"/>
              </w:rPr>
              <w:t xml:space="preserve"> </w:t>
            </w:r>
            <w:r w:rsidRPr="00D22BC9">
              <w:rPr>
                <w:rFonts w:cs="Arial"/>
              </w:rPr>
              <w:t>2006).</w:t>
            </w:r>
            <w:r>
              <w:rPr>
                <w:rFonts w:cs="Arial"/>
              </w:rPr>
              <w:t xml:space="preserve"> </w:t>
            </w:r>
          </w:p>
          <w:p w14:paraId="298ACC1F" w14:textId="77777777" w:rsidR="000C547E" w:rsidRDefault="000C547E" w:rsidP="00991EDB">
            <w:pPr>
              <w:pStyle w:val="Body"/>
              <w:spacing w:before="120"/>
              <w:rPr>
                <w:rFonts w:cs="Arial"/>
              </w:rPr>
            </w:pPr>
            <w:r w:rsidRPr="00D22BC9">
              <w:rPr>
                <w:rFonts w:cs="Arial"/>
              </w:rPr>
              <w:t>Benefits</w:t>
            </w:r>
            <w:r>
              <w:rPr>
                <w:rFonts w:cs="Arial"/>
              </w:rPr>
              <w:t xml:space="preserve"> </w:t>
            </w:r>
            <w:r w:rsidRPr="00D22BC9">
              <w:rPr>
                <w:rFonts w:cs="Arial"/>
              </w:rPr>
              <w:t>of</w:t>
            </w:r>
            <w:r>
              <w:rPr>
                <w:rFonts w:cs="Arial"/>
              </w:rPr>
              <w:t xml:space="preserve"> </w:t>
            </w:r>
            <w:r w:rsidRPr="00D22BC9">
              <w:rPr>
                <w:rFonts w:cs="Arial"/>
              </w:rPr>
              <w:t>the</w:t>
            </w:r>
            <w:r>
              <w:rPr>
                <w:rFonts w:cs="Arial"/>
              </w:rPr>
              <w:t xml:space="preserve"> </w:t>
            </w:r>
            <w:r w:rsidRPr="00D22BC9">
              <w:rPr>
                <w:rFonts w:cs="Arial"/>
              </w:rPr>
              <w:t>PHQ-9</w:t>
            </w:r>
            <w:r>
              <w:rPr>
                <w:rFonts w:cs="Arial"/>
              </w:rPr>
              <w:t xml:space="preserve"> </w:t>
            </w:r>
            <w:r w:rsidRPr="00D22BC9">
              <w:rPr>
                <w:rFonts w:cs="Arial"/>
              </w:rPr>
              <w:t>tool</w:t>
            </w:r>
            <w:r>
              <w:rPr>
                <w:rFonts w:cs="Arial"/>
              </w:rPr>
              <w:t xml:space="preserve"> </w:t>
            </w:r>
            <w:r w:rsidRPr="00D22BC9">
              <w:rPr>
                <w:rFonts w:cs="Arial"/>
              </w:rPr>
              <w:t>are</w:t>
            </w:r>
            <w:r>
              <w:rPr>
                <w:rFonts w:cs="Arial"/>
              </w:rPr>
              <w:t xml:space="preserve"> </w:t>
            </w:r>
            <w:r w:rsidRPr="00D22BC9">
              <w:rPr>
                <w:rFonts w:cs="Arial"/>
              </w:rPr>
              <w:t>numerous:</w:t>
            </w:r>
            <w:r>
              <w:rPr>
                <w:rFonts w:cs="Arial"/>
              </w:rPr>
              <w:t xml:space="preserve"> </w:t>
            </w:r>
            <w:r w:rsidRPr="00D22BC9">
              <w:rPr>
                <w:rFonts w:cs="Arial"/>
              </w:rPr>
              <w:t>it</w:t>
            </w:r>
            <w:r>
              <w:rPr>
                <w:rFonts w:cs="Arial"/>
              </w:rPr>
              <w:t xml:space="preserve"> </w:t>
            </w:r>
            <w:r w:rsidRPr="00D22BC9">
              <w:rPr>
                <w:rFonts w:cs="Arial"/>
              </w:rPr>
              <w:t>is</w:t>
            </w:r>
            <w:r>
              <w:rPr>
                <w:rFonts w:cs="Arial"/>
              </w:rPr>
              <w:t xml:space="preserve"> non-proprietary and </w:t>
            </w:r>
            <w:r w:rsidRPr="00D22BC9">
              <w:rPr>
                <w:rFonts w:cs="Arial"/>
              </w:rPr>
              <w:t>widely</w:t>
            </w:r>
            <w:r>
              <w:rPr>
                <w:rFonts w:cs="Arial"/>
              </w:rPr>
              <w:t xml:space="preserve"> </w:t>
            </w:r>
            <w:r w:rsidRPr="00D22BC9">
              <w:rPr>
                <w:rFonts w:cs="Arial"/>
              </w:rPr>
              <w:t>accepted</w:t>
            </w:r>
            <w:r>
              <w:rPr>
                <w:rFonts w:cs="Arial"/>
              </w:rPr>
              <w:t xml:space="preserve"> </w:t>
            </w:r>
            <w:r w:rsidRPr="00D22BC9">
              <w:rPr>
                <w:rFonts w:cs="Arial"/>
              </w:rPr>
              <w:t>by</w:t>
            </w:r>
            <w:r>
              <w:rPr>
                <w:rFonts w:cs="Arial"/>
              </w:rPr>
              <w:t xml:space="preserve"> </w:t>
            </w:r>
            <w:r w:rsidRPr="00D22BC9">
              <w:rPr>
                <w:rFonts w:cs="Arial"/>
              </w:rPr>
              <w:t>primary</w:t>
            </w:r>
            <w:r>
              <w:rPr>
                <w:rFonts w:cs="Arial"/>
              </w:rPr>
              <w:t xml:space="preserve"> </w:t>
            </w:r>
            <w:r w:rsidRPr="00D22BC9">
              <w:rPr>
                <w:rFonts w:cs="Arial"/>
              </w:rPr>
              <w:t>care</w:t>
            </w:r>
            <w:r>
              <w:rPr>
                <w:rFonts w:cs="Arial"/>
              </w:rPr>
              <w:t xml:space="preserve"> </w:t>
            </w:r>
            <w:r w:rsidRPr="00D22BC9">
              <w:rPr>
                <w:rFonts w:cs="Arial"/>
              </w:rPr>
              <w:t>providers</w:t>
            </w:r>
            <w:r>
              <w:rPr>
                <w:rFonts w:cs="Arial"/>
              </w:rPr>
              <w:t xml:space="preserve"> </w:t>
            </w:r>
            <w:r w:rsidRPr="00D22BC9">
              <w:rPr>
                <w:rFonts w:cs="Arial"/>
              </w:rPr>
              <w:t>and</w:t>
            </w:r>
            <w:r>
              <w:rPr>
                <w:rFonts w:cs="Arial"/>
              </w:rPr>
              <w:t xml:space="preserve"> </w:t>
            </w:r>
            <w:r w:rsidRPr="00D22BC9">
              <w:rPr>
                <w:rFonts w:cs="Arial"/>
              </w:rPr>
              <w:t>in</w:t>
            </w:r>
            <w:r>
              <w:rPr>
                <w:rFonts w:cs="Arial"/>
              </w:rPr>
              <w:t xml:space="preserve"> </w:t>
            </w:r>
            <w:r w:rsidRPr="00D22BC9">
              <w:rPr>
                <w:rFonts w:cs="Arial"/>
              </w:rPr>
              <w:t>general</w:t>
            </w:r>
            <w:r>
              <w:rPr>
                <w:rFonts w:cs="Arial"/>
              </w:rPr>
              <w:t xml:space="preserve"> </w:t>
            </w:r>
            <w:r w:rsidRPr="00D22BC9">
              <w:rPr>
                <w:rFonts w:cs="Arial"/>
              </w:rPr>
              <w:t>medical</w:t>
            </w:r>
            <w:r>
              <w:rPr>
                <w:rFonts w:cs="Arial"/>
              </w:rPr>
              <w:t xml:space="preserve"> </w:t>
            </w:r>
            <w:r w:rsidRPr="00D22BC9">
              <w:rPr>
                <w:rFonts w:cs="Arial"/>
              </w:rPr>
              <w:t>settings,</w:t>
            </w:r>
            <w:r>
              <w:rPr>
                <w:rFonts w:cs="Arial"/>
              </w:rPr>
              <w:t xml:space="preserve"> </w:t>
            </w:r>
            <w:r w:rsidRPr="00D22BC9">
              <w:rPr>
                <w:rFonts w:cs="Arial"/>
              </w:rPr>
              <w:t>it</w:t>
            </w:r>
            <w:r>
              <w:rPr>
                <w:rFonts w:cs="Arial"/>
              </w:rPr>
              <w:t xml:space="preserve"> </w:t>
            </w:r>
            <w:r w:rsidRPr="00D22BC9">
              <w:rPr>
                <w:rFonts w:cs="Arial"/>
              </w:rPr>
              <w:t>can</w:t>
            </w:r>
            <w:r>
              <w:rPr>
                <w:rFonts w:cs="Arial"/>
              </w:rPr>
              <w:t xml:space="preserve"> </w:t>
            </w:r>
            <w:r w:rsidRPr="00D22BC9">
              <w:rPr>
                <w:rFonts w:cs="Arial"/>
              </w:rPr>
              <w:t>be</w:t>
            </w:r>
            <w:r>
              <w:rPr>
                <w:rFonts w:cs="Arial"/>
              </w:rPr>
              <w:t xml:space="preserve"> </w:t>
            </w:r>
            <w:r w:rsidRPr="00D22BC9">
              <w:rPr>
                <w:rFonts w:cs="Arial"/>
              </w:rPr>
              <w:t>completed</w:t>
            </w:r>
            <w:r>
              <w:rPr>
                <w:rFonts w:cs="Arial"/>
              </w:rPr>
              <w:t xml:space="preserve"> </w:t>
            </w:r>
            <w:r w:rsidRPr="00D22BC9">
              <w:rPr>
                <w:rFonts w:cs="Arial"/>
              </w:rPr>
              <w:t>by</w:t>
            </w:r>
            <w:r>
              <w:rPr>
                <w:rFonts w:cs="Arial"/>
              </w:rPr>
              <w:t xml:space="preserve"> </w:t>
            </w:r>
            <w:r w:rsidRPr="00D22BC9">
              <w:rPr>
                <w:rFonts w:cs="Arial"/>
              </w:rPr>
              <w:t>the</w:t>
            </w:r>
            <w:r>
              <w:rPr>
                <w:rFonts w:cs="Arial"/>
              </w:rPr>
              <w:t xml:space="preserve"> </w:t>
            </w:r>
            <w:r w:rsidRPr="00D22BC9">
              <w:rPr>
                <w:rFonts w:cs="Arial"/>
              </w:rPr>
              <w:t>patient</w:t>
            </w:r>
            <w:r>
              <w:rPr>
                <w:rFonts w:cs="Arial"/>
              </w:rPr>
              <w:t xml:space="preserve"> </w:t>
            </w:r>
            <w:r w:rsidRPr="00D22BC9">
              <w:rPr>
                <w:rFonts w:cs="Arial"/>
              </w:rPr>
              <w:t>in-person</w:t>
            </w:r>
            <w:r>
              <w:rPr>
                <w:rFonts w:cs="Arial"/>
              </w:rPr>
              <w:t xml:space="preserve"> </w:t>
            </w:r>
            <w:r w:rsidRPr="00D22BC9">
              <w:rPr>
                <w:rFonts w:cs="Arial"/>
              </w:rPr>
              <w:t>or</w:t>
            </w:r>
            <w:r>
              <w:rPr>
                <w:rFonts w:cs="Arial"/>
              </w:rPr>
              <w:t xml:space="preserve"> </w:t>
            </w:r>
            <w:r w:rsidRPr="00D22BC9">
              <w:rPr>
                <w:rFonts w:cs="Arial"/>
              </w:rPr>
              <w:t>over</w:t>
            </w:r>
            <w:r>
              <w:rPr>
                <w:rFonts w:cs="Arial"/>
              </w:rPr>
              <w:t xml:space="preserve"> </w:t>
            </w:r>
            <w:r w:rsidRPr="00D22BC9">
              <w:rPr>
                <w:rFonts w:cs="Arial"/>
              </w:rPr>
              <w:t>the</w:t>
            </w:r>
            <w:r>
              <w:rPr>
                <w:rFonts w:cs="Arial"/>
              </w:rPr>
              <w:t xml:space="preserve"> </w:t>
            </w:r>
            <w:r w:rsidRPr="00D22BC9">
              <w:rPr>
                <w:rFonts w:cs="Arial"/>
              </w:rPr>
              <w:t>telephone,</w:t>
            </w:r>
            <w:r>
              <w:rPr>
                <w:rFonts w:cs="Arial"/>
              </w:rPr>
              <w:t xml:space="preserve"> </w:t>
            </w:r>
            <w:r w:rsidRPr="00D22BC9">
              <w:rPr>
                <w:rFonts w:cs="Arial"/>
              </w:rPr>
              <w:t>it</w:t>
            </w:r>
            <w:r>
              <w:rPr>
                <w:rFonts w:cs="Arial"/>
              </w:rPr>
              <w:t xml:space="preserve"> </w:t>
            </w:r>
            <w:r w:rsidRPr="00D22BC9">
              <w:rPr>
                <w:rFonts w:cs="Arial"/>
              </w:rPr>
              <w:t>is</w:t>
            </w:r>
            <w:r>
              <w:rPr>
                <w:rFonts w:cs="Arial"/>
              </w:rPr>
              <w:t xml:space="preserve"> </w:t>
            </w:r>
            <w:r w:rsidRPr="00D22BC9">
              <w:rPr>
                <w:rFonts w:cs="Arial"/>
              </w:rPr>
              <w:t>translated</w:t>
            </w:r>
            <w:r>
              <w:rPr>
                <w:rFonts w:cs="Arial"/>
              </w:rPr>
              <w:t xml:space="preserve"> </w:t>
            </w:r>
            <w:r w:rsidRPr="00D22BC9">
              <w:rPr>
                <w:rFonts w:cs="Arial"/>
              </w:rPr>
              <w:t>into</w:t>
            </w:r>
            <w:r>
              <w:rPr>
                <w:rFonts w:cs="Arial"/>
              </w:rPr>
              <w:t xml:space="preserve"> </w:t>
            </w:r>
            <w:r w:rsidRPr="00D22BC9">
              <w:rPr>
                <w:rFonts w:cs="Arial"/>
              </w:rPr>
              <w:t>many</w:t>
            </w:r>
            <w:r>
              <w:rPr>
                <w:rFonts w:cs="Arial"/>
              </w:rPr>
              <w:t xml:space="preserve"> </w:t>
            </w:r>
            <w:r w:rsidRPr="00D22BC9">
              <w:rPr>
                <w:rFonts w:cs="Arial"/>
              </w:rPr>
              <w:t>languages</w:t>
            </w:r>
            <w:r>
              <w:rPr>
                <w:rFonts w:cs="Arial"/>
              </w:rPr>
              <w:t xml:space="preserve"> </w:t>
            </w:r>
            <w:r w:rsidRPr="00D22BC9">
              <w:rPr>
                <w:rFonts w:cs="Arial"/>
              </w:rPr>
              <w:t>and</w:t>
            </w:r>
            <w:r>
              <w:rPr>
                <w:rFonts w:cs="Arial"/>
              </w:rPr>
              <w:t xml:space="preserve"> </w:t>
            </w:r>
            <w:r w:rsidRPr="00D22BC9">
              <w:rPr>
                <w:rFonts w:cs="Arial"/>
              </w:rPr>
              <w:t>it</w:t>
            </w:r>
            <w:r>
              <w:rPr>
                <w:rFonts w:cs="Arial"/>
              </w:rPr>
              <w:t xml:space="preserve"> </w:t>
            </w:r>
            <w:r w:rsidRPr="00D22BC9">
              <w:rPr>
                <w:rFonts w:cs="Arial"/>
              </w:rPr>
              <w:t>is</w:t>
            </w:r>
            <w:r>
              <w:rPr>
                <w:rFonts w:cs="Arial"/>
              </w:rPr>
              <w:t xml:space="preserve"> </w:t>
            </w:r>
            <w:r w:rsidRPr="00D22BC9">
              <w:rPr>
                <w:rFonts w:cs="Arial"/>
              </w:rPr>
              <w:t>easy</w:t>
            </w:r>
            <w:r>
              <w:rPr>
                <w:rFonts w:cs="Arial"/>
              </w:rPr>
              <w:t xml:space="preserve"> </w:t>
            </w:r>
            <w:r w:rsidRPr="00D22BC9">
              <w:rPr>
                <w:rFonts w:cs="Arial"/>
              </w:rPr>
              <w:t>for</w:t>
            </w:r>
            <w:r>
              <w:rPr>
                <w:rFonts w:cs="Arial"/>
              </w:rPr>
              <w:t xml:space="preserve"> </w:t>
            </w:r>
            <w:r w:rsidRPr="00D22BC9">
              <w:rPr>
                <w:rFonts w:cs="Arial"/>
              </w:rPr>
              <w:t>the</w:t>
            </w:r>
            <w:r>
              <w:rPr>
                <w:rFonts w:cs="Arial"/>
              </w:rPr>
              <w:t xml:space="preserve"> </w:t>
            </w:r>
            <w:r w:rsidRPr="00D22BC9">
              <w:rPr>
                <w:rFonts w:cs="Arial"/>
              </w:rPr>
              <w:t>patient</w:t>
            </w:r>
            <w:r>
              <w:rPr>
                <w:rFonts w:cs="Arial"/>
              </w:rPr>
              <w:t xml:space="preserve"> </w:t>
            </w:r>
            <w:r w:rsidRPr="00D22BC9">
              <w:rPr>
                <w:rFonts w:cs="Arial"/>
              </w:rPr>
              <w:t>to</w:t>
            </w:r>
            <w:r>
              <w:rPr>
                <w:rFonts w:cs="Arial"/>
              </w:rPr>
              <w:t xml:space="preserve"> </w:t>
            </w:r>
            <w:r w:rsidRPr="00D22BC9">
              <w:rPr>
                <w:rFonts w:cs="Arial"/>
              </w:rPr>
              <w:t>complete</w:t>
            </w:r>
            <w:r>
              <w:rPr>
                <w:rFonts w:cs="Arial"/>
              </w:rPr>
              <w:t xml:space="preserve"> </w:t>
            </w:r>
            <w:r w:rsidRPr="00D22BC9">
              <w:rPr>
                <w:rFonts w:cs="Arial"/>
              </w:rPr>
              <w:t>and</w:t>
            </w:r>
            <w:r>
              <w:rPr>
                <w:rFonts w:cs="Arial"/>
              </w:rPr>
              <w:t xml:space="preserve"> </w:t>
            </w:r>
            <w:r w:rsidRPr="00D22BC9">
              <w:rPr>
                <w:rFonts w:cs="Arial"/>
              </w:rPr>
              <w:t>the</w:t>
            </w:r>
            <w:r>
              <w:rPr>
                <w:rFonts w:cs="Arial"/>
              </w:rPr>
              <w:t xml:space="preserve"> </w:t>
            </w:r>
            <w:r w:rsidRPr="00D22BC9">
              <w:rPr>
                <w:rFonts w:cs="Arial"/>
              </w:rPr>
              <w:t>provider</w:t>
            </w:r>
            <w:r>
              <w:rPr>
                <w:rFonts w:cs="Arial"/>
              </w:rPr>
              <w:t xml:space="preserve"> </w:t>
            </w:r>
            <w:r w:rsidRPr="00D22BC9">
              <w:rPr>
                <w:rFonts w:cs="Arial"/>
              </w:rPr>
              <w:t>to</w:t>
            </w:r>
            <w:r>
              <w:rPr>
                <w:rFonts w:cs="Arial"/>
              </w:rPr>
              <w:t xml:space="preserve"> </w:t>
            </w:r>
            <w:r w:rsidRPr="00D22BC9">
              <w:rPr>
                <w:rFonts w:cs="Arial"/>
              </w:rPr>
              <w:t>score.</w:t>
            </w:r>
            <w:r>
              <w:rPr>
                <w:rFonts w:cs="Arial"/>
              </w:rPr>
              <w:t xml:space="preserve"> </w:t>
            </w:r>
            <w:r w:rsidRPr="00D22BC9">
              <w:rPr>
                <w:rFonts w:cs="Arial"/>
              </w:rPr>
              <w:t>Widespread</w:t>
            </w:r>
            <w:r>
              <w:rPr>
                <w:rFonts w:cs="Arial"/>
              </w:rPr>
              <w:t xml:space="preserve"> </w:t>
            </w:r>
            <w:r w:rsidRPr="00D22BC9">
              <w:rPr>
                <w:rFonts w:cs="Arial"/>
              </w:rPr>
              <w:t>use</w:t>
            </w:r>
            <w:r>
              <w:rPr>
                <w:rFonts w:cs="Arial"/>
              </w:rPr>
              <w:t xml:space="preserve"> </w:t>
            </w:r>
            <w:r w:rsidRPr="00D22BC9">
              <w:rPr>
                <w:rFonts w:cs="Arial"/>
              </w:rPr>
              <w:t>of</w:t>
            </w:r>
            <w:r>
              <w:rPr>
                <w:rFonts w:cs="Arial"/>
              </w:rPr>
              <w:t xml:space="preserve"> </w:t>
            </w:r>
            <w:r w:rsidRPr="00D22BC9">
              <w:rPr>
                <w:rFonts w:cs="Arial"/>
              </w:rPr>
              <w:t>the</w:t>
            </w:r>
            <w:r>
              <w:rPr>
                <w:rFonts w:cs="Arial"/>
              </w:rPr>
              <w:t xml:space="preserve"> </w:t>
            </w:r>
            <w:r w:rsidRPr="00D22BC9">
              <w:rPr>
                <w:rFonts w:cs="Arial"/>
              </w:rPr>
              <w:t>PHQ-9,</w:t>
            </w:r>
            <w:r>
              <w:rPr>
                <w:rFonts w:cs="Arial"/>
              </w:rPr>
              <w:t xml:space="preserve"> </w:t>
            </w:r>
            <w:r w:rsidRPr="00D22BC9">
              <w:rPr>
                <w:rFonts w:cs="Arial"/>
              </w:rPr>
              <w:t>within</w:t>
            </w:r>
            <w:r>
              <w:rPr>
                <w:rFonts w:cs="Arial"/>
              </w:rPr>
              <w:t xml:space="preserve"> </w:t>
            </w:r>
            <w:r w:rsidRPr="00D22BC9">
              <w:rPr>
                <w:rFonts w:cs="Arial"/>
              </w:rPr>
              <w:t>a</w:t>
            </w:r>
            <w:r>
              <w:rPr>
                <w:rFonts w:cs="Arial"/>
              </w:rPr>
              <w:t xml:space="preserve"> </w:t>
            </w:r>
            <w:r w:rsidRPr="00D22BC9">
              <w:rPr>
                <w:rFonts w:cs="Arial"/>
              </w:rPr>
              <w:t>collaborative</w:t>
            </w:r>
            <w:r>
              <w:rPr>
                <w:rFonts w:cs="Arial"/>
              </w:rPr>
              <w:t xml:space="preserve"> </w:t>
            </w:r>
            <w:r w:rsidRPr="00D22BC9">
              <w:rPr>
                <w:rFonts w:cs="Arial"/>
              </w:rPr>
              <w:t>care</w:t>
            </w:r>
            <w:r>
              <w:rPr>
                <w:rFonts w:cs="Arial"/>
              </w:rPr>
              <w:t xml:space="preserve"> </w:t>
            </w:r>
            <w:r w:rsidRPr="00D22BC9">
              <w:rPr>
                <w:rFonts w:cs="Arial"/>
              </w:rPr>
              <w:t>model,</w:t>
            </w:r>
            <w:r>
              <w:rPr>
                <w:rFonts w:cs="Arial"/>
              </w:rPr>
              <w:t xml:space="preserve"> </w:t>
            </w:r>
            <w:r w:rsidRPr="00D22BC9">
              <w:rPr>
                <w:rFonts w:cs="Arial"/>
              </w:rPr>
              <w:t>would</w:t>
            </w:r>
            <w:r>
              <w:rPr>
                <w:rFonts w:cs="Arial"/>
              </w:rPr>
              <w:t xml:space="preserve"> </w:t>
            </w:r>
            <w:r w:rsidRPr="00D22BC9">
              <w:rPr>
                <w:rFonts w:cs="Arial"/>
              </w:rPr>
              <w:t>allow</w:t>
            </w:r>
            <w:r>
              <w:rPr>
                <w:rFonts w:cs="Arial"/>
              </w:rPr>
              <w:t xml:space="preserve"> </w:t>
            </w:r>
            <w:r w:rsidRPr="00D22BC9">
              <w:rPr>
                <w:rFonts w:cs="Arial"/>
              </w:rPr>
              <w:t>organizations</w:t>
            </w:r>
            <w:r>
              <w:rPr>
                <w:rFonts w:cs="Arial"/>
              </w:rPr>
              <w:t xml:space="preserve"> </w:t>
            </w:r>
            <w:r w:rsidRPr="00D22BC9">
              <w:rPr>
                <w:rFonts w:cs="Arial"/>
              </w:rPr>
              <w:t>to</w:t>
            </w:r>
            <w:r>
              <w:rPr>
                <w:rFonts w:cs="Arial"/>
              </w:rPr>
              <w:t xml:space="preserve"> </w:t>
            </w:r>
            <w:r w:rsidRPr="00D22BC9">
              <w:rPr>
                <w:rFonts w:cs="Arial"/>
              </w:rPr>
              <w:t>systematically</w:t>
            </w:r>
            <w:r>
              <w:rPr>
                <w:rFonts w:cs="Arial"/>
              </w:rPr>
              <w:t xml:space="preserve"> </w:t>
            </w:r>
            <w:r w:rsidRPr="00D22BC9">
              <w:rPr>
                <w:rFonts w:cs="Arial"/>
              </w:rPr>
              <w:t>assess</w:t>
            </w:r>
            <w:r>
              <w:rPr>
                <w:rFonts w:cs="Arial"/>
              </w:rPr>
              <w:t xml:space="preserve"> </w:t>
            </w:r>
            <w:r w:rsidRPr="00D22BC9">
              <w:rPr>
                <w:rFonts w:cs="Arial"/>
              </w:rPr>
              <w:t>their</w:t>
            </w:r>
            <w:r>
              <w:rPr>
                <w:rFonts w:cs="Arial"/>
              </w:rPr>
              <w:t xml:space="preserve"> </w:t>
            </w:r>
            <w:r w:rsidRPr="00D22BC9">
              <w:rPr>
                <w:rFonts w:cs="Arial"/>
              </w:rPr>
              <w:t>effectiveness</w:t>
            </w:r>
            <w:r>
              <w:rPr>
                <w:rFonts w:cs="Arial"/>
              </w:rPr>
              <w:t xml:space="preserve"> </w:t>
            </w:r>
            <w:r w:rsidRPr="00D22BC9">
              <w:rPr>
                <w:rFonts w:cs="Arial"/>
              </w:rPr>
              <w:t>in</w:t>
            </w:r>
            <w:r>
              <w:rPr>
                <w:rFonts w:cs="Arial"/>
              </w:rPr>
              <w:t xml:space="preserve"> </w:t>
            </w:r>
            <w:r w:rsidRPr="00D22BC9">
              <w:rPr>
                <w:rFonts w:cs="Arial"/>
              </w:rPr>
              <w:t>helping</w:t>
            </w:r>
            <w:r>
              <w:rPr>
                <w:rFonts w:cs="Arial"/>
              </w:rPr>
              <w:t xml:space="preserve"> </w:t>
            </w:r>
            <w:r w:rsidRPr="00D22BC9">
              <w:rPr>
                <w:rFonts w:cs="Arial"/>
              </w:rPr>
              <w:t>individuals</w:t>
            </w:r>
            <w:r>
              <w:rPr>
                <w:rFonts w:cs="Arial"/>
              </w:rPr>
              <w:t xml:space="preserve"> </w:t>
            </w:r>
            <w:r w:rsidRPr="00D22BC9">
              <w:rPr>
                <w:rFonts w:cs="Arial"/>
              </w:rPr>
              <w:t>to</w:t>
            </w:r>
            <w:r>
              <w:rPr>
                <w:rFonts w:cs="Arial"/>
              </w:rPr>
              <w:t xml:space="preserve"> </w:t>
            </w:r>
            <w:r w:rsidRPr="00D22BC9">
              <w:rPr>
                <w:rFonts w:cs="Arial"/>
              </w:rPr>
              <w:t>experience</w:t>
            </w:r>
            <w:r>
              <w:rPr>
                <w:rFonts w:cs="Arial"/>
              </w:rPr>
              <w:t xml:space="preserve"> </w:t>
            </w:r>
            <w:r w:rsidRPr="00D22BC9">
              <w:rPr>
                <w:rFonts w:cs="Arial"/>
              </w:rPr>
              <w:t>remission</w:t>
            </w:r>
            <w:r>
              <w:rPr>
                <w:rFonts w:cs="Arial"/>
              </w:rPr>
              <w:t xml:space="preserve"> </w:t>
            </w:r>
            <w:r w:rsidRPr="00D22BC9">
              <w:rPr>
                <w:rFonts w:cs="Arial"/>
              </w:rPr>
              <w:t>of</w:t>
            </w:r>
            <w:r>
              <w:rPr>
                <w:rFonts w:cs="Arial"/>
              </w:rPr>
              <w:t xml:space="preserve"> </w:t>
            </w:r>
            <w:r w:rsidRPr="00D22BC9">
              <w:rPr>
                <w:rFonts w:cs="Arial"/>
              </w:rPr>
              <w:t>depressive</w:t>
            </w:r>
            <w:r>
              <w:rPr>
                <w:rFonts w:cs="Arial"/>
              </w:rPr>
              <w:t xml:space="preserve"> </w:t>
            </w:r>
            <w:r w:rsidRPr="00D22BC9">
              <w:rPr>
                <w:rFonts w:cs="Arial"/>
              </w:rPr>
              <w:t>symptoms</w:t>
            </w:r>
            <w:r>
              <w:rPr>
                <w:rFonts w:cs="Arial"/>
              </w:rPr>
              <w:t xml:space="preserve"> </w:t>
            </w:r>
            <w:r w:rsidRPr="00D22BC9">
              <w:rPr>
                <w:rFonts w:cs="Arial"/>
              </w:rPr>
              <w:t>with</w:t>
            </w:r>
            <w:r>
              <w:rPr>
                <w:rFonts w:cs="Arial"/>
              </w:rPr>
              <w:t xml:space="preserve"> </w:t>
            </w:r>
            <w:r w:rsidRPr="00D22BC9">
              <w:rPr>
                <w:rFonts w:cs="Arial"/>
              </w:rPr>
              <w:t>appropriate</w:t>
            </w:r>
            <w:r>
              <w:rPr>
                <w:rFonts w:cs="Arial"/>
              </w:rPr>
              <w:t xml:space="preserve"> </w:t>
            </w:r>
            <w:r w:rsidRPr="00D22BC9">
              <w:rPr>
                <w:rFonts w:cs="Arial"/>
              </w:rPr>
              <w:t>treatment.</w:t>
            </w:r>
          </w:p>
          <w:p w14:paraId="4CC58A17" w14:textId="77777777" w:rsidR="000C547E" w:rsidRDefault="000C547E" w:rsidP="00991EDB">
            <w:pPr>
              <w:pStyle w:val="Body"/>
              <w:rPr>
                <w:rFonts w:cs="Arial"/>
                <w:color w:val="000000"/>
              </w:rPr>
            </w:pPr>
            <w:r w:rsidRPr="00C129D8">
              <w:rPr>
                <w:u w:val="single"/>
              </w:rPr>
              <w:t>Interventions and treatment models to improve depression outcomes</w:t>
            </w:r>
            <w:r>
              <w:t xml:space="preserve">: </w:t>
            </w:r>
            <w:r w:rsidRPr="00064CA8">
              <w:rPr>
                <w:rFonts w:cs="Arial"/>
              </w:rPr>
              <w:t>There</w:t>
            </w:r>
            <w:r>
              <w:rPr>
                <w:rFonts w:cs="Arial"/>
              </w:rPr>
              <w:t xml:space="preserve"> </w:t>
            </w:r>
            <w:r w:rsidRPr="00064CA8">
              <w:rPr>
                <w:rFonts w:cs="Arial"/>
              </w:rPr>
              <w:t>are</w:t>
            </w:r>
            <w:r>
              <w:rPr>
                <w:rFonts w:cs="Arial"/>
              </w:rPr>
              <w:t xml:space="preserve"> </w:t>
            </w:r>
            <w:r w:rsidRPr="00064CA8">
              <w:rPr>
                <w:rFonts w:cs="Arial"/>
              </w:rPr>
              <w:t>a</w:t>
            </w:r>
            <w:r>
              <w:rPr>
                <w:rFonts w:cs="Arial"/>
              </w:rPr>
              <w:t xml:space="preserve"> </w:t>
            </w:r>
            <w:r w:rsidRPr="00064CA8">
              <w:rPr>
                <w:rFonts w:cs="Arial"/>
              </w:rPr>
              <w:t>number</w:t>
            </w:r>
            <w:r>
              <w:rPr>
                <w:rFonts w:cs="Arial"/>
              </w:rPr>
              <w:t xml:space="preserve"> </w:t>
            </w:r>
            <w:r w:rsidRPr="00064CA8">
              <w:rPr>
                <w:rFonts w:cs="Arial"/>
              </w:rPr>
              <w:t>of</w:t>
            </w:r>
            <w:r>
              <w:rPr>
                <w:rFonts w:cs="Arial"/>
              </w:rPr>
              <w:t xml:space="preserve"> </w:t>
            </w:r>
            <w:r w:rsidRPr="00064CA8">
              <w:rPr>
                <w:rFonts w:cs="Arial"/>
              </w:rPr>
              <w:t>effective</w:t>
            </w:r>
            <w:r>
              <w:rPr>
                <w:rFonts w:cs="Arial"/>
              </w:rPr>
              <w:t xml:space="preserve"> </w:t>
            </w:r>
            <w:r w:rsidRPr="00064CA8">
              <w:rPr>
                <w:rFonts w:cs="Arial"/>
              </w:rPr>
              <w:t>treatment</w:t>
            </w:r>
            <w:r>
              <w:rPr>
                <w:rFonts w:cs="Arial"/>
              </w:rPr>
              <w:t xml:space="preserve"> </w:t>
            </w:r>
            <w:r w:rsidRPr="00064CA8">
              <w:rPr>
                <w:rFonts w:cs="Arial"/>
              </w:rPr>
              <w:t>options</w:t>
            </w:r>
            <w:r>
              <w:rPr>
                <w:rFonts w:cs="Arial"/>
              </w:rPr>
              <w:t xml:space="preserve"> </w:t>
            </w:r>
            <w:r w:rsidRPr="00064CA8">
              <w:rPr>
                <w:rFonts w:cs="Arial"/>
              </w:rPr>
              <w:t>available</w:t>
            </w:r>
            <w:r>
              <w:rPr>
                <w:rFonts w:cs="Arial"/>
              </w:rPr>
              <w:t xml:space="preserve"> </w:t>
            </w:r>
            <w:r w:rsidRPr="00064CA8">
              <w:rPr>
                <w:rFonts w:cs="Arial"/>
              </w:rPr>
              <w:t>for</w:t>
            </w:r>
            <w:r>
              <w:rPr>
                <w:rFonts w:cs="Arial"/>
              </w:rPr>
              <w:t xml:space="preserve"> </w:t>
            </w:r>
            <w:r w:rsidRPr="00064CA8">
              <w:rPr>
                <w:rFonts w:cs="Arial"/>
              </w:rPr>
              <w:t>depressive</w:t>
            </w:r>
            <w:r>
              <w:rPr>
                <w:rFonts w:cs="Arial"/>
              </w:rPr>
              <w:t xml:space="preserve"> </w:t>
            </w:r>
            <w:r w:rsidRPr="00064CA8">
              <w:rPr>
                <w:rFonts w:cs="Arial"/>
              </w:rPr>
              <w:t>disorders,</w:t>
            </w:r>
            <w:r>
              <w:rPr>
                <w:rFonts w:cs="Arial"/>
              </w:rPr>
              <w:t xml:space="preserve"> </w:t>
            </w:r>
            <w:r w:rsidRPr="00064CA8">
              <w:rPr>
                <w:rFonts w:cs="Arial"/>
              </w:rPr>
              <w:t>including</w:t>
            </w:r>
            <w:r>
              <w:rPr>
                <w:rFonts w:cs="Arial"/>
              </w:rPr>
              <w:t xml:space="preserve"> </w:t>
            </w:r>
            <w:r w:rsidRPr="00064CA8">
              <w:rPr>
                <w:rFonts w:cs="Arial"/>
              </w:rPr>
              <w:t>antidepressant</w:t>
            </w:r>
            <w:r>
              <w:rPr>
                <w:rFonts w:cs="Arial"/>
              </w:rPr>
              <w:t xml:space="preserve"> </w:t>
            </w:r>
            <w:r w:rsidRPr="00064CA8">
              <w:rPr>
                <w:rFonts w:cs="Arial"/>
              </w:rPr>
              <w:t>medications</w:t>
            </w:r>
            <w:r>
              <w:rPr>
                <w:rFonts w:cs="Arial"/>
              </w:rPr>
              <w:t xml:space="preserve"> </w:t>
            </w:r>
            <w:r w:rsidRPr="00064CA8">
              <w:rPr>
                <w:rFonts w:cs="Arial"/>
              </w:rPr>
              <w:t>and</w:t>
            </w:r>
            <w:r>
              <w:rPr>
                <w:rFonts w:cs="Arial"/>
              </w:rPr>
              <w:t xml:space="preserve"> </w:t>
            </w:r>
            <w:r w:rsidRPr="00064CA8">
              <w:rPr>
                <w:rFonts w:cs="Arial"/>
              </w:rPr>
              <w:t>psychotherapies.</w:t>
            </w:r>
            <w:r>
              <w:rPr>
                <w:rFonts w:cs="Arial"/>
              </w:rPr>
              <w:t xml:space="preserve"> </w:t>
            </w:r>
            <w:r w:rsidRPr="00064CA8">
              <w:rPr>
                <w:rFonts w:cs="Arial"/>
              </w:rPr>
              <w:t>Guidelines</w:t>
            </w:r>
            <w:r>
              <w:rPr>
                <w:rFonts w:cs="Arial"/>
              </w:rPr>
              <w:t xml:space="preserve"> </w:t>
            </w:r>
            <w:r w:rsidRPr="00064CA8">
              <w:rPr>
                <w:rFonts w:cs="Arial"/>
              </w:rPr>
              <w:t>recommend</w:t>
            </w:r>
            <w:r>
              <w:rPr>
                <w:rFonts w:cs="Arial"/>
              </w:rPr>
              <w:t xml:space="preserve"> </w:t>
            </w:r>
            <w:r w:rsidRPr="00064CA8">
              <w:rPr>
                <w:rFonts w:cs="Arial"/>
              </w:rPr>
              <w:t>cognitive</w:t>
            </w:r>
            <w:r>
              <w:rPr>
                <w:rFonts w:cs="Arial"/>
              </w:rPr>
              <w:t xml:space="preserve"> </w:t>
            </w:r>
            <w:r w:rsidRPr="00064CA8">
              <w:rPr>
                <w:rFonts w:cs="Arial"/>
              </w:rPr>
              <w:t>behavioral</w:t>
            </w:r>
            <w:r>
              <w:rPr>
                <w:rFonts w:cs="Arial"/>
              </w:rPr>
              <w:t xml:space="preserve"> </w:t>
            </w:r>
            <w:r w:rsidRPr="00064CA8">
              <w:rPr>
                <w:rFonts w:cs="Arial"/>
              </w:rPr>
              <w:t>therapy</w:t>
            </w:r>
            <w:r>
              <w:rPr>
                <w:rFonts w:cs="Arial"/>
              </w:rPr>
              <w:t xml:space="preserve"> </w:t>
            </w:r>
            <w:r w:rsidRPr="00064CA8">
              <w:rPr>
                <w:rFonts w:cs="Arial"/>
              </w:rPr>
              <w:t>and</w:t>
            </w:r>
            <w:r>
              <w:rPr>
                <w:rFonts w:cs="Arial"/>
              </w:rPr>
              <w:t xml:space="preserve"> </w:t>
            </w:r>
            <w:r w:rsidRPr="00064CA8">
              <w:rPr>
                <w:rFonts w:cs="Arial"/>
              </w:rPr>
              <w:t>interpersonal</w:t>
            </w:r>
            <w:r>
              <w:rPr>
                <w:rFonts w:cs="Arial"/>
              </w:rPr>
              <w:t xml:space="preserve"> </w:t>
            </w:r>
            <w:r w:rsidRPr="00064CA8">
              <w:rPr>
                <w:rFonts w:cs="Arial"/>
              </w:rPr>
              <w:t>therapy</w:t>
            </w:r>
            <w:r>
              <w:rPr>
                <w:rFonts w:cs="Arial"/>
              </w:rPr>
              <w:t xml:space="preserve"> </w:t>
            </w:r>
            <w:r w:rsidRPr="00064CA8">
              <w:rPr>
                <w:rFonts w:cs="Arial"/>
              </w:rPr>
              <w:t>as</w:t>
            </w:r>
            <w:r>
              <w:rPr>
                <w:rFonts w:cs="Arial"/>
              </w:rPr>
              <w:t xml:space="preserve"> </w:t>
            </w:r>
            <w:r w:rsidRPr="00064CA8">
              <w:rPr>
                <w:rFonts w:cs="Arial"/>
              </w:rPr>
              <w:t>first-line</w:t>
            </w:r>
            <w:r>
              <w:rPr>
                <w:rFonts w:cs="Arial"/>
              </w:rPr>
              <w:t xml:space="preserve"> </w:t>
            </w:r>
            <w:r w:rsidRPr="00064CA8">
              <w:rPr>
                <w:rFonts w:cs="Arial"/>
              </w:rPr>
              <w:t>psychotherapy</w:t>
            </w:r>
            <w:r>
              <w:rPr>
                <w:rFonts w:cs="Arial"/>
              </w:rPr>
              <w:t xml:space="preserve"> </w:t>
            </w:r>
            <w:r w:rsidRPr="00064CA8">
              <w:rPr>
                <w:rFonts w:cs="Arial"/>
              </w:rPr>
              <w:t>treatments</w:t>
            </w:r>
            <w:r>
              <w:rPr>
                <w:rFonts w:cs="Arial"/>
              </w:rPr>
              <w:t xml:space="preserve"> </w:t>
            </w:r>
            <w:r w:rsidRPr="00064CA8">
              <w:rPr>
                <w:rFonts w:cs="Arial"/>
              </w:rPr>
              <w:t>for</w:t>
            </w:r>
            <w:r>
              <w:rPr>
                <w:rFonts w:cs="Arial"/>
              </w:rPr>
              <w:t xml:space="preserve"> </w:t>
            </w:r>
            <w:r w:rsidRPr="00064CA8">
              <w:rPr>
                <w:rFonts w:cs="Arial"/>
              </w:rPr>
              <w:t>depression</w:t>
            </w:r>
            <w:r>
              <w:rPr>
                <w:rFonts w:cs="Arial"/>
              </w:rPr>
              <w:t xml:space="preserve"> </w:t>
            </w:r>
            <w:r w:rsidRPr="00064CA8">
              <w:rPr>
                <w:rFonts w:cs="Arial"/>
              </w:rPr>
              <w:t>and</w:t>
            </w:r>
            <w:r>
              <w:rPr>
                <w:rFonts w:cs="Arial"/>
              </w:rPr>
              <w:t xml:space="preserve"> </w:t>
            </w:r>
            <w:r w:rsidRPr="00064CA8">
              <w:rPr>
                <w:rFonts w:cs="Arial"/>
                <w:color w:val="000000"/>
              </w:rPr>
              <w:t>selective</w:t>
            </w:r>
            <w:r>
              <w:rPr>
                <w:rFonts w:cs="Arial"/>
                <w:color w:val="000000"/>
              </w:rPr>
              <w:t xml:space="preserve"> </w:t>
            </w:r>
            <w:r w:rsidRPr="00064CA8">
              <w:rPr>
                <w:rFonts w:cs="Arial"/>
                <w:color w:val="000000"/>
              </w:rPr>
              <w:t>serotonin</w:t>
            </w:r>
            <w:r>
              <w:rPr>
                <w:rFonts w:cs="Arial"/>
                <w:color w:val="000000"/>
              </w:rPr>
              <w:t xml:space="preserve"> </w:t>
            </w:r>
            <w:r w:rsidRPr="00064CA8">
              <w:rPr>
                <w:rFonts w:cs="Arial"/>
                <w:color w:val="000000"/>
              </w:rPr>
              <w:t>reuptake</w:t>
            </w:r>
            <w:r>
              <w:rPr>
                <w:rFonts w:cs="Arial"/>
                <w:color w:val="000000"/>
              </w:rPr>
              <w:t xml:space="preserve"> </w:t>
            </w:r>
            <w:r w:rsidRPr="00064CA8">
              <w:rPr>
                <w:rFonts w:cs="Arial"/>
                <w:color w:val="000000"/>
              </w:rPr>
              <w:t>inhibitors</w:t>
            </w:r>
            <w:r>
              <w:rPr>
                <w:rFonts w:cs="Arial"/>
                <w:color w:val="000000"/>
              </w:rPr>
              <w:t xml:space="preserve"> </w:t>
            </w:r>
            <w:r w:rsidRPr="00064CA8">
              <w:rPr>
                <w:rFonts w:cs="Arial"/>
                <w:color w:val="000000"/>
              </w:rPr>
              <w:t>(SSRI)</w:t>
            </w:r>
            <w:r>
              <w:rPr>
                <w:rFonts w:cs="Arial"/>
                <w:color w:val="000000"/>
              </w:rPr>
              <w:t xml:space="preserve"> </w:t>
            </w:r>
            <w:r w:rsidRPr="00064CA8">
              <w:rPr>
                <w:rFonts w:cs="Arial"/>
                <w:color w:val="000000"/>
              </w:rPr>
              <w:t>as</w:t>
            </w:r>
            <w:r>
              <w:rPr>
                <w:rFonts w:cs="Arial"/>
                <w:color w:val="000000"/>
              </w:rPr>
              <w:t xml:space="preserve"> </w:t>
            </w:r>
            <w:r w:rsidRPr="00064CA8">
              <w:rPr>
                <w:rFonts w:cs="Arial"/>
                <w:color w:val="000000"/>
              </w:rPr>
              <w:t>first-line</w:t>
            </w:r>
            <w:r>
              <w:rPr>
                <w:rFonts w:cs="Arial"/>
                <w:color w:val="000000"/>
              </w:rPr>
              <w:t xml:space="preserve"> </w:t>
            </w:r>
            <w:r w:rsidRPr="00064CA8">
              <w:rPr>
                <w:rFonts w:cs="Arial"/>
                <w:color w:val="000000"/>
              </w:rPr>
              <w:t>pharmacotherapy</w:t>
            </w:r>
            <w:r>
              <w:rPr>
                <w:rFonts w:cs="Arial"/>
                <w:color w:val="000000"/>
              </w:rPr>
              <w:t xml:space="preserve"> </w:t>
            </w:r>
            <w:r w:rsidRPr="00064CA8">
              <w:rPr>
                <w:rFonts w:cs="Arial"/>
                <w:color w:val="000000"/>
              </w:rPr>
              <w:t>(APA,</w:t>
            </w:r>
            <w:r>
              <w:rPr>
                <w:rFonts w:cs="Arial"/>
                <w:color w:val="000000"/>
              </w:rPr>
              <w:t xml:space="preserve"> </w:t>
            </w:r>
            <w:r w:rsidRPr="00064CA8">
              <w:rPr>
                <w:rFonts w:cs="Arial"/>
                <w:color w:val="000000"/>
              </w:rPr>
              <w:t>2010;</w:t>
            </w:r>
            <w:r>
              <w:rPr>
                <w:rFonts w:cs="Arial"/>
                <w:color w:val="000000"/>
              </w:rPr>
              <w:t xml:space="preserve"> </w:t>
            </w:r>
            <w:r w:rsidRPr="00064CA8">
              <w:rPr>
                <w:rFonts w:cs="Arial"/>
              </w:rPr>
              <w:t>National</w:t>
            </w:r>
            <w:r>
              <w:rPr>
                <w:rFonts w:cs="Arial"/>
              </w:rPr>
              <w:t xml:space="preserve"> </w:t>
            </w:r>
            <w:r w:rsidRPr="00064CA8">
              <w:rPr>
                <w:rFonts w:cs="Arial"/>
              </w:rPr>
              <w:t>Collaborating</w:t>
            </w:r>
            <w:r>
              <w:rPr>
                <w:rFonts w:cs="Arial"/>
              </w:rPr>
              <w:t xml:space="preserve"> </w:t>
            </w:r>
            <w:r w:rsidRPr="00064CA8">
              <w:rPr>
                <w:rFonts w:cs="Arial"/>
              </w:rPr>
              <w:t>Centre</w:t>
            </w:r>
            <w:r>
              <w:rPr>
                <w:rFonts w:cs="Arial"/>
              </w:rPr>
              <w:t xml:space="preserve"> </w:t>
            </w:r>
            <w:r w:rsidRPr="00064CA8">
              <w:rPr>
                <w:rFonts w:cs="Arial"/>
              </w:rPr>
              <w:t>for</w:t>
            </w:r>
            <w:r>
              <w:rPr>
                <w:rFonts w:cs="Arial"/>
              </w:rPr>
              <w:t xml:space="preserve"> </w:t>
            </w:r>
            <w:r w:rsidRPr="00064CA8">
              <w:rPr>
                <w:rFonts w:cs="Arial"/>
              </w:rPr>
              <w:t>Mental</w:t>
            </w:r>
            <w:r>
              <w:rPr>
                <w:rFonts w:cs="Arial"/>
              </w:rPr>
              <w:t xml:space="preserve"> </w:t>
            </w:r>
            <w:r w:rsidRPr="00064CA8">
              <w:rPr>
                <w:rFonts w:cs="Arial"/>
              </w:rPr>
              <w:t>Health,</w:t>
            </w:r>
            <w:r>
              <w:rPr>
                <w:rFonts w:cs="Arial"/>
              </w:rPr>
              <w:t xml:space="preserve"> </w:t>
            </w:r>
            <w:r w:rsidRPr="00064CA8">
              <w:rPr>
                <w:rFonts w:cs="Arial"/>
              </w:rPr>
              <w:t>2009)</w:t>
            </w:r>
            <w:r w:rsidRPr="00064CA8">
              <w:rPr>
                <w:rFonts w:cs="Arial"/>
                <w:color w:val="000000"/>
              </w:rPr>
              <w:t>.</w:t>
            </w:r>
            <w:r>
              <w:rPr>
                <w:rFonts w:cs="Arial"/>
                <w:color w:val="000000"/>
              </w:rPr>
              <w:t xml:space="preserve"> </w:t>
            </w:r>
          </w:p>
          <w:p w14:paraId="514F8379" w14:textId="77777777" w:rsidR="000C547E" w:rsidRDefault="000C547E" w:rsidP="00991EDB">
            <w:pPr>
              <w:pStyle w:val="Body"/>
              <w:rPr>
                <w:rFonts w:cs="Arial"/>
              </w:rPr>
            </w:pPr>
            <w:r w:rsidRPr="00064CA8">
              <w:rPr>
                <w:rFonts w:cs="Arial"/>
              </w:rPr>
              <w:t>Clinical</w:t>
            </w:r>
            <w:r>
              <w:rPr>
                <w:rFonts w:cs="Arial"/>
              </w:rPr>
              <w:t xml:space="preserve"> </w:t>
            </w:r>
            <w:r w:rsidRPr="00064CA8">
              <w:rPr>
                <w:rFonts w:cs="Arial"/>
              </w:rPr>
              <w:t>guidelines</w:t>
            </w:r>
            <w:r>
              <w:rPr>
                <w:rFonts w:cs="Arial"/>
              </w:rPr>
              <w:t xml:space="preserve"> </w:t>
            </w:r>
            <w:r w:rsidRPr="00064CA8">
              <w:rPr>
                <w:rFonts w:cs="Arial"/>
              </w:rPr>
              <w:t>also</w:t>
            </w:r>
            <w:r>
              <w:rPr>
                <w:rFonts w:cs="Arial"/>
              </w:rPr>
              <w:t xml:space="preserve"> </w:t>
            </w:r>
            <w:r w:rsidRPr="00064CA8">
              <w:rPr>
                <w:rFonts w:cs="Arial"/>
              </w:rPr>
              <w:t>recommend</w:t>
            </w:r>
            <w:r>
              <w:rPr>
                <w:rFonts w:cs="Arial"/>
              </w:rPr>
              <w:t xml:space="preserve"> </w:t>
            </w:r>
            <w:r w:rsidRPr="00064CA8">
              <w:rPr>
                <w:rFonts w:cs="Arial"/>
              </w:rPr>
              <w:t>a</w:t>
            </w:r>
            <w:r>
              <w:rPr>
                <w:rFonts w:cs="Arial"/>
              </w:rPr>
              <w:t xml:space="preserve"> </w:t>
            </w:r>
            <w:r w:rsidRPr="00064CA8">
              <w:rPr>
                <w:rFonts w:cs="Arial"/>
              </w:rPr>
              <w:t>stepped-care</w:t>
            </w:r>
            <w:r>
              <w:rPr>
                <w:rFonts w:cs="Arial"/>
              </w:rPr>
              <w:t xml:space="preserve"> </w:t>
            </w:r>
            <w:r w:rsidRPr="00064CA8">
              <w:rPr>
                <w:rFonts w:cs="Arial"/>
              </w:rPr>
              <w:t>approach</w:t>
            </w:r>
            <w:r>
              <w:rPr>
                <w:rFonts w:cs="Arial"/>
              </w:rPr>
              <w:t xml:space="preserve"> </w:t>
            </w:r>
            <w:r w:rsidRPr="00064CA8">
              <w:rPr>
                <w:rFonts w:cs="Arial"/>
              </w:rPr>
              <w:t>to</w:t>
            </w:r>
            <w:r>
              <w:rPr>
                <w:rFonts w:cs="Arial"/>
              </w:rPr>
              <w:t xml:space="preserve"> </w:t>
            </w:r>
            <w:r w:rsidRPr="00064CA8">
              <w:rPr>
                <w:rFonts w:cs="Arial"/>
              </w:rPr>
              <w:t>depression</w:t>
            </w:r>
            <w:r>
              <w:rPr>
                <w:rFonts w:cs="Arial"/>
              </w:rPr>
              <w:t xml:space="preserve"> </w:t>
            </w:r>
            <w:r w:rsidRPr="00064CA8">
              <w:rPr>
                <w:rFonts w:cs="Arial"/>
              </w:rPr>
              <w:t>treatment,</w:t>
            </w:r>
            <w:r>
              <w:rPr>
                <w:rFonts w:cs="Arial"/>
              </w:rPr>
              <w:t xml:space="preserve"> </w:t>
            </w:r>
            <w:r w:rsidRPr="00064CA8">
              <w:rPr>
                <w:rFonts w:cs="Arial"/>
              </w:rPr>
              <w:t>beginning</w:t>
            </w:r>
            <w:r>
              <w:rPr>
                <w:rFonts w:cs="Arial"/>
              </w:rPr>
              <w:t xml:space="preserve"> </w:t>
            </w:r>
            <w:r w:rsidRPr="00064CA8">
              <w:rPr>
                <w:rFonts w:cs="Arial"/>
              </w:rPr>
              <w:t>with</w:t>
            </w:r>
            <w:r>
              <w:rPr>
                <w:rFonts w:cs="Arial"/>
              </w:rPr>
              <w:t xml:space="preserve"> </w:t>
            </w:r>
            <w:r w:rsidRPr="00064CA8">
              <w:rPr>
                <w:rFonts w:cs="Arial"/>
              </w:rPr>
              <w:t>the</w:t>
            </w:r>
            <w:r>
              <w:rPr>
                <w:rFonts w:cs="Arial"/>
              </w:rPr>
              <w:t xml:space="preserve"> </w:t>
            </w:r>
            <w:r w:rsidRPr="00064CA8">
              <w:rPr>
                <w:rFonts w:cs="Arial"/>
              </w:rPr>
              <w:t>least</w:t>
            </w:r>
            <w:r>
              <w:rPr>
                <w:rFonts w:cs="Arial"/>
              </w:rPr>
              <w:t>-</w:t>
            </w:r>
            <w:r w:rsidRPr="00064CA8">
              <w:rPr>
                <w:rFonts w:cs="Arial"/>
              </w:rPr>
              <w:t>intrusive</w:t>
            </w:r>
            <w:r>
              <w:rPr>
                <w:rFonts w:cs="Arial"/>
              </w:rPr>
              <w:t xml:space="preserve"> </w:t>
            </w:r>
            <w:r w:rsidRPr="00064CA8">
              <w:rPr>
                <w:rFonts w:cs="Arial"/>
              </w:rPr>
              <w:t>intervention</w:t>
            </w:r>
            <w:r>
              <w:rPr>
                <w:rFonts w:cs="Arial"/>
              </w:rPr>
              <w:t xml:space="preserve"> </w:t>
            </w:r>
            <w:r w:rsidRPr="00064CA8">
              <w:rPr>
                <w:rFonts w:cs="Arial"/>
              </w:rPr>
              <w:t>and</w:t>
            </w:r>
            <w:r>
              <w:rPr>
                <w:rFonts w:cs="Arial"/>
              </w:rPr>
              <w:t xml:space="preserve"> </w:t>
            </w:r>
            <w:r w:rsidRPr="00064CA8">
              <w:rPr>
                <w:rFonts w:cs="Arial"/>
              </w:rPr>
              <w:t>stepping</w:t>
            </w:r>
            <w:r>
              <w:rPr>
                <w:rFonts w:cs="Arial"/>
              </w:rPr>
              <w:t xml:space="preserve"> </w:t>
            </w:r>
            <w:r w:rsidRPr="00064CA8">
              <w:rPr>
                <w:rFonts w:cs="Arial"/>
              </w:rPr>
              <w:t>up</w:t>
            </w:r>
            <w:r>
              <w:rPr>
                <w:rFonts w:cs="Arial"/>
              </w:rPr>
              <w:t xml:space="preserve"> </w:t>
            </w:r>
            <w:r w:rsidRPr="00064CA8">
              <w:rPr>
                <w:rFonts w:cs="Arial"/>
              </w:rPr>
              <w:t>to</w:t>
            </w:r>
            <w:r>
              <w:rPr>
                <w:rFonts w:cs="Arial"/>
              </w:rPr>
              <w:t xml:space="preserve"> </w:t>
            </w:r>
            <w:r w:rsidRPr="00064CA8">
              <w:rPr>
                <w:rFonts w:cs="Arial"/>
              </w:rPr>
              <w:t>more</w:t>
            </w:r>
            <w:r>
              <w:rPr>
                <w:rFonts w:cs="Arial"/>
              </w:rPr>
              <w:t xml:space="preserve"> </w:t>
            </w:r>
            <w:r w:rsidRPr="00064CA8">
              <w:rPr>
                <w:rFonts w:cs="Arial"/>
              </w:rPr>
              <w:t>intensive</w:t>
            </w:r>
            <w:r>
              <w:rPr>
                <w:rFonts w:cs="Arial"/>
              </w:rPr>
              <w:t xml:space="preserve"> </w:t>
            </w:r>
            <w:r w:rsidRPr="00064CA8">
              <w:rPr>
                <w:rFonts w:cs="Arial"/>
              </w:rPr>
              <w:t>care</w:t>
            </w:r>
            <w:r>
              <w:rPr>
                <w:rFonts w:cs="Arial"/>
              </w:rPr>
              <w:t xml:space="preserve"> </w:t>
            </w:r>
            <w:r w:rsidRPr="00064CA8">
              <w:rPr>
                <w:rFonts w:cs="Arial"/>
              </w:rPr>
              <w:t>if</w:t>
            </w:r>
            <w:r>
              <w:rPr>
                <w:rFonts w:cs="Arial"/>
              </w:rPr>
              <w:t xml:space="preserve"> </w:t>
            </w:r>
            <w:r w:rsidRPr="00064CA8">
              <w:rPr>
                <w:rFonts w:cs="Arial"/>
              </w:rPr>
              <w:lastRenderedPageBreak/>
              <w:t>the</w:t>
            </w:r>
            <w:r>
              <w:rPr>
                <w:rFonts w:cs="Arial"/>
              </w:rPr>
              <w:t xml:space="preserve"> </w:t>
            </w:r>
            <w:r w:rsidRPr="00064CA8">
              <w:rPr>
                <w:rFonts w:cs="Arial"/>
              </w:rPr>
              <w:t>patient</w:t>
            </w:r>
            <w:r>
              <w:rPr>
                <w:rFonts w:cs="Arial"/>
              </w:rPr>
              <w:t xml:space="preserve"> </w:t>
            </w:r>
            <w:r w:rsidRPr="00064CA8">
              <w:rPr>
                <w:rFonts w:cs="Arial"/>
              </w:rPr>
              <w:t>does</w:t>
            </w:r>
            <w:r>
              <w:rPr>
                <w:rFonts w:cs="Arial"/>
              </w:rPr>
              <w:t xml:space="preserve"> </w:t>
            </w:r>
            <w:r w:rsidRPr="00064CA8">
              <w:rPr>
                <w:rFonts w:cs="Arial"/>
              </w:rPr>
              <w:t>not</w:t>
            </w:r>
            <w:r>
              <w:rPr>
                <w:rFonts w:cs="Arial"/>
              </w:rPr>
              <w:t xml:space="preserve"> </w:t>
            </w:r>
            <w:r w:rsidRPr="00064CA8">
              <w:rPr>
                <w:rFonts w:cs="Arial"/>
              </w:rPr>
              <w:t>respond</w:t>
            </w:r>
            <w:r>
              <w:rPr>
                <w:rFonts w:cs="Arial"/>
              </w:rPr>
              <w:t xml:space="preserve"> to </w:t>
            </w:r>
            <w:r w:rsidRPr="00064CA8">
              <w:rPr>
                <w:rFonts w:cs="Arial"/>
              </w:rPr>
              <w:t>or</w:t>
            </w:r>
            <w:r>
              <w:rPr>
                <w:rFonts w:cs="Arial"/>
              </w:rPr>
              <w:t xml:space="preserve"> </w:t>
            </w:r>
            <w:r w:rsidRPr="00064CA8">
              <w:rPr>
                <w:rFonts w:cs="Arial"/>
              </w:rPr>
              <w:t>benefit</w:t>
            </w:r>
            <w:r>
              <w:rPr>
                <w:rFonts w:cs="Arial"/>
              </w:rPr>
              <w:t xml:space="preserve"> </w:t>
            </w:r>
            <w:r w:rsidRPr="00064CA8">
              <w:rPr>
                <w:rFonts w:cs="Arial"/>
              </w:rPr>
              <w:t>from</w:t>
            </w:r>
            <w:r>
              <w:rPr>
                <w:rFonts w:cs="Arial"/>
              </w:rPr>
              <w:t xml:space="preserve"> </w:t>
            </w:r>
            <w:r w:rsidRPr="00064CA8">
              <w:rPr>
                <w:rFonts w:cs="Arial"/>
              </w:rPr>
              <w:t>the</w:t>
            </w:r>
            <w:r>
              <w:rPr>
                <w:rFonts w:cs="Arial"/>
              </w:rPr>
              <w:t xml:space="preserve"> </w:t>
            </w:r>
            <w:r w:rsidRPr="00064CA8">
              <w:rPr>
                <w:rFonts w:cs="Arial"/>
              </w:rPr>
              <w:t>first</w:t>
            </w:r>
            <w:r>
              <w:rPr>
                <w:rFonts w:cs="Arial"/>
              </w:rPr>
              <w:t xml:space="preserve"> </w:t>
            </w:r>
            <w:r w:rsidRPr="00064CA8">
              <w:rPr>
                <w:rFonts w:cs="Arial"/>
              </w:rPr>
              <w:t>intervention</w:t>
            </w:r>
            <w:r>
              <w:rPr>
                <w:rFonts w:cs="Arial"/>
              </w:rPr>
              <w:t xml:space="preserve"> </w:t>
            </w:r>
            <w:r w:rsidRPr="00064CA8">
              <w:rPr>
                <w:rFonts w:cs="Arial"/>
              </w:rPr>
              <w:t>(National</w:t>
            </w:r>
            <w:r>
              <w:rPr>
                <w:rFonts w:cs="Arial"/>
              </w:rPr>
              <w:t xml:space="preserve"> </w:t>
            </w:r>
            <w:r w:rsidRPr="00064CA8">
              <w:rPr>
                <w:rFonts w:cs="Arial"/>
              </w:rPr>
              <w:t>Collaborating</w:t>
            </w:r>
            <w:r>
              <w:rPr>
                <w:rFonts w:cs="Arial"/>
              </w:rPr>
              <w:t xml:space="preserve"> </w:t>
            </w:r>
            <w:r w:rsidRPr="00064CA8">
              <w:rPr>
                <w:rFonts w:cs="Arial"/>
              </w:rPr>
              <w:t>Centre</w:t>
            </w:r>
            <w:r>
              <w:rPr>
                <w:rFonts w:cs="Arial"/>
              </w:rPr>
              <w:t xml:space="preserve"> </w:t>
            </w:r>
            <w:r w:rsidRPr="00064CA8">
              <w:rPr>
                <w:rFonts w:cs="Arial"/>
              </w:rPr>
              <w:t>for</w:t>
            </w:r>
            <w:r>
              <w:rPr>
                <w:rFonts w:cs="Arial"/>
              </w:rPr>
              <w:t xml:space="preserve"> </w:t>
            </w:r>
            <w:r w:rsidRPr="00064CA8">
              <w:rPr>
                <w:rFonts w:cs="Arial"/>
              </w:rPr>
              <w:t>Mental</w:t>
            </w:r>
            <w:r>
              <w:rPr>
                <w:rFonts w:cs="Arial"/>
              </w:rPr>
              <w:t xml:space="preserve"> </w:t>
            </w:r>
            <w:r w:rsidRPr="00064CA8">
              <w:rPr>
                <w:rFonts w:cs="Arial"/>
              </w:rPr>
              <w:t>Health,</w:t>
            </w:r>
            <w:r>
              <w:rPr>
                <w:rFonts w:cs="Arial"/>
              </w:rPr>
              <w:t xml:space="preserve"> </w:t>
            </w:r>
            <w:r w:rsidRPr="00064CA8">
              <w:rPr>
                <w:rFonts w:cs="Arial"/>
              </w:rPr>
              <w:t>2009;</w:t>
            </w:r>
            <w:r>
              <w:rPr>
                <w:rFonts w:cs="Arial"/>
              </w:rPr>
              <w:t xml:space="preserve"> </w:t>
            </w:r>
            <w:r w:rsidRPr="00064CA8">
              <w:rPr>
                <w:rFonts w:cs="Arial"/>
              </w:rPr>
              <w:t>Mitchell</w:t>
            </w:r>
            <w:r>
              <w:rPr>
                <w:rFonts w:cs="Arial"/>
              </w:rPr>
              <w:t xml:space="preserve"> </w:t>
            </w:r>
            <w:r w:rsidRPr="00064CA8">
              <w:rPr>
                <w:rFonts w:cs="Arial"/>
              </w:rPr>
              <w:t>et</w:t>
            </w:r>
            <w:r>
              <w:rPr>
                <w:rFonts w:cs="Arial"/>
              </w:rPr>
              <w:t xml:space="preserve"> </w:t>
            </w:r>
            <w:r w:rsidRPr="00064CA8">
              <w:rPr>
                <w:rFonts w:cs="Arial"/>
              </w:rPr>
              <w:t>al.,</w:t>
            </w:r>
            <w:r>
              <w:rPr>
                <w:rFonts w:cs="Arial"/>
              </w:rPr>
              <w:t xml:space="preserve"> </w:t>
            </w:r>
            <w:r w:rsidRPr="00064CA8">
              <w:rPr>
                <w:rFonts w:cs="Arial"/>
              </w:rPr>
              <w:t>2013).</w:t>
            </w:r>
            <w:r>
              <w:rPr>
                <w:rFonts w:cs="Arial"/>
              </w:rPr>
              <w:t xml:space="preserve"> </w:t>
            </w:r>
          </w:p>
          <w:p w14:paraId="7273A11B" w14:textId="77777777" w:rsidR="000C547E" w:rsidRDefault="000C547E" w:rsidP="00991EDB">
            <w:pPr>
              <w:pStyle w:val="Body"/>
              <w:rPr>
                <w:rFonts w:cs="Arial"/>
              </w:rPr>
            </w:pPr>
            <w:r w:rsidRPr="00064CA8">
              <w:rPr>
                <w:rFonts w:cs="Arial"/>
              </w:rPr>
              <w:t>For</w:t>
            </w:r>
            <w:r>
              <w:rPr>
                <w:rFonts w:cs="Arial"/>
              </w:rPr>
              <w:t xml:space="preserve"> </w:t>
            </w:r>
            <w:r w:rsidRPr="00064CA8">
              <w:rPr>
                <w:rFonts w:cs="Arial"/>
              </w:rPr>
              <w:t>mild</w:t>
            </w:r>
            <w:r>
              <w:rPr>
                <w:rFonts w:cs="Arial"/>
              </w:rPr>
              <w:t xml:space="preserve"> </w:t>
            </w:r>
            <w:r w:rsidRPr="00064CA8">
              <w:rPr>
                <w:rFonts w:cs="Arial"/>
              </w:rPr>
              <w:t>and</w:t>
            </w:r>
            <w:r>
              <w:rPr>
                <w:rFonts w:cs="Arial"/>
              </w:rPr>
              <w:t xml:space="preserve"> </w:t>
            </w:r>
            <w:r w:rsidRPr="00064CA8">
              <w:rPr>
                <w:rFonts w:cs="Arial"/>
              </w:rPr>
              <w:t>moderate</w:t>
            </w:r>
            <w:r>
              <w:rPr>
                <w:rFonts w:cs="Arial"/>
              </w:rPr>
              <w:t xml:space="preserve"> </w:t>
            </w:r>
            <w:r w:rsidRPr="00064CA8">
              <w:rPr>
                <w:rFonts w:cs="Arial"/>
              </w:rPr>
              <w:t>depression,</w:t>
            </w:r>
            <w:r>
              <w:rPr>
                <w:rFonts w:cs="Arial"/>
              </w:rPr>
              <w:t xml:space="preserve"> </w:t>
            </w:r>
            <w:r w:rsidRPr="00064CA8">
              <w:rPr>
                <w:rFonts w:cs="Arial"/>
              </w:rPr>
              <w:t>psychotherapy</w:t>
            </w:r>
            <w:r>
              <w:rPr>
                <w:rFonts w:cs="Arial"/>
              </w:rPr>
              <w:t xml:space="preserve"> </w:t>
            </w:r>
            <w:r w:rsidRPr="00064CA8">
              <w:rPr>
                <w:rFonts w:cs="Arial"/>
              </w:rPr>
              <w:t>alone</w:t>
            </w:r>
            <w:r>
              <w:rPr>
                <w:rFonts w:cs="Arial"/>
              </w:rPr>
              <w:t xml:space="preserve"> </w:t>
            </w:r>
            <w:r w:rsidRPr="00064CA8">
              <w:rPr>
                <w:rFonts w:cs="Arial"/>
              </w:rPr>
              <w:t>may</w:t>
            </w:r>
            <w:r>
              <w:rPr>
                <w:rFonts w:cs="Arial"/>
              </w:rPr>
              <w:t xml:space="preserve"> </w:t>
            </w:r>
            <w:r w:rsidRPr="00064CA8">
              <w:rPr>
                <w:rFonts w:cs="Arial"/>
              </w:rPr>
              <w:t>be</w:t>
            </w:r>
            <w:r>
              <w:rPr>
                <w:rFonts w:cs="Arial"/>
              </w:rPr>
              <w:t xml:space="preserve"> </w:t>
            </w:r>
            <w:r w:rsidRPr="00064CA8">
              <w:rPr>
                <w:rFonts w:cs="Arial"/>
              </w:rPr>
              <w:t>the</w:t>
            </w:r>
            <w:r>
              <w:rPr>
                <w:rFonts w:cs="Arial"/>
              </w:rPr>
              <w:t xml:space="preserve"> </w:t>
            </w:r>
            <w:r w:rsidRPr="00064CA8">
              <w:rPr>
                <w:rFonts w:cs="Arial"/>
              </w:rPr>
              <w:t>preferred</w:t>
            </w:r>
            <w:r>
              <w:rPr>
                <w:rFonts w:cs="Arial"/>
              </w:rPr>
              <w:t xml:space="preserve"> </w:t>
            </w:r>
            <w:r w:rsidRPr="00064CA8">
              <w:rPr>
                <w:rFonts w:cs="Arial"/>
              </w:rPr>
              <w:t>initial</w:t>
            </w:r>
            <w:r>
              <w:rPr>
                <w:rFonts w:cs="Arial"/>
              </w:rPr>
              <w:t xml:space="preserve"> </w:t>
            </w:r>
            <w:r w:rsidRPr="00064CA8">
              <w:rPr>
                <w:rFonts w:cs="Arial"/>
              </w:rPr>
              <w:t>treatment</w:t>
            </w:r>
            <w:r>
              <w:rPr>
                <w:rFonts w:cs="Arial"/>
              </w:rPr>
              <w:t xml:space="preserve">, </w:t>
            </w:r>
            <w:r w:rsidRPr="00064CA8">
              <w:rPr>
                <w:rFonts w:cs="Arial"/>
              </w:rPr>
              <w:t>to</w:t>
            </w:r>
            <w:r>
              <w:rPr>
                <w:rFonts w:cs="Arial"/>
              </w:rPr>
              <w:t xml:space="preserve"> </w:t>
            </w:r>
            <w:r w:rsidRPr="00064CA8">
              <w:rPr>
                <w:rFonts w:cs="Arial"/>
              </w:rPr>
              <w:t>be</w:t>
            </w:r>
            <w:r>
              <w:rPr>
                <w:rFonts w:cs="Arial"/>
              </w:rPr>
              <w:t xml:space="preserve"> </w:t>
            </w:r>
            <w:r w:rsidRPr="00064CA8">
              <w:rPr>
                <w:rFonts w:cs="Arial"/>
              </w:rPr>
              <w:t>followed</w:t>
            </w:r>
            <w:r>
              <w:rPr>
                <w:rFonts w:cs="Arial"/>
              </w:rPr>
              <w:t xml:space="preserve"> </w:t>
            </w:r>
            <w:r w:rsidRPr="00064CA8">
              <w:rPr>
                <w:rFonts w:cs="Arial"/>
              </w:rPr>
              <w:t>by</w:t>
            </w:r>
            <w:r>
              <w:rPr>
                <w:rFonts w:cs="Arial"/>
              </w:rPr>
              <w:t xml:space="preserve"> </w:t>
            </w:r>
            <w:r w:rsidRPr="00064CA8">
              <w:rPr>
                <w:rFonts w:cs="Arial"/>
              </w:rPr>
              <w:t>the</w:t>
            </w:r>
            <w:r>
              <w:rPr>
                <w:rFonts w:cs="Arial"/>
              </w:rPr>
              <w:t xml:space="preserve"> </w:t>
            </w:r>
            <w:r w:rsidRPr="00064CA8">
              <w:rPr>
                <w:rFonts w:cs="Arial"/>
              </w:rPr>
              <w:t>use</w:t>
            </w:r>
            <w:r>
              <w:rPr>
                <w:rFonts w:cs="Arial"/>
              </w:rPr>
              <w:t xml:space="preserve"> </w:t>
            </w:r>
            <w:r w:rsidRPr="00064CA8">
              <w:rPr>
                <w:rFonts w:cs="Arial"/>
              </w:rPr>
              <w:t>of</w:t>
            </w:r>
            <w:r>
              <w:rPr>
                <w:rFonts w:cs="Arial"/>
              </w:rPr>
              <w:t xml:space="preserve"> </w:t>
            </w:r>
            <w:r w:rsidRPr="00064CA8">
              <w:rPr>
                <w:rFonts w:cs="Arial"/>
              </w:rPr>
              <w:t>medication</w:t>
            </w:r>
            <w:r>
              <w:rPr>
                <w:rFonts w:cs="Arial"/>
              </w:rPr>
              <w:t xml:space="preserve"> </w:t>
            </w:r>
            <w:r w:rsidRPr="00064CA8">
              <w:rPr>
                <w:rFonts w:cs="Arial"/>
              </w:rPr>
              <w:t>if</w:t>
            </w:r>
            <w:r>
              <w:rPr>
                <w:rFonts w:cs="Arial"/>
              </w:rPr>
              <w:t xml:space="preserve"> </w:t>
            </w:r>
            <w:r w:rsidRPr="00064CA8">
              <w:rPr>
                <w:rFonts w:cs="Arial"/>
              </w:rPr>
              <w:t>symptoms</w:t>
            </w:r>
            <w:r>
              <w:rPr>
                <w:rFonts w:cs="Arial"/>
              </w:rPr>
              <w:t xml:space="preserve"> </w:t>
            </w:r>
            <w:r w:rsidRPr="00064CA8">
              <w:rPr>
                <w:rFonts w:cs="Arial"/>
              </w:rPr>
              <w:t>persist</w:t>
            </w:r>
            <w:r>
              <w:rPr>
                <w:rFonts w:cs="Arial"/>
              </w:rPr>
              <w:t xml:space="preserve"> </w:t>
            </w:r>
            <w:r w:rsidRPr="00064CA8">
              <w:rPr>
                <w:rFonts w:cs="Arial"/>
              </w:rPr>
              <w:t>(APA,</w:t>
            </w:r>
            <w:r>
              <w:rPr>
                <w:rFonts w:cs="Arial"/>
              </w:rPr>
              <w:t xml:space="preserve"> </w:t>
            </w:r>
            <w:r w:rsidRPr="00064CA8">
              <w:rPr>
                <w:rFonts w:cs="Arial"/>
              </w:rPr>
              <w:t>2010).</w:t>
            </w:r>
            <w:r>
              <w:rPr>
                <w:rFonts w:cs="Arial"/>
              </w:rPr>
              <w:t xml:space="preserve"> </w:t>
            </w:r>
            <w:r w:rsidRPr="00064CA8">
              <w:rPr>
                <w:rFonts w:cs="Arial"/>
              </w:rPr>
              <w:t>This</w:t>
            </w:r>
            <w:r>
              <w:rPr>
                <w:rFonts w:cs="Arial"/>
              </w:rPr>
              <w:t xml:space="preserve"> </w:t>
            </w:r>
            <w:r w:rsidRPr="00064CA8">
              <w:rPr>
                <w:rFonts w:cs="Arial"/>
              </w:rPr>
              <w:t>stepped-care</w:t>
            </w:r>
            <w:r>
              <w:rPr>
                <w:rFonts w:cs="Arial"/>
              </w:rPr>
              <w:t xml:space="preserve"> </w:t>
            </w:r>
            <w:r w:rsidRPr="00064CA8">
              <w:rPr>
                <w:rFonts w:cs="Arial"/>
              </w:rPr>
              <w:t>approach</w:t>
            </w:r>
            <w:r>
              <w:rPr>
                <w:rFonts w:cs="Arial"/>
              </w:rPr>
              <w:t xml:space="preserve"> </w:t>
            </w:r>
            <w:r w:rsidRPr="00064CA8">
              <w:rPr>
                <w:rFonts w:cs="Arial"/>
              </w:rPr>
              <w:t>includes</w:t>
            </w:r>
            <w:r>
              <w:rPr>
                <w:rFonts w:cs="Arial"/>
              </w:rPr>
              <w:t xml:space="preserve"> </w:t>
            </w:r>
            <w:r w:rsidRPr="00064CA8">
              <w:rPr>
                <w:rFonts w:cs="Arial"/>
              </w:rPr>
              <w:t>providing</w:t>
            </w:r>
            <w:r>
              <w:rPr>
                <w:rFonts w:cs="Arial"/>
              </w:rPr>
              <w:t xml:space="preserve"> </w:t>
            </w:r>
            <w:r w:rsidRPr="00064CA8">
              <w:rPr>
                <w:rFonts w:cs="Arial"/>
              </w:rPr>
              <w:t>assessment,</w:t>
            </w:r>
            <w:r>
              <w:rPr>
                <w:rFonts w:cs="Arial"/>
              </w:rPr>
              <w:t xml:space="preserve"> </w:t>
            </w:r>
            <w:r w:rsidRPr="00064CA8">
              <w:rPr>
                <w:rFonts w:cs="Arial"/>
              </w:rPr>
              <w:t>support,</w:t>
            </w:r>
            <w:r>
              <w:rPr>
                <w:rFonts w:cs="Arial"/>
              </w:rPr>
              <w:t xml:space="preserve"> </w:t>
            </w:r>
            <w:r w:rsidRPr="00064CA8">
              <w:rPr>
                <w:rFonts w:cs="Arial"/>
              </w:rPr>
              <w:t>psycho</w:t>
            </w:r>
            <w:r>
              <w:rPr>
                <w:rFonts w:cs="Arial"/>
              </w:rPr>
              <w:t>-</w:t>
            </w:r>
            <w:r w:rsidRPr="00064CA8">
              <w:rPr>
                <w:rFonts w:cs="Arial"/>
              </w:rPr>
              <w:t>education</w:t>
            </w:r>
            <w:r>
              <w:rPr>
                <w:rFonts w:cs="Arial"/>
              </w:rPr>
              <w:t xml:space="preserve"> </w:t>
            </w:r>
            <w:r w:rsidRPr="00064CA8">
              <w:rPr>
                <w:rFonts w:cs="Arial"/>
              </w:rPr>
              <w:t>and</w:t>
            </w:r>
            <w:r>
              <w:rPr>
                <w:rFonts w:cs="Arial"/>
              </w:rPr>
              <w:t xml:space="preserve"> </w:t>
            </w:r>
            <w:r w:rsidRPr="00064CA8">
              <w:rPr>
                <w:rFonts w:cs="Arial"/>
              </w:rPr>
              <w:t>monitoring</w:t>
            </w:r>
            <w:r>
              <w:rPr>
                <w:rFonts w:cs="Arial"/>
              </w:rPr>
              <w:t xml:space="preserve"> </w:t>
            </w:r>
            <w:r w:rsidRPr="00064CA8">
              <w:rPr>
                <w:rFonts w:cs="Arial"/>
              </w:rPr>
              <w:t>of</w:t>
            </w:r>
            <w:r>
              <w:rPr>
                <w:rFonts w:cs="Arial"/>
              </w:rPr>
              <w:t xml:space="preserve"> </w:t>
            </w:r>
            <w:r w:rsidRPr="00064CA8">
              <w:rPr>
                <w:rFonts w:cs="Arial"/>
              </w:rPr>
              <w:t>symptoms</w:t>
            </w:r>
            <w:r>
              <w:rPr>
                <w:rFonts w:cs="Arial"/>
              </w:rPr>
              <w:t xml:space="preserve"> </w:t>
            </w:r>
            <w:r w:rsidRPr="00064CA8">
              <w:rPr>
                <w:rFonts w:cs="Arial"/>
              </w:rPr>
              <w:t>as</w:t>
            </w:r>
            <w:r>
              <w:rPr>
                <w:rFonts w:cs="Arial"/>
              </w:rPr>
              <w:t xml:space="preserve"> </w:t>
            </w:r>
            <w:r w:rsidRPr="00064CA8">
              <w:rPr>
                <w:rFonts w:cs="Arial"/>
              </w:rPr>
              <w:t>a</w:t>
            </w:r>
            <w:r>
              <w:rPr>
                <w:rFonts w:cs="Arial"/>
              </w:rPr>
              <w:t xml:space="preserve"> </w:t>
            </w:r>
            <w:r w:rsidRPr="00064CA8">
              <w:rPr>
                <w:rFonts w:cs="Arial"/>
              </w:rPr>
              <w:t>first</w:t>
            </w:r>
            <w:r>
              <w:rPr>
                <w:rFonts w:cs="Arial"/>
              </w:rPr>
              <w:t xml:space="preserve"> </w:t>
            </w:r>
            <w:r w:rsidRPr="00064CA8">
              <w:rPr>
                <w:rFonts w:cs="Arial"/>
              </w:rPr>
              <w:t>step,</w:t>
            </w:r>
            <w:r>
              <w:rPr>
                <w:rFonts w:cs="Arial"/>
              </w:rPr>
              <w:t xml:space="preserve"> </w:t>
            </w:r>
            <w:r w:rsidRPr="00064CA8">
              <w:rPr>
                <w:rFonts w:cs="Arial"/>
              </w:rPr>
              <w:t>followed</w:t>
            </w:r>
            <w:r>
              <w:rPr>
                <w:rFonts w:cs="Arial"/>
              </w:rPr>
              <w:t xml:space="preserve"> </w:t>
            </w:r>
            <w:r w:rsidRPr="00064CA8">
              <w:rPr>
                <w:rFonts w:cs="Arial"/>
              </w:rPr>
              <w:t>by</w:t>
            </w:r>
            <w:r>
              <w:rPr>
                <w:rFonts w:cs="Arial"/>
              </w:rPr>
              <w:t xml:space="preserve"> </w:t>
            </w:r>
            <w:r w:rsidRPr="00064CA8">
              <w:rPr>
                <w:rFonts w:cs="Arial"/>
              </w:rPr>
              <w:t>psychosocial,</w:t>
            </w:r>
            <w:r>
              <w:rPr>
                <w:rFonts w:cs="Arial"/>
              </w:rPr>
              <w:t xml:space="preserve"> </w:t>
            </w:r>
            <w:r w:rsidRPr="00064CA8">
              <w:rPr>
                <w:rFonts w:cs="Arial"/>
              </w:rPr>
              <w:t>psychological</w:t>
            </w:r>
            <w:r>
              <w:rPr>
                <w:rFonts w:cs="Arial"/>
              </w:rPr>
              <w:t xml:space="preserve"> </w:t>
            </w:r>
            <w:r w:rsidRPr="00064CA8">
              <w:rPr>
                <w:rFonts w:cs="Arial"/>
              </w:rPr>
              <w:t>and</w:t>
            </w:r>
            <w:r>
              <w:rPr>
                <w:rFonts w:cs="Arial"/>
              </w:rPr>
              <w:t xml:space="preserve"> </w:t>
            </w:r>
            <w:r w:rsidRPr="00064CA8">
              <w:rPr>
                <w:rFonts w:cs="Arial"/>
              </w:rPr>
              <w:t>pharmacologic</w:t>
            </w:r>
            <w:r>
              <w:rPr>
                <w:rFonts w:cs="Arial"/>
              </w:rPr>
              <w:t xml:space="preserve"> </w:t>
            </w:r>
            <w:r w:rsidRPr="00064CA8">
              <w:rPr>
                <w:rFonts w:cs="Arial"/>
              </w:rPr>
              <w:t>interventions,</w:t>
            </w:r>
            <w:r>
              <w:rPr>
                <w:rFonts w:cs="Arial"/>
              </w:rPr>
              <w:t xml:space="preserve"> </w:t>
            </w:r>
            <w:r w:rsidRPr="00064CA8">
              <w:rPr>
                <w:rFonts w:cs="Arial"/>
              </w:rPr>
              <w:t>and</w:t>
            </w:r>
            <w:r>
              <w:rPr>
                <w:rFonts w:cs="Arial"/>
              </w:rPr>
              <w:t xml:space="preserve"> </w:t>
            </w:r>
            <w:r w:rsidRPr="00064CA8">
              <w:rPr>
                <w:rFonts w:cs="Arial"/>
              </w:rPr>
              <w:t>then</w:t>
            </w:r>
            <w:r>
              <w:rPr>
                <w:rFonts w:cs="Arial"/>
              </w:rPr>
              <w:t xml:space="preserve"> </w:t>
            </w:r>
            <w:r w:rsidRPr="00064CA8">
              <w:rPr>
                <w:rFonts w:cs="Arial"/>
              </w:rPr>
              <w:t>combined</w:t>
            </w:r>
            <w:r>
              <w:rPr>
                <w:rFonts w:cs="Arial"/>
              </w:rPr>
              <w:t xml:space="preserve"> </w:t>
            </w:r>
            <w:r w:rsidRPr="00064CA8">
              <w:rPr>
                <w:rFonts w:cs="Arial"/>
              </w:rPr>
              <w:t>treatments</w:t>
            </w:r>
            <w:r>
              <w:rPr>
                <w:rFonts w:cs="Arial"/>
              </w:rPr>
              <w:t xml:space="preserve"> </w:t>
            </w:r>
            <w:r w:rsidRPr="00064CA8">
              <w:rPr>
                <w:rFonts w:cs="Arial"/>
              </w:rPr>
              <w:t>for</w:t>
            </w:r>
            <w:r>
              <w:rPr>
                <w:rFonts w:cs="Arial"/>
              </w:rPr>
              <w:t xml:space="preserve"> </w:t>
            </w:r>
            <w:r w:rsidRPr="00064CA8">
              <w:rPr>
                <w:rFonts w:cs="Arial"/>
              </w:rPr>
              <w:t>those</w:t>
            </w:r>
            <w:r>
              <w:rPr>
                <w:rFonts w:cs="Arial"/>
              </w:rPr>
              <w:t xml:space="preserve"> </w:t>
            </w:r>
            <w:r w:rsidRPr="00064CA8">
              <w:rPr>
                <w:rFonts w:cs="Arial"/>
              </w:rPr>
              <w:t>with</w:t>
            </w:r>
            <w:r>
              <w:rPr>
                <w:rFonts w:cs="Arial"/>
              </w:rPr>
              <w:t xml:space="preserve"> </w:t>
            </w:r>
            <w:r w:rsidRPr="00064CA8">
              <w:rPr>
                <w:rFonts w:cs="Arial"/>
              </w:rPr>
              <w:t>inadequate</w:t>
            </w:r>
            <w:r>
              <w:rPr>
                <w:rFonts w:cs="Arial"/>
              </w:rPr>
              <w:t xml:space="preserve"> </w:t>
            </w:r>
            <w:r w:rsidRPr="00064CA8">
              <w:rPr>
                <w:rFonts w:cs="Arial"/>
              </w:rPr>
              <w:t>response.</w:t>
            </w:r>
            <w:r>
              <w:rPr>
                <w:rFonts w:cs="Arial"/>
              </w:rPr>
              <w:t xml:space="preserve"> </w:t>
            </w:r>
            <w:r w:rsidRPr="00064CA8">
              <w:rPr>
                <w:rFonts w:cs="Arial"/>
              </w:rPr>
              <w:t>High-intensity</w:t>
            </w:r>
            <w:r>
              <w:rPr>
                <w:rFonts w:cs="Arial"/>
              </w:rPr>
              <w:t xml:space="preserve"> </w:t>
            </w:r>
            <w:r w:rsidRPr="00064CA8">
              <w:rPr>
                <w:rFonts w:cs="Arial"/>
              </w:rPr>
              <w:t>interventions,</w:t>
            </w:r>
            <w:r>
              <w:rPr>
                <w:rFonts w:cs="Arial"/>
              </w:rPr>
              <w:t xml:space="preserve"> </w:t>
            </w:r>
            <w:r w:rsidRPr="00064CA8">
              <w:rPr>
                <w:rFonts w:cs="Arial"/>
              </w:rPr>
              <w:t>crisis</w:t>
            </w:r>
            <w:r>
              <w:rPr>
                <w:rFonts w:cs="Arial"/>
              </w:rPr>
              <w:t xml:space="preserve"> </w:t>
            </w:r>
            <w:r w:rsidRPr="00064CA8">
              <w:rPr>
                <w:rFonts w:cs="Arial"/>
              </w:rPr>
              <w:t>and</w:t>
            </w:r>
            <w:r>
              <w:rPr>
                <w:rFonts w:cs="Arial"/>
              </w:rPr>
              <w:t xml:space="preserve"> </w:t>
            </w:r>
            <w:r w:rsidRPr="00064CA8">
              <w:rPr>
                <w:rFonts w:cs="Arial"/>
              </w:rPr>
              <w:t>inpatient</w:t>
            </w:r>
            <w:r>
              <w:rPr>
                <w:rFonts w:cs="Arial"/>
              </w:rPr>
              <w:t xml:space="preserve"> </w:t>
            </w:r>
            <w:r w:rsidRPr="00064CA8">
              <w:rPr>
                <w:rFonts w:cs="Arial"/>
              </w:rPr>
              <w:t>care</w:t>
            </w:r>
            <w:r>
              <w:rPr>
                <w:rFonts w:cs="Arial"/>
              </w:rPr>
              <w:t xml:space="preserve"> </w:t>
            </w:r>
            <w:r w:rsidRPr="00064CA8">
              <w:rPr>
                <w:rFonts w:cs="Arial"/>
              </w:rPr>
              <w:t>are</w:t>
            </w:r>
            <w:r>
              <w:rPr>
                <w:rFonts w:cs="Arial"/>
              </w:rPr>
              <w:t xml:space="preserve"> </w:t>
            </w:r>
            <w:r w:rsidRPr="00064CA8">
              <w:rPr>
                <w:rFonts w:cs="Arial"/>
              </w:rPr>
              <w:t>only</w:t>
            </w:r>
            <w:r>
              <w:rPr>
                <w:rFonts w:cs="Arial"/>
              </w:rPr>
              <w:t xml:space="preserve"> </w:t>
            </w:r>
            <w:r w:rsidRPr="00064CA8">
              <w:rPr>
                <w:rFonts w:cs="Arial"/>
              </w:rPr>
              <w:t>used</w:t>
            </w:r>
            <w:r>
              <w:rPr>
                <w:rFonts w:cs="Arial"/>
              </w:rPr>
              <w:t xml:space="preserve"> </w:t>
            </w:r>
            <w:r w:rsidRPr="00064CA8">
              <w:rPr>
                <w:rFonts w:cs="Arial"/>
              </w:rPr>
              <w:t>in</w:t>
            </w:r>
            <w:r>
              <w:rPr>
                <w:rFonts w:cs="Arial"/>
              </w:rPr>
              <w:t xml:space="preserve"> </w:t>
            </w:r>
            <w:r w:rsidRPr="00064CA8">
              <w:rPr>
                <w:rFonts w:cs="Arial"/>
              </w:rPr>
              <w:t>severe</w:t>
            </w:r>
            <w:r>
              <w:rPr>
                <w:rFonts w:cs="Arial"/>
              </w:rPr>
              <w:t xml:space="preserve"> </w:t>
            </w:r>
            <w:r w:rsidRPr="00064CA8">
              <w:rPr>
                <w:rFonts w:cs="Arial"/>
              </w:rPr>
              <w:t>cases.</w:t>
            </w:r>
            <w:r>
              <w:rPr>
                <w:rFonts w:cs="Arial"/>
              </w:rPr>
              <w:t xml:space="preserve"> </w:t>
            </w:r>
          </w:p>
          <w:p w14:paraId="58F87514" w14:textId="77777777" w:rsidR="000C547E" w:rsidRPr="00064CA8" w:rsidRDefault="000C547E" w:rsidP="00991EDB">
            <w:pPr>
              <w:pStyle w:val="Body"/>
              <w:rPr>
                <w:rFonts w:cs="Arial"/>
                <w:color w:val="000000"/>
              </w:rPr>
            </w:pPr>
            <w:r w:rsidRPr="00064CA8">
              <w:rPr>
                <w:rFonts w:cs="Arial"/>
              </w:rPr>
              <w:t>For</w:t>
            </w:r>
            <w:r>
              <w:rPr>
                <w:rFonts w:cs="Arial"/>
              </w:rPr>
              <w:t xml:space="preserve"> </w:t>
            </w:r>
            <w:r w:rsidRPr="00064CA8">
              <w:rPr>
                <w:rFonts w:cs="Arial"/>
              </w:rPr>
              <w:t>adolescents,</w:t>
            </w:r>
            <w:r>
              <w:rPr>
                <w:rFonts w:cs="Arial"/>
              </w:rPr>
              <w:t xml:space="preserve"> </w:t>
            </w:r>
            <w:r w:rsidRPr="00064CA8">
              <w:rPr>
                <w:rFonts w:cs="Arial"/>
              </w:rPr>
              <w:t>t</w:t>
            </w:r>
            <w:r w:rsidRPr="00064CA8">
              <w:rPr>
                <w:rFonts w:cs="Arial"/>
                <w:color w:val="000000"/>
              </w:rPr>
              <w:t>he</w:t>
            </w:r>
            <w:r>
              <w:rPr>
                <w:rFonts w:cs="Arial"/>
                <w:color w:val="000000"/>
              </w:rPr>
              <w:t xml:space="preserve"> </w:t>
            </w:r>
            <w:r w:rsidRPr="00064CA8">
              <w:rPr>
                <w:rFonts w:cs="Arial"/>
                <w:color w:val="000000"/>
              </w:rPr>
              <w:t>USPSTF</w:t>
            </w:r>
            <w:r>
              <w:rPr>
                <w:rFonts w:cs="Arial"/>
                <w:color w:val="000000"/>
              </w:rPr>
              <w:t xml:space="preserve"> </w:t>
            </w:r>
            <w:r w:rsidRPr="00064CA8">
              <w:rPr>
                <w:rFonts w:cs="Arial"/>
                <w:color w:val="000000"/>
              </w:rPr>
              <w:t>found</w:t>
            </w:r>
            <w:r>
              <w:rPr>
                <w:rFonts w:cs="Arial"/>
                <w:color w:val="000000"/>
              </w:rPr>
              <w:t xml:space="preserve"> </w:t>
            </w:r>
            <w:r w:rsidRPr="00064CA8">
              <w:rPr>
                <w:rFonts w:cs="Arial"/>
                <w:color w:val="000000"/>
              </w:rPr>
              <w:t>adequate</w:t>
            </w:r>
            <w:r>
              <w:rPr>
                <w:rFonts w:cs="Arial"/>
                <w:color w:val="000000"/>
              </w:rPr>
              <w:t xml:space="preserve"> </w:t>
            </w:r>
            <w:r w:rsidRPr="00064CA8">
              <w:rPr>
                <w:rFonts w:cs="Arial"/>
                <w:color w:val="000000"/>
              </w:rPr>
              <w:t>evidence</w:t>
            </w:r>
            <w:r>
              <w:rPr>
                <w:rFonts w:cs="Arial"/>
                <w:color w:val="000000"/>
              </w:rPr>
              <w:t xml:space="preserve"> </w:t>
            </w:r>
            <w:r w:rsidRPr="00064CA8">
              <w:rPr>
                <w:rFonts w:cs="Arial"/>
                <w:color w:val="000000"/>
              </w:rPr>
              <w:t>that</w:t>
            </w:r>
            <w:r>
              <w:rPr>
                <w:rFonts w:cs="Arial"/>
                <w:color w:val="000000"/>
              </w:rPr>
              <w:t xml:space="preserve"> </w:t>
            </w:r>
            <w:r w:rsidRPr="00064CA8">
              <w:rPr>
                <w:rFonts w:cs="Arial"/>
                <w:color w:val="000000"/>
              </w:rPr>
              <w:t>treatment</w:t>
            </w:r>
            <w:r>
              <w:rPr>
                <w:rFonts w:cs="Arial"/>
                <w:color w:val="000000"/>
              </w:rPr>
              <w:t xml:space="preserve"> </w:t>
            </w:r>
            <w:r w:rsidRPr="00064CA8">
              <w:rPr>
                <w:rFonts w:cs="Arial"/>
                <w:color w:val="000000"/>
              </w:rPr>
              <w:t>with</w:t>
            </w:r>
            <w:r>
              <w:rPr>
                <w:rFonts w:cs="Arial"/>
                <w:color w:val="000000"/>
              </w:rPr>
              <w:t xml:space="preserve"> </w:t>
            </w:r>
            <w:r w:rsidRPr="00064CA8">
              <w:rPr>
                <w:rFonts w:cs="Arial"/>
                <w:color w:val="000000"/>
              </w:rPr>
              <w:t>SSRIs,</w:t>
            </w:r>
            <w:r>
              <w:rPr>
                <w:rFonts w:cs="Arial"/>
                <w:color w:val="000000"/>
              </w:rPr>
              <w:t xml:space="preserve"> </w:t>
            </w:r>
            <w:r w:rsidRPr="00064CA8">
              <w:rPr>
                <w:rFonts w:cs="Arial"/>
                <w:color w:val="000000"/>
              </w:rPr>
              <w:t>psychotherapy</w:t>
            </w:r>
            <w:r>
              <w:rPr>
                <w:rFonts w:cs="Arial"/>
                <w:color w:val="000000"/>
              </w:rPr>
              <w:t xml:space="preserve"> </w:t>
            </w:r>
            <w:r w:rsidRPr="00064CA8">
              <w:rPr>
                <w:rFonts w:cs="Arial"/>
                <w:color w:val="000000"/>
              </w:rPr>
              <w:t>and</w:t>
            </w:r>
            <w:r>
              <w:rPr>
                <w:rFonts w:cs="Arial"/>
                <w:color w:val="000000"/>
              </w:rPr>
              <w:t xml:space="preserve"> </w:t>
            </w:r>
            <w:r w:rsidRPr="00064CA8">
              <w:rPr>
                <w:rFonts w:cs="Arial"/>
                <w:color w:val="000000"/>
              </w:rPr>
              <w:t>combined</w:t>
            </w:r>
            <w:r>
              <w:rPr>
                <w:rFonts w:cs="Arial"/>
                <w:color w:val="000000"/>
              </w:rPr>
              <w:t xml:space="preserve"> </w:t>
            </w:r>
            <w:r w:rsidRPr="00064CA8">
              <w:rPr>
                <w:rFonts w:cs="Arial"/>
                <w:color w:val="000000"/>
              </w:rPr>
              <w:t>therapy</w:t>
            </w:r>
            <w:r>
              <w:rPr>
                <w:rFonts w:cs="Arial"/>
                <w:color w:val="000000"/>
              </w:rPr>
              <w:t xml:space="preserve"> </w:t>
            </w:r>
            <w:r w:rsidRPr="00064CA8">
              <w:rPr>
                <w:rFonts w:cs="Arial"/>
                <w:color w:val="000000"/>
              </w:rPr>
              <w:t>(SSRIs</w:t>
            </w:r>
            <w:r>
              <w:rPr>
                <w:rFonts w:cs="Arial"/>
                <w:color w:val="000000"/>
              </w:rPr>
              <w:t xml:space="preserve"> </w:t>
            </w:r>
            <w:r w:rsidRPr="00064CA8">
              <w:rPr>
                <w:rFonts w:cs="Arial"/>
                <w:color w:val="000000"/>
              </w:rPr>
              <w:t>and</w:t>
            </w:r>
            <w:r>
              <w:rPr>
                <w:rFonts w:cs="Arial"/>
                <w:color w:val="000000"/>
              </w:rPr>
              <w:t xml:space="preserve"> </w:t>
            </w:r>
            <w:r w:rsidRPr="00064CA8">
              <w:rPr>
                <w:rFonts w:cs="Arial"/>
                <w:color w:val="000000"/>
              </w:rPr>
              <w:t>psychotherapy)</w:t>
            </w:r>
            <w:r>
              <w:rPr>
                <w:rFonts w:cs="Arial"/>
                <w:color w:val="000000"/>
              </w:rPr>
              <w:t xml:space="preserve"> </w:t>
            </w:r>
            <w:r w:rsidRPr="00064CA8">
              <w:rPr>
                <w:rFonts w:cs="Arial"/>
                <w:color w:val="000000"/>
              </w:rPr>
              <w:t>results</w:t>
            </w:r>
            <w:r>
              <w:rPr>
                <w:rFonts w:cs="Arial"/>
                <w:color w:val="000000"/>
              </w:rPr>
              <w:t xml:space="preserve"> </w:t>
            </w:r>
            <w:r w:rsidRPr="00064CA8">
              <w:rPr>
                <w:rFonts w:cs="Arial"/>
                <w:color w:val="000000"/>
              </w:rPr>
              <w:t>in</w:t>
            </w:r>
            <w:r>
              <w:rPr>
                <w:rFonts w:cs="Arial"/>
                <w:color w:val="000000"/>
              </w:rPr>
              <w:t xml:space="preserve"> </w:t>
            </w:r>
            <w:r w:rsidRPr="00064CA8">
              <w:rPr>
                <w:rFonts w:cs="Arial"/>
                <w:color w:val="000000"/>
              </w:rPr>
              <w:t>decreases</w:t>
            </w:r>
            <w:r>
              <w:rPr>
                <w:rFonts w:cs="Arial"/>
                <w:color w:val="000000"/>
              </w:rPr>
              <w:t xml:space="preserve"> </w:t>
            </w:r>
            <w:r w:rsidRPr="00064CA8">
              <w:rPr>
                <w:rFonts w:cs="Arial"/>
                <w:color w:val="000000"/>
              </w:rPr>
              <w:t>of</w:t>
            </w:r>
            <w:r>
              <w:rPr>
                <w:rFonts w:cs="Arial"/>
                <w:color w:val="000000"/>
              </w:rPr>
              <w:t xml:space="preserve"> </w:t>
            </w:r>
            <w:r w:rsidRPr="00064CA8">
              <w:rPr>
                <w:rFonts w:cs="Arial"/>
                <w:color w:val="000000"/>
              </w:rPr>
              <w:t>major</w:t>
            </w:r>
            <w:r>
              <w:rPr>
                <w:rFonts w:cs="Arial"/>
                <w:color w:val="000000"/>
              </w:rPr>
              <w:t xml:space="preserve"> </w:t>
            </w:r>
            <w:r w:rsidRPr="00064CA8">
              <w:rPr>
                <w:rFonts w:cs="Arial"/>
                <w:color w:val="000000"/>
              </w:rPr>
              <w:t>depressive</w:t>
            </w:r>
            <w:r>
              <w:rPr>
                <w:rFonts w:cs="Arial"/>
                <w:color w:val="000000"/>
              </w:rPr>
              <w:t xml:space="preserve"> </w:t>
            </w:r>
            <w:r w:rsidRPr="00064CA8">
              <w:rPr>
                <w:rFonts w:cs="Arial"/>
                <w:color w:val="000000"/>
              </w:rPr>
              <w:t>disorder</w:t>
            </w:r>
            <w:r>
              <w:rPr>
                <w:rFonts w:cs="Arial"/>
                <w:color w:val="000000"/>
              </w:rPr>
              <w:t xml:space="preserve"> </w:t>
            </w:r>
            <w:r w:rsidRPr="00064CA8">
              <w:rPr>
                <w:rFonts w:cs="Arial"/>
                <w:color w:val="000000"/>
              </w:rPr>
              <w:t>symptoms.</w:t>
            </w:r>
            <w:r>
              <w:rPr>
                <w:rFonts w:cs="Arial"/>
                <w:color w:val="000000"/>
              </w:rPr>
              <w:t xml:space="preserve"> </w:t>
            </w:r>
            <w:r w:rsidRPr="00064CA8">
              <w:rPr>
                <w:rFonts w:cs="Arial"/>
                <w:color w:val="000000"/>
              </w:rPr>
              <w:t>This</w:t>
            </w:r>
            <w:r>
              <w:rPr>
                <w:rFonts w:cs="Arial"/>
                <w:color w:val="000000"/>
              </w:rPr>
              <w:t xml:space="preserve"> </w:t>
            </w:r>
            <w:r w:rsidRPr="00064CA8">
              <w:rPr>
                <w:rFonts w:cs="Arial"/>
                <w:color w:val="000000"/>
              </w:rPr>
              <w:t>conclusion</w:t>
            </w:r>
            <w:r>
              <w:rPr>
                <w:rFonts w:cs="Arial"/>
                <w:color w:val="000000"/>
              </w:rPr>
              <w:t xml:space="preserve"> </w:t>
            </w:r>
            <w:r w:rsidRPr="00064CA8">
              <w:rPr>
                <w:rFonts w:cs="Arial"/>
                <w:color w:val="000000"/>
              </w:rPr>
              <w:t>was</w:t>
            </w:r>
            <w:r>
              <w:rPr>
                <w:rFonts w:cs="Arial"/>
                <w:color w:val="000000"/>
              </w:rPr>
              <w:t xml:space="preserve"> </w:t>
            </w:r>
            <w:r w:rsidRPr="00064CA8">
              <w:rPr>
                <w:rFonts w:cs="Arial"/>
                <w:color w:val="000000"/>
              </w:rPr>
              <w:t>based</w:t>
            </w:r>
            <w:r>
              <w:rPr>
                <w:rFonts w:cs="Arial"/>
                <w:color w:val="000000"/>
              </w:rPr>
              <w:t xml:space="preserve"> </w:t>
            </w:r>
            <w:r w:rsidRPr="00064CA8">
              <w:rPr>
                <w:rFonts w:cs="Arial"/>
                <w:color w:val="000000"/>
              </w:rPr>
              <w:t>on</w:t>
            </w:r>
            <w:r>
              <w:rPr>
                <w:rFonts w:cs="Arial"/>
                <w:color w:val="000000"/>
              </w:rPr>
              <w:t xml:space="preserve"> </w:t>
            </w:r>
            <w:r w:rsidRPr="00064CA8">
              <w:rPr>
                <w:rFonts w:cs="Arial"/>
                <w:color w:val="000000"/>
              </w:rPr>
              <w:t>a</w:t>
            </w:r>
            <w:r>
              <w:rPr>
                <w:rFonts w:cs="Arial"/>
                <w:color w:val="000000"/>
              </w:rPr>
              <w:t xml:space="preserve"> </w:t>
            </w:r>
            <w:r w:rsidRPr="00064CA8">
              <w:rPr>
                <w:rFonts w:cs="Arial"/>
                <w:color w:val="000000"/>
              </w:rPr>
              <w:t>systematic</w:t>
            </w:r>
            <w:r>
              <w:rPr>
                <w:rFonts w:cs="Arial"/>
                <w:color w:val="000000"/>
              </w:rPr>
              <w:t xml:space="preserve"> </w:t>
            </w:r>
            <w:r w:rsidRPr="00064CA8">
              <w:rPr>
                <w:rFonts w:cs="Arial"/>
                <w:color w:val="000000"/>
              </w:rPr>
              <w:t>review</w:t>
            </w:r>
            <w:r>
              <w:rPr>
                <w:rFonts w:cs="Arial"/>
                <w:color w:val="000000"/>
              </w:rPr>
              <w:t xml:space="preserve"> </w:t>
            </w:r>
            <w:r w:rsidRPr="00064CA8">
              <w:rPr>
                <w:rFonts w:cs="Arial"/>
                <w:color w:val="000000"/>
              </w:rPr>
              <w:t>that</w:t>
            </w:r>
            <w:r>
              <w:rPr>
                <w:rFonts w:cs="Arial"/>
                <w:color w:val="000000"/>
              </w:rPr>
              <w:t xml:space="preserve"> </w:t>
            </w:r>
            <w:r w:rsidRPr="00064CA8">
              <w:rPr>
                <w:rFonts w:cs="Arial"/>
                <w:color w:val="000000"/>
              </w:rPr>
              <w:t>revealed</w:t>
            </w:r>
            <w:r>
              <w:rPr>
                <w:rFonts w:cs="Arial"/>
                <w:color w:val="000000"/>
              </w:rPr>
              <w:t xml:space="preserve"> </w:t>
            </w:r>
            <w:r w:rsidRPr="00064CA8">
              <w:rPr>
                <w:rFonts w:cs="Arial"/>
                <w:color w:val="000000"/>
              </w:rPr>
              <w:t>several</w:t>
            </w:r>
            <w:r>
              <w:rPr>
                <w:rFonts w:cs="Arial"/>
                <w:color w:val="000000"/>
              </w:rPr>
              <w:t xml:space="preserve"> </w:t>
            </w:r>
            <w:r w:rsidRPr="00064CA8">
              <w:rPr>
                <w:rFonts w:cs="Arial"/>
                <w:color w:val="000000"/>
              </w:rPr>
              <w:t>fair-</w:t>
            </w:r>
            <w:r>
              <w:rPr>
                <w:rFonts w:cs="Arial"/>
                <w:color w:val="000000"/>
              </w:rPr>
              <w:t xml:space="preserve"> </w:t>
            </w:r>
            <w:r w:rsidRPr="00064CA8">
              <w:rPr>
                <w:rFonts w:cs="Arial"/>
                <w:color w:val="000000"/>
              </w:rPr>
              <w:t>or</w:t>
            </w:r>
            <w:r>
              <w:rPr>
                <w:rFonts w:cs="Arial"/>
                <w:color w:val="000000"/>
              </w:rPr>
              <w:t xml:space="preserve"> </w:t>
            </w:r>
            <w:r w:rsidRPr="00064CA8">
              <w:rPr>
                <w:rFonts w:cs="Arial"/>
                <w:color w:val="000000"/>
              </w:rPr>
              <w:t>good-quality</w:t>
            </w:r>
            <w:r>
              <w:rPr>
                <w:rFonts w:cs="Arial"/>
                <w:color w:val="000000"/>
              </w:rPr>
              <w:t xml:space="preserve"> </w:t>
            </w:r>
            <w:r w:rsidRPr="00064CA8">
              <w:rPr>
                <w:rFonts w:cs="Arial"/>
                <w:color w:val="000000"/>
              </w:rPr>
              <w:t>randomized</w:t>
            </w:r>
            <w:r>
              <w:rPr>
                <w:rFonts w:cs="Arial"/>
                <w:color w:val="000000"/>
              </w:rPr>
              <w:t xml:space="preserve"> </w:t>
            </w:r>
            <w:r w:rsidRPr="00064CA8">
              <w:rPr>
                <w:rFonts w:cs="Arial"/>
                <w:color w:val="000000"/>
              </w:rPr>
              <w:t>controlled</w:t>
            </w:r>
            <w:r>
              <w:rPr>
                <w:rFonts w:cs="Arial"/>
                <w:color w:val="000000"/>
              </w:rPr>
              <w:t xml:space="preserve"> </w:t>
            </w:r>
            <w:r w:rsidRPr="00064CA8">
              <w:rPr>
                <w:rFonts w:cs="Arial"/>
                <w:color w:val="000000"/>
              </w:rPr>
              <w:t>trials</w:t>
            </w:r>
            <w:r>
              <w:rPr>
                <w:rFonts w:cs="Arial"/>
                <w:color w:val="000000"/>
              </w:rPr>
              <w:t xml:space="preserve"> </w:t>
            </w:r>
            <w:r w:rsidRPr="00064CA8">
              <w:rPr>
                <w:rFonts w:cs="Arial"/>
                <w:color w:val="000000"/>
              </w:rPr>
              <w:t>(RCT)</w:t>
            </w:r>
            <w:r>
              <w:rPr>
                <w:rFonts w:cs="Arial"/>
                <w:color w:val="000000"/>
              </w:rPr>
              <w:t xml:space="preserve"> </w:t>
            </w:r>
            <w:r w:rsidRPr="00064CA8">
              <w:rPr>
                <w:rFonts w:cs="Arial"/>
                <w:color w:val="000000"/>
              </w:rPr>
              <w:t>(USPSTF,</w:t>
            </w:r>
            <w:r>
              <w:rPr>
                <w:rFonts w:cs="Arial"/>
                <w:color w:val="000000"/>
              </w:rPr>
              <w:t xml:space="preserve"> </w:t>
            </w:r>
            <w:r w:rsidRPr="00064CA8">
              <w:rPr>
                <w:rFonts w:cs="Arial"/>
                <w:color w:val="000000"/>
              </w:rPr>
              <w:t>2009).</w:t>
            </w:r>
            <w:r>
              <w:rPr>
                <w:rFonts w:cs="Arial"/>
                <w:color w:val="000000"/>
              </w:rPr>
              <w:t xml:space="preserve">  </w:t>
            </w:r>
          </w:p>
          <w:p w14:paraId="4EB06C3D" w14:textId="77777777" w:rsidR="000C547E" w:rsidRDefault="000C547E" w:rsidP="00991EDB">
            <w:pPr>
              <w:pStyle w:val="Body"/>
              <w:spacing w:before="120"/>
              <w:rPr>
                <w:rFonts w:cs="Arial"/>
                <w:color w:val="000000"/>
                <w:shd w:val="clear" w:color="auto" w:fill="FFFFFF"/>
              </w:rPr>
            </w:pPr>
            <w:r w:rsidRPr="00064CA8">
              <w:rPr>
                <w:rFonts w:cs="Arial"/>
              </w:rPr>
              <w:t>There</w:t>
            </w:r>
            <w:r>
              <w:rPr>
                <w:rFonts w:cs="Arial"/>
              </w:rPr>
              <w:t xml:space="preserve"> </w:t>
            </w:r>
            <w:r w:rsidRPr="00064CA8">
              <w:rPr>
                <w:rFonts w:cs="Arial"/>
              </w:rPr>
              <w:t>are</w:t>
            </w:r>
            <w:r>
              <w:rPr>
                <w:rFonts w:cs="Arial"/>
              </w:rPr>
              <w:t xml:space="preserve"> </w:t>
            </w:r>
            <w:r w:rsidRPr="00064CA8">
              <w:rPr>
                <w:rFonts w:cs="Arial"/>
              </w:rPr>
              <w:t>challenges</w:t>
            </w:r>
            <w:r>
              <w:rPr>
                <w:rFonts w:cs="Arial"/>
              </w:rPr>
              <w:t xml:space="preserve"> </w:t>
            </w:r>
            <w:r w:rsidRPr="00064CA8">
              <w:rPr>
                <w:rFonts w:cs="Arial"/>
              </w:rPr>
              <w:t>to</w:t>
            </w:r>
            <w:r>
              <w:rPr>
                <w:rFonts w:cs="Arial"/>
              </w:rPr>
              <w:t xml:space="preserve"> </w:t>
            </w:r>
            <w:r w:rsidRPr="00064CA8">
              <w:rPr>
                <w:rFonts w:cs="Arial"/>
              </w:rPr>
              <w:t>delivering</w:t>
            </w:r>
            <w:r>
              <w:rPr>
                <w:rFonts w:cs="Arial"/>
              </w:rPr>
              <w:t xml:space="preserve"> </w:t>
            </w:r>
            <w:r w:rsidRPr="00064CA8">
              <w:rPr>
                <w:rFonts w:cs="Arial"/>
              </w:rPr>
              <w:t>guideline-recommended</w:t>
            </w:r>
            <w:r>
              <w:rPr>
                <w:rFonts w:cs="Arial"/>
              </w:rPr>
              <w:t xml:space="preserve"> </w:t>
            </w:r>
            <w:r w:rsidRPr="00064CA8">
              <w:rPr>
                <w:rFonts w:cs="Arial"/>
              </w:rPr>
              <w:t>care</w:t>
            </w:r>
            <w:r>
              <w:rPr>
                <w:rFonts w:cs="Arial"/>
              </w:rPr>
              <w:t xml:space="preserve"> </w:t>
            </w:r>
            <w:r w:rsidRPr="00064CA8">
              <w:rPr>
                <w:rFonts w:cs="Arial"/>
              </w:rPr>
              <w:t>in</w:t>
            </w:r>
            <w:r>
              <w:rPr>
                <w:rFonts w:cs="Arial"/>
              </w:rPr>
              <w:t xml:space="preserve"> </w:t>
            </w:r>
            <w:r w:rsidRPr="00064CA8">
              <w:rPr>
                <w:rFonts w:cs="Arial"/>
              </w:rPr>
              <w:t>nonmental</w:t>
            </w:r>
            <w:r>
              <w:rPr>
                <w:rFonts w:cs="Arial"/>
              </w:rPr>
              <w:t xml:space="preserve"> </w:t>
            </w:r>
            <w:r w:rsidRPr="00064CA8">
              <w:rPr>
                <w:rFonts w:cs="Arial"/>
              </w:rPr>
              <w:t>health</w:t>
            </w:r>
            <w:r>
              <w:rPr>
                <w:rFonts w:cs="Arial"/>
              </w:rPr>
              <w:t xml:space="preserve"> </w:t>
            </w:r>
            <w:r w:rsidRPr="00064CA8">
              <w:rPr>
                <w:rFonts w:cs="Arial"/>
              </w:rPr>
              <w:t>settings</w:t>
            </w:r>
            <w:r>
              <w:rPr>
                <w:rFonts w:cs="Arial"/>
              </w:rPr>
              <w:t xml:space="preserve"> </w:t>
            </w:r>
            <w:r w:rsidRPr="00064CA8">
              <w:rPr>
                <w:rFonts w:cs="Arial"/>
              </w:rPr>
              <w:t>such</w:t>
            </w:r>
            <w:r>
              <w:rPr>
                <w:rFonts w:cs="Arial"/>
              </w:rPr>
              <w:t xml:space="preserve"> </w:t>
            </w:r>
            <w:r w:rsidRPr="00064CA8">
              <w:rPr>
                <w:rFonts w:cs="Arial"/>
              </w:rPr>
              <w:t>as</w:t>
            </w:r>
            <w:r>
              <w:rPr>
                <w:rFonts w:cs="Arial"/>
              </w:rPr>
              <w:t xml:space="preserve"> </w:t>
            </w:r>
            <w:r w:rsidRPr="00064CA8">
              <w:rPr>
                <w:rFonts w:cs="Arial"/>
              </w:rPr>
              <w:t>primary</w:t>
            </w:r>
            <w:r>
              <w:rPr>
                <w:rFonts w:cs="Arial"/>
              </w:rPr>
              <w:t xml:space="preserve"> </w:t>
            </w:r>
            <w:r w:rsidRPr="00064CA8">
              <w:rPr>
                <w:rFonts w:cs="Arial"/>
              </w:rPr>
              <w:t>care,</w:t>
            </w:r>
            <w:r>
              <w:rPr>
                <w:rFonts w:cs="Arial"/>
              </w:rPr>
              <w:t xml:space="preserve"> </w:t>
            </w:r>
            <w:r w:rsidRPr="00064CA8">
              <w:rPr>
                <w:rFonts w:cs="Arial"/>
              </w:rPr>
              <w:t>where</w:t>
            </w:r>
            <w:r>
              <w:rPr>
                <w:rFonts w:cs="Arial"/>
              </w:rPr>
              <w:t xml:space="preserve"> </w:t>
            </w:r>
            <w:r w:rsidRPr="00064CA8">
              <w:rPr>
                <w:rFonts w:cs="Arial"/>
              </w:rPr>
              <w:t>providers</w:t>
            </w:r>
            <w:r>
              <w:rPr>
                <w:rFonts w:cs="Arial"/>
              </w:rPr>
              <w:t xml:space="preserve"> </w:t>
            </w:r>
            <w:r w:rsidRPr="00064CA8">
              <w:rPr>
                <w:rFonts w:cs="Arial"/>
              </w:rPr>
              <w:t>may</w:t>
            </w:r>
            <w:r>
              <w:rPr>
                <w:rFonts w:cs="Arial"/>
              </w:rPr>
              <w:t xml:space="preserve"> </w:t>
            </w:r>
            <w:r w:rsidRPr="00064CA8">
              <w:rPr>
                <w:rFonts w:cs="Arial"/>
              </w:rPr>
              <w:t>not</w:t>
            </w:r>
            <w:r>
              <w:rPr>
                <w:rFonts w:cs="Arial"/>
              </w:rPr>
              <w:t xml:space="preserve"> </w:t>
            </w:r>
            <w:r w:rsidRPr="00064CA8">
              <w:rPr>
                <w:rFonts w:cs="Arial"/>
              </w:rPr>
              <w:t>be</w:t>
            </w:r>
            <w:r>
              <w:rPr>
                <w:rFonts w:cs="Arial"/>
              </w:rPr>
              <w:t xml:space="preserve"> </w:t>
            </w:r>
            <w:r w:rsidRPr="00064CA8">
              <w:rPr>
                <w:rFonts w:cs="Arial"/>
              </w:rPr>
              <w:t>as</w:t>
            </w:r>
            <w:r>
              <w:rPr>
                <w:rFonts w:cs="Arial"/>
              </w:rPr>
              <w:t xml:space="preserve"> </w:t>
            </w:r>
            <w:r w:rsidRPr="00064CA8">
              <w:rPr>
                <w:rFonts w:cs="Arial"/>
              </w:rPr>
              <w:t>knowledgeable</w:t>
            </w:r>
            <w:r>
              <w:rPr>
                <w:rFonts w:cs="Arial"/>
              </w:rPr>
              <w:t xml:space="preserve"> </w:t>
            </w:r>
            <w:r w:rsidRPr="00064CA8">
              <w:rPr>
                <w:rFonts w:cs="Arial"/>
              </w:rPr>
              <w:t>about</w:t>
            </w:r>
            <w:r>
              <w:rPr>
                <w:rFonts w:cs="Arial"/>
              </w:rPr>
              <w:t xml:space="preserve"> </w:t>
            </w:r>
            <w:r w:rsidRPr="00064CA8">
              <w:rPr>
                <w:rFonts w:cs="Arial"/>
              </w:rPr>
              <w:t>depression</w:t>
            </w:r>
            <w:r>
              <w:rPr>
                <w:rFonts w:cs="Arial"/>
              </w:rPr>
              <w:t xml:space="preserve"> </w:t>
            </w:r>
            <w:r w:rsidRPr="00064CA8">
              <w:rPr>
                <w:rFonts w:cs="Arial"/>
              </w:rPr>
              <w:t>management</w:t>
            </w:r>
            <w:r>
              <w:rPr>
                <w:rFonts w:cs="Arial"/>
              </w:rPr>
              <w:t xml:space="preserve"> </w:t>
            </w:r>
            <w:r w:rsidRPr="00064CA8">
              <w:rPr>
                <w:rFonts w:cs="Arial"/>
              </w:rPr>
              <w:t>and</w:t>
            </w:r>
            <w:r>
              <w:rPr>
                <w:rFonts w:cs="Arial"/>
              </w:rPr>
              <w:t xml:space="preserve"> </w:t>
            </w:r>
            <w:r w:rsidRPr="00064CA8">
              <w:rPr>
                <w:rFonts w:cs="Arial"/>
              </w:rPr>
              <w:t>there</w:t>
            </w:r>
            <w:r>
              <w:rPr>
                <w:rFonts w:cs="Arial"/>
              </w:rPr>
              <w:t xml:space="preserve"> </w:t>
            </w:r>
            <w:r w:rsidRPr="00064CA8">
              <w:rPr>
                <w:rFonts w:cs="Arial"/>
              </w:rPr>
              <w:t>are</w:t>
            </w:r>
            <w:r>
              <w:rPr>
                <w:rFonts w:cs="Arial"/>
              </w:rPr>
              <w:t xml:space="preserve"> </w:t>
            </w:r>
            <w:r w:rsidRPr="00064CA8">
              <w:rPr>
                <w:rFonts w:cs="Arial"/>
              </w:rPr>
              <w:t>competing</w:t>
            </w:r>
            <w:r>
              <w:rPr>
                <w:rFonts w:cs="Arial"/>
              </w:rPr>
              <w:t xml:space="preserve"> </w:t>
            </w:r>
            <w:r w:rsidRPr="00064CA8">
              <w:rPr>
                <w:rFonts w:cs="Arial"/>
              </w:rPr>
              <w:t>demands</w:t>
            </w:r>
            <w:r>
              <w:rPr>
                <w:rFonts w:cs="Arial"/>
              </w:rPr>
              <w:t xml:space="preserve"> </w:t>
            </w:r>
            <w:r w:rsidRPr="00064CA8">
              <w:rPr>
                <w:rFonts w:cs="Arial"/>
              </w:rPr>
              <w:t>of</w:t>
            </w:r>
            <w:r>
              <w:rPr>
                <w:rFonts w:cs="Arial"/>
              </w:rPr>
              <w:t xml:space="preserve"> </w:t>
            </w:r>
            <w:r w:rsidRPr="00064CA8">
              <w:rPr>
                <w:rFonts w:cs="Arial"/>
              </w:rPr>
              <w:t>other</w:t>
            </w:r>
            <w:r>
              <w:rPr>
                <w:rFonts w:cs="Arial"/>
              </w:rPr>
              <w:t xml:space="preserve"> </w:t>
            </w:r>
            <w:r w:rsidRPr="00064CA8">
              <w:rPr>
                <w:rFonts w:cs="Arial"/>
              </w:rPr>
              <w:t>medical</w:t>
            </w:r>
            <w:r>
              <w:rPr>
                <w:rFonts w:cs="Arial"/>
              </w:rPr>
              <w:t xml:space="preserve"> </w:t>
            </w:r>
            <w:r w:rsidRPr="00064CA8">
              <w:rPr>
                <w:rFonts w:cs="Arial"/>
              </w:rPr>
              <w:t>issues</w:t>
            </w:r>
            <w:r>
              <w:rPr>
                <w:rFonts w:cs="Arial"/>
              </w:rPr>
              <w:t xml:space="preserve"> </w:t>
            </w:r>
            <w:r w:rsidRPr="00064CA8">
              <w:rPr>
                <w:rFonts w:cs="Arial"/>
              </w:rPr>
              <w:t>(Nutting</w:t>
            </w:r>
            <w:r>
              <w:rPr>
                <w:rFonts w:cs="Arial"/>
              </w:rPr>
              <w:t xml:space="preserve"> </w:t>
            </w:r>
            <w:r w:rsidRPr="00064CA8">
              <w:rPr>
                <w:rFonts w:cs="Arial"/>
              </w:rPr>
              <w:t>et</w:t>
            </w:r>
            <w:r>
              <w:rPr>
                <w:rFonts w:cs="Arial"/>
              </w:rPr>
              <w:t xml:space="preserve"> </w:t>
            </w:r>
            <w:r w:rsidRPr="00064CA8">
              <w:rPr>
                <w:rFonts w:cs="Arial"/>
              </w:rPr>
              <w:t>al.,</w:t>
            </w:r>
            <w:r>
              <w:rPr>
                <w:rFonts w:cs="Arial"/>
              </w:rPr>
              <w:t xml:space="preserve"> </w:t>
            </w:r>
            <w:r w:rsidRPr="00064CA8">
              <w:rPr>
                <w:rFonts w:cs="Arial"/>
              </w:rPr>
              <w:t>2002;</w:t>
            </w:r>
            <w:r>
              <w:rPr>
                <w:rFonts w:cs="Arial"/>
              </w:rPr>
              <w:t xml:space="preserve"> </w:t>
            </w:r>
            <w:r w:rsidRPr="00064CA8">
              <w:rPr>
                <w:rFonts w:cs="Arial"/>
              </w:rPr>
              <w:t>Rost</w:t>
            </w:r>
            <w:r>
              <w:rPr>
                <w:rFonts w:cs="Arial"/>
              </w:rPr>
              <w:t xml:space="preserve"> </w:t>
            </w:r>
            <w:r w:rsidRPr="00064CA8">
              <w:rPr>
                <w:rFonts w:cs="Arial"/>
              </w:rPr>
              <w:t>et</w:t>
            </w:r>
            <w:r>
              <w:rPr>
                <w:rFonts w:cs="Arial"/>
              </w:rPr>
              <w:t xml:space="preserve"> </w:t>
            </w:r>
            <w:r w:rsidRPr="00064CA8">
              <w:rPr>
                <w:rFonts w:cs="Arial"/>
              </w:rPr>
              <w:t>al.,</w:t>
            </w:r>
            <w:r>
              <w:rPr>
                <w:rFonts w:cs="Arial"/>
              </w:rPr>
              <w:t xml:space="preserve"> </w:t>
            </w:r>
            <w:r w:rsidRPr="00064CA8">
              <w:rPr>
                <w:rFonts w:cs="Arial"/>
              </w:rPr>
              <w:t>2000).</w:t>
            </w:r>
            <w:r>
              <w:rPr>
                <w:rFonts w:cs="Arial"/>
              </w:rPr>
              <w:t xml:space="preserve"> </w:t>
            </w:r>
            <w:r w:rsidRPr="00064CA8">
              <w:rPr>
                <w:rFonts w:cs="Arial"/>
              </w:rPr>
              <w:t>Numerous</w:t>
            </w:r>
            <w:r>
              <w:rPr>
                <w:rFonts w:cs="Arial"/>
              </w:rPr>
              <w:t xml:space="preserve"> </w:t>
            </w:r>
            <w:r w:rsidRPr="00064CA8">
              <w:rPr>
                <w:rFonts w:cs="Arial"/>
              </w:rPr>
              <w:t>studies</w:t>
            </w:r>
            <w:r>
              <w:rPr>
                <w:rFonts w:cs="Arial"/>
              </w:rPr>
              <w:t xml:space="preserve"> </w:t>
            </w:r>
            <w:r w:rsidRPr="00064CA8">
              <w:rPr>
                <w:rFonts w:cs="Arial"/>
              </w:rPr>
              <w:t>have</w:t>
            </w:r>
            <w:r>
              <w:rPr>
                <w:rFonts w:cs="Arial"/>
              </w:rPr>
              <w:t xml:space="preserve"> </w:t>
            </w:r>
            <w:r w:rsidRPr="00064CA8">
              <w:rPr>
                <w:rFonts w:cs="Arial"/>
              </w:rPr>
              <w:t>shown</w:t>
            </w:r>
            <w:r>
              <w:rPr>
                <w:rFonts w:cs="Arial"/>
              </w:rPr>
              <w:t xml:space="preserve"> </w:t>
            </w:r>
            <w:r w:rsidRPr="00064CA8">
              <w:rPr>
                <w:rFonts w:cs="Arial"/>
              </w:rPr>
              <w:t>that</w:t>
            </w:r>
            <w:r>
              <w:rPr>
                <w:rFonts w:cs="Arial"/>
              </w:rPr>
              <w:t xml:space="preserve"> </w:t>
            </w:r>
            <w:r w:rsidRPr="00064CA8">
              <w:rPr>
                <w:rFonts w:cs="Arial"/>
              </w:rPr>
              <w:t>a</w:t>
            </w:r>
            <w:r>
              <w:rPr>
                <w:rFonts w:cs="Arial"/>
              </w:rPr>
              <w:t xml:space="preserve"> </w:t>
            </w:r>
            <w:r w:rsidRPr="00064CA8">
              <w:rPr>
                <w:rFonts w:cs="Arial"/>
              </w:rPr>
              <w:t>collaborative</w:t>
            </w:r>
            <w:r>
              <w:rPr>
                <w:rFonts w:cs="Arial"/>
              </w:rPr>
              <w:t xml:space="preserve"> </w:t>
            </w:r>
            <w:r w:rsidRPr="00064CA8">
              <w:rPr>
                <w:rFonts w:cs="Arial"/>
              </w:rPr>
              <w:t>care</w:t>
            </w:r>
            <w:r>
              <w:rPr>
                <w:rFonts w:cs="Arial"/>
              </w:rPr>
              <w:t xml:space="preserve"> </w:t>
            </w:r>
            <w:r w:rsidRPr="00064CA8">
              <w:rPr>
                <w:rFonts w:cs="Arial"/>
              </w:rPr>
              <w:t>model</w:t>
            </w:r>
            <w:r>
              <w:rPr>
                <w:rFonts w:cs="Arial"/>
              </w:rPr>
              <w:t xml:space="preserve"> </w:t>
            </w:r>
            <w:r w:rsidRPr="00064CA8">
              <w:rPr>
                <w:rFonts w:cs="Arial"/>
              </w:rPr>
              <w:t>can</w:t>
            </w:r>
            <w:r>
              <w:rPr>
                <w:rFonts w:cs="Arial"/>
              </w:rPr>
              <w:t xml:space="preserve"> </w:t>
            </w:r>
            <w:r w:rsidRPr="00064CA8">
              <w:rPr>
                <w:rFonts w:cs="Arial"/>
              </w:rPr>
              <w:t>address</w:t>
            </w:r>
            <w:r>
              <w:rPr>
                <w:rFonts w:cs="Arial"/>
              </w:rPr>
              <w:t xml:space="preserve"> </w:t>
            </w:r>
            <w:r w:rsidRPr="00064CA8">
              <w:rPr>
                <w:rFonts w:cs="Arial"/>
              </w:rPr>
              <w:t>these</w:t>
            </w:r>
            <w:r>
              <w:rPr>
                <w:rFonts w:cs="Arial"/>
              </w:rPr>
              <w:t xml:space="preserve"> </w:t>
            </w:r>
            <w:r w:rsidRPr="00064CA8">
              <w:rPr>
                <w:rFonts w:cs="Arial"/>
              </w:rPr>
              <w:t>challenges</w:t>
            </w:r>
            <w:r>
              <w:rPr>
                <w:rFonts w:cs="Arial"/>
              </w:rPr>
              <w:t xml:space="preserve"> </w:t>
            </w:r>
            <w:r w:rsidRPr="00064CA8">
              <w:rPr>
                <w:rFonts w:cs="Arial"/>
              </w:rPr>
              <w:t>and</w:t>
            </w:r>
            <w:r>
              <w:rPr>
                <w:rFonts w:cs="Arial"/>
              </w:rPr>
              <w:t xml:space="preserve"> </w:t>
            </w:r>
            <w:r w:rsidRPr="00064CA8">
              <w:rPr>
                <w:rFonts w:cs="Arial"/>
              </w:rPr>
              <w:t>demonstrate</w:t>
            </w:r>
            <w:r>
              <w:rPr>
                <w:rFonts w:cs="Arial"/>
              </w:rPr>
              <w:t xml:space="preserve"> </w:t>
            </w:r>
            <w:r w:rsidRPr="00064CA8">
              <w:rPr>
                <w:rFonts w:cs="Arial"/>
              </w:rPr>
              <w:t>effectiveness</w:t>
            </w:r>
            <w:r>
              <w:rPr>
                <w:rFonts w:cs="Arial"/>
              </w:rPr>
              <w:t xml:space="preserve"> </w:t>
            </w:r>
            <w:r w:rsidRPr="00064CA8">
              <w:rPr>
                <w:rFonts w:cs="Arial"/>
              </w:rPr>
              <w:t>for</w:t>
            </w:r>
            <w:r>
              <w:rPr>
                <w:rFonts w:cs="Arial"/>
              </w:rPr>
              <w:t xml:space="preserve"> </w:t>
            </w:r>
            <w:r w:rsidRPr="00064CA8">
              <w:rPr>
                <w:rFonts w:cs="Arial"/>
              </w:rPr>
              <w:t>managing</w:t>
            </w:r>
            <w:r>
              <w:rPr>
                <w:rFonts w:cs="Arial"/>
              </w:rPr>
              <w:t xml:space="preserve"> </w:t>
            </w:r>
            <w:r w:rsidRPr="00064CA8">
              <w:rPr>
                <w:rFonts w:cs="Arial"/>
              </w:rPr>
              <w:t>depression</w:t>
            </w:r>
            <w:r>
              <w:rPr>
                <w:rFonts w:cs="Arial"/>
              </w:rPr>
              <w:t xml:space="preserve"> </w:t>
            </w:r>
            <w:r w:rsidRPr="00064CA8">
              <w:rPr>
                <w:rFonts w:cs="Arial"/>
              </w:rPr>
              <w:t>in</w:t>
            </w:r>
            <w:r>
              <w:rPr>
                <w:rFonts w:cs="Arial"/>
              </w:rPr>
              <w:t xml:space="preserve"> </w:t>
            </w:r>
            <w:r w:rsidRPr="00064CA8">
              <w:rPr>
                <w:rFonts w:cs="Arial"/>
              </w:rPr>
              <w:t>primary</w:t>
            </w:r>
            <w:r>
              <w:rPr>
                <w:rFonts w:cs="Arial"/>
              </w:rPr>
              <w:t xml:space="preserve"> </w:t>
            </w:r>
            <w:r w:rsidRPr="00064CA8">
              <w:rPr>
                <w:rFonts w:cs="Arial"/>
              </w:rPr>
              <w:t>care</w:t>
            </w:r>
            <w:r>
              <w:rPr>
                <w:rFonts w:cs="Arial"/>
              </w:rPr>
              <w:t xml:space="preserve"> </w:t>
            </w:r>
            <w:r w:rsidRPr="00064CA8">
              <w:rPr>
                <w:rFonts w:cs="Arial"/>
              </w:rPr>
              <w:t>settings</w:t>
            </w:r>
            <w:r>
              <w:rPr>
                <w:rFonts w:cs="Arial"/>
              </w:rPr>
              <w:t xml:space="preserve"> </w:t>
            </w:r>
            <w:r w:rsidRPr="00064CA8">
              <w:rPr>
                <w:rFonts w:cs="Arial"/>
              </w:rPr>
              <w:t>(</w:t>
            </w:r>
            <w:r w:rsidRPr="00064CA8">
              <w:rPr>
                <w:rFonts w:cs="Arial"/>
                <w:color w:val="000000"/>
                <w:shd w:val="clear" w:color="auto" w:fill="FFFFFF"/>
              </w:rPr>
              <w:t>Gilbody</w:t>
            </w:r>
            <w:r>
              <w:rPr>
                <w:rFonts w:cs="Arial"/>
                <w:color w:val="000000"/>
                <w:shd w:val="clear" w:color="auto" w:fill="FFFFFF"/>
              </w:rPr>
              <w:t xml:space="preserve"> </w:t>
            </w:r>
            <w:r w:rsidRPr="00064CA8">
              <w:rPr>
                <w:rFonts w:cs="Arial"/>
                <w:color w:val="000000"/>
                <w:shd w:val="clear" w:color="auto" w:fill="FFFFFF"/>
              </w:rPr>
              <w:t>et</w:t>
            </w:r>
            <w:r>
              <w:rPr>
                <w:rFonts w:cs="Arial"/>
                <w:color w:val="000000"/>
                <w:shd w:val="clear" w:color="auto" w:fill="FFFFFF"/>
              </w:rPr>
              <w:t xml:space="preserve"> </w:t>
            </w:r>
            <w:r w:rsidRPr="00064CA8">
              <w:rPr>
                <w:rFonts w:cs="Arial"/>
                <w:color w:val="000000"/>
                <w:shd w:val="clear" w:color="auto" w:fill="FFFFFF"/>
              </w:rPr>
              <w:t>al.,</w:t>
            </w:r>
            <w:r>
              <w:rPr>
                <w:rFonts w:cs="Arial"/>
                <w:color w:val="000000"/>
                <w:shd w:val="clear" w:color="auto" w:fill="FFFFFF"/>
              </w:rPr>
              <w:t xml:space="preserve"> </w:t>
            </w:r>
            <w:r w:rsidRPr="00064CA8">
              <w:rPr>
                <w:rFonts w:cs="Arial"/>
                <w:color w:val="000000"/>
                <w:shd w:val="clear" w:color="auto" w:fill="FFFFFF"/>
              </w:rPr>
              <w:t>2006;</w:t>
            </w:r>
            <w:r>
              <w:rPr>
                <w:rFonts w:cs="Arial"/>
                <w:color w:val="000000"/>
                <w:shd w:val="clear" w:color="auto" w:fill="FFFFFF"/>
              </w:rPr>
              <w:t xml:space="preserve"> </w:t>
            </w:r>
            <w:r w:rsidRPr="00064CA8">
              <w:rPr>
                <w:rFonts w:cs="Arial"/>
                <w:color w:val="000000"/>
                <w:shd w:val="clear" w:color="auto" w:fill="FFFFFF"/>
              </w:rPr>
              <w:t>Katon</w:t>
            </w:r>
            <w:r>
              <w:rPr>
                <w:rFonts w:cs="Arial"/>
                <w:color w:val="000000"/>
                <w:shd w:val="clear" w:color="auto" w:fill="FFFFFF"/>
              </w:rPr>
              <w:t xml:space="preserve"> </w:t>
            </w:r>
            <w:r w:rsidRPr="00064CA8">
              <w:rPr>
                <w:rFonts w:cs="Arial"/>
                <w:color w:val="000000"/>
                <w:shd w:val="clear" w:color="auto" w:fill="FFFFFF"/>
              </w:rPr>
              <w:t>et</w:t>
            </w:r>
            <w:r>
              <w:rPr>
                <w:rFonts w:cs="Arial"/>
                <w:color w:val="000000"/>
                <w:shd w:val="clear" w:color="auto" w:fill="FFFFFF"/>
              </w:rPr>
              <w:t xml:space="preserve"> </w:t>
            </w:r>
            <w:r w:rsidRPr="00064CA8">
              <w:rPr>
                <w:rFonts w:cs="Arial"/>
                <w:color w:val="000000"/>
                <w:shd w:val="clear" w:color="auto" w:fill="FFFFFF"/>
              </w:rPr>
              <w:t>al.,</w:t>
            </w:r>
            <w:r>
              <w:rPr>
                <w:rFonts w:cs="Arial"/>
                <w:color w:val="000000"/>
                <w:shd w:val="clear" w:color="auto" w:fill="FFFFFF"/>
              </w:rPr>
              <w:t xml:space="preserve"> </w:t>
            </w:r>
            <w:r w:rsidRPr="00064CA8">
              <w:rPr>
                <w:rFonts w:cs="Arial"/>
                <w:color w:val="000000"/>
                <w:shd w:val="clear" w:color="auto" w:fill="FFFFFF"/>
              </w:rPr>
              <w:t>2008;</w:t>
            </w:r>
            <w:r>
              <w:rPr>
                <w:rFonts w:cs="Arial"/>
                <w:color w:val="000000"/>
                <w:shd w:val="clear" w:color="auto" w:fill="FFFFFF"/>
              </w:rPr>
              <w:t xml:space="preserve"> </w:t>
            </w:r>
            <w:r w:rsidRPr="00064CA8">
              <w:rPr>
                <w:rFonts w:cs="Arial"/>
              </w:rPr>
              <w:t>Katon</w:t>
            </w:r>
            <w:r>
              <w:rPr>
                <w:rFonts w:cs="Arial"/>
              </w:rPr>
              <w:t xml:space="preserve"> </w:t>
            </w:r>
            <w:r w:rsidRPr="00064CA8">
              <w:rPr>
                <w:rFonts w:cs="Arial"/>
              </w:rPr>
              <w:t>and</w:t>
            </w:r>
            <w:r>
              <w:rPr>
                <w:rFonts w:cs="Arial"/>
              </w:rPr>
              <w:t xml:space="preserve"> </w:t>
            </w:r>
            <w:r w:rsidRPr="00064CA8">
              <w:rPr>
                <w:rFonts w:cs="Arial"/>
              </w:rPr>
              <w:t>Guico-Pabia,</w:t>
            </w:r>
            <w:r>
              <w:rPr>
                <w:rFonts w:cs="Arial"/>
              </w:rPr>
              <w:t xml:space="preserve"> </w:t>
            </w:r>
            <w:r w:rsidRPr="00064CA8">
              <w:rPr>
                <w:rFonts w:cs="Arial"/>
              </w:rPr>
              <w:t>2011</w:t>
            </w:r>
            <w:r w:rsidRPr="00064CA8">
              <w:rPr>
                <w:rFonts w:cs="Arial"/>
                <w:color w:val="000000"/>
                <w:shd w:val="clear" w:color="auto" w:fill="FFFFFF"/>
              </w:rPr>
              <w:t>).</w:t>
            </w:r>
          </w:p>
          <w:p w14:paraId="6135302F" w14:textId="77777777" w:rsidR="000C547E" w:rsidRDefault="000C547E" w:rsidP="00991EDB">
            <w:pPr>
              <w:pStyle w:val="Body"/>
              <w:spacing w:before="120"/>
              <w:rPr>
                <w:rFonts w:cs="Arial"/>
                <w:color w:val="000000"/>
                <w:shd w:val="clear" w:color="auto" w:fill="FFFFFF"/>
              </w:rPr>
            </w:pPr>
            <w:r w:rsidRPr="00064CA8">
              <w:rPr>
                <w:rFonts w:cs="Arial"/>
                <w:color w:val="000000"/>
                <w:shd w:val="clear" w:color="auto" w:fill="FFFFFF"/>
              </w:rPr>
              <w:t>A</w:t>
            </w:r>
            <w:r>
              <w:rPr>
                <w:rFonts w:cs="Arial"/>
                <w:color w:val="000000"/>
                <w:shd w:val="clear" w:color="auto" w:fill="FFFFFF"/>
              </w:rPr>
              <w:t xml:space="preserve"> </w:t>
            </w:r>
            <w:r w:rsidRPr="00064CA8">
              <w:rPr>
                <w:rFonts w:cs="Arial"/>
                <w:color w:val="000000"/>
                <w:shd w:val="clear" w:color="auto" w:fill="FFFFFF"/>
              </w:rPr>
              <w:t>recent</w:t>
            </w:r>
            <w:r>
              <w:rPr>
                <w:rFonts w:cs="Arial"/>
                <w:color w:val="000000"/>
                <w:shd w:val="clear" w:color="auto" w:fill="FFFFFF"/>
              </w:rPr>
              <w:t xml:space="preserve"> </w:t>
            </w:r>
            <w:r w:rsidRPr="00064CA8">
              <w:rPr>
                <w:rFonts w:cs="Arial"/>
                <w:color w:val="000000"/>
                <w:shd w:val="clear" w:color="auto" w:fill="FFFFFF"/>
              </w:rPr>
              <w:t>RCT</w:t>
            </w:r>
            <w:r>
              <w:rPr>
                <w:rFonts w:cs="Arial"/>
                <w:color w:val="000000"/>
                <w:shd w:val="clear" w:color="auto" w:fill="FFFFFF"/>
              </w:rPr>
              <w:t xml:space="preserve"> </w:t>
            </w:r>
            <w:r w:rsidRPr="00064CA8">
              <w:rPr>
                <w:rFonts w:cs="Arial"/>
                <w:color w:val="000000"/>
                <w:shd w:val="clear" w:color="auto" w:fill="FFFFFF"/>
              </w:rPr>
              <w:t>demonstrated</w:t>
            </w:r>
            <w:r>
              <w:rPr>
                <w:rFonts w:cs="Arial"/>
                <w:color w:val="000000"/>
                <w:shd w:val="clear" w:color="auto" w:fill="FFFFFF"/>
              </w:rPr>
              <w:t xml:space="preserve"> </w:t>
            </w:r>
            <w:r w:rsidRPr="00064CA8">
              <w:rPr>
                <w:rFonts w:cs="Arial"/>
                <w:color w:val="000000"/>
                <w:shd w:val="clear" w:color="auto" w:fill="FFFFFF"/>
              </w:rPr>
              <w:t>effectiveness</w:t>
            </w:r>
            <w:r>
              <w:rPr>
                <w:rFonts w:cs="Arial"/>
                <w:color w:val="000000"/>
                <w:shd w:val="clear" w:color="auto" w:fill="FFFFFF"/>
              </w:rPr>
              <w:t xml:space="preserve"> </w:t>
            </w:r>
            <w:r w:rsidRPr="00064CA8">
              <w:rPr>
                <w:rFonts w:cs="Arial"/>
                <w:color w:val="000000"/>
                <w:shd w:val="clear" w:color="auto" w:fill="FFFFFF"/>
              </w:rPr>
              <w:t>of</w:t>
            </w:r>
            <w:r>
              <w:rPr>
                <w:rFonts w:cs="Arial"/>
                <w:color w:val="000000"/>
                <w:shd w:val="clear" w:color="auto" w:fill="FFFFFF"/>
              </w:rPr>
              <w:t xml:space="preserve"> </w:t>
            </w:r>
            <w:r w:rsidRPr="00064CA8">
              <w:rPr>
                <w:rFonts w:cs="Arial"/>
                <w:color w:val="000000"/>
                <w:shd w:val="clear" w:color="auto" w:fill="FFFFFF"/>
              </w:rPr>
              <w:t>the</w:t>
            </w:r>
            <w:r>
              <w:rPr>
                <w:rFonts w:cs="Arial"/>
                <w:color w:val="000000"/>
                <w:shd w:val="clear" w:color="auto" w:fill="FFFFFF"/>
              </w:rPr>
              <w:t xml:space="preserve"> </w:t>
            </w:r>
            <w:r w:rsidRPr="00064CA8">
              <w:rPr>
                <w:rFonts w:cs="Arial"/>
                <w:color w:val="000000"/>
                <w:shd w:val="clear" w:color="auto" w:fill="FFFFFF"/>
              </w:rPr>
              <w:t>collaborative</w:t>
            </w:r>
            <w:r>
              <w:rPr>
                <w:rFonts w:cs="Arial"/>
                <w:color w:val="000000"/>
                <w:shd w:val="clear" w:color="auto" w:fill="FFFFFF"/>
              </w:rPr>
              <w:t xml:space="preserve"> </w:t>
            </w:r>
            <w:r w:rsidRPr="00064CA8">
              <w:rPr>
                <w:rFonts w:cs="Arial"/>
                <w:color w:val="000000"/>
                <w:shd w:val="clear" w:color="auto" w:fill="FFFFFF"/>
              </w:rPr>
              <w:t>care</w:t>
            </w:r>
            <w:r>
              <w:rPr>
                <w:rFonts w:cs="Arial"/>
                <w:color w:val="000000"/>
                <w:shd w:val="clear" w:color="auto" w:fill="FFFFFF"/>
              </w:rPr>
              <w:t xml:space="preserve"> </w:t>
            </w:r>
            <w:r w:rsidRPr="00064CA8">
              <w:rPr>
                <w:rFonts w:cs="Arial"/>
                <w:color w:val="000000"/>
                <w:shd w:val="clear" w:color="auto" w:fill="FFFFFF"/>
              </w:rPr>
              <w:t>model</w:t>
            </w:r>
            <w:r>
              <w:rPr>
                <w:rFonts w:cs="Arial"/>
                <w:color w:val="000000"/>
                <w:shd w:val="clear" w:color="auto" w:fill="FFFFFF"/>
              </w:rPr>
              <w:t xml:space="preserve"> </w:t>
            </w:r>
            <w:r w:rsidRPr="00064CA8">
              <w:rPr>
                <w:rFonts w:cs="Arial"/>
                <w:color w:val="000000"/>
                <w:shd w:val="clear" w:color="auto" w:fill="FFFFFF"/>
              </w:rPr>
              <w:t>for</w:t>
            </w:r>
            <w:r>
              <w:rPr>
                <w:rFonts w:cs="Arial"/>
                <w:color w:val="000000"/>
                <w:shd w:val="clear" w:color="auto" w:fill="FFFFFF"/>
              </w:rPr>
              <w:t xml:space="preserve"> </w:t>
            </w:r>
            <w:r w:rsidRPr="00064CA8">
              <w:rPr>
                <w:rFonts w:cs="Arial"/>
                <w:color w:val="000000"/>
                <w:shd w:val="clear" w:color="auto" w:fill="FFFFFF"/>
              </w:rPr>
              <w:t>adolescent</w:t>
            </w:r>
            <w:r>
              <w:rPr>
                <w:rFonts w:cs="Arial"/>
                <w:color w:val="000000"/>
                <w:shd w:val="clear" w:color="auto" w:fill="FFFFFF"/>
              </w:rPr>
              <w:t xml:space="preserve"> </w:t>
            </w:r>
            <w:r w:rsidRPr="00064CA8">
              <w:rPr>
                <w:rFonts w:cs="Arial"/>
                <w:color w:val="000000"/>
                <w:shd w:val="clear" w:color="auto" w:fill="FFFFFF"/>
              </w:rPr>
              <w:t>depression</w:t>
            </w:r>
            <w:r>
              <w:rPr>
                <w:rFonts w:cs="Arial"/>
                <w:color w:val="000000"/>
                <w:shd w:val="clear" w:color="auto" w:fill="FFFFFF"/>
              </w:rPr>
              <w:t xml:space="preserve">, </w:t>
            </w:r>
            <w:r w:rsidRPr="00064CA8">
              <w:rPr>
                <w:rFonts w:cs="Arial"/>
                <w:color w:val="000000"/>
                <w:shd w:val="clear" w:color="auto" w:fill="FFFFFF"/>
              </w:rPr>
              <w:t>as</w:t>
            </w:r>
            <w:r>
              <w:rPr>
                <w:rFonts w:cs="Arial"/>
                <w:color w:val="000000"/>
                <w:shd w:val="clear" w:color="auto" w:fill="FFFFFF"/>
              </w:rPr>
              <w:t xml:space="preserve"> </w:t>
            </w:r>
            <w:r w:rsidRPr="00064CA8">
              <w:rPr>
                <w:rFonts w:cs="Arial"/>
                <w:color w:val="000000"/>
                <w:shd w:val="clear" w:color="auto" w:fill="FFFFFF"/>
              </w:rPr>
              <w:t>well</w:t>
            </w:r>
            <w:r>
              <w:rPr>
                <w:rFonts w:cs="Arial"/>
                <w:color w:val="000000"/>
                <w:shd w:val="clear" w:color="auto" w:fill="FFFFFF"/>
              </w:rPr>
              <w:t xml:space="preserve"> </w:t>
            </w:r>
            <w:r w:rsidRPr="00064CA8">
              <w:rPr>
                <w:rFonts w:cs="Arial"/>
                <w:color w:val="000000"/>
                <w:shd w:val="clear" w:color="auto" w:fill="FFFFFF"/>
              </w:rPr>
              <w:t>(Richardson</w:t>
            </w:r>
            <w:r>
              <w:rPr>
                <w:rFonts w:cs="Arial"/>
                <w:color w:val="000000"/>
                <w:shd w:val="clear" w:color="auto" w:fill="FFFFFF"/>
              </w:rPr>
              <w:t xml:space="preserve"> </w:t>
            </w:r>
            <w:r w:rsidRPr="00064CA8">
              <w:rPr>
                <w:rFonts w:cs="Arial"/>
                <w:color w:val="000000"/>
                <w:shd w:val="clear" w:color="auto" w:fill="FFFFFF"/>
              </w:rPr>
              <w:t>et</w:t>
            </w:r>
            <w:r>
              <w:rPr>
                <w:rFonts w:cs="Arial"/>
                <w:color w:val="000000"/>
                <w:shd w:val="clear" w:color="auto" w:fill="FFFFFF"/>
              </w:rPr>
              <w:t xml:space="preserve"> </w:t>
            </w:r>
            <w:r w:rsidRPr="00064CA8">
              <w:rPr>
                <w:rFonts w:cs="Arial"/>
                <w:color w:val="000000"/>
                <w:shd w:val="clear" w:color="auto" w:fill="FFFFFF"/>
              </w:rPr>
              <w:t>al.,</w:t>
            </w:r>
            <w:r>
              <w:rPr>
                <w:rFonts w:cs="Arial"/>
                <w:color w:val="000000"/>
                <w:shd w:val="clear" w:color="auto" w:fill="FFFFFF"/>
              </w:rPr>
              <w:t xml:space="preserve"> </w:t>
            </w:r>
            <w:r w:rsidRPr="00064CA8">
              <w:rPr>
                <w:rFonts w:cs="Arial"/>
                <w:color w:val="000000"/>
                <w:shd w:val="clear" w:color="auto" w:fill="FFFFFF"/>
              </w:rPr>
              <w:t>2014).</w:t>
            </w:r>
            <w:r>
              <w:rPr>
                <w:rFonts w:cs="Arial"/>
                <w:color w:val="000000"/>
                <w:shd w:val="clear" w:color="auto" w:fill="FFFFFF"/>
              </w:rPr>
              <w:t xml:space="preserve"> </w:t>
            </w:r>
            <w:r w:rsidRPr="00064CA8">
              <w:rPr>
                <w:rFonts w:cs="Arial"/>
                <w:color w:val="000000"/>
                <w:shd w:val="clear" w:color="auto" w:fill="FFFFFF"/>
              </w:rPr>
              <w:t>The</w:t>
            </w:r>
            <w:r>
              <w:rPr>
                <w:rFonts w:cs="Arial"/>
                <w:color w:val="000000"/>
                <w:shd w:val="clear" w:color="auto" w:fill="FFFFFF"/>
              </w:rPr>
              <w:t xml:space="preserve"> </w:t>
            </w:r>
            <w:r w:rsidRPr="00064CA8">
              <w:rPr>
                <w:rFonts w:cs="Arial"/>
                <w:color w:val="000000"/>
                <w:shd w:val="clear" w:color="auto" w:fill="FFFFFF"/>
              </w:rPr>
              <w:t>model</w:t>
            </w:r>
            <w:r>
              <w:rPr>
                <w:rFonts w:cs="Arial"/>
                <w:color w:val="000000"/>
                <w:shd w:val="clear" w:color="auto" w:fill="FFFFFF"/>
              </w:rPr>
              <w:t xml:space="preserve"> </w:t>
            </w:r>
            <w:r w:rsidRPr="00064CA8">
              <w:rPr>
                <w:rFonts w:cs="Arial"/>
                <w:color w:val="000000"/>
                <w:shd w:val="clear" w:color="auto" w:fill="FFFFFF"/>
              </w:rPr>
              <w:t>includes</w:t>
            </w:r>
            <w:r>
              <w:rPr>
                <w:rFonts w:cs="Arial"/>
                <w:color w:val="000000"/>
                <w:shd w:val="clear" w:color="auto" w:fill="FFFFFF"/>
              </w:rPr>
              <w:t xml:space="preserve"> </w:t>
            </w:r>
            <w:r w:rsidRPr="00064CA8">
              <w:rPr>
                <w:rFonts w:cs="Arial"/>
                <w:color w:val="000000"/>
                <w:shd w:val="clear" w:color="auto" w:fill="FFFFFF"/>
              </w:rPr>
              <w:t>primary</w:t>
            </w:r>
            <w:r>
              <w:rPr>
                <w:rFonts w:cs="Arial"/>
                <w:color w:val="000000"/>
                <w:shd w:val="clear" w:color="auto" w:fill="FFFFFF"/>
              </w:rPr>
              <w:t xml:space="preserve"> </w:t>
            </w:r>
            <w:r w:rsidRPr="00064CA8">
              <w:rPr>
                <w:rFonts w:cs="Arial"/>
                <w:color w:val="000000"/>
                <w:shd w:val="clear" w:color="auto" w:fill="FFFFFF"/>
              </w:rPr>
              <w:t>care</w:t>
            </w:r>
            <w:r>
              <w:rPr>
                <w:rFonts w:cs="Arial"/>
                <w:color w:val="000000"/>
                <w:shd w:val="clear" w:color="auto" w:fill="FFFFFF"/>
              </w:rPr>
              <w:t xml:space="preserve"> </w:t>
            </w:r>
            <w:r w:rsidRPr="00064CA8">
              <w:rPr>
                <w:rFonts w:cs="Arial"/>
                <w:color w:val="000000"/>
                <w:shd w:val="clear" w:color="auto" w:fill="FFFFFF"/>
              </w:rPr>
              <w:t>providers</w:t>
            </w:r>
            <w:r>
              <w:rPr>
                <w:rFonts w:cs="Arial"/>
                <w:color w:val="000000"/>
                <w:shd w:val="clear" w:color="auto" w:fill="FFFFFF"/>
              </w:rPr>
              <w:t xml:space="preserve"> </w:t>
            </w:r>
            <w:r w:rsidRPr="00064CA8">
              <w:rPr>
                <w:rFonts w:cs="Arial"/>
                <w:color w:val="000000"/>
                <w:shd w:val="clear" w:color="auto" w:fill="FFFFFF"/>
              </w:rPr>
              <w:t>using</w:t>
            </w:r>
            <w:r>
              <w:rPr>
                <w:rFonts w:cs="Arial"/>
                <w:color w:val="000000"/>
                <w:shd w:val="clear" w:color="auto" w:fill="FFFFFF"/>
              </w:rPr>
              <w:t xml:space="preserve"> </w:t>
            </w:r>
            <w:r w:rsidRPr="00064CA8">
              <w:rPr>
                <w:rFonts w:cs="Arial"/>
                <w:color w:val="000000"/>
                <w:shd w:val="clear" w:color="auto" w:fill="FFFFFF"/>
              </w:rPr>
              <w:t>evidence-based</w:t>
            </w:r>
            <w:r>
              <w:rPr>
                <w:rFonts w:cs="Arial"/>
                <w:color w:val="000000"/>
                <w:shd w:val="clear" w:color="auto" w:fill="FFFFFF"/>
              </w:rPr>
              <w:t xml:space="preserve"> </w:t>
            </w:r>
            <w:r w:rsidRPr="00064CA8">
              <w:rPr>
                <w:rFonts w:cs="Arial"/>
                <w:color w:val="000000"/>
                <w:shd w:val="clear" w:color="auto" w:fill="FFFFFF"/>
              </w:rPr>
              <w:t>approaches</w:t>
            </w:r>
            <w:r>
              <w:rPr>
                <w:rFonts w:cs="Arial"/>
                <w:color w:val="000000"/>
                <w:shd w:val="clear" w:color="auto" w:fill="FFFFFF"/>
              </w:rPr>
              <w:t xml:space="preserve"> </w:t>
            </w:r>
            <w:r w:rsidRPr="00064CA8">
              <w:rPr>
                <w:rFonts w:cs="Arial"/>
                <w:color w:val="000000"/>
                <w:shd w:val="clear" w:color="auto" w:fill="FFFFFF"/>
              </w:rPr>
              <w:t>to</w:t>
            </w:r>
            <w:r>
              <w:rPr>
                <w:rFonts w:cs="Arial"/>
                <w:color w:val="000000"/>
                <w:shd w:val="clear" w:color="auto" w:fill="FFFFFF"/>
              </w:rPr>
              <w:t xml:space="preserve"> </w:t>
            </w:r>
            <w:r w:rsidRPr="00064CA8">
              <w:rPr>
                <w:rFonts w:cs="Arial"/>
                <w:color w:val="000000"/>
                <w:shd w:val="clear" w:color="auto" w:fill="FFFFFF"/>
              </w:rPr>
              <w:t>depression</w:t>
            </w:r>
            <w:r>
              <w:rPr>
                <w:rFonts w:cs="Arial"/>
                <w:color w:val="000000"/>
                <w:shd w:val="clear" w:color="auto" w:fill="FFFFFF"/>
              </w:rPr>
              <w:t xml:space="preserve"> </w:t>
            </w:r>
            <w:r w:rsidRPr="00064CA8">
              <w:rPr>
                <w:rFonts w:cs="Arial"/>
                <w:color w:val="000000"/>
                <w:shd w:val="clear" w:color="auto" w:fill="FFFFFF"/>
              </w:rPr>
              <w:t>care</w:t>
            </w:r>
            <w:r>
              <w:rPr>
                <w:rFonts w:cs="Arial"/>
                <w:color w:val="000000"/>
                <w:shd w:val="clear" w:color="auto" w:fill="FFFFFF"/>
              </w:rPr>
              <w:t xml:space="preserve"> </w:t>
            </w:r>
            <w:r w:rsidRPr="00064CA8">
              <w:rPr>
                <w:rFonts w:cs="Arial"/>
                <w:color w:val="000000"/>
                <w:shd w:val="clear" w:color="auto" w:fill="FFFFFF"/>
              </w:rPr>
              <w:t>and</w:t>
            </w:r>
            <w:r>
              <w:rPr>
                <w:rFonts w:cs="Arial"/>
                <w:color w:val="000000"/>
                <w:shd w:val="clear" w:color="auto" w:fill="FFFFFF"/>
              </w:rPr>
              <w:t xml:space="preserve"> </w:t>
            </w:r>
            <w:r w:rsidRPr="00064CA8">
              <w:rPr>
                <w:rFonts w:cs="Arial"/>
                <w:color w:val="000000"/>
                <w:shd w:val="clear" w:color="auto" w:fill="FFFFFF"/>
              </w:rPr>
              <w:t>a</w:t>
            </w:r>
            <w:r>
              <w:rPr>
                <w:rFonts w:cs="Arial"/>
                <w:color w:val="000000"/>
                <w:shd w:val="clear" w:color="auto" w:fill="FFFFFF"/>
              </w:rPr>
              <w:t xml:space="preserve"> </w:t>
            </w:r>
            <w:r w:rsidRPr="00064CA8">
              <w:rPr>
                <w:rFonts w:cs="Arial"/>
                <w:color w:val="000000"/>
                <w:shd w:val="clear" w:color="auto" w:fill="FFFFFF"/>
              </w:rPr>
              <w:t>standardized</w:t>
            </w:r>
            <w:r>
              <w:rPr>
                <w:rFonts w:cs="Arial"/>
                <w:color w:val="000000"/>
                <w:shd w:val="clear" w:color="auto" w:fill="FFFFFF"/>
              </w:rPr>
              <w:t xml:space="preserve"> </w:t>
            </w:r>
            <w:r w:rsidRPr="00064CA8">
              <w:rPr>
                <w:rFonts w:cs="Arial"/>
                <w:color w:val="000000"/>
                <w:shd w:val="clear" w:color="auto" w:fill="FFFFFF"/>
              </w:rPr>
              <w:t>tool</w:t>
            </w:r>
            <w:r>
              <w:rPr>
                <w:rFonts w:cs="Arial"/>
                <w:color w:val="000000"/>
                <w:shd w:val="clear" w:color="auto" w:fill="FFFFFF"/>
              </w:rPr>
              <w:t xml:space="preserve"> </w:t>
            </w:r>
            <w:r w:rsidRPr="00064CA8">
              <w:rPr>
                <w:rFonts w:cs="Arial"/>
                <w:color w:val="000000"/>
                <w:shd w:val="clear" w:color="auto" w:fill="FFFFFF"/>
              </w:rPr>
              <w:t>for</w:t>
            </w:r>
            <w:r>
              <w:rPr>
                <w:rFonts w:cs="Arial"/>
                <w:color w:val="000000"/>
                <w:shd w:val="clear" w:color="auto" w:fill="FFFFFF"/>
              </w:rPr>
              <w:t xml:space="preserve"> </w:t>
            </w:r>
            <w:r w:rsidRPr="00064CA8">
              <w:rPr>
                <w:rFonts w:cs="Arial"/>
                <w:color w:val="000000"/>
                <w:shd w:val="clear" w:color="auto" w:fill="FFFFFF"/>
              </w:rPr>
              <w:t>measuring</w:t>
            </w:r>
            <w:r>
              <w:rPr>
                <w:rFonts w:cs="Arial"/>
                <w:color w:val="000000"/>
                <w:shd w:val="clear" w:color="auto" w:fill="FFFFFF"/>
              </w:rPr>
              <w:t xml:space="preserve"> </w:t>
            </w:r>
            <w:r w:rsidRPr="00064CA8">
              <w:rPr>
                <w:rFonts w:cs="Arial"/>
                <w:color w:val="000000"/>
                <w:shd w:val="clear" w:color="auto" w:fill="FFFFFF"/>
              </w:rPr>
              <w:t>severity</w:t>
            </w:r>
            <w:r>
              <w:rPr>
                <w:rFonts w:cs="Arial"/>
                <w:color w:val="000000"/>
                <w:shd w:val="clear" w:color="auto" w:fill="FFFFFF"/>
              </w:rPr>
              <w:t xml:space="preserve"> </w:t>
            </w:r>
            <w:r w:rsidRPr="00064CA8">
              <w:rPr>
                <w:rFonts w:cs="Arial"/>
                <w:color w:val="000000"/>
                <w:shd w:val="clear" w:color="auto" w:fill="FFFFFF"/>
              </w:rPr>
              <w:t>of</w:t>
            </w:r>
            <w:r>
              <w:rPr>
                <w:rFonts w:cs="Arial"/>
                <w:color w:val="000000"/>
                <w:shd w:val="clear" w:color="auto" w:fill="FFFFFF"/>
              </w:rPr>
              <w:t xml:space="preserve"> </w:t>
            </w:r>
            <w:r w:rsidRPr="00064CA8">
              <w:rPr>
                <w:rFonts w:cs="Arial"/>
                <w:color w:val="000000"/>
                <w:shd w:val="clear" w:color="auto" w:fill="FFFFFF"/>
              </w:rPr>
              <w:t>symptoms,</w:t>
            </w:r>
            <w:r>
              <w:rPr>
                <w:rFonts w:cs="Arial"/>
                <w:color w:val="000000"/>
                <w:shd w:val="clear" w:color="auto" w:fill="FFFFFF"/>
              </w:rPr>
              <w:t xml:space="preserve"> </w:t>
            </w:r>
            <w:r w:rsidRPr="00064CA8">
              <w:rPr>
                <w:rFonts w:cs="Arial"/>
                <w:color w:val="000000"/>
                <w:shd w:val="clear" w:color="auto" w:fill="FFFFFF"/>
              </w:rPr>
              <w:t>response</w:t>
            </w:r>
            <w:r>
              <w:rPr>
                <w:rFonts w:cs="Arial"/>
                <w:color w:val="000000"/>
                <w:shd w:val="clear" w:color="auto" w:fill="FFFFFF"/>
              </w:rPr>
              <w:t xml:space="preserve"> </w:t>
            </w:r>
            <w:r w:rsidRPr="00064CA8">
              <w:rPr>
                <w:rFonts w:cs="Arial"/>
                <w:color w:val="000000"/>
                <w:shd w:val="clear" w:color="auto" w:fill="FFFFFF"/>
              </w:rPr>
              <w:t>to</w:t>
            </w:r>
            <w:r>
              <w:rPr>
                <w:rFonts w:cs="Arial"/>
                <w:color w:val="000000"/>
                <w:shd w:val="clear" w:color="auto" w:fill="FFFFFF"/>
              </w:rPr>
              <w:t xml:space="preserve"> </w:t>
            </w:r>
            <w:r w:rsidRPr="00064CA8">
              <w:rPr>
                <w:rFonts w:cs="Arial"/>
                <w:color w:val="000000"/>
                <w:shd w:val="clear" w:color="auto" w:fill="FFFFFF"/>
              </w:rPr>
              <w:t>treatment</w:t>
            </w:r>
            <w:r>
              <w:rPr>
                <w:rFonts w:cs="Arial"/>
                <w:color w:val="000000"/>
                <w:shd w:val="clear" w:color="auto" w:fill="FFFFFF"/>
              </w:rPr>
              <w:t xml:space="preserve"> </w:t>
            </w:r>
            <w:r w:rsidRPr="00064CA8">
              <w:rPr>
                <w:rFonts w:cs="Arial"/>
                <w:color w:val="000000"/>
                <w:shd w:val="clear" w:color="auto" w:fill="FFFFFF"/>
              </w:rPr>
              <w:t>plan</w:t>
            </w:r>
            <w:r>
              <w:rPr>
                <w:rFonts w:cs="Arial"/>
                <w:color w:val="000000"/>
                <w:shd w:val="clear" w:color="auto" w:fill="FFFFFF"/>
              </w:rPr>
              <w:t xml:space="preserve"> </w:t>
            </w:r>
            <w:r w:rsidRPr="00064CA8">
              <w:rPr>
                <w:rFonts w:cs="Arial"/>
                <w:color w:val="000000"/>
                <w:shd w:val="clear" w:color="auto" w:fill="FFFFFF"/>
              </w:rPr>
              <w:t>and</w:t>
            </w:r>
            <w:r>
              <w:rPr>
                <w:rFonts w:cs="Arial"/>
                <w:color w:val="000000"/>
                <w:shd w:val="clear" w:color="auto" w:fill="FFFFFF"/>
              </w:rPr>
              <w:t xml:space="preserve"> </w:t>
            </w:r>
            <w:r w:rsidRPr="00064CA8">
              <w:rPr>
                <w:rFonts w:cs="Arial"/>
                <w:color w:val="000000"/>
                <w:shd w:val="clear" w:color="auto" w:fill="FFFFFF"/>
              </w:rPr>
              <w:t>remission.</w:t>
            </w:r>
            <w:r>
              <w:rPr>
                <w:rFonts w:cs="Arial"/>
                <w:color w:val="000000"/>
                <w:shd w:val="clear" w:color="auto" w:fill="FFFFFF"/>
              </w:rPr>
              <w:t xml:space="preserve"> K</w:t>
            </w:r>
            <w:r w:rsidRPr="00064CA8">
              <w:rPr>
                <w:rFonts w:cs="Arial"/>
                <w:color w:val="000000"/>
                <w:shd w:val="clear" w:color="auto" w:fill="FFFFFF"/>
              </w:rPr>
              <w:t>ey</w:t>
            </w:r>
            <w:r>
              <w:rPr>
                <w:rFonts w:cs="Arial"/>
                <w:color w:val="000000"/>
                <w:shd w:val="clear" w:color="auto" w:fill="FFFFFF"/>
              </w:rPr>
              <w:t xml:space="preserve"> </w:t>
            </w:r>
            <w:r w:rsidRPr="00064CA8">
              <w:rPr>
                <w:rFonts w:cs="Arial"/>
                <w:color w:val="000000"/>
                <w:shd w:val="clear" w:color="auto" w:fill="FFFFFF"/>
              </w:rPr>
              <w:t>concepts</w:t>
            </w:r>
            <w:r>
              <w:rPr>
                <w:rFonts w:cs="Arial"/>
                <w:color w:val="000000"/>
                <w:shd w:val="clear" w:color="auto" w:fill="FFFFFF"/>
              </w:rPr>
              <w:t xml:space="preserve"> </w:t>
            </w:r>
            <w:r w:rsidRPr="00064CA8">
              <w:rPr>
                <w:rFonts w:cs="Arial"/>
                <w:color w:val="000000"/>
                <w:shd w:val="clear" w:color="auto" w:fill="FFFFFF"/>
              </w:rPr>
              <w:t>of</w:t>
            </w:r>
            <w:r>
              <w:rPr>
                <w:rFonts w:cs="Arial"/>
                <w:color w:val="000000"/>
                <w:shd w:val="clear" w:color="auto" w:fill="FFFFFF"/>
              </w:rPr>
              <w:t xml:space="preserve"> </w:t>
            </w:r>
            <w:r w:rsidRPr="00064CA8">
              <w:rPr>
                <w:rFonts w:cs="Arial"/>
                <w:color w:val="000000"/>
                <w:shd w:val="clear" w:color="auto" w:fill="FFFFFF"/>
              </w:rPr>
              <w:t>this</w:t>
            </w:r>
            <w:r>
              <w:rPr>
                <w:rFonts w:cs="Arial"/>
                <w:color w:val="000000"/>
                <w:shd w:val="clear" w:color="auto" w:fill="FFFFFF"/>
              </w:rPr>
              <w:t xml:space="preserve"> </w:t>
            </w:r>
            <w:r w:rsidRPr="00064CA8">
              <w:rPr>
                <w:rFonts w:cs="Arial"/>
                <w:color w:val="000000"/>
                <w:shd w:val="clear" w:color="auto" w:fill="FFFFFF"/>
              </w:rPr>
              <w:t>approach</w:t>
            </w:r>
            <w:r>
              <w:rPr>
                <w:rFonts w:cs="Arial"/>
                <w:color w:val="000000"/>
                <w:shd w:val="clear" w:color="auto" w:fill="FFFFFF"/>
              </w:rPr>
              <w:t xml:space="preserve"> are</w:t>
            </w:r>
            <w:r w:rsidRPr="00064CA8">
              <w:rPr>
                <w:rFonts w:cs="Arial"/>
                <w:color w:val="000000"/>
                <w:shd w:val="clear" w:color="auto" w:fill="FFFFFF"/>
              </w:rPr>
              <w:t>:</w:t>
            </w:r>
          </w:p>
          <w:p w14:paraId="5086549D" w14:textId="77777777" w:rsidR="000C547E" w:rsidRPr="00E458D3" w:rsidRDefault="000C547E" w:rsidP="00991EDB">
            <w:pPr>
              <w:pStyle w:val="Bullet"/>
              <w:spacing w:before="0"/>
              <w:rPr>
                <w:rFonts w:cs="Arial"/>
                <w:color w:val="000000"/>
                <w:shd w:val="clear" w:color="auto" w:fill="FFFFFF"/>
              </w:rPr>
            </w:pPr>
            <w:r w:rsidRPr="00E458D3">
              <w:rPr>
                <w:rFonts w:eastAsiaTheme="minorHAnsi" w:cs="Arial"/>
              </w:rPr>
              <w:t>Care</w:t>
            </w:r>
            <w:r>
              <w:rPr>
                <w:rFonts w:eastAsiaTheme="minorHAnsi" w:cs="Arial"/>
              </w:rPr>
              <w:t xml:space="preserve"> </w:t>
            </w:r>
            <w:r w:rsidRPr="00E458D3">
              <w:rPr>
                <w:rFonts w:eastAsiaTheme="minorHAnsi" w:cs="Arial"/>
              </w:rPr>
              <w:t>management</w:t>
            </w:r>
            <w:r>
              <w:rPr>
                <w:rFonts w:eastAsiaTheme="minorHAnsi" w:cs="Arial"/>
              </w:rPr>
              <w:t xml:space="preserve"> </w:t>
            </w:r>
            <w:r w:rsidRPr="00E458D3">
              <w:rPr>
                <w:rFonts w:eastAsiaTheme="minorHAnsi" w:cs="Arial"/>
              </w:rPr>
              <w:t>by</w:t>
            </w:r>
            <w:r>
              <w:rPr>
                <w:rFonts w:eastAsiaTheme="minorHAnsi" w:cs="Arial"/>
              </w:rPr>
              <w:t xml:space="preserve"> </w:t>
            </w:r>
            <w:r w:rsidRPr="00E458D3">
              <w:rPr>
                <w:rFonts w:eastAsiaTheme="minorHAnsi" w:cs="Arial"/>
              </w:rPr>
              <w:t>a</w:t>
            </w:r>
            <w:r>
              <w:rPr>
                <w:rFonts w:eastAsiaTheme="minorHAnsi" w:cs="Arial"/>
              </w:rPr>
              <w:t xml:space="preserve"> </w:t>
            </w:r>
            <w:r w:rsidRPr="00E458D3">
              <w:rPr>
                <w:rFonts w:eastAsiaTheme="minorHAnsi" w:cs="Arial"/>
              </w:rPr>
              <w:t>nonphysician</w:t>
            </w:r>
            <w:r>
              <w:rPr>
                <w:rFonts w:eastAsiaTheme="minorHAnsi" w:cs="Arial"/>
              </w:rPr>
              <w:t xml:space="preserve"> </w:t>
            </w:r>
            <w:r w:rsidRPr="00E458D3">
              <w:rPr>
                <w:rFonts w:eastAsiaTheme="minorHAnsi" w:cs="Arial"/>
              </w:rPr>
              <w:t>working</w:t>
            </w:r>
            <w:r>
              <w:rPr>
                <w:rFonts w:eastAsiaTheme="minorHAnsi" w:cs="Arial"/>
              </w:rPr>
              <w:t xml:space="preserve"> </w:t>
            </w:r>
            <w:r w:rsidRPr="00E458D3">
              <w:rPr>
                <w:rFonts w:eastAsiaTheme="minorHAnsi" w:cs="Arial"/>
              </w:rPr>
              <w:t>with</w:t>
            </w:r>
            <w:r>
              <w:rPr>
                <w:rFonts w:eastAsiaTheme="minorHAnsi" w:cs="Arial"/>
              </w:rPr>
              <w:t xml:space="preserve"> </w:t>
            </w:r>
            <w:r w:rsidRPr="00E458D3">
              <w:rPr>
                <w:rFonts w:eastAsiaTheme="minorHAnsi" w:cs="Arial"/>
              </w:rPr>
              <w:t>the</w:t>
            </w:r>
            <w:r>
              <w:rPr>
                <w:rFonts w:eastAsiaTheme="minorHAnsi" w:cs="Arial"/>
              </w:rPr>
              <w:t xml:space="preserve"> </w:t>
            </w:r>
            <w:r w:rsidRPr="00E458D3">
              <w:rPr>
                <w:rFonts w:eastAsiaTheme="minorHAnsi" w:cs="Arial"/>
              </w:rPr>
              <w:t>primary</w:t>
            </w:r>
            <w:r>
              <w:rPr>
                <w:rFonts w:eastAsiaTheme="minorHAnsi" w:cs="Arial"/>
              </w:rPr>
              <w:t xml:space="preserve"> </w:t>
            </w:r>
            <w:r w:rsidRPr="00E458D3">
              <w:rPr>
                <w:rFonts w:eastAsiaTheme="minorHAnsi" w:cs="Arial"/>
              </w:rPr>
              <w:t>care</w:t>
            </w:r>
            <w:r>
              <w:rPr>
                <w:rFonts w:eastAsiaTheme="minorHAnsi" w:cs="Arial"/>
              </w:rPr>
              <w:t xml:space="preserve"> </w:t>
            </w:r>
            <w:r w:rsidRPr="00E458D3">
              <w:rPr>
                <w:rFonts w:eastAsiaTheme="minorHAnsi" w:cs="Arial"/>
              </w:rPr>
              <w:t>physician</w:t>
            </w:r>
            <w:r>
              <w:rPr>
                <w:rFonts w:eastAsiaTheme="minorHAnsi" w:cs="Arial"/>
              </w:rPr>
              <w:t>.</w:t>
            </w:r>
          </w:p>
          <w:p w14:paraId="4C68E732" w14:textId="77777777" w:rsidR="000C547E" w:rsidRPr="00E458D3" w:rsidRDefault="000C547E" w:rsidP="00991EDB">
            <w:pPr>
              <w:pStyle w:val="Bullet"/>
              <w:rPr>
                <w:rFonts w:cs="Arial"/>
                <w:color w:val="000000"/>
                <w:shd w:val="clear" w:color="auto" w:fill="FFFFFF"/>
              </w:rPr>
            </w:pPr>
            <w:r w:rsidRPr="00E458D3">
              <w:rPr>
                <w:rFonts w:eastAsiaTheme="minorHAnsi" w:cs="Arial"/>
              </w:rPr>
              <w:t>Planned</w:t>
            </w:r>
            <w:r>
              <w:rPr>
                <w:rFonts w:eastAsiaTheme="minorHAnsi" w:cs="Arial"/>
              </w:rPr>
              <w:t xml:space="preserve"> </w:t>
            </w:r>
            <w:r w:rsidRPr="00E458D3">
              <w:rPr>
                <w:rFonts w:eastAsiaTheme="minorHAnsi" w:cs="Arial"/>
              </w:rPr>
              <w:t>collaborative</w:t>
            </w:r>
            <w:r>
              <w:rPr>
                <w:rFonts w:eastAsiaTheme="minorHAnsi" w:cs="Arial"/>
              </w:rPr>
              <w:t xml:space="preserve"> </w:t>
            </w:r>
            <w:r w:rsidRPr="00E458D3">
              <w:rPr>
                <w:rFonts w:eastAsiaTheme="minorHAnsi" w:cs="Arial"/>
              </w:rPr>
              <w:t>care</w:t>
            </w:r>
            <w:r>
              <w:rPr>
                <w:rFonts w:eastAsiaTheme="minorHAnsi" w:cs="Arial"/>
              </w:rPr>
              <w:t xml:space="preserve"> </w:t>
            </w:r>
            <w:r w:rsidRPr="00E458D3">
              <w:rPr>
                <w:rFonts w:eastAsiaTheme="minorHAnsi" w:cs="Arial"/>
              </w:rPr>
              <w:t>between</w:t>
            </w:r>
            <w:r>
              <w:rPr>
                <w:rFonts w:eastAsiaTheme="minorHAnsi" w:cs="Arial"/>
              </w:rPr>
              <w:t xml:space="preserve"> </w:t>
            </w:r>
            <w:r w:rsidRPr="00E458D3">
              <w:rPr>
                <w:rFonts w:eastAsiaTheme="minorHAnsi" w:cs="Arial"/>
              </w:rPr>
              <w:t>physicians</w:t>
            </w:r>
            <w:r>
              <w:rPr>
                <w:rFonts w:eastAsiaTheme="minorHAnsi" w:cs="Arial"/>
              </w:rPr>
              <w:t xml:space="preserve"> </w:t>
            </w:r>
            <w:r w:rsidRPr="00E458D3">
              <w:rPr>
                <w:rFonts w:eastAsiaTheme="minorHAnsi" w:cs="Arial"/>
              </w:rPr>
              <w:t>and</w:t>
            </w:r>
            <w:r>
              <w:rPr>
                <w:rFonts w:eastAsiaTheme="minorHAnsi" w:cs="Arial"/>
              </w:rPr>
              <w:t xml:space="preserve"> </w:t>
            </w:r>
            <w:r w:rsidRPr="00E458D3">
              <w:rPr>
                <w:rFonts w:eastAsiaTheme="minorHAnsi" w:cs="Arial"/>
              </w:rPr>
              <w:t>mental</w:t>
            </w:r>
            <w:r>
              <w:rPr>
                <w:rFonts w:eastAsiaTheme="minorHAnsi" w:cs="Arial"/>
              </w:rPr>
              <w:t xml:space="preserve"> </w:t>
            </w:r>
            <w:r w:rsidRPr="00E458D3">
              <w:rPr>
                <w:rFonts w:eastAsiaTheme="minorHAnsi" w:cs="Arial"/>
              </w:rPr>
              <w:t>health</w:t>
            </w:r>
            <w:r>
              <w:rPr>
                <w:rFonts w:eastAsiaTheme="minorHAnsi" w:cs="Arial"/>
              </w:rPr>
              <w:t xml:space="preserve"> </w:t>
            </w:r>
            <w:r w:rsidRPr="00E458D3">
              <w:rPr>
                <w:rFonts w:eastAsiaTheme="minorHAnsi" w:cs="Arial"/>
              </w:rPr>
              <w:t>clinicians</w:t>
            </w:r>
            <w:r>
              <w:rPr>
                <w:rFonts w:eastAsiaTheme="minorHAnsi" w:cs="Arial"/>
              </w:rPr>
              <w:t>.</w:t>
            </w:r>
          </w:p>
          <w:p w14:paraId="6F7A5309" w14:textId="77777777" w:rsidR="000C547E" w:rsidRPr="00E458D3" w:rsidRDefault="000C547E" w:rsidP="00991EDB">
            <w:pPr>
              <w:pStyle w:val="Bullet"/>
              <w:rPr>
                <w:rFonts w:cs="Arial"/>
                <w:color w:val="000000"/>
                <w:shd w:val="clear" w:color="auto" w:fill="FFFFFF"/>
              </w:rPr>
            </w:pPr>
            <w:r w:rsidRPr="00E458D3">
              <w:rPr>
                <w:rFonts w:eastAsiaTheme="minorHAnsi" w:cs="Arial"/>
              </w:rPr>
              <w:t>Education</w:t>
            </w:r>
            <w:r>
              <w:rPr>
                <w:rFonts w:eastAsiaTheme="minorHAnsi" w:cs="Arial"/>
              </w:rPr>
              <w:t xml:space="preserve"> </w:t>
            </w:r>
            <w:r w:rsidRPr="00E458D3">
              <w:rPr>
                <w:rFonts w:eastAsiaTheme="minorHAnsi" w:cs="Arial"/>
              </w:rPr>
              <w:t>and</w:t>
            </w:r>
            <w:r>
              <w:rPr>
                <w:rFonts w:eastAsiaTheme="minorHAnsi" w:cs="Arial"/>
              </w:rPr>
              <w:t xml:space="preserve"> </w:t>
            </w:r>
            <w:r w:rsidRPr="00E458D3">
              <w:rPr>
                <w:rFonts w:eastAsiaTheme="minorHAnsi" w:cs="Arial"/>
              </w:rPr>
              <w:t>support</w:t>
            </w:r>
            <w:r>
              <w:rPr>
                <w:rFonts w:eastAsiaTheme="minorHAnsi" w:cs="Arial"/>
              </w:rPr>
              <w:t xml:space="preserve"> </w:t>
            </w:r>
            <w:r w:rsidRPr="00E458D3">
              <w:rPr>
                <w:rFonts w:eastAsiaTheme="minorHAnsi" w:cs="Arial"/>
              </w:rPr>
              <w:t>of</w:t>
            </w:r>
            <w:r>
              <w:rPr>
                <w:rFonts w:eastAsiaTheme="minorHAnsi" w:cs="Arial"/>
              </w:rPr>
              <w:t xml:space="preserve"> </w:t>
            </w:r>
            <w:r w:rsidRPr="00E458D3">
              <w:rPr>
                <w:rFonts w:eastAsiaTheme="minorHAnsi" w:cs="Arial"/>
              </w:rPr>
              <w:t>patients</w:t>
            </w:r>
            <w:r>
              <w:rPr>
                <w:rFonts w:eastAsiaTheme="minorHAnsi" w:cs="Arial"/>
              </w:rPr>
              <w:t xml:space="preserve"> </w:t>
            </w:r>
            <w:r w:rsidRPr="00E458D3">
              <w:rPr>
                <w:rFonts w:eastAsiaTheme="minorHAnsi" w:cs="Arial"/>
              </w:rPr>
              <w:t>for</w:t>
            </w:r>
            <w:r>
              <w:rPr>
                <w:rFonts w:eastAsiaTheme="minorHAnsi" w:cs="Arial"/>
              </w:rPr>
              <w:t xml:space="preserve"> </w:t>
            </w:r>
            <w:r w:rsidRPr="00E458D3">
              <w:rPr>
                <w:rFonts w:eastAsiaTheme="minorHAnsi" w:cs="Arial"/>
              </w:rPr>
              <w:t>self-management</w:t>
            </w:r>
            <w:r>
              <w:rPr>
                <w:rFonts w:eastAsiaTheme="minorHAnsi" w:cs="Arial"/>
              </w:rPr>
              <w:t>.</w:t>
            </w:r>
          </w:p>
          <w:p w14:paraId="42D0735C" w14:textId="77777777" w:rsidR="000C547E" w:rsidRPr="00E458D3" w:rsidRDefault="000C547E" w:rsidP="00991EDB">
            <w:pPr>
              <w:pStyle w:val="Bullet"/>
              <w:rPr>
                <w:rFonts w:cs="Arial"/>
                <w:color w:val="000000"/>
                <w:shd w:val="clear" w:color="auto" w:fill="FFFFFF"/>
              </w:rPr>
            </w:pPr>
            <w:r w:rsidRPr="00E458D3">
              <w:rPr>
                <w:rFonts w:eastAsiaTheme="minorHAnsi" w:cs="Arial"/>
              </w:rPr>
              <w:t>Attention</w:t>
            </w:r>
            <w:r>
              <w:rPr>
                <w:rFonts w:eastAsiaTheme="minorHAnsi" w:cs="Arial"/>
              </w:rPr>
              <w:t xml:space="preserve"> </w:t>
            </w:r>
            <w:r w:rsidRPr="00E458D3">
              <w:rPr>
                <w:rFonts w:eastAsiaTheme="minorHAnsi" w:cs="Arial"/>
              </w:rPr>
              <w:t>to</w:t>
            </w:r>
            <w:r>
              <w:rPr>
                <w:rFonts w:eastAsiaTheme="minorHAnsi" w:cs="Arial"/>
              </w:rPr>
              <w:t xml:space="preserve"> </w:t>
            </w:r>
            <w:r w:rsidRPr="00E458D3">
              <w:rPr>
                <w:rFonts w:eastAsiaTheme="minorHAnsi" w:cs="Arial"/>
              </w:rPr>
              <w:t>patient</w:t>
            </w:r>
            <w:r>
              <w:rPr>
                <w:rFonts w:eastAsiaTheme="minorHAnsi" w:cs="Arial"/>
              </w:rPr>
              <w:t xml:space="preserve"> </w:t>
            </w:r>
            <w:r w:rsidRPr="00E458D3">
              <w:rPr>
                <w:rFonts w:eastAsiaTheme="minorHAnsi" w:cs="Arial"/>
              </w:rPr>
              <w:t>preferences</w:t>
            </w:r>
            <w:r>
              <w:rPr>
                <w:rFonts w:eastAsiaTheme="minorHAnsi" w:cs="Arial"/>
              </w:rPr>
              <w:t>.</w:t>
            </w:r>
          </w:p>
          <w:p w14:paraId="51E66A43" w14:textId="77777777" w:rsidR="000C547E" w:rsidRDefault="000C547E" w:rsidP="00991EDB">
            <w:pPr>
              <w:pStyle w:val="Body"/>
              <w:rPr>
                <w:rFonts w:cs="Arial"/>
                <w:color w:val="000000"/>
                <w:shd w:val="clear" w:color="auto" w:fill="FFFFFF"/>
              </w:rPr>
            </w:pPr>
            <w:r w:rsidRPr="00064CA8">
              <w:rPr>
                <w:rFonts w:cs="Arial"/>
                <w:color w:val="000000"/>
                <w:shd w:val="clear" w:color="auto" w:fill="FFFFFF"/>
              </w:rPr>
              <w:t>Patients</w:t>
            </w:r>
            <w:r>
              <w:rPr>
                <w:rFonts w:cs="Arial"/>
                <w:color w:val="000000"/>
                <w:shd w:val="clear" w:color="auto" w:fill="FFFFFF"/>
              </w:rPr>
              <w:t xml:space="preserve"> </w:t>
            </w:r>
            <w:r w:rsidRPr="00064CA8">
              <w:rPr>
                <w:rFonts w:cs="Arial"/>
                <w:color w:val="000000"/>
                <w:shd w:val="clear" w:color="auto" w:fill="FFFFFF"/>
              </w:rPr>
              <w:t>are</w:t>
            </w:r>
            <w:r>
              <w:rPr>
                <w:rFonts w:cs="Arial"/>
                <w:color w:val="000000"/>
                <w:shd w:val="clear" w:color="auto" w:fill="FFFFFF"/>
              </w:rPr>
              <w:t xml:space="preserve"> </w:t>
            </w:r>
            <w:r w:rsidRPr="00064CA8">
              <w:rPr>
                <w:rFonts w:cs="Arial"/>
                <w:color w:val="000000"/>
                <w:shd w:val="clear" w:color="auto" w:fill="FFFFFF"/>
              </w:rPr>
              <w:t>tracked</w:t>
            </w:r>
            <w:r>
              <w:rPr>
                <w:rFonts w:cs="Arial"/>
                <w:color w:val="000000"/>
                <w:shd w:val="clear" w:color="auto" w:fill="FFFFFF"/>
              </w:rPr>
              <w:t xml:space="preserve"> </w:t>
            </w:r>
            <w:r w:rsidRPr="00064CA8">
              <w:rPr>
                <w:rFonts w:cs="Arial"/>
                <w:color w:val="000000"/>
                <w:shd w:val="clear" w:color="auto" w:fill="FFFFFF"/>
              </w:rPr>
              <w:t>and</w:t>
            </w:r>
            <w:r>
              <w:rPr>
                <w:rFonts w:cs="Arial"/>
                <w:color w:val="000000"/>
                <w:shd w:val="clear" w:color="auto" w:fill="FFFFFF"/>
              </w:rPr>
              <w:t xml:space="preserve"> </w:t>
            </w:r>
            <w:r w:rsidRPr="00064CA8">
              <w:rPr>
                <w:rFonts w:cs="Arial"/>
                <w:color w:val="000000"/>
                <w:shd w:val="clear" w:color="auto" w:fill="FFFFFF"/>
              </w:rPr>
              <w:t>reminded</w:t>
            </w:r>
            <w:r>
              <w:rPr>
                <w:rFonts w:cs="Arial"/>
                <w:color w:val="000000"/>
                <w:shd w:val="clear" w:color="auto" w:fill="FFFFFF"/>
              </w:rPr>
              <w:t xml:space="preserve"> </w:t>
            </w:r>
            <w:r w:rsidRPr="00064CA8">
              <w:rPr>
                <w:rFonts w:cs="Arial"/>
                <w:color w:val="000000"/>
                <w:shd w:val="clear" w:color="auto" w:fill="FFFFFF"/>
              </w:rPr>
              <w:t>of</w:t>
            </w:r>
            <w:r>
              <w:rPr>
                <w:rFonts w:cs="Arial"/>
                <w:color w:val="000000"/>
                <w:shd w:val="clear" w:color="auto" w:fill="FFFFFF"/>
              </w:rPr>
              <w:t xml:space="preserve"> </w:t>
            </w:r>
            <w:r w:rsidRPr="00064CA8">
              <w:rPr>
                <w:rFonts w:cs="Arial"/>
                <w:color w:val="000000"/>
                <w:shd w:val="clear" w:color="auto" w:fill="FFFFFF"/>
              </w:rPr>
              <w:t>visits</w:t>
            </w:r>
            <w:r>
              <w:rPr>
                <w:rFonts w:cs="Arial"/>
                <w:color w:val="000000"/>
                <w:shd w:val="clear" w:color="auto" w:fill="FFFFFF"/>
              </w:rPr>
              <w:t xml:space="preserve"> </w:t>
            </w:r>
            <w:r w:rsidRPr="00064CA8">
              <w:rPr>
                <w:rFonts w:cs="Arial"/>
                <w:color w:val="000000"/>
                <w:shd w:val="clear" w:color="auto" w:fill="FFFFFF"/>
              </w:rPr>
              <w:t>with</w:t>
            </w:r>
            <w:r>
              <w:rPr>
                <w:rFonts w:cs="Arial"/>
                <w:color w:val="000000"/>
                <w:shd w:val="clear" w:color="auto" w:fill="FFFFFF"/>
              </w:rPr>
              <w:t xml:space="preserve"> </w:t>
            </w:r>
            <w:r w:rsidRPr="00064CA8">
              <w:rPr>
                <w:rFonts w:cs="Arial"/>
                <w:color w:val="000000"/>
                <w:shd w:val="clear" w:color="auto" w:fill="FFFFFF"/>
              </w:rPr>
              <w:t>their</w:t>
            </w:r>
            <w:r>
              <w:rPr>
                <w:rFonts w:cs="Arial"/>
                <w:color w:val="000000"/>
                <w:shd w:val="clear" w:color="auto" w:fill="FFFFFF"/>
              </w:rPr>
              <w:t xml:space="preserve"> </w:t>
            </w:r>
            <w:r w:rsidRPr="00064CA8">
              <w:rPr>
                <w:rFonts w:cs="Arial"/>
                <w:color w:val="000000"/>
                <w:shd w:val="clear" w:color="auto" w:fill="FFFFFF"/>
              </w:rPr>
              <w:t>primary</w:t>
            </w:r>
            <w:r>
              <w:rPr>
                <w:rFonts w:cs="Arial"/>
                <w:color w:val="000000"/>
                <w:shd w:val="clear" w:color="auto" w:fill="FFFFFF"/>
              </w:rPr>
              <w:t xml:space="preserve"> </w:t>
            </w:r>
            <w:r w:rsidRPr="00064CA8">
              <w:rPr>
                <w:rFonts w:cs="Arial"/>
                <w:color w:val="000000"/>
                <w:shd w:val="clear" w:color="auto" w:fill="FFFFFF"/>
              </w:rPr>
              <w:t>care</w:t>
            </w:r>
            <w:r>
              <w:rPr>
                <w:rFonts w:cs="Arial"/>
                <w:color w:val="000000"/>
                <w:shd w:val="clear" w:color="auto" w:fill="FFFFFF"/>
              </w:rPr>
              <w:t xml:space="preserve"> </w:t>
            </w:r>
            <w:r w:rsidRPr="00064CA8">
              <w:rPr>
                <w:rFonts w:cs="Arial"/>
                <w:color w:val="000000"/>
                <w:shd w:val="clear" w:color="auto" w:fill="FFFFFF"/>
              </w:rPr>
              <w:t>physician</w:t>
            </w:r>
            <w:r>
              <w:rPr>
                <w:rFonts w:cs="Arial"/>
                <w:color w:val="000000"/>
                <w:shd w:val="clear" w:color="auto" w:fill="FFFFFF"/>
              </w:rPr>
              <w:t xml:space="preserve"> </w:t>
            </w:r>
            <w:r w:rsidRPr="00064CA8">
              <w:rPr>
                <w:rFonts w:cs="Arial"/>
                <w:color w:val="000000"/>
                <w:shd w:val="clear" w:color="auto" w:fill="FFFFFF"/>
              </w:rPr>
              <w:t>and</w:t>
            </w:r>
            <w:r>
              <w:rPr>
                <w:rFonts w:cs="Arial"/>
                <w:color w:val="000000"/>
                <w:shd w:val="clear" w:color="auto" w:fill="FFFFFF"/>
              </w:rPr>
              <w:t xml:space="preserve"> </w:t>
            </w:r>
            <w:r w:rsidRPr="00064CA8">
              <w:rPr>
                <w:rFonts w:cs="Arial"/>
                <w:color w:val="000000"/>
                <w:shd w:val="clear" w:color="auto" w:fill="FFFFFF"/>
              </w:rPr>
              <w:t>monitored</w:t>
            </w:r>
            <w:r>
              <w:rPr>
                <w:rFonts w:cs="Arial"/>
                <w:color w:val="000000"/>
                <w:shd w:val="clear" w:color="auto" w:fill="FFFFFF"/>
              </w:rPr>
              <w:t xml:space="preserve"> </w:t>
            </w:r>
            <w:r w:rsidRPr="00064CA8">
              <w:rPr>
                <w:rFonts w:cs="Arial"/>
                <w:color w:val="000000"/>
                <w:shd w:val="clear" w:color="auto" w:fill="FFFFFF"/>
              </w:rPr>
              <w:t>for</w:t>
            </w:r>
            <w:r>
              <w:rPr>
                <w:rFonts w:cs="Arial"/>
                <w:color w:val="000000"/>
                <w:shd w:val="clear" w:color="auto" w:fill="FFFFFF"/>
              </w:rPr>
              <w:t xml:space="preserve"> </w:t>
            </w:r>
            <w:r w:rsidRPr="00064CA8">
              <w:rPr>
                <w:rFonts w:cs="Arial"/>
                <w:color w:val="000000"/>
                <w:shd w:val="clear" w:color="auto" w:fill="FFFFFF"/>
              </w:rPr>
              <w:t>treatment</w:t>
            </w:r>
            <w:r>
              <w:rPr>
                <w:rFonts w:cs="Arial"/>
                <w:color w:val="000000"/>
                <w:shd w:val="clear" w:color="auto" w:fill="FFFFFF"/>
              </w:rPr>
              <w:t xml:space="preserve"> </w:t>
            </w:r>
            <w:r w:rsidRPr="00064CA8">
              <w:rPr>
                <w:rFonts w:cs="Arial"/>
                <w:color w:val="000000"/>
                <w:shd w:val="clear" w:color="auto" w:fill="FFFFFF"/>
              </w:rPr>
              <w:t>adherence</w:t>
            </w:r>
            <w:r>
              <w:rPr>
                <w:rFonts w:cs="Arial"/>
                <w:color w:val="000000"/>
                <w:shd w:val="clear" w:color="auto" w:fill="FFFFFF"/>
              </w:rPr>
              <w:t xml:space="preserve"> </w:t>
            </w:r>
            <w:r w:rsidRPr="00064CA8">
              <w:rPr>
                <w:rFonts w:cs="Arial"/>
                <w:color w:val="000000"/>
                <w:shd w:val="clear" w:color="auto" w:fill="FFFFFF"/>
              </w:rPr>
              <w:t>and</w:t>
            </w:r>
            <w:r>
              <w:rPr>
                <w:rFonts w:cs="Arial"/>
                <w:color w:val="000000"/>
                <w:shd w:val="clear" w:color="auto" w:fill="FFFFFF"/>
              </w:rPr>
              <w:t xml:space="preserve"> </w:t>
            </w:r>
            <w:r w:rsidRPr="00064CA8">
              <w:rPr>
                <w:rFonts w:cs="Arial"/>
                <w:color w:val="000000"/>
                <w:shd w:val="clear" w:color="auto" w:fill="FFFFFF"/>
              </w:rPr>
              <w:t>effectiveness.</w:t>
            </w:r>
            <w:r>
              <w:rPr>
                <w:rFonts w:cs="Arial"/>
                <w:color w:val="000000"/>
                <w:shd w:val="clear" w:color="auto" w:fill="FFFFFF"/>
              </w:rPr>
              <w:t xml:space="preserve"> </w:t>
            </w:r>
            <w:r w:rsidRPr="00064CA8">
              <w:rPr>
                <w:rFonts w:cs="Arial"/>
                <w:color w:val="000000"/>
                <w:shd w:val="clear" w:color="auto" w:fill="FFFFFF"/>
              </w:rPr>
              <w:t>A</w:t>
            </w:r>
            <w:r>
              <w:rPr>
                <w:rFonts w:cs="Arial"/>
                <w:color w:val="000000"/>
                <w:shd w:val="clear" w:color="auto" w:fill="FFFFFF"/>
              </w:rPr>
              <w:t xml:space="preserve"> </w:t>
            </w:r>
            <w:r w:rsidRPr="00064CA8">
              <w:rPr>
                <w:rFonts w:cs="Arial"/>
                <w:color w:val="000000"/>
                <w:shd w:val="clear" w:color="auto" w:fill="FFFFFF"/>
              </w:rPr>
              <w:t>care</w:t>
            </w:r>
            <w:r>
              <w:rPr>
                <w:rFonts w:cs="Arial"/>
                <w:color w:val="000000"/>
                <w:shd w:val="clear" w:color="auto" w:fill="FFFFFF"/>
              </w:rPr>
              <w:t xml:space="preserve"> </w:t>
            </w:r>
            <w:r w:rsidRPr="00064CA8">
              <w:rPr>
                <w:rFonts w:cs="Arial"/>
                <w:color w:val="000000"/>
                <w:shd w:val="clear" w:color="auto" w:fill="FFFFFF"/>
              </w:rPr>
              <w:t>manager</w:t>
            </w:r>
            <w:r>
              <w:rPr>
                <w:rFonts w:cs="Arial"/>
                <w:color w:val="000000"/>
                <w:shd w:val="clear" w:color="auto" w:fill="FFFFFF"/>
              </w:rPr>
              <w:t xml:space="preserve"> </w:t>
            </w:r>
            <w:r w:rsidRPr="00064CA8">
              <w:rPr>
                <w:rFonts w:cs="Arial"/>
                <w:color w:val="000000"/>
                <w:shd w:val="clear" w:color="auto" w:fill="FFFFFF"/>
              </w:rPr>
              <w:t>is</w:t>
            </w:r>
            <w:r>
              <w:rPr>
                <w:rFonts w:cs="Arial"/>
                <w:color w:val="000000"/>
                <w:shd w:val="clear" w:color="auto" w:fill="FFFFFF"/>
              </w:rPr>
              <w:t xml:space="preserve"> </w:t>
            </w:r>
            <w:r w:rsidRPr="00064CA8">
              <w:rPr>
                <w:rFonts w:cs="Arial"/>
                <w:color w:val="000000"/>
                <w:shd w:val="clear" w:color="auto" w:fill="FFFFFF"/>
              </w:rPr>
              <w:t>typically</w:t>
            </w:r>
            <w:r>
              <w:rPr>
                <w:rFonts w:cs="Arial"/>
                <w:color w:val="000000"/>
                <w:shd w:val="clear" w:color="auto" w:fill="FFFFFF"/>
              </w:rPr>
              <w:t xml:space="preserve"> </w:t>
            </w:r>
            <w:r w:rsidRPr="00064CA8">
              <w:rPr>
                <w:rFonts w:cs="Arial"/>
                <w:color w:val="000000"/>
                <w:shd w:val="clear" w:color="auto" w:fill="FFFFFF"/>
              </w:rPr>
              <w:t>used</w:t>
            </w:r>
            <w:r>
              <w:rPr>
                <w:rFonts w:cs="Arial"/>
                <w:color w:val="000000"/>
                <w:shd w:val="clear" w:color="auto" w:fill="FFFFFF"/>
              </w:rPr>
              <w:t xml:space="preserve"> </w:t>
            </w:r>
            <w:r w:rsidRPr="00064CA8">
              <w:rPr>
                <w:rFonts w:cs="Arial"/>
                <w:color w:val="000000"/>
                <w:shd w:val="clear" w:color="auto" w:fill="FFFFFF"/>
              </w:rPr>
              <w:t>to</w:t>
            </w:r>
            <w:r>
              <w:rPr>
                <w:rFonts w:cs="Arial"/>
                <w:color w:val="000000"/>
                <w:shd w:val="clear" w:color="auto" w:fill="FFFFFF"/>
              </w:rPr>
              <w:t xml:space="preserve"> </w:t>
            </w:r>
            <w:r w:rsidRPr="00064CA8">
              <w:rPr>
                <w:rFonts w:cs="Arial"/>
                <w:color w:val="000000"/>
                <w:shd w:val="clear" w:color="auto" w:fill="FFFFFF"/>
              </w:rPr>
              <w:t>make</w:t>
            </w:r>
            <w:r>
              <w:rPr>
                <w:rFonts w:cs="Arial"/>
                <w:color w:val="000000"/>
                <w:shd w:val="clear" w:color="auto" w:fill="FFFFFF"/>
              </w:rPr>
              <w:t xml:space="preserve"> </w:t>
            </w:r>
            <w:r w:rsidRPr="00064CA8">
              <w:rPr>
                <w:rFonts w:cs="Arial"/>
                <w:color w:val="000000"/>
                <w:shd w:val="clear" w:color="auto" w:fill="FFFFFF"/>
              </w:rPr>
              <w:t>frequent</w:t>
            </w:r>
            <w:r>
              <w:rPr>
                <w:rFonts w:cs="Arial"/>
                <w:color w:val="000000"/>
                <w:shd w:val="clear" w:color="auto" w:fill="FFFFFF"/>
              </w:rPr>
              <w:t xml:space="preserve"> </w:t>
            </w:r>
            <w:r w:rsidRPr="00064CA8">
              <w:rPr>
                <w:rFonts w:cs="Arial"/>
                <w:color w:val="000000"/>
                <w:shd w:val="clear" w:color="auto" w:fill="FFFFFF"/>
              </w:rPr>
              <w:t>contacts</w:t>
            </w:r>
            <w:r>
              <w:rPr>
                <w:rFonts w:cs="Arial"/>
                <w:color w:val="000000"/>
                <w:shd w:val="clear" w:color="auto" w:fill="FFFFFF"/>
              </w:rPr>
              <w:t xml:space="preserve"> </w:t>
            </w:r>
            <w:r w:rsidRPr="00064CA8">
              <w:rPr>
                <w:rFonts w:cs="Arial"/>
                <w:color w:val="000000"/>
                <w:shd w:val="clear" w:color="auto" w:fill="FFFFFF"/>
              </w:rPr>
              <w:t>with</w:t>
            </w:r>
            <w:r>
              <w:rPr>
                <w:rFonts w:cs="Arial"/>
                <w:color w:val="000000"/>
                <w:shd w:val="clear" w:color="auto" w:fill="FFFFFF"/>
              </w:rPr>
              <w:t xml:space="preserve"> </w:t>
            </w:r>
            <w:r w:rsidRPr="00064CA8">
              <w:rPr>
                <w:rFonts w:cs="Arial"/>
                <w:color w:val="000000"/>
                <w:shd w:val="clear" w:color="auto" w:fill="FFFFFF"/>
              </w:rPr>
              <w:t>patients,</w:t>
            </w:r>
            <w:r>
              <w:rPr>
                <w:rFonts w:cs="Arial"/>
                <w:color w:val="000000"/>
                <w:shd w:val="clear" w:color="auto" w:fill="FFFFFF"/>
              </w:rPr>
              <w:t xml:space="preserve"> </w:t>
            </w:r>
            <w:r w:rsidRPr="00064CA8">
              <w:rPr>
                <w:rFonts w:cs="Arial"/>
                <w:color w:val="000000"/>
                <w:shd w:val="clear" w:color="auto" w:fill="FFFFFF"/>
              </w:rPr>
              <w:t>often</w:t>
            </w:r>
            <w:r>
              <w:rPr>
                <w:rFonts w:cs="Arial"/>
                <w:color w:val="000000"/>
                <w:shd w:val="clear" w:color="auto" w:fill="FFFFFF"/>
              </w:rPr>
              <w:t xml:space="preserve"> </w:t>
            </w:r>
            <w:r w:rsidRPr="00064CA8">
              <w:rPr>
                <w:rFonts w:cs="Arial"/>
                <w:color w:val="000000"/>
                <w:shd w:val="clear" w:color="auto" w:fill="FFFFFF"/>
              </w:rPr>
              <w:t>by</w:t>
            </w:r>
            <w:r>
              <w:rPr>
                <w:rFonts w:cs="Arial"/>
                <w:color w:val="000000"/>
                <w:shd w:val="clear" w:color="auto" w:fill="FFFFFF"/>
              </w:rPr>
              <w:t xml:space="preserve"> </w:t>
            </w:r>
            <w:r w:rsidRPr="00064CA8">
              <w:rPr>
                <w:rFonts w:cs="Arial"/>
                <w:color w:val="000000"/>
                <w:shd w:val="clear" w:color="auto" w:fill="FFFFFF"/>
              </w:rPr>
              <w:t>telephone,</w:t>
            </w:r>
            <w:r>
              <w:rPr>
                <w:rFonts w:cs="Arial"/>
                <w:color w:val="000000"/>
                <w:shd w:val="clear" w:color="auto" w:fill="FFFFFF"/>
              </w:rPr>
              <w:t xml:space="preserve"> </w:t>
            </w:r>
            <w:r w:rsidRPr="00064CA8">
              <w:rPr>
                <w:rFonts w:cs="Arial"/>
                <w:color w:val="000000"/>
                <w:shd w:val="clear" w:color="auto" w:fill="FFFFFF"/>
              </w:rPr>
              <w:t>to</w:t>
            </w:r>
            <w:r>
              <w:rPr>
                <w:rFonts w:cs="Arial"/>
                <w:color w:val="000000"/>
                <w:shd w:val="clear" w:color="auto" w:fill="FFFFFF"/>
              </w:rPr>
              <w:t xml:space="preserve"> </w:t>
            </w:r>
            <w:r w:rsidRPr="00064CA8">
              <w:rPr>
                <w:rFonts w:cs="Arial"/>
                <w:color w:val="000000"/>
                <w:shd w:val="clear" w:color="auto" w:fill="FFFFFF"/>
              </w:rPr>
              <w:t>provide</w:t>
            </w:r>
            <w:r>
              <w:rPr>
                <w:rFonts w:cs="Arial"/>
                <w:color w:val="000000"/>
                <w:shd w:val="clear" w:color="auto" w:fill="FFFFFF"/>
              </w:rPr>
              <w:t xml:space="preserve"> </w:t>
            </w:r>
            <w:r w:rsidRPr="00064CA8">
              <w:rPr>
                <w:rFonts w:cs="Arial"/>
                <w:color w:val="000000"/>
                <w:shd w:val="clear" w:color="auto" w:fill="FFFFFF"/>
              </w:rPr>
              <w:t>education</w:t>
            </w:r>
            <w:r>
              <w:rPr>
                <w:rFonts w:cs="Arial"/>
                <w:color w:val="000000"/>
                <w:shd w:val="clear" w:color="auto" w:fill="FFFFFF"/>
              </w:rPr>
              <w:t xml:space="preserve"> and </w:t>
            </w:r>
            <w:r w:rsidRPr="00064CA8">
              <w:rPr>
                <w:rFonts w:cs="Arial"/>
                <w:color w:val="000000"/>
                <w:shd w:val="clear" w:color="auto" w:fill="FFFFFF"/>
              </w:rPr>
              <w:t>self-management</w:t>
            </w:r>
            <w:r>
              <w:rPr>
                <w:rFonts w:cs="Arial"/>
                <w:color w:val="000000"/>
                <w:shd w:val="clear" w:color="auto" w:fill="FFFFFF"/>
              </w:rPr>
              <w:t xml:space="preserve"> </w:t>
            </w:r>
            <w:r w:rsidRPr="00064CA8">
              <w:rPr>
                <w:rFonts w:cs="Arial"/>
                <w:color w:val="000000"/>
                <w:shd w:val="clear" w:color="auto" w:fill="FFFFFF"/>
              </w:rPr>
              <w:t>support</w:t>
            </w:r>
            <w:r>
              <w:rPr>
                <w:rFonts w:cs="Arial"/>
                <w:color w:val="000000"/>
                <w:shd w:val="clear" w:color="auto" w:fill="FFFFFF"/>
              </w:rPr>
              <w:t xml:space="preserve"> </w:t>
            </w:r>
            <w:r w:rsidRPr="00064CA8">
              <w:rPr>
                <w:rFonts w:cs="Arial"/>
                <w:color w:val="000000"/>
                <w:shd w:val="clear" w:color="auto" w:fill="FFFFFF"/>
              </w:rPr>
              <w:t>and</w:t>
            </w:r>
            <w:r>
              <w:rPr>
                <w:rFonts w:cs="Arial"/>
                <w:color w:val="000000"/>
                <w:shd w:val="clear" w:color="auto" w:fill="FFFFFF"/>
              </w:rPr>
              <w:t xml:space="preserve"> </w:t>
            </w:r>
            <w:r w:rsidRPr="00064CA8">
              <w:rPr>
                <w:rFonts w:cs="Arial"/>
                <w:color w:val="000000"/>
                <w:shd w:val="clear" w:color="auto" w:fill="FFFFFF"/>
              </w:rPr>
              <w:t>to</w:t>
            </w:r>
            <w:r>
              <w:rPr>
                <w:rFonts w:cs="Arial"/>
                <w:color w:val="000000"/>
                <w:shd w:val="clear" w:color="auto" w:fill="FFFFFF"/>
              </w:rPr>
              <w:t xml:space="preserve"> </w:t>
            </w:r>
            <w:r w:rsidRPr="00064CA8">
              <w:rPr>
                <w:rFonts w:cs="Arial"/>
                <w:color w:val="000000"/>
                <w:shd w:val="clear" w:color="auto" w:fill="FFFFFF"/>
              </w:rPr>
              <w:t>monitor</w:t>
            </w:r>
            <w:r>
              <w:rPr>
                <w:rFonts w:cs="Arial"/>
                <w:color w:val="000000"/>
                <w:shd w:val="clear" w:color="auto" w:fill="FFFFFF"/>
              </w:rPr>
              <w:t xml:space="preserve"> </w:t>
            </w:r>
            <w:r w:rsidRPr="00064CA8">
              <w:rPr>
                <w:rFonts w:cs="Arial"/>
                <w:color w:val="000000"/>
                <w:shd w:val="clear" w:color="auto" w:fill="FFFFFF"/>
              </w:rPr>
              <w:t>for</w:t>
            </w:r>
            <w:r>
              <w:rPr>
                <w:rFonts w:cs="Arial"/>
                <w:color w:val="000000"/>
                <w:shd w:val="clear" w:color="auto" w:fill="FFFFFF"/>
              </w:rPr>
              <w:t xml:space="preserve"> </w:t>
            </w:r>
            <w:r w:rsidRPr="00064CA8">
              <w:rPr>
                <w:rFonts w:cs="Arial"/>
                <w:color w:val="000000"/>
                <w:shd w:val="clear" w:color="auto" w:fill="FFFFFF"/>
              </w:rPr>
              <w:t>response</w:t>
            </w:r>
            <w:r>
              <w:rPr>
                <w:rFonts w:cs="Arial"/>
                <w:color w:val="000000"/>
                <w:shd w:val="clear" w:color="auto" w:fill="FFFFFF"/>
              </w:rPr>
              <w:t xml:space="preserve"> </w:t>
            </w:r>
            <w:r w:rsidRPr="00064CA8">
              <w:rPr>
                <w:rFonts w:cs="Arial"/>
                <w:color w:val="000000"/>
                <w:shd w:val="clear" w:color="auto" w:fill="FFFFFF"/>
              </w:rPr>
              <w:t>to</w:t>
            </w:r>
            <w:r>
              <w:rPr>
                <w:rFonts w:cs="Arial"/>
                <w:color w:val="000000"/>
                <w:shd w:val="clear" w:color="auto" w:fill="FFFFFF"/>
              </w:rPr>
              <w:t xml:space="preserve"> </w:t>
            </w:r>
            <w:r w:rsidRPr="00064CA8">
              <w:rPr>
                <w:rFonts w:cs="Arial"/>
                <w:color w:val="000000"/>
                <w:shd w:val="clear" w:color="auto" w:fill="FFFFFF"/>
              </w:rPr>
              <w:t>treatment.</w:t>
            </w:r>
            <w:r>
              <w:rPr>
                <w:rFonts w:cs="Arial"/>
                <w:color w:val="000000"/>
                <w:shd w:val="clear" w:color="auto" w:fill="FFFFFF"/>
              </w:rPr>
              <w:t xml:space="preserve"> </w:t>
            </w:r>
            <w:r w:rsidRPr="00064CA8">
              <w:rPr>
                <w:rFonts w:cs="Arial"/>
                <w:color w:val="000000"/>
                <w:shd w:val="clear" w:color="auto" w:fill="FFFFFF"/>
              </w:rPr>
              <w:t>If</w:t>
            </w:r>
            <w:r>
              <w:rPr>
                <w:rFonts w:cs="Arial"/>
                <w:color w:val="000000"/>
                <w:shd w:val="clear" w:color="auto" w:fill="FFFFFF"/>
              </w:rPr>
              <w:t xml:space="preserve"> </w:t>
            </w:r>
            <w:r w:rsidRPr="00064CA8">
              <w:rPr>
                <w:rFonts w:cs="Arial"/>
                <w:color w:val="000000"/>
                <w:shd w:val="clear" w:color="auto" w:fill="FFFFFF"/>
              </w:rPr>
              <w:t>the</w:t>
            </w:r>
            <w:r>
              <w:rPr>
                <w:rFonts w:cs="Arial"/>
                <w:color w:val="000000"/>
                <w:shd w:val="clear" w:color="auto" w:fill="FFFFFF"/>
              </w:rPr>
              <w:t xml:space="preserve"> </w:t>
            </w:r>
            <w:r w:rsidRPr="00064CA8">
              <w:rPr>
                <w:rFonts w:cs="Arial"/>
                <w:color w:val="000000"/>
                <w:shd w:val="clear" w:color="auto" w:fill="FFFFFF"/>
              </w:rPr>
              <w:t>patient</w:t>
            </w:r>
            <w:r>
              <w:rPr>
                <w:rFonts w:cs="Arial"/>
                <w:color w:val="000000"/>
                <w:shd w:val="clear" w:color="auto" w:fill="FFFFFF"/>
              </w:rPr>
              <w:t xml:space="preserve"> </w:t>
            </w:r>
            <w:r w:rsidRPr="00064CA8">
              <w:rPr>
                <w:rFonts w:cs="Arial"/>
                <w:color w:val="000000"/>
                <w:shd w:val="clear" w:color="auto" w:fill="FFFFFF"/>
              </w:rPr>
              <w:t>does</w:t>
            </w:r>
            <w:r>
              <w:rPr>
                <w:rFonts w:cs="Arial"/>
                <w:color w:val="000000"/>
                <w:shd w:val="clear" w:color="auto" w:fill="FFFFFF"/>
              </w:rPr>
              <w:t xml:space="preserve"> </w:t>
            </w:r>
            <w:r w:rsidRPr="00064CA8">
              <w:rPr>
                <w:rFonts w:cs="Arial"/>
                <w:color w:val="000000"/>
                <w:shd w:val="clear" w:color="auto" w:fill="FFFFFF"/>
              </w:rPr>
              <w:t>not</w:t>
            </w:r>
            <w:r>
              <w:rPr>
                <w:rFonts w:cs="Arial"/>
                <w:color w:val="000000"/>
                <w:shd w:val="clear" w:color="auto" w:fill="FFFFFF"/>
              </w:rPr>
              <w:t xml:space="preserve"> </w:t>
            </w:r>
            <w:r w:rsidRPr="00064CA8">
              <w:rPr>
                <w:rFonts w:cs="Arial"/>
                <w:color w:val="000000"/>
                <w:shd w:val="clear" w:color="auto" w:fill="FFFFFF"/>
              </w:rPr>
              <w:t>respond</w:t>
            </w:r>
            <w:r>
              <w:rPr>
                <w:rFonts w:cs="Arial"/>
                <w:color w:val="000000"/>
                <w:shd w:val="clear" w:color="auto" w:fill="FFFFFF"/>
              </w:rPr>
              <w:t xml:space="preserve"> </w:t>
            </w:r>
            <w:r w:rsidRPr="00064CA8">
              <w:rPr>
                <w:rFonts w:cs="Arial"/>
                <w:color w:val="000000"/>
                <w:shd w:val="clear" w:color="auto" w:fill="FFFFFF"/>
              </w:rPr>
              <w:t>to</w:t>
            </w:r>
            <w:r>
              <w:rPr>
                <w:rFonts w:cs="Arial"/>
                <w:color w:val="000000"/>
                <w:shd w:val="clear" w:color="auto" w:fill="FFFFFF"/>
              </w:rPr>
              <w:t xml:space="preserve"> </w:t>
            </w:r>
            <w:r w:rsidRPr="00064CA8">
              <w:rPr>
                <w:rFonts w:cs="Arial"/>
                <w:color w:val="000000"/>
                <w:shd w:val="clear" w:color="auto" w:fill="FFFFFF"/>
              </w:rPr>
              <w:t>a</w:t>
            </w:r>
            <w:r>
              <w:rPr>
                <w:rFonts w:cs="Arial"/>
                <w:color w:val="000000"/>
                <w:shd w:val="clear" w:color="auto" w:fill="FFFFFF"/>
              </w:rPr>
              <w:t xml:space="preserve"> </w:t>
            </w:r>
            <w:r w:rsidRPr="00064CA8">
              <w:rPr>
                <w:rFonts w:cs="Arial"/>
                <w:color w:val="000000"/>
                <w:shd w:val="clear" w:color="auto" w:fill="FFFFFF"/>
              </w:rPr>
              <w:t>treatment</w:t>
            </w:r>
            <w:r>
              <w:rPr>
                <w:rFonts w:cs="Arial"/>
                <w:color w:val="000000"/>
                <w:shd w:val="clear" w:color="auto" w:fill="FFFFFF"/>
              </w:rPr>
              <w:t xml:space="preserve">, </w:t>
            </w:r>
            <w:r w:rsidRPr="00064CA8">
              <w:rPr>
                <w:rFonts w:cs="Arial"/>
                <w:color w:val="000000"/>
                <w:shd w:val="clear" w:color="auto" w:fill="FFFFFF"/>
              </w:rPr>
              <w:t>other</w:t>
            </w:r>
            <w:r>
              <w:rPr>
                <w:rFonts w:cs="Arial"/>
                <w:color w:val="000000"/>
                <w:shd w:val="clear" w:color="auto" w:fill="FFFFFF"/>
              </w:rPr>
              <w:t xml:space="preserve"> </w:t>
            </w:r>
            <w:r w:rsidRPr="00064CA8">
              <w:rPr>
                <w:rFonts w:cs="Arial"/>
                <w:color w:val="000000"/>
                <w:shd w:val="clear" w:color="auto" w:fill="FFFFFF"/>
              </w:rPr>
              <w:t>treatment</w:t>
            </w:r>
            <w:r>
              <w:rPr>
                <w:rFonts w:cs="Arial"/>
                <w:color w:val="000000"/>
                <w:shd w:val="clear" w:color="auto" w:fill="FFFFFF"/>
              </w:rPr>
              <w:t xml:space="preserve"> </w:t>
            </w:r>
            <w:r w:rsidRPr="00064CA8">
              <w:rPr>
                <w:rFonts w:cs="Arial"/>
                <w:color w:val="000000"/>
                <w:shd w:val="clear" w:color="auto" w:fill="FFFFFF"/>
              </w:rPr>
              <w:t>options</w:t>
            </w:r>
            <w:r>
              <w:rPr>
                <w:rFonts w:cs="Arial"/>
                <w:color w:val="000000"/>
                <w:shd w:val="clear" w:color="auto" w:fill="FFFFFF"/>
              </w:rPr>
              <w:t xml:space="preserve"> </w:t>
            </w:r>
            <w:r w:rsidRPr="00064CA8">
              <w:rPr>
                <w:rFonts w:cs="Arial"/>
                <w:color w:val="000000"/>
                <w:shd w:val="clear" w:color="auto" w:fill="FFFFFF"/>
              </w:rPr>
              <w:t>are</w:t>
            </w:r>
            <w:r>
              <w:rPr>
                <w:rFonts w:cs="Arial"/>
                <w:color w:val="000000"/>
                <w:shd w:val="clear" w:color="auto" w:fill="FFFFFF"/>
              </w:rPr>
              <w:t xml:space="preserve"> </w:t>
            </w:r>
            <w:r w:rsidRPr="00064CA8">
              <w:rPr>
                <w:rFonts w:cs="Arial"/>
                <w:color w:val="000000"/>
                <w:shd w:val="clear" w:color="auto" w:fill="FFFFFF"/>
              </w:rPr>
              <w:t>explored</w:t>
            </w:r>
            <w:r>
              <w:rPr>
                <w:rFonts w:cs="Arial"/>
                <w:color w:val="000000"/>
                <w:shd w:val="clear" w:color="auto" w:fill="FFFFFF"/>
              </w:rPr>
              <w:t xml:space="preserve"> </w:t>
            </w:r>
            <w:r w:rsidRPr="00064CA8">
              <w:rPr>
                <w:rFonts w:cs="Arial"/>
                <w:color w:val="000000"/>
                <w:shd w:val="clear" w:color="auto" w:fill="FFFFFF"/>
              </w:rPr>
              <w:t>and</w:t>
            </w:r>
            <w:r>
              <w:rPr>
                <w:rFonts w:cs="Arial"/>
                <w:color w:val="000000"/>
                <w:shd w:val="clear" w:color="auto" w:fill="FFFFFF"/>
              </w:rPr>
              <w:t xml:space="preserve"> </w:t>
            </w:r>
            <w:r w:rsidRPr="00064CA8">
              <w:rPr>
                <w:rFonts w:cs="Arial"/>
                <w:color w:val="000000"/>
                <w:shd w:val="clear" w:color="auto" w:fill="FFFFFF"/>
              </w:rPr>
              <w:t>delivered</w:t>
            </w:r>
            <w:r>
              <w:rPr>
                <w:rFonts w:cs="Arial"/>
                <w:color w:val="000000"/>
                <w:shd w:val="clear" w:color="auto" w:fill="FFFFFF"/>
              </w:rPr>
              <w:t xml:space="preserve"> </w:t>
            </w:r>
            <w:r w:rsidRPr="00064CA8">
              <w:rPr>
                <w:rFonts w:cs="Arial"/>
                <w:color w:val="000000"/>
                <w:shd w:val="clear" w:color="auto" w:fill="FFFFFF"/>
              </w:rPr>
              <w:t>(Solberg,</w:t>
            </w:r>
            <w:r>
              <w:rPr>
                <w:rFonts w:cs="Arial"/>
                <w:color w:val="000000"/>
                <w:shd w:val="clear" w:color="auto" w:fill="FFFFFF"/>
              </w:rPr>
              <w:t xml:space="preserve"> </w:t>
            </w:r>
            <w:r w:rsidRPr="00064CA8">
              <w:rPr>
                <w:rFonts w:cs="Arial"/>
                <w:color w:val="000000"/>
                <w:shd w:val="clear" w:color="auto" w:fill="FFFFFF"/>
              </w:rPr>
              <w:t>2005).</w:t>
            </w:r>
            <w:r>
              <w:rPr>
                <w:rFonts w:cs="Arial"/>
                <w:color w:val="000000"/>
                <w:shd w:val="clear" w:color="auto" w:fill="FFFFFF"/>
              </w:rPr>
              <w:t xml:space="preserve"> </w:t>
            </w:r>
          </w:p>
          <w:p w14:paraId="0F875E04" w14:textId="77777777" w:rsidR="000C547E" w:rsidRPr="00DF1884" w:rsidRDefault="000C547E" w:rsidP="00991EDB">
            <w:pPr>
              <w:pStyle w:val="Body"/>
              <w:spacing w:before="120"/>
              <w:rPr>
                <w:i/>
              </w:rPr>
            </w:pPr>
            <w:r w:rsidRPr="00064CA8">
              <w:rPr>
                <w:rFonts w:cs="Arial"/>
                <w:color w:val="000000"/>
                <w:shd w:val="clear" w:color="auto" w:fill="FFFFFF"/>
              </w:rPr>
              <w:t>This</w:t>
            </w:r>
            <w:r>
              <w:rPr>
                <w:rFonts w:cs="Arial"/>
                <w:color w:val="000000"/>
                <w:shd w:val="clear" w:color="auto" w:fill="FFFFFF"/>
              </w:rPr>
              <w:t xml:space="preserve"> </w:t>
            </w:r>
            <w:r w:rsidRPr="00064CA8">
              <w:rPr>
                <w:rFonts w:cs="Arial"/>
                <w:color w:val="000000"/>
                <w:shd w:val="clear" w:color="auto" w:fill="FFFFFF"/>
              </w:rPr>
              <w:t>model</w:t>
            </w:r>
            <w:r>
              <w:rPr>
                <w:rFonts w:cs="Arial"/>
                <w:color w:val="000000"/>
                <w:shd w:val="clear" w:color="auto" w:fill="FFFFFF"/>
              </w:rPr>
              <w:t xml:space="preserve"> </w:t>
            </w:r>
            <w:r w:rsidRPr="00064CA8">
              <w:rPr>
                <w:rFonts w:cs="Arial"/>
                <w:color w:val="000000"/>
                <w:shd w:val="clear" w:color="auto" w:fill="FFFFFF"/>
              </w:rPr>
              <w:t>has</w:t>
            </w:r>
            <w:r>
              <w:rPr>
                <w:rFonts w:cs="Arial"/>
                <w:color w:val="000000"/>
                <w:shd w:val="clear" w:color="auto" w:fill="FFFFFF"/>
              </w:rPr>
              <w:t xml:space="preserve"> </w:t>
            </w:r>
            <w:r w:rsidRPr="00064CA8">
              <w:rPr>
                <w:rFonts w:cs="Arial"/>
                <w:color w:val="000000"/>
                <w:shd w:val="clear" w:color="auto" w:fill="FFFFFF"/>
              </w:rPr>
              <w:t>demonstrated</w:t>
            </w:r>
            <w:r>
              <w:rPr>
                <w:rFonts w:cs="Arial"/>
                <w:color w:val="000000"/>
                <w:shd w:val="clear" w:color="auto" w:fill="FFFFFF"/>
              </w:rPr>
              <w:t xml:space="preserve"> </w:t>
            </w:r>
            <w:r w:rsidRPr="00064CA8">
              <w:rPr>
                <w:rFonts w:cs="Arial"/>
                <w:color w:val="000000"/>
                <w:shd w:val="clear" w:color="auto" w:fill="FFFFFF"/>
              </w:rPr>
              <w:t>improvement</w:t>
            </w:r>
            <w:r>
              <w:rPr>
                <w:rFonts w:cs="Arial"/>
                <w:color w:val="000000"/>
                <w:shd w:val="clear" w:color="auto" w:fill="FFFFFF"/>
              </w:rPr>
              <w:t xml:space="preserve"> </w:t>
            </w:r>
            <w:r w:rsidRPr="00064CA8">
              <w:rPr>
                <w:rFonts w:cs="Arial"/>
                <w:color w:val="000000"/>
                <w:shd w:val="clear" w:color="auto" w:fill="FFFFFF"/>
              </w:rPr>
              <w:t>in</w:t>
            </w:r>
            <w:r>
              <w:rPr>
                <w:rFonts w:cs="Arial"/>
                <w:color w:val="000000"/>
                <w:shd w:val="clear" w:color="auto" w:fill="FFFFFF"/>
              </w:rPr>
              <w:t xml:space="preserve"> </w:t>
            </w:r>
            <w:r w:rsidRPr="00064CA8">
              <w:rPr>
                <w:rFonts w:cs="Arial"/>
                <w:color w:val="000000"/>
                <w:shd w:val="clear" w:color="auto" w:fill="FFFFFF"/>
              </w:rPr>
              <w:t>treatment</w:t>
            </w:r>
            <w:r>
              <w:rPr>
                <w:rFonts w:cs="Arial"/>
                <w:color w:val="000000"/>
                <w:shd w:val="clear" w:color="auto" w:fill="FFFFFF"/>
              </w:rPr>
              <w:t xml:space="preserve"> </w:t>
            </w:r>
            <w:r w:rsidRPr="00064CA8">
              <w:rPr>
                <w:rFonts w:cs="Arial"/>
                <w:color w:val="000000"/>
                <w:shd w:val="clear" w:color="auto" w:fill="FFFFFF"/>
              </w:rPr>
              <w:t>adherence,</w:t>
            </w:r>
            <w:r>
              <w:rPr>
                <w:rFonts w:cs="Arial"/>
                <w:color w:val="000000"/>
                <w:shd w:val="clear" w:color="auto" w:fill="FFFFFF"/>
              </w:rPr>
              <w:t xml:space="preserve"> </w:t>
            </w:r>
            <w:r w:rsidRPr="00064CA8">
              <w:rPr>
                <w:rFonts w:cs="Arial"/>
                <w:color w:val="000000"/>
                <w:shd w:val="clear" w:color="auto" w:fill="FFFFFF"/>
              </w:rPr>
              <w:t>patient</w:t>
            </w:r>
            <w:r>
              <w:rPr>
                <w:rFonts w:cs="Arial"/>
                <w:color w:val="000000"/>
                <w:shd w:val="clear" w:color="auto" w:fill="FFFFFF"/>
              </w:rPr>
              <w:t xml:space="preserve"> </w:t>
            </w:r>
            <w:r w:rsidRPr="00064CA8">
              <w:rPr>
                <w:rFonts w:cs="Arial"/>
                <w:color w:val="000000"/>
                <w:shd w:val="clear" w:color="auto" w:fill="FFFFFF"/>
              </w:rPr>
              <w:t>quality</w:t>
            </w:r>
            <w:r>
              <w:rPr>
                <w:rFonts w:cs="Arial"/>
                <w:color w:val="000000"/>
                <w:shd w:val="clear" w:color="auto" w:fill="FFFFFF"/>
              </w:rPr>
              <w:t xml:space="preserve"> </w:t>
            </w:r>
            <w:r w:rsidRPr="00064CA8">
              <w:rPr>
                <w:rFonts w:cs="Arial"/>
                <w:color w:val="000000"/>
                <w:shd w:val="clear" w:color="auto" w:fill="FFFFFF"/>
              </w:rPr>
              <w:t>of</w:t>
            </w:r>
            <w:r>
              <w:rPr>
                <w:rFonts w:cs="Arial"/>
                <w:color w:val="000000"/>
                <w:shd w:val="clear" w:color="auto" w:fill="FFFFFF"/>
              </w:rPr>
              <w:t xml:space="preserve"> </w:t>
            </w:r>
            <w:r w:rsidRPr="00064CA8">
              <w:rPr>
                <w:rFonts w:cs="Arial"/>
                <w:color w:val="000000"/>
                <w:shd w:val="clear" w:color="auto" w:fill="FFFFFF"/>
              </w:rPr>
              <w:t>life</w:t>
            </w:r>
            <w:r>
              <w:rPr>
                <w:rFonts w:cs="Arial"/>
                <w:color w:val="000000"/>
                <w:shd w:val="clear" w:color="auto" w:fill="FFFFFF"/>
              </w:rPr>
              <w:t xml:space="preserve"> </w:t>
            </w:r>
            <w:r w:rsidRPr="00064CA8">
              <w:rPr>
                <w:rFonts w:cs="Arial"/>
                <w:color w:val="000000"/>
                <w:shd w:val="clear" w:color="auto" w:fill="FFFFFF"/>
              </w:rPr>
              <w:t>and</w:t>
            </w:r>
            <w:r>
              <w:rPr>
                <w:rFonts w:cs="Arial"/>
                <w:color w:val="000000"/>
                <w:shd w:val="clear" w:color="auto" w:fill="FFFFFF"/>
              </w:rPr>
              <w:t xml:space="preserve"> </w:t>
            </w:r>
            <w:r w:rsidRPr="00064CA8">
              <w:rPr>
                <w:rFonts w:cs="Arial"/>
                <w:color w:val="000000"/>
                <w:shd w:val="clear" w:color="auto" w:fill="FFFFFF"/>
              </w:rPr>
              <w:t>depression</w:t>
            </w:r>
            <w:r>
              <w:rPr>
                <w:rFonts w:cs="Arial"/>
                <w:color w:val="000000"/>
                <w:shd w:val="clear" w:color="auto" w:fill="FFFFFF"/>
              </w:rPr>
              <w:t xml:space="preserve"> </w:t>
            </w:r>
            <w:r w:rsidRPr="00064CA8">
              <w:rPr>
                <w:rFonts w:cs="Arial"/>
                <w:color w:val="000000"/>
                <w:shd w:val="clear" w:color="auto" w:fill="FFFFFF"/>
              </w:rPr>
              <w:t>outcomes.</w:t>
            </w:r>
            <w:r>
              <w:rPr>
                <w:rFonts w:cs="Arial"/>
                <w:color w:val="000000"/>
                <w:shd w:val="clear" w:color="auto" w:fill="FFFFFF"/>
              </w:rPr>
              <w:t xml:space="preserve"> </w:t>
            </w:r>
            <w:r w:rsidRPr="00064CA8">
              <w:rPr>
                <w:rFonts w:cs="Arial"/>
                <w:color w:val="000000"/>
                <w:shd w:val="clear" w:color="auto" w:fill="FFFFFF"/>
              </w:rPr>
              <w:t>Preliminary</w:t>
            </w:r>
            <w:r>
              <w:rPr>
                <w:rFonts w:cs="Arial"/>
                <w:color w:val="000000"/>
                <w:shd w:val="clear" w:color="auto" w:fill="FFFFFF"/>
              </w:rPr>
              <w:t xml:space="preserve"> </w:t>
            </w:r>
            <w:r w:rsidRPr="00064CA8">
              <w:rPr>
                <w:rFonts w:cs="Arial"/>
                <w:color w:val="000000"/>
                <w:shd w:val="clear" w:color="auto" w:fill="FFFFFF"/>
              </w:rPr>
              <w:t>evidence</w:t>
            </w:r>
            <w:r>
              <w:rPr>
                <w:rFonts w:cs="Arial"/>
                <w:color w:val="000000"/>
                <w:shd w:val="clear" w:color="auto" w:fill="FFFFFF"/>
              </w:rPr>
              <w:t xml:space="preserve"> </w:t>
            </w:r>
            <w:r w:rsidRPr="00064CA8">
              <w:rPr>
                <w:rFonts w:cs="Arial"/>
                <w:color w:val="000000"/>
                <w:shd w:val="clear" w:color="auto" w:fill="FFFFFF"/>
              </w:rPr>
              <w:t>suggests</w:t>
            </w:r>
            <w:r>
              <w:rPr>
                <w:rFonts w:cs="Arial"/>
                <w:color w:val="000000"/>
                <w:shd w:val="clear" w:color="auto" w:fill="FFFFFF"/>
              </w:rPr>
              <w:t xml:space="preserve"> </w:t>
            </w:r>
            <w:r w:rsidRPr="00064CA8">
              <w:rPr>
                <w:rFonts w:cs="Arial"/>
                <w:color w:val="000000"/>
                <w:shd w:val="clear" w:color="auto" w:fill="FFFFFF"/>
              </w:rPr>
              <w:t>the</w:t>
            </w:r>
            <w:r>
              <w:rPr>
                <w:rFonts w:cs="Arial"/>
                <w:color w:val="000000"/>
                <w:shd w:val="clear" w:color="auto" w:fill="FFFFFF"/>
              </w:rPr>
              <w:t xml:space="preserve"> </w:t>
            </w:r>
            <w:r w:rsidRPr="00064CA8">
              <w:rPr>
                <w:rFonts w:cs="Arial"/>
                <w:color w:val="000000"/>
                <w:shd w:val="clear" w:color="auto" w:fill="FFFFFF"/>
              </w:rPr>
              <w:t>collaborative</w:t>
            </w:r>
            <w:r>
              <w:rPr>
                <w:rFonts w:cs="Arial"/>
                <w:color w:val="000000"/>
                <w:shd w:val="clear" w:color="auto" w:fill="FFFFFF"/>
              </w:rPr>
              <w:t xml:space="preserve"> </w:t>
            </w:r>
            <w:r w:rsidRPr="00064CA8">
              <w:rPr>
                <w:rFonts w:cs="Arial"/>
                <w:color w:val="000000"/>
                <w:shd w:val="clear" w:color="auto" w:fill="FFFFFF"/>
              </w:rPr>
              <w:t>care</w:t>
            </w:r>
            <w:r>
              <w:rPr>
                <w:rFonts w:cs="Arial"/>
                <w:color w:val="000000"/>
                <w:shd w:val="clear" w:color="auto" w:fill="FFFFFF"/>
              </w:rPr>
              <w:t xml:space="preserve"> </w:t>
            </w:r>
            <w:r w:rsidRPr="00064CA8">
              <w:rPr>
                <w:rFonts w:cs="Arial"/>
                <w:color w:val="000000"/>
                <w:shd w:val="clear" w:color="auto" w:fill="FFFFFF"/>
              </w:rPr>
              <w:t>model</w:t>
            </w:r>
            <w:r>
              <w:rPr>
                <w:rFonts w:cs="Arial"/>
                <w:color w:val="000000"/>
                <w:shd w:val="clear" w:color="auto" w:fill="FFFFFF"/>
              </w:rPr>
              <w:t xml:space="preserve"> </w:t>
            </w:r>
            <w:r w:rsidRPr="00064CA8">
              <w:rPr>
                <w:rFonts w:cs="Arial"/>
                <w:color w:val="000000"/>
                <w:shd w:val="clear" w:color="auto" w:fill="FFFFFF"/>
              </w:rPr>
              <w:t>is</w:t>
            </w:r>
            <w:r>
              <w:rPr>
                <w:rFonts w:cs="Arial"/>
                <w:color w:val="000000"/>
                <w:shd w:val="clear" w:color="auto" w:fill="FFFFFF"/>
              </w:rPr>
              <w:t xml:space="preserve"> </w:t>
            </w:r>
            <w:r w:rsidRPr="00064CA8">
              <w:rPr>
                <w:rFonts w:cs="Arial"/>
                <w:color w:val="000000"/>
                <w:shd w:val="clear" w:color="auto" w:fill="FFFFFF"/>
              </w:rPr>
              <w:t>also</w:t>
            </w:r>
            <w:r>
              <w:rPr>
                <w:rFonts w:cs="Arial"/>
                <w:color w:val="000000"/>
                <w:shd w:val="clear" w:color="auto" w:fill="FFFFFF"/>
              </w:rPr>
              <w:t xml:space="preserve"> </w:t>
            </w:r>
            <w:r w:rsidRPr="00064CA8">
              <w:rPr>
                <w:rFonts w:cs="Arial"/>
                <w:color w:val="000000"/>
                <w:shd w:val="clear" w:color="auto" w:fill="FFFFFF"/>
              </w:rPr>
              <w:t>effective</w:t>
            </w:r>
            <w:r>
              <w:rPr>
                <w:rFonts w:cs="Arial"/>
                <w:color w:val="000000"/>
                <w:shd w:val="clear" w:color="auto" w:fill="FFFFFF"/>
              </w:rPr>
              <w:t xml:space="preserve"> </w:t>
            </w:r>
            <w:r w:rsidRPr="00064CA8">
              <w:rPr>
                <w:rFonts w:cs="Arial"/>
                <w:color w:val="000000"/>
                <w:shd w:val="clear" w:color="auto" w:fill="FFFFFF"/>
              </w:rPr>
              <w:t>for</w:t>
            </w:r>
            <w:r>
              <w:rPr>
                <w:rFonts w:cs="Arial"/>
                <w:color w:val="000000"/>
                <w:shd w:val="clear" w:color="auto" w:fill="FFFFFF"/>
              </w:rPr>
              <w:t xml:space="preserve"> </w:t>
            </w:r>
            <w:r w:rsidRPr="00064CA8">
              <w:rPr>
                <w:rFonts w:cs="Arial"/>
                <w:color w:val="000000"/>
                <w:shd w:val="clear" w:color="auto" w:fill="FFFFFF"/>
              </w:rPr>
              <w:t>depression</w:t>
            </w:r>
            <w:r>
              <w:rPr>
                <w:rFonts w:cs="Arial"/>
                <w:color w:val="000000"/>
                <w:shd w:val="clear" w:color="auto" w:fill="FFFFFF"/>
              </w:rPr>
              <w:t xml:space="preserve"> </w:t>
            </w:r>
            <w:r w:rsidRPr="00064CA8">
              <w:rPr>
                <w:rFonts w:cs="Arial"/>
                <w:color w:val="000000"/>
                <w:shd w:val="clear" w:color="auto" w:fill="FFFFFF"/>
              </w:rPr>
              <w:t>during</w:t>
            </w:r>
            <w:r>
              <w:rPr>
                <w:rFonts w:cs="Arial"/>
                <w:color w:val="000000"/>
                <w:shd w:val="clear" w:color="auto" w:fill="FFFFFF"/>
              </w:rPr>
              <w:t xml:space="preserve"> </w:t>
            </w:r>
            <w:r w:rsidRPr="00064CA8">
              <w:rPr>
                <w:rFonts w:cs="Arial"/>
                <w:color w:val="000000"/>
                <w:shd w:val="clear" w:color="auto" w:fill="FFFFFF"/>
              </w:rPr>
              <w:t>pregnancy</w:t>
            </w:r>
            <w:r>
              <w:rPr>
                <w:rFonts w:cs="Arial"/>
                <w:color w:val="000000"/>
                <w:shd w:val="clear" w:color="auto" w:fill="FFFFFF"/>
              </w:rPr>
              <w:t xml:space="preserve"> </w:t>
            </w:r>
            <w:r w:rsidRPr="00064CA8">
              <w:rPr>
                <w:rFonts w:cs="Arial"/>
                <w:color w:val="000000"/>
                <w:shd w:val="clear" w:color="auto" w:fill="FFFFFF"/>
              </w:rPr>
              <w:t>and</w:t>
            </w:r>
            <w:r>
              <w:rPr>
                <w:rFonts w:cs="Arial"/>
                <w:color w:val="000000"/>
                <w:shd w:val="clear" w:color="auto" w:fill="FFFFFF"/>
              </w:rPr>
              <w:t xml:space="preserve"> </w:t>
            </w:r>
            <w:r w:rsidRPr="00064CA8">
              <w:rPr>
                <w:rFonts w:cs="Arial"/>
                <w:color w:val="000000"/>
                <w:shd w:val="clear" w:color="auto" w:fill="FFFFFF"/>
              </w:rPr>
              <w:t>postpartum</w:t>
            </w:r>
            <w:r>
              <w:rPr>
                <w:rFonts w:cs="Arial"/>
                <w:color w:val="000000"/>
                <w:shd w:val="clear" w:color="auto" w:fill="FFFFFF"/>
              </w:rPr>
              <w:t xml:space="preserve"> </w:t>
            </w:r>
            <w:r w:rsidRPr="00064CA8">
              <w:rPr>
                <w:rFonts w:cs="Arial"/>
                <w:color w:val="000000"/>
                <w:shd w:val="clear" w:color="auto" w:fill="FFFFFF"/>
              </w:rPr>
              <w:t>(Gjerdingen</w:t>
            </w:r>
            <w:r>
              <w:rPr>
                <w:rFonts w:cs="Arial"/>
                <w:color w:val="000000"/>
                <w:shd w:val="clear" w:color="auto" w:fill="FFFFFF"/>
              </w:rPr>
              <w:t xml:space="preserve"> </w:t>
            </w:r>
            <w:r w:rsidRPr="00064CA8">
              <w:rPr>
                <w:rFonts w:cs="Arial"/>
                <w:color w:val="000000"/>
                <w:shd w:val="clear" w:color="auto" w:fill="FFFFFF"/>
              </w:rPr>
              <w:t>et</w:t>
            </w:r>
            <w:r>
              <w:rPr>
                <w:rFonts w:cs="Arial"/>
                <w:color w:val="000000"/>
                <w:shd w:val="clear" w:color="auto" w:fill="FFFFFF"/>
              </w:rPr>
              <w:t xml:space="preserve"> </w:t>
            </w:r>
            <w:r w:rsidRPr="00064CA8">
              <w:rPr>
                <w:rFonts w:cs="Arial"/>
                <w:color w:val="000000"/>
                <w:shd w:val="clear" w:color="auto" w:fill="FFFFFF"/>
              </w:rPr>
              <w:t>al.,</w:t>
            </w:r>
            <w:r>
              <w:rPr>
                <w:rFonts w:cs="Arial"/>
                <w:color w:val="000000"/>
                <w:shd w:val="clear" w:color="auto" w:fill="FFFFFF"/>
              </w:rPr>
              <w:t xml:space="preserve"> </w:t>
            </w:r>
            <w:r w:rsidRPr="00064CA8">
              <w:rPr>
                <w:rFonts w:cs="Arial"/>
                <w:color w:val="000000"/>
                <w:shd w:val="clear" w:color="auto" w:fill="FFFFFF"/>
              </w:rPr>
              <w:t>2008)</w:t>
            </w:r>
            <w:r>
              <w:rPr>
                <w:rFonts w:cs="Arial"/>
                <w:color w:val="000000"/>
                <w:shd w:val="clear" w:color="auto" w:fill="FFFFFF"/>
              </w:rPr>
              <w:t xml:space="preserve"> </w:t>
            </w:r>
            <w:r w:rsidRPr="00064CA8">
              <w:rPr>
                <w:rFonts w:cs="Arial"/>
                <w:color w:val="000000"/>
                <w:shd w:val="clear" w:color="auto" w:fill="FFFFFF"/>
              </w:rPr>
              <w:t>and</w:t>
            </w:r>
            <w:r>
              <w:rPr>
                <w:rFonts w:cs="Arial"/>
                <w:color w:val="000000"/>
                <w:shd w:val="clear" w:color="auto" w:fill="FFFFFF"/>
              </w:rPr>
              <w:t xml:space="preserve"> </w:t>
            </w:r>
            <w:r w:rsidRPr="00064CA8">
              <w:rPr>
                <w:rFonts w:cs="Arial"/>
                <w:color w:val="000000"/>
                <w:shd w:val="clear" w:color="auto" w:fill="FFFFFF"/>
              </w:rPr>
              <w:t>in</w:t>
            </w:r>
            <w:r>
              <w:rPr>
                <w:rFonts w:cs="Arial"/>
                <w:color w:val="000000"/>
                <w:shd w:val="clear" w:color="auto" w:fill="FFFFFF"/>
              </w:rPr>
              <w:t xml:space="preserve"> </w:t>
            </w:r>
            <w:r w:rsidRPr="00064CA8">
              <w:rPr>
                <w:rFonts w:cs="Arial"/>
                <w:color w:val="000000"/>
                <w:shd w:val="clear" w:color="auto" w:fill="FFFFFF"/>
              </w:rPr>
              <w:t>treating</w:t>
            </w:r>
            <w:r>
              <w:rPr>
                <w:rFonts w:cs="Arial"/>
                <w:color w:val="000000"/>
                <w:shd w:val="clear" w:color="auto" w:fill="FFFFFF"/>
              </w:rPr>
              <w:t xml:space="preserve"> </w:t>
            </w:r>
            <w:r w:rsidRPr="00064CA8">
              <w:rPr>
                <w:rFonts w:cs="Arial"/>
                <w:color w:val="000000"/>
                <w:shd w:val="clear" w:color="auto" w:fill="FFFFFF"/>
              </w:rPr>
              <w:t>late-life</w:t>
            </w:r>
            <w:r>
              <w:rPr>
                <w:rFonts w:cs="Arial"/>
                <w:color w:val="000000"/>
                <w:shd w:val="clear" w:color="auto" w:fill="FFFFFF"/>
              </w:rPr>
              <w:t xml:space="preserve"> </w:t>
            </w:r>
            <w:r w:rsidRPr="00064CA8">
              <w:rPr>
                <w:rFonts w:cs="Arial"/>
                <w:color w:val="000000"/>
                <w:shd w:val="clear" w:color="auto" w:fill="FFFFFF"/>
              </w:rPr>
              <w:t>depression</w:t>
            </w:r>
            <w:r>
              <w:rPr>
                <w:rFonts w:cs="Arial"/>
                <w:color w:val="000000"/>
                <w:shd w:val="clear" w:color="auto" w:fill="FFFFFF"/>
              </w:rPr>
              <w:t xml:space="preserve"> </w:t>
            </w:r>
            <w:r w:rsidRPr="00064CA8">
              <w:rPr>
                <w:rFonts w:cs="Arial"/>
                <w:color w:val="000000"/>
                <w:shd w:val="clear" w:color="auto" w:fill="FFFFFF"/>
              </w:rPr>
              <w:t>(Unutzer</w:t>
            </w:r>
            <w:r>
              <w:rPr>
                <w:rFonts w:cs="Arial"/>
                <w:color w:val="000000"/>
                <w:shd w:val="clear" w:color="auto" w:fill="FFFFFF"/>
              </w:rPr>
              <w:t xml:space="preserve"> </w:t>
            </w:r>
            <w:r w:rsidRPr="00064CA8">
              <w:rPr>
                <w:rFonts w:cs="Arial"/>
                <w:color w:val="000000"/>
                <w:shd w:val="clear" w:color="auto" w:fill="FFFFFF"/>
              </w:rPr>
              <w:t>et</w:t>
            </w:r>
            <w:r>
              <w:rPr>
                <w:rFonts w:cs="Arial"/>
                <w:color w:val="000000"/>
                <w:shd w:val="clear" w:color="auto" w:fill="FFFFFF"/>
              </w:rPr>
              <w:t xml:space="preserve"> </w:t>
            </w:r>
            <w:r w:rsidRPr="00064CA8">
              <w:rPr>
                <w:rFonts w:cs="Arial"/>
                <w:color w:val="000000"/>
                <w:shd w:val="clear" w:color="auto" w:fill="FFFFFF"/>
              </w:rPr>
              <w:t>al.,</w:t>
            </w:r>
            <w:r>
              <w:rPr>
                <w:rFonts w:cs="Arial"/>
                <w:color w:val="000000"/>
                <w:shd w:val="clear" w:color="auto" w:fill="FFFFFF"/>
              </w:rPr>
              <w:t xml:space="preserve"> </w:t>
            </w:r>
            <w:r w:rsidRPr="00064CA8">
              <w:rPr>
                <w:rFonts w:cs="Arial"/>
                <w:color w:val="000000"/>
                <w:shd w:val="clear" w:color="auto" w:fill="FFFFFF"/>
              </w:rPr>
              <w:t>2002;</w:t>
            </w:r>
            <w:r>
              <w:rPr>
                <w:rFonts w:cs="Arial"/>
                <w:color w:val="000000"/>
                <w:shd w:val="clear" w:color="auto" w:fill="FFFFFF"/>
              </w:rPr>
              <w:t xml:space="preserve"> </w:t>
            </w:r>
            <w:r w:rsidRPr="00064CA8">
              <w:rPr>
                <w:rFonts w:cs="Arial"/>
                <w:color w:val="000000"/>
                <w:shd w:val="clear" w:color="auto" w:fill="FFFFFF"/>
              </w:rPr>
              <w:t>Hunkeler</w:t>
            </w:r>
            <w:r>
              <w:rPr>
                <w:rFonts w:cs="Arial"/>
                <w:color w:val="000000"/>
                <w:shd w:val="clear" w:color="auto" w:fill="FFFFFF"/>
              </w:rPr>
              <w:t xml:space="preserve"> </w:t>
            </w:r>
            <w:r w:rsidRPr="00064CA8">
              <w:rPr>
                <w:rFonts w:cs="Arial"/>
                <w:color w:val="000000"/>
                <w:shd w:val="clear" w:color="auto" w:fill="FFFFFF"/>
              </w:rPr>
              <w:t>et</w:t>
            </w:r>
            <w:r>
              <w:rPr>
                <w:rFonts w:cs="Arial"/>
                <w:color w:val="000000"/>
                <w:shd w:val="clear" w:color="auto" w:fill="FFFFFF"/>
              </w:rPr>
              <w:t xml:space="preserve"> </w:t>
            </w:r>
            <w:r w:rsidRPr="00064CA8">
              <w:rPr>
                <w:rFonts w:cs="Arial"/>
                <w:color w:val="000000"/>
                <w:shd w:val="clear" w:color="auto" w:fill="FFFFFF"/>
              </w:rPr>
              <w:t>al.,</w:t>
            </w:r>
            <w:r>
              <w:rPr>
                <w:rFonts w:cs="Arial"/>
                <w:color w:val="000000"/>
                <w:shd w:val="clear" w:color="auto" w:fill="FFFFFF"/>
              </w:rPr>
              <w:t xml:space="preserve"> </w:t>
            </w:r>
            <w:r w:rsidRPr="00064CA8">
              <w:rPr>
                <w:rFonts w:cs="Arial"/>
                <w:color w:val="000000"/>
                <w:shd w:val="clear" w:color="auto" w:fill="FFFFFF"/>
              </w:rPr>
              <w:t>2006).</w:t>
            </w:r>
          </w:p>
        </w:tc>
      </w:tr>
      <w:tr w:rsidR="000C547E" w:rsidRPr="00DF1884" w14:paraId="223F8909" w14:textId="77777777" w:rsidTr="00991EDB">
        <w:tc>
          <w:tcPr>
            <w:tcW w:w="1956" w:type="dxa"/>
            <w:tcBorders>
              <w:top w:val="nil"/>
              <w:left w:val="nil"/>
              <w:bottom w:val="nil"/>
              <w:right w:val="nil"/>
            </w:tcBorders>
            <w:tcMar>
              <w:left w:w="115" w:type="dxa"/>
              <w:right w:w="115" w:type="dxa"/>
            </w:tcMar>
          </w:tcPr>
          <w:p w14:paraId="2BEAA6E9" w14:textId="77777777" w:rsidR="000C547E" w:rsidRPr="00DF1884" w:rsidRDefault="000C547E" w:rsidP="00991EDB">
            <w:pPr>
              <w:pStyle w:val="MarginSubhead"/>
            </w:pPr>
            <w:r w:rsidRPr="00DF1884">
              <w:lastRenderedPageBreak/>
              <w:t>Validity</w:t>
            </w:r>
          </w:p>
        </w:tc>
        <w:tc>
          <w:tcPr>
            <w:tcW w:w="7985" w:type="dxa"/>
            <w:tcBorders>
              <w:top w:val="nil"/>
              <w:left w:val="nil"/>
              <w:bottom w:val="nil"/>
              <w:right w:val="nil"/>
            </w:tcBorders>
            <w:tcMar>
              <w:left w:w="115" w:type="dxa"/>
              <w:right w:w="115" w:type="dxa"/>
            </w:tcMar>
          </w:tcPr>
          <w:p w14:paraId="64120465" w14:textId="77777777" w:rsidR="000C547E" w:rsidRPr="00DF1884" w:rsidRDefault="000C547E" w:rsidP="00991EDB">
            <w:pPr>
              <w:pStyle w:val="Body"/>
            </w:pPr>
            <w:r w:rsidRPr="00DF1884">
              <w:t>This measure has detailed, precise specifications that clearly define the numerator, denominator, data sources, allowable values, methods of measurement and method of reporting.</w:t>
            </w:r>
          </w:p>
        </w:tc>
      </w:tr>
    </w:tbl>
    <w:p w14:paraId="7A78D8C9" w14:textId="77777777" w:rsidR="000C547E" w:rsidRPr="00DF1884" w:rsidRDefault="000C547E" w:rsidP="000C547E">
      <w:pPr>
        <w:pStyle w:val="StdHead"/>
      </w:pPr>
      <w:r w:rsidRPr="00DF1884">
        <w:t>Feasibility</w:t>
      </w:r>
    </w:p>
    <w:tbl>
      <w:tblPr>
        <w:tblW w:w="0" w:type="auto"/>
        <w:tblInd w:w="-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1956"/>
        <w:gridCol w:w="7985"/>
      </w:tblGrid>
      <w:tr w:rsidR="000C547E" w:rsidRPr="00DF1884" w14:paraId="28D8FF64" w14:textId="77777777" w:rsidTr="00991EDB">
        <w:tc>
          <w:tcPr>
            <w:tcW w:w="1956" w:type="dxa"/>
            <w:tcBorders>
              <w:top w:val="nil"/>
              <w:left w:val="nil"/>
              <w:bottom w:val="nil"/>
              <w:right w:val="nil"/>
            </w:tcBorders>
            <w:tcMar>
              <w:left w:w="115" w:type="dxa"/>
              <w:right w:w="115" w:type="dxa"/>
            </w:tcMar>
          </w:tcPr>
          <w:p w14:paraId="092191E8" w14:textId="77777777" w:rsidR="000C547E" w:rsidRPr="00DF1884" w:rsidRDefault="000C547E" w:rsidP="00991EDB">
            <w:pPr>
              <w:pStyle w:val="MarginSubhead"/>
            </w:pPr>
            <w:r w:rsidRPr="00DF1884">
              <w:t>Logistically feasible</w:t>
            </w:r>
          </w:p>
        </w:tc>
        <w:tc>
          <w:tcPr>
            <w:tcW w:w="7985" w:type="dxa"/>
            <w:tcBorders>
              <w:top w:val="nil"/>
              <w:left w:val="nil"/>
              <w:bottom w:val="nil"/>
              <w:right w:val="nil"/>
            </w:tcBorders>
            <w:tcMar>
              <w:left w:w="115" w:type="dxa"/>
              <w:right w:w="115" w:type="dxa"/>
            </w:tcMar>
          </w:tcPr>
          <w:p w14:paraId="67E7208F" w14:textId="77777777" w:rsidR="000C547E" w:rsidRPr="00DF1884" w:rsidRDefault="000C547E" w:rsidP="00991EDB">
            <w:pPr>
              <w:pStyle w:val="Body"/>
            </w:pPr>
            <w:r w:rsidRPr="00DF1884">
              <w:t>Feedback from plans and NCQA panels support the logistic feasibility of this measure</w:t>
            </w:r>
            <w:r>
              <w:t xml:space="preserve"> for some health plans</w:t>
            </w:r>
            <w:r w:rsidRPr="00DF1884">
              <w:t xml:space="preserve">. In general, claims and encounter data required for this measure </w:t>
            </w:r>
            <w:r w:rsidRPr="00DF1884">
              <w:lastRenderedPageBreak/>
              <w:t>should be available to health plans.</w:t>
            </w:r>
            <w:r>
              <w:t xml:space="preserve"> Clinical data required for this measure will be available to some plans who have systems in place to receive or generate electronic clinical data for their members.</w:t>
            </w:r>
          </w:p>
        </w:tc>
      </w:tr>
      <w:tr w:rsidR="000C547E" w:rsidRPr="00DF1884" w14:paraId="29E4426B" w14:textId="77777777" w:rsidTr="00991EDB">
        <w:tc>
          <w:tcPr>
            <w:tcW w:w="1956" w:type="dxa"/>
            <w:tcBorders>
              <w:top w:val="nil"/>
              <w:left w:val="nil"/>
              <w:bottom w:val="nil"/>
              <w:right w:val="nil"/>
            </w:tcBorders>
            <w:tcMar>
              <w:left w:w="115" w:type="dxa"/>
              <w:right w:w="115" w:type="dxa"/>
            </w:tcMar>
          </w:tcPr>
          <w:p w14:paraId="27CA7952" w14:textId="77777777" w:rsidR="000C547E" w:rsidRPr="00DF1884" w:rsidRDefault="000C547E" w:rsidP="00991EDB">
            <w:pPr>
              <w:pStyle w:val="MarginSubhead"/>
            </w:pPr>
            <w:r w:rsidRPr="00DF1884">
              <w:lastRenderedPageBreak/>
              <w:t>Auditable</w:t>
            </w:r>
          </w:p>
        </w:tc>
        <w:tc>
          <w:tcPr>
            <w:tcW w:w="7985" w:type="dxa"/>
            <w:tcBorders>
              <w:top w:val="nil"/>
              <w:left w:val="nil"/>
              <w:bottom w:val="nil"/>
              <w:right w:val="nil"/>
            </w:tcBorders>
            <w:tcMar>
              <w:left w:w="115" w:type="dxa"/>
              <w:right w:w="115" w:type="dxa"/>
            </w:tcMar>
          </w:tcPr>
          <w:p w14:paraId="1D9CF809" w14:textId="187B8E80" w:rsidR="000C547E" w:rsidRPr="00DF1884" w:rsidRDefault="00161803" w:rsidP="00161803">
            <w:pPr>
              <w:pStyle w:val="Body"/>
            </w:pPr>
            <w:r>
              <w:t>This measure</w:t>
            </w:r>
            <w:r w:rsidRPr="00DF1884">
              <w:t xml:space="preserve"> is not part of NCQA’s Measure Certification or Audit programs for HEDIS 2016. </w:t>
            </w:r>
          </w:p>
        </w:tc>
      </w:tr>
    </w:tbl>
    <w:p w14:paraId="34D4D1D9" w14:textId="77777777" w:rsidR="000C547E" w:rsidRPr="00DF1884" w:rsidRDefault="000C547E" w:rsidP="000C547E">
      <w:pPr>
        <w:sectPr w:rsidR="000C547E" w:rsidRPr="00DF1884" w:rsidSect="0039781B">
          <w:endnotePr>
            <w:numFmt w:val="decimal"/>
          </w:endnotePr>
          <w:pgSz w:w="12240" w:h="15840" w:code="1"/>
          <w:pgMar w:top="1080" w:right="1080" w:bottom="1080" w:left="1440" w:header="720" w:footer="720" w:gutter="0"/>
          <w:cols w:space="720"/>
          <w:docGrid w:linePitch="360"/>
        </w:sectPr>
      </w:pPr>
    </w:p>
    <w:p w14:paraId="6383368A" w14:textId="77777777" w:rsidR="000C547E" w:rsidRPr="00DF1884" w:rsidRDefault="000C547E" w:rsidP="000C547E">
      <w:pPr>
        <w:pStyle w:val="StdHead"/>
        <w:spacing w:before="0"/>
      </w:pPr>
      <w:r w:rsidRPr="00DF1884">
        <w:lastRenderedPageBreak/>
        <w:t>References</w:t>
      </w:r>
    </w:p>
    <w:p w14:paraId="3BD03BA0" w14:textId="77777777" w:rsidR="000C547E" w:rsidRPr="005654C3" w:rsidRDefault="000C547E" w:rsidP="000C547E">
      <w:pPr>
        <w:pStyle w:val="Body"/>
        <w:spacing w:before="0"/>
        <w:ind w:left="216" w:hanging="216"/>
      </w:pPr>
      <w:r w:rsidRPr="005654C3">
        <w:t>APA. 2010. “Practice Guideline for the Treatment for Patients with Major Depressive Disorder, 3rd Ed. Arlington, VA: Workgroup on Major Depressive Disorder, American Psychiatric Association.”</w:t>
      </w:r>
    </w:p>
    <w:p w14:paraId="3E8C4DC1" w14:textId="77777777" w:rsidR="000C547E" w:rsidRPr="005654C3" w:rsidRDefault="000C547E" w:rsidP="000C547E">
      <w:pPr>
        <w:pStyle w:val="Body"/>
        <w:spacing w:before="0"/>
        <w:ind w:left="216" w:hanging="216"/>
      </w:pPr>
      <w:r w:rsidRPr="005654C3">
        <w:t>Beck, A., A.L Crain, L.I. Solberg, et al. 2011. “Severity of Depression and Magnitude of Productivity Loss.”</w:t>
      </w:r>
      <w:r w:rsidRPr="005654C3">
        <w:rPr>
          <w:i/>
        </w:rPr>
        <w:t xml:space="preserve"> </w:t>
      </w:r>
      <w:r w:rsidRPr="005654C3">
        <w:t>Annals of Family Medicine</w:t>
      </w:r>
      <w:r w:rsidRPr="005654C3">
        <w:rPr>
          <w:i/>
        </w:rPr>
        <w:t xml:space="preserve"> </w:t>
      </w:r>
      <w:r w:rsidRPr="005654C3">
        <w:t>9: 305-11.</w:t>
      </w:r>
    </w:p>
    <w:p w14:paraId="278FBCC8" w14:textId="77777777" w:rsidR="000C547E" w:rsidRPr="005654C3" w:rsidRDefault="000C547E" w:rsidP="000C547E">
      <w:pPr>
        <w:pStyle w:val="Body"/>
        <w:spacing w:before="0"/>
        <w:ind w:left="216" w:hanging="216"/>
      </w:pPr>
      <w:r w:rsidRPr="005654C3">
        <w:t>Bickman, L., S.D. Kelley, C. Breda, A.R. de Andrade, M. Riemer. 2011. “Effects of Routine Feedback to Clinicians on Mental Health Outcomes of Youths: Results of a Randomized Trial.” Psychiatric Services</w:t>
      </w:r>
      <w:r w:rsidRPr="005654C3">
        <w:rPr>
          <w:i/>
        </w:rPr>
        <w:t xml:space="preserve"> </w:t>
      </w:r>
      <w:r w:rsidRPr="005654C3">
        <w:t>62(12):1423–1429.</w:t>
      </w:r>
    </w:p>
    <w:p w14:paraId="504A0C10" w14:textId="77777777" w:rsidR="000C547E" w:rsidRPr="005654C3" w:rsidRDefault="000C547E" w:rsidP="000C547E">
      <w:pPr>
        <w:pStyle w:val="Body"/>
        <w:spacing w:before="0"/>
        <w:ind w:left="216" w:hanging="216"/>
      </w:pPr>
      <w:r w:rsidRPr="005654C3">
        <w:t>Birnbaum, H. G., R.C. Kessler, D. Kelley, R. Ben</w:t>
      </w:r>
      <w:r w:rsidRPr="005654C3">
        <w:rPr>
          <w:rFonts w:ascii="Cambria Math" w:hAnsi="Cambria Math" w:cs="Cambria Math"/>
        </w:rPr>
        <w:t>‐</w:t>
      </w:r>
      <w:r w:rsidRPr="005654C3">
        <w:t>Hamadi, V.N. Joish, P.E. Greenberg. 2010. “Employer Burden of Mild, Moderate, and Severe Major Depressive Disorder: Mental Health Services Utilization and Costs, and Work Performance.” Depression and Anxiety 27(1):78-89.</w:t>
      </w:r>
    </w:p>
    <w:p w14:paraId="43BD9F9F" w14:textId="77777777" w:rsidR="000C547E" w:rsidRPr="005654C3" w:rsidRDefault="000C547E" w:rsidP="000C547E">
      <w:pPr>
        <w:pStyle w:val="Body"/>
        <w:spacing w:before="0"/>
        <w:ind w:left="216" w:hanging="216"/>
      </w:pPr>
      <w:r w:rsidRPr="005654C3">
        <w:t>Bostwick, J.M., V.S. Pankratz. 2000. “Affective Disorders and Suicide Risk: a Reexamination.” American Journal of Psychiatry 157:1925–1932.</w:t>
      </w:r>
    </w:p>
    <w:p w14:paraId="5CA1807C" w14:textId="77777777" w:rsidR="000C547E" w:rsidRPr="005654C3" w:rsidRDefault="000C547E" w:rsidP="000C547E">
      <w:pPr>
        <w:pStyle w:val="Body"/>
        <w:spacing w:before="0"/>
        <w:ind w:left="216" w:hanging="216"/>
      </w:pPr>
      <w:r w:rsidRPr="005654C3">
        <w:t xml:space="preserve">Centers for Disease Control and Prevention. 2009. “Anxiety and Depression Effective Treatments Exist: People with Depression and Anxiety Should Seek Help as Early as Possible to Reduce Health Effects and Improve Quality of Life. Based on 2006 Behavior Risk Factor Surveillance System.” www.cdc.gov/Features/dsBRFSSDepressionAnxiety </w:t>
      </w:r>
    </w:p>
    <w:p w14:paraId="3ACAFA33" w14:textId="77777777" w:rsidR="000C547E" w:rsidRPr="005654C3" w:rsidRDefault="000C547E" w:rsidP="000C547E">
      <w:pPr>
        <w:pStyle w:val="Body"/>
        <w:spacing w:before="0"/>
        <w:ind w:left="216" w:hanging="216"/>
      </w:pPr>
      <w:r w:rsidRPr="005654C3">
        <w:t>Cheung, A.H., R.A. Zuckerbrot, P.S. Jensen, K. Ghalib, D. Laraque, R.E.K. Stein. 2007. GLAD-PC Steering Group. “Guidelines for Adolescent Depression in Primary Care (GLAD-PC): II. Treatment and Ongoing management.” Pediatrics 120(5):e1313-26.</w:t>
      </w:r>
    </w:p>
    <w:p w14:paraId="17ED589C" w14:textId="77777777" w:rsidR="000C547E" w:rsidRPr="005654C3" w:rsidRDefault="000C547E" w:rsidP="000C547E">
      <w:pPr>
        <w:pStyle w:val="Body"/>
        <w:spacing w:before="0"/>
        <w:ind w:left="216" w:hanging="216"/>
      </w:pPr>
      <w:r w:rsidRPr="005654C3">
        <w:t>Ferrari, A. J., F.C. Charlson, R.E. Norman, S.B. Patten, G. Freedman, C.J.L. Murray, T. Vos, H.A. Whiteford. 2013. “Burden of Depressive Disorders by Country, Sex, Age, and Year: Findings from the Global Burden of Disease Study 2010.” PLoS Medicine 10(11):e1001547.</w:t>
      </w:r>
    </w:p>
    <w:p w14:paraId="076D2999" w14:textId="77777777" w:rsidR="000C547E" w:rsidRPr="005654C3" w:rsidRDefault="000C547E" w:rsidP="000C547E">
      <w:pPr>
        <w:pStyle w:val="Body"/>
        <w:spacing w:before="0"/>
        <w:ind w:left="216" w:hanging="216"/>
      </w:pPr>
      <w:r w:rsidRPr="005654C3">
        <w:t>Foley, H.A., C.O. Carlton, R.J Howell. 1996. “The Relationship of Attention Deficit Hyperactivity Disorder and Conduct Disorders to Juvenile Delinquency: Legal Implications.” Bulletin of the American Academy of Psychiatry Law 24:333</w:t>
      </w:r>
      <w:r w:rsidRPr="005654C3">
        <w:noBreakHyphen/>
        <w:t>45.</w:t>
      </w:r>
    </w:p>
    <w:p w14:paraId="01E18CA8" w14:textId="77777777" w:rsidR="000C547E" w:rsidRPr="005654C3" w:rsidRDefault="000C547E" w:rsidP="000C547E">
      <w:pPr>
        <w:pStyle w:val="Body"/>
        <w:spacing w:before="0"/>
        <w:ind w:left="216" w:hanging="216"/>
      </w:pPr>
      <w:r w:rsidRPr="005654C3">
        <w:t>Friedman, R.M., J.W. Katz-Levey, R.W Manderschied, D.L. Sondheimer. 1996. “Prevalence of Serious Emotional Disturbance in Children and Adolescents. In: Manderscheid, R.W., and M.A. Sonnenschein (eds.).” Mental Health, United States.Rockville, MD: Center for Mental Health Services, 71-8.</w:t>
      </w:r>
    </w:p>
    <w:p w14:paraId="44DDB3BE" w14:textId="77777777" w:rsidR="000C547E" w:rsidRPr="005654C3" w:rsidRDefault="000C547E" w:rsidP="000C547E">
      <w:pPr>
        <w:pStyle w:val="Body"/>
        <w:spacing w:before="0"/>
        <w:ind w:left="216" w:hanging="216"/>
      </w:pPr>
      <w:r w:rsidRPr="005654C3">
        <w:t>Garber, J. et al. 2009. “Prevention of Depression in At-Risk Adolescents: A Randomized Controlled Trial.” Journal of the American Medical Association 301(21):2215-24.</w:t>
      </w:r>
    </w:p>
    <w:p w14:paraId="08454809" w14:textId="77777777" w:rsidR="000C547E" w:rsidRPr="005654C3" w:rsidRDefault="000C547E" w:rsidP="000C547E">
      <w:pPr>
        <w:pStyle w:val="Body"/>
        <w:spacing w:before="0"/>
        <w:ind w:left="216" w:hanging="216"/>
      </w:pPr>
      <w:r w:rsidRPr="005654C3">
        <w:t>Gilbody, S., D. Richards, S. Brealey, C. Hewitt. 2007. “Screening for Depression in Medical Settings with the Patient Health Questionnaire (PHQ): A Diagnostic Meta-Analysis.” Journal of General Internal Medicine 22(11):1596-1602.</w:t>
      </w:r>
    </w:p>
    <w:p w14:paraId="64E93ABD" w14:textId="77777777" w:rsidR="000C547E" w:rsidRPr="005654C3" w:rsidRDefault="000C547E" w:rsidP="000C547E">
      <w:pPr>
        <w:pStyle w:val="Body"/>
        <w:spacing w:before="0"/>
        <w:ind w:left="216" w:hanging="216"/>
      </w:pPr>
      <w:r w:rsidRPr="005654C3">
        <w:t>Gilbody, S., P. Bower, J. Fletcher, D. Richards, A.J. Sutton. 2006. “Collaborative Care for Depression: A Cumulative Meta-Analysis and Review of Longer-Term Outcomes.” Archives of Internal Medicine 166(21):2314-2321.</w:t>
      </w:r>
    </w:p>
    <w:p w14:paraId="627F4AB6" w14:textId="77777777" w:rsidR="000C547E" w:rsidRPr="005654C3" w:rsidRDefault="000C547E" w:rsidP="000C547E">
      <w:pPr>
        <w:pStyle w:val="Body"/>
        <w:spacing w:before="0"/>
        <w:ind w:left="216" w:hanging="216"/>
      </w:pPr>
      <w:r w:rsidRPr="005654C3">
        <w:t>Gjerdingen, D., W. Katon, D.E. Rich. 2008. “Stepped Care Treatment of Postpartum Depression: A Primary Care-Based Management Model.” Women's Health 18(1):44-52.</w:t>
      </w:r>
    </w:p>
    <w:p w14:paraId="48621117" w14:textId="77777777" w:rsidR="000C547E" w:rsidRPr="005654C3" w:rsidRDefault="000C547E" w:rsidP="000C547E">
      <w:pPr>
        <w:pStyle w:val="Body"/>
        <w:spacing w:before="0"/>
        <w:ind w:left="216" w:hanging="216"/>
      </w:pPr>
      <w:r w:rsidRPr="005654C3">
        <w:t>González, H.M., W.A. Vega, D.R. Williams, W. Tarraf, B.T. West, H.W. Neighbors. 2010. “Depression Care in the United States: Too Little For Too Few.” Archives of General Psychiatry 67(1):37.</w:t>
      </w:r>
    </w:p>
    <w:p w14:paraId="75368B8D" w14:textId="77777777" w:rsidR="000C547E" w:rsidRPr="005654C3" w:rsidRDefault="000C547E" w:rsidP="000C547E">
      <w:pPr>
        <w:pStyle w:val="Body"/>
        <w:spacing w:before="0"/>
        <w:ind w:left="216" w:hanging="216"/>
      </w:pPr>
      <w:r w:rsidRPr="005654C3">
        <w:t>Hunkeler, E.M., W. Katon, L. Tang, J.W. Williams, K. Kroenke, E.B. Lin, L.H. Harpole et al. 2006. “Long Term Outcomes from the IMPACT Randomized trial for Depressed Elderly Patients in Primary Care.” British</w:t>
      </w:r>
      <w:r w:rsidRPr="005654C3">
        <w:rPr>
          <w:i/>
        </w:rPr>
        <w:t xml:space="preserve"> Medical Journal</w:t>
      </w:r>
      <w:r w:rsidRPr="005654C3">
        <w:t xml:space="preserve"> 332(7536):259-263.</w:t>
      </w:r>
    </w:p>
    <w:p w14:paraId="48948527" w14:textId="77777777" w:rsidR="000C547E" w:rsidRPr="005654C3" w:rsidRDefault="000C547E" w:rsidP="000C547E">
      <w:pPr>
        <w:pStyle w:val="Body"/>
        <w:spacing w:before="0"/>
        <w:ind w:left="216" w:hanging="216"/>
      </w:pPr>
      <w:r w:rsidRPr="005654C3">
        <w:t>Kataoka, S.H., L. Zhang, K.B. Wells. 2002. “Unmet Need for Mental Health Care Among US Children: Variation by Ethnicity and Insurance Status.” American Journal of Psychiatry 159(9):1548-1555.</w:t>
      </w:r>
    </w:p>
    <w:p w14:paraId="04C4F66C" w14:textId="77777777" w:rsidR="000C547E" w:rsidRPr="005654C3" w:rsidRDefault="000C547E" w:rsidP="000C547E">
      <w:pPr>
        <w:pStyle w:val="Body"/>
        <w:spacing w:before="0"/>
        <w:ind w:left="216" w:hanging="216"/>
      </w:pPr>
      <w:r w:rsidRPr="005654C3">
        <w:t>Katon, W.J. 2011. “Epidemiology and Treatment of Depression in Patients with Chronic Medical Illness.” Dialogues in Clinical Neuroscience 13(1):7.</w:t>
      </w:r>
    </w:p>
    <w:p w14:paraId="132E4B21" w14:textId="77777777" w:rsidR="000C547E" w:rsidRPr="005654C3" w:rsidRDefault="000C547E" w:rsidP="000C547E">
      <w:pPr>
        <w:pStyle w:val="Body"/>
        <w:spacing w:before="0"/>
        <w:ind w:left="216" w:hanging="216"/>
      </w:pPr>
      <w:r w:rsidRPr="005654C3">
        <w:t>Katon, W., and C.J. Guico-Pabia. 2011. “Improving Quality of Depression Care Using Organized Systems of Care: A Review of the Literature.” The Primary Care Companion to CNS Disorders, 13(1).</w:t>
      </w:r>
    </w:p>
    <w:p w14:paraId="7204E5CF" w14:textId="77777777" w:rsidR="000C547E" w:rsidRPr="005654C3" w:rsidRDefault="000C547E" w:rsidP="000C547E">
      <w:pPr>
        <w:pStyle w:val="Body"/>
        <w:spacing w:before="0"/>
        <w:ind w:left="216" w:hanging="216"/>
      </w:pPr>
      <w:r w:rsidRPr="005654C3">
        <w:t xml:space="preserve">Katon W.J., G. Simon, J. Russo, et al. 2004. “Quality of Depression Care in a Population-Based Sample of Patients with Diabetes and Major Depression.” Medical Care, 42(12):1222–1229. </w:t>
      </w:r>
    </w:p>
    <w:p w14:paraId="40F13893" w14:textId="77777777" w:rsidR="000C547E" w:rsidRPr="005654C3" w:rsidRDefault="000C547E" w:rsidP="000C547E">
      <w:pPr>
        <w:pStyle w:val="Body"/>
        <w:spacing w:before="0"/>
        <w:ind w:left="216" w:hanging="216"/>
      </w:pPr>
      <w:r w:rsidRPr="005654C3">
        <w:t>Katon W.J., L.E Russo, J. Unutzer. 2003. “Increased Medical Costs of a Population-Based Sample of Depressed Elderly Patients.” Archives of General Psychiatry 60:897-903.</w:t>
      </w:r>
    </w:p>
    <w:p w14:paraId="01143B58" w14:textId="77777777" w:rsidR="000C547E" w:rsidRPr="005654C3" w:rsidRDefault="000C547E" w:rsidP="000C547E">
      <w:pPr>
        <w:pStyle w:val="Body"/>
        <w:spacing w:before="0"/>
        <w:ind w:left="216" w:hanging="216"/>
      </w:pPr>
      <w:r w:rsidRPr="005654C3">
        <w:lastRenderedPageBreak/>
        <w:t>Katon, W.J., and M. Seelig. 2008. “Population-Based Care of Depression: Team Care Approaches to Improving Outcomes.” Journal of Occupational and Environmental Medicine 50(4):459-467.</w:t>
      </w:r>
    </w:p>
    <w:p w14:paraId="00354D94" w14:textId="77777777" w:rsidR="000C547E" w:rsidRPr="005654C3" w:rsidRDefault="000C547E" w:rsidP="000C547E">
      <w:pPr>
        <w:pStyle w:val="Body"/>
        <w:spacing w:before="0"/>
        <w:ind w:left="216" w:hanging="216"/>
      </w:pPr>
      <w:r w:rsidRPr="005654C3">
        <w:t>Kessler, R.C., P. Berglund, O. Demler, et al. 2003. “The Epidemiology of Major Depressive Disorder: Results from the National Comorbidity Survey Replication (NCS-R).” Journal of the American Medical Association 289(23):3095-3105.</w:t>
      </w:r>
    </w:p>
    <w:p w14:paraId="17EDD97F" w14:textId="77777777" w:rsidR="000C547E" w:rsidRPr="005654C3" w:rsidRDefault="000C547E" w:rsidP="000C547E">
      <w:pPr>
        <w:pStyle w:val="Body"/>
        <w:spacing w:before="0"/>
        <w:ind w:left="216" w:hanging="216"/>
      </w:pPr>
      <w:r w:rsidRPr="005654C3">
        <w:t>Knaup C., M. Koesters, D. Schoefer, T. Becker, B. Puschner. 2009. “Effect of Feedback of Treatment Outcome in Specialist Mental Healthcare: Meta-Analysis.” British Journal of Psychiatry 195(1):15–22.</w:t>
      </w:r>
    </w:p>
    <w:p w14:paraId="1ABD9AFE" w14:textId="77777777" w:rsidR="000C547E" w:rsidRPr="005654C3" w:rsidRDefault="000C547E" w:rsidP="000C547E">
      <w:pPr>
        <w:pStyle w:val="Body"/>
        <w:spacing w:before="0"/>
        <w:ind w:left="216" w:hanging="216"/>
      </w:pPr>
      <w:r w:rsidRPr="005654C3">
        <w:t>Kroenke, K., R.L. Spitzer, J.B.W. Williams. 2001. “The PHQ</w:t>
      </w:r>
      <w:r w:rsidRPr="005654C3">
        <w:rPr>
          <w:rFonts w:ascii="Cambria Math" w:hAnsi="Cambria Math" w:cs="Cambria Math"/>
        </w:rPr>
        <w:t>‐</w:t>
      </w:r>
      <w:r w:rsidRPr="005654C3">
        <w:t xml:space="preserve">9.” Journal of General Internal Medicine 16(9):606-613. </w:t>
      </w:r>
    </w:p>
    <w:p w14:paraId="76EFB2AD" w14:textId="77777777" w:rsidR="000C547E" w:rsidRPr="005654C3" w:rsidRDefault="000C547E" w:rsidP="000C547E">
      <w:pPr>
        <w:pStyle w:val="Body"/>
        <w:spacing w:before="0"/>
        <w:ind w:left="216" w:hanging="216"/>
      </w:pPr>
      <w:r w:rsidRPr="005654C3">
        <w:t>Lambert, M.J., J.L. Whipple, E.J. Hawkins, D.A. Vermeersch, S.L. Nielsen, D.W. Smart. 2003. “Is It Time for Clinicians to Routinely Track Patient Outcome? A Meta-Analysis.” Clinical Psychology: Science and Practice. 10(3):288–301.</w:t>
      </w:r>
    </w:p>
    <w:p w14:paraId="64A67DB9" w14:textId="77777777" w:rsidR="000C547E" w:rsidRPr="005654C3" w:rsidRDefault="000C547E" w:rsidP="000C547E">
      <w:pPr>
        <w:pStyle w:val="Body"/>
        <w:spacing w:before="0"/>
        <w:ind w:left="216" w:hanging="216"/>
      </w:pPr>
      <w:r w:rsidRPr="005654C3">
        <w:t>Lépine, J.P., M. Briley. 2011. “The Increasing Burden of Depression.” Neuropsychiatric Disease and Treatment. 7(suppl 1):3-7.</w:t>
      </w:r>
    </w:p>
    <w:p w14:paraId="62320B2E" w14:textId="77777777" w:rsidR="000C547E" w:rsidRPr="005654C3" w:rsidRDefault="000C547E" w:rsidP="000C547E">
      <w:pPr>
        <w:pStyle w:val="Body"/>
        <w:spacing w:before="0"/>
        <w:ind w:left="216" w:hanging="216"/>
      </w:pPr>
      <w:r w:rsidRPr="005654C3">
        <w:t>Löwe, B., K. Kroenke, W. Herzog, K. Gräfe. 2004. “Measuring Depression Outcome with a Brief Self-Report Instrument: Sensitivity to Change of the Patient Health Questionnaire (PHQ-9).” Journal of Affective Disorders 81(1):61-66.</w:t>
      </w:r>
    </w:p>
    <w:p w14:paraId="34E3CFE9" w14:textId="77777777" w:rsidR="000C547E" w:rsidRPr="005654C3" w:rsidRDefault="000C547E" w:rsidP="000C547E">
      <w:pPr>
        <w:pStyle w:val="Body"/>
        <w:spacing w:before="0"/>
        <w:ind w:left="216" w:hanging="216"/>
      </w:pPr>
      <w:r w:rsidRPr="005654C3">
        <w:t>Martin, A., W. Rief, A. Klaiberg, E. Braehler. 2006. “Validity of the Brief Patient Health Questionnaire Mood Scale (PHQ-9) in the General Population.” General Hospital Psychiatry 28(1):71-77.</w:t>
      </w:r>
    </w:p>
    <w:p w14:paraId="22ABDC36" w14:textId="77777777" w:rsidR="000C547E" w:rsidRPr="005654C3" w:rsidRDefault="000C547E" w:rsidP="000C547E">
      <w:pPr>
        <w:pStyle w:val="Body"/>
        <w:spacing w:before="0"/>
        <w:ind w:left="216" w:hanging="216"/>
      </w:pPr>
      <w:r w:rsidRPr="005654C3">
        <w:t>Merikangas, K.R., J.P. He, M. Burstein, et al. 2010. “Lifetime Prevalence of Mental Disorders in U.S. Adolescents: Results from the National Comorbidity Survey Replication— Adolescent Supplement (NCS-A).” Journal of the American Academy of Child and Adolescent Psychiatry</w:t>
      </w:r>
      <w:r w:rsidRPr="005654C3">
        <w:rPr>
          <w:i/>
        </w:rPr>
        <w:t xml:space="preserve"> </w:t>
      </w:r>
      <w:r w:rsidRPr="005654C3">
        <w:t>49(10):980–989.</w:t>
      </w:r>
    </w:p>
    <w:p w14:paraId="362BD0CB" w14:textId="77777777" w:rsidR="000C547E" w:rsidRPr="005654C3" w:rsidRDefault="000C547E" w:rsidP="000C547E">
      <w:pPr>
        <w:pStyle w:val="Body"/>
        <w:spacing w:before="0"/>
        <w:ind w:left="216" w:hanging="216"/>
      </w:pPr>
      <w:r w:rsidRPr="005654C3">
        <w:t>Mezuk, B., W.W. Eaton, S. Albrecht, S.H. Golden. 2008. “Depression and Type 2 Diabetes Over the Lifespan: A Meta-Analysis.” Diabetes Care 31:2383–2390.</w:t>
      </w:r>
    </w:p>
    <w:p w14:paraId="49F5D908" w14:textId="77777777" w:rsidR="000C547E" w:rsidRPr="005654C3" w:rsidRDefault="000C547E" w:rsidP="000C547E">
      <w:pPr>
        <w:pStyle w:val="Body"/>
        <w:spacing w:before="0"/>
        <w:ind w:left="216" w:hanging="216"/>
      </w:pPr>
      <w:r w:rsidRPr="005654C3">
        <w:t>Mitchell, J., M. Trangle, B. Degnan, T. Gabert, B. Haight, D. Kessler, N. Mack, E. Mallen, H. Novak, D. Rossmiller, L. Setterlund, K. Somers, N. Valentino, S. Vincent. 2013. “Institute for Clinical Systems Improvement.” Adult Depression in Primary Care. Updated September 2013.</w:t>
      </w:r>
    </w:p>
    <w:p w14:paraId="7793E736" w14:textId="77777777" w:rsidR="000C547E" w:rsidRPr="005654C3" w:rsidRDefault="000C547E" w:rsidP="000C547E">
      <w:pPr>
        <w:pStyle w:val="Body"/>
        <w:spacing w:before="0"/>
        <w:ind w:left="216" w:hanging="216"/>
      </w:pPr>
      <w:r w:rsidRPr="005654C3">
        <w:t>Mojtabai, R. 2013. “Clinician-Identified Depression in Community Settings: Concordance with Structured-Interview Diagnoses.” Psychotherapy and Psychosomatics, 82(3):161-169.</w:t>
      </w:r>
    </w:p>
    <w:p w14:paraId="001A049F" w14:textId="77777777" w:rsidR="000C547E" w:rsidRPr="005654C3" w:rsidRDefault="000C547E" w:rsidP="000C547E">
      <w:pPr>
        <w:pStyle w:val="Body"/>
        <w:spacing w:before="0"/>
        <w:ind w:left="216" w:hanging="216"/>
      </w:pPr>
      <w:r w:rsidRPr="005654C3">
        <w:t>Mojtabai, R., M. Olfson. 2011. “Proportion of Antidepressants Prescribed Without a Psychiatric Diagnosis is Growing.” Health Affairs 30(8):1434-1442.</w:t>
      </w:r>
    </w:p>
    <w:p w14:paraId="013000F0" w14:textId="77777777" w:rsidR="000C547E" w:rsidRPr="005654C3" w:rsidRDefault="000C547E" w:rsidP="000C547E">
      <w:pPr>
        <w:pStyle w:val="Body"/>
        <w:spacing w:before="0"/>
        <w:ind w:left="216" w:hanging="216"/>
      </w:pPr>
      <w:r w:rsidRPr="005654C3">
        <w:t>Murray, C.J.L, and A.D. Lopez. 1997. “Global Mortality, Disability, and the Contribution of Risk Factors: Global Burden of Disease Study.” The Lancet 349(9063):1436-1442.</w:t>
      </w:r>
    </w:p>
    <w:p w14:paraId="29A09B02" w14:textId="77777777" w:rsidR="000C547E" w:rsidRPr="005654C3" w:rsidRDefault="000C547E" w:rsidP="000C547E">
      <w:pPr>
        <w:pStyle w:val="Body"/>
        <w:spacing w:before="0"/>
        <w:ind w:left="216" w:hanging="216"/>
      </w:pPr>
      <w:r w:rsidRPr="005654C3">
        <w:t>Murray, C.J.L., T. Vos, R. Lozano, M. Naghavi, A.D. Flaxman, C. Michaud, M. Ezzati, et al. 2013. “Disability-Adjusted Life Years (DALYs) for 291 Diseases and Injuries in 21 regions, 1990–2010: a Systematic Analysis for the Global Burden of Disease Study 2010.” The Lancet 380(9859):2197-2223.</w:t>
      </w:r>
    </w:p>
    <w:p w14:paraId="116756D6" w14:textId="77777777" w:rsidR="000C547E" w:rsidRPr="005654C3" w:rsidRDefault="000C547E" w:rsidP="000C547E">
      <w:pPr>
        <w:pStyle w:val="Body"/>
        <w:spacing w:before="0"/>
        <w:ind w:left="216" w:hanging="216"/>
      </w:pPr>
      <w:r w:rsidRPr="005654C3">
        <w:t>National Collaborating Centre for Mental Health. 2009.“ Depression: The Treatment and Management of Depression in Adults.” London (UK): National Institute for Health and Clinical Excellence (NICE); 2009 Oct. 64 p. (Clinical guideline; no. 90).</w:t>
      </w:r>
    </w:p>
    <w:p w14:paraId="447B03E4" w14:textId="77777777" w:rsidR="000C547E" w:rsidRPr="005654C3" w:rsidRDefault="000C547E" w:rsidP="000C547E">
      <w:pPr>
        <w:pStyle w:val="Body"/>
        <w:spacing w:before="0"/>
        <w:ind w:left="216" w:hanging="216"/>
      </w:pPr>
      <w:r w:rsidRPr="005654C3">
        <w:t>National Institute for Health and Clinical Excellence (NICE). 2005. “Clinical Guideline 28: Depression in Children and Young People: Identification and Management in Primary, Community, and Secondary Care.” London, UK: NHS.</w:t>
      </w:r>
    </w:p>
    <w:p w14:paraId="3E512BDA" w14:textId="77777777" w:rsidR="000C547E" w:rsidRPr="005654C3" w:rsidRDefault="000C547E" w:rsidP="000C547E">
      <w:pPr>
        <w:pStyle w:val="Body"/>
        <w:spacing w:before="0"/>
        <w:ind w:left="216" w:hanging="216"/>
      </w:pPr>
      <w:r w:rsidRPr="005654C3">
        <w:t>National Research Council and Institute of Medicine. 2009. Adolescent Health Services: Missing Opportunities. Committee on Adolescent Health Care Services and Models of Care for Treatment, Prevention, and Healthy Development, R.S. Lawrence, J. Appleton Gootman, and L.J. Sim, Editors. Board on Children, Youth, and Families. Division of Behavioral and Social Sciences and Education. Washington, DC: The National Academies Press.</w:t>
      </w:r>
    </w:p>
    <w:p w14:paraId="4B0C24DC" w14:textId="77777777" w:rsidR="000C547E" w:rsidRPr="005654C3" w:rsidRDefault="000C547E" w:rsidP="000C547E">
      <w:pPr>
        <w:pStyle w:val="Body"/>
        <w:spacing w:before="0"/>
        <w:ind w:left="216" w:hanging="216"/>
      </w:pPr>
      <w:r w:rsidRPr="005654C3">
        <w:t>Nutting, P.A., K. Rost, M. Dickinson, J.J. Werner, P. Dickinson, J.L. Smith, B. Gallovic. 2002. “Barriers to Initiating Depression Treatment in Primary Care Practice.” Journal of General Internal Medicine 17(2):103-111.</w:t>
      </w:r>
    </w:p>
    <w:p w14:paraId="2BEEDD85" w14:textId="77777777" w:rsidR="000C547E" w:rsidRPr="005654C3" w:rsidRDefault="000C547E" w:rsidP="000C547E">
      <w:pPr>
        <w:pStyle w:val="Body"/>
        <w:spacing w:before="0"/>
        <w:ind w:left="216" w:hanging="216"/>
      </w:pPr>
      <w:r w:rsidRPr="005654C3">
        <w:t>O'Connor, E.A., E.P. Whitlock, T.L. Beil, B.N. Gaynes. 2009. “Screening for Depression in Adult Patients in Primary Care Settings: A Systematic Evidence Review</w:t>
      </w:r>
      <w:r w:rsidRPr="005654C3">
        <w:rPr>
          <w:i/>
        </w:rPr>
        <w:t xml:space="preserve">.” </w:t>
      </w:r>
      <w:r w:rsidRPr="005654C3">
        <w:t>Annals of Internal Medicine 151(11):793-803.</w:t>
      </w:r>
    </w:p>
    <w:p w14:paraId="05B509BE" w14:textId="77777777" w:rsidR="000C547E" w:rsidRPr="005654C3" w:rsidRDefault="000C547E" w:rsidP="000C547E">
      <w:pPr>
        <w:pStyle w:val="Body"/>
        <w:spacing w:before="0"/>
        <w:ind w:left="216" w:hanging="216"/>
      </w:pPr>
      <w:r w:rsidRPr="005654C3">
        <w:t>Richardson, L.P., E. Ludman, E. McCauley, J. Lindenbaum, C. Larison, C. Zhou, G. Clarke, D. Brent, W. Katon. 2014. “Collaborative Care for Adolescents with Depression in Primary Care: a Randomized Clinical Trial.” Journal of the American Medical Association 312(8):809-816.</w:t>
      </w:r>
    </w:p>
    <w:p w14:paraId="0D436A03" w14:textId="77777777" w:rsidR="000C547E" w:rsidRPr="005654C3" w:rsidRDefault="000C547E" w:rsidP="000C547E">
      <w:pPr>
        <w:pStyle w:val="Body"/>
        <w:spacing w:before="0"/>
        <w:ind w:left="216" w:hanging="216"/>
      </w:pPr>
      <w:r w:rsidRPr="005654C3">
        <w:lastRenderedPageBreak/>
        <w:t>Rost, K., P. Nutting, J. Smith, J.C. Coyne, L. Cooper-Patrick, L. Rubenstein. 2000. “The Role of Competing Demands in the Treatment Provided Primary Care Patients with Major Depression.” Archives of Family Medicine 9(2):150.</w:t>
      </w:r>
    </w:p>
    <w:p w14:paraId="6E469A1A" w14:textId="77777777" w:rsidR="000C547E" w:rsidRPr="005654C3" w:rsidRDefault="000C547E" w:rsidP="000C547E">
      <w:pPr>
        <w:pStyle w:val="Body"/>
        <w:spacing w:before="0"/>
        <w:ind w:left="216" w:hanging="216"/>
      </w:pPr>
      <w:r w:rsidRPr="005654C3">
        <w:t>Shimokawa K., M.J. Lambert, D.W. Smart. 2010. “Enhancing Treatment Outcome of Patients At Risk of Treatment Failure: Meta-Analytic and Mega-Analytic Review of a Psychotherapy Quality Assurance System.” Journal of Consulting Clinical Psychology</w:t>
      </w:r>
      <w:r w:rsidRPr="005654C3">
        <w:rPr>
          <w:i/>
        </w:rPr>
        <w:t xml:space="preserve"> </w:t>
      </w:r>
      <w:r w:rsidRPr="005654C3">
        <w:t>78(3):298–311.</w:t>
      </w:r>
    </w:p>
    <w:p w14:paraId="2592CD4F" w14:textId="77777777" w:rsidR="000C547E" w:rsidRPr="005654C3" w:rsidRDefault="000C547E" w:rsidP="000C547E">
      <w:pPr>
        <w:pStyle w:val="Body"/>
        <w:spacing w:before="0"/>
        <w:ind w:left="216" w:hanging="216"/>
      </w:pPr>
      <w:r w:rsidRPr="005654C3">
        <w:t>Simon G.E. 2002. “Evidence Review: Efficacy and Effectiveness of Antidepressant Treatment in Primary Care.” General Hospital Psychiatry 24(4):213–224.</w:t>
      </w:r>
    </w:p>
    <w:p w14:paraId="0BDB1EE7" w14:textId="77777777" w:rsidR="000C547E" w:rsidRPr="005654C3" w:rsidRDefault="000C547E" w:rsidP="000C547E">
      <w:pPr>
        <w:pStyle w:val="Body"/>
        <w:spacing w:before="0"/>
        <w:ind w:left="216" w:hanging="216"/>
      </w:pPr>
      <w:r w:rsidRPr="005654C3">
        <w:t>Solberg, L.I., M.A. Trangle, A.P. Wineman. 2005. “Follow-Up and Follow-Through of Depressed Patients in Primary Care: The Critical Missing Components Of Quality Care.” The Journal of the American Board of Family Practice 18(6):520-527.</w:t>
      </w:r>
    </w:p>
    <w:p w14:paraId="703D372B" w14:textId="77777777" w:rsidR="000C547E" w:rsidRPr="005654C3" w:rsidRDefault="000C547E" w:rsidP="000C547E">
      <w:pPr>
        <w:pStyle w:val="Body"/>
        <w:spacing w:before="0"/>
        <w:ind w:left="216" w:hanging="216"/>
      </w:pPr>
      <w:r w:rsidRPr="005654C3">
        <w:t>Taylor, E. et al. 1996. “Hyperactivity and Conduct Problems as Risk Factors for Adolescent Development.” Journal of the American Academy of Child and Adolescent Psychiatry 35:1213</w:t>
      </w:r>
      <w:r w:rsidRPr="005654C3">
        <w:noBreakHyphen/>
        <w:t>26.</w:t>
      </w:r>
    </w:p>
    <w:p w14:paraId="777A4FC0" w14:textId="77777777" w:rsidR="000C547E" w:rsidRPr="005654C3" w:rsidRDefault="000C547E" w:rsidP="000C547E">
      <w:pPr>
        <w:pStyle w:val="Body"/>
        <w:spacing w:before="0"/>
        <w:ind w:left="216" w:hanging="216"/>
      </w:pPr>
      <w:r w:rsidRPr="005654C3">
        <w:t>Thota, A.B., T.A. Sipe, G.J. Byard, C.S. Zometa, R.A. Hahn, L.R. McKnight-Eily, D.P. Chapman et al. 2012. “Collaborative Care to Improve the Management of Depressive Disorders: A Community Guide Systematic Review and Meta-Analysis.” American Journal of Preventive Medicine 42(5):525-538.</w:t>
      </w:r>
    </w:p>
    <w:p w14:paraId="2A525E94" w14:textId="77777777" w:rsidR="000C547E" w:rsidRPr="005654C3" w:rsidRDefault="000C547E" w:rsidP="000C547E">
      <w:pPr>
        <w:pStyle w:val="Body"/>
        <w:spacing w:before="0"/>
        <w:ind w:left="216" w:hanging="216"/>
      </w:pPr>
      <w:r w:rsidRPr="005654C3">
        <w:t>Unützer, J., W. Katon, C.M. Callahan, J.W. Williams Jr, E. Hunkeler, L. Harpole, M. Hoffing et al. 2002. “Collaborative Care Management of Late-Life Depression in the Primary Care Setting: A Randomized Controlled Trial.” Journal of the American Medical Association 288(22):2836-2845.</w:t>
      </w:r>
    </w:p>
    <w:p w14:paraId="350327E9" w14:textId="77777777" w:rsidR="000C547E" w:rsidRPr="005654C3" w:rsidRDefault="000C547E" w:rsidP="000C547E">
      <w:pPr>
        <w:pStyle w:val="Body"/>
        <w:spacing w:before="0"/>
        <w:ind w:left="216" w:hanging="216"/>
      </w:pPr>
      <w:r w:rsidRPr="005654C3">
        <w:t>U.S. Preventive Services Task Force. 2009. “Screening and Treatment for Major Depressive Disorder in Children and Adolescents: US Preventive Services Task Force Recommendation Statement.” Pediatrics 23:1223–8.</w:t>
      </w:r>
    </w:p>
    <w:p w14:paraId="551EEECF" w14:textId="77777777" w:rsidR="000C547E" w:rsidRPr="005654C3" w:rsidRDefault="000C547E" w:rsidP="000C547E">
      <w:pPr>
        <w:pStyle w:val="Body"/>
        <w:spacing w:before="0"/>
        <w:ind w:left="216" w:hanging="216"/>
      </w:pPr>
      <w:r w:rsidRPr="005654C3">
        <w:t>Üstün, T.B., J.L. Ayuso-Mateos, S. Chatterji, C. Mathers, C.J.L. Murray. 2004. “Global Burden of Depressive Disorders in the Year 2000.” The British Journal of Psychiatry 184(5):386-392.</w:t>
      </w:r>
    </w:p>
    <w:p w14:paraId="1EBC5AE3" w14:textId="77777777" w:rsidR="000C547E" w:rsidRPr="005654C3" w:rsidRDefault="000C547E" w:rsidP="000C547E">
      <w:pPr>
        <w:pStyle w:val="Body"/>
        <w:spacing w:before="0"/>
        <w:ind w:left="216" w:hanging="216"/>
      </w:pPr>
      <w:r w:rsidRPr="005654C3">
        <w:t>Van der Kooy, K., H. van Hout, H. Marwijk, H. Marten, C. Stehouwer, A. Beekman. 2007. “Depression and the Risk for Cardiovascular Diseases: Systematic Review and Meta-Analysis.” International Journal of Geriatric Psychiatry 2:613–626.</w:t>
      </w:r>
    </w:p>
    <w:p w14:paraId="3AF76838" w14:textId="77777777" w:rsidR="000C547E" w:rsidRPr="005654C3" w:rsidRDefault="000C547E" w:rsidP="000C547E">
      <w:pPr>
        <w:pStyle w:val="Body"/>
        <w:spacing w:before="0"/>
        <w:ind w:left="216" w:hanging="216"/>
      </w:pPr>
      <w:r w:rsidRPr="005654C3">
        <w:t>Von Korff, M., D. Goldberg. 2001. “Improving Outcomes in Depression.” British Medical Journal 323:948–9</w:t>
      </w:r>
    </w:p>
    <w:p w14:paraId="4065F733" w14:textId="77777777" w:rsidR="000C547E" w:rsidRPr="005654C3" w:rsidRDefault="000C547E" w:rsidP="000C547E">
      <w:pPr>
        <w:pStyle w:val="Body"/>
        <w:spacing w:before="0"/>
        <w:ind w:left="216" w:hanging="216"/>
      </w:pPr>
      <w:r w:rsidRPr="005654C3">
        <w:t>Wang, P.S., M. Lane, M. Olfson, H.A. Pincus, K.B. Wells, R.C. Kessler. 2005. “Twelve Month Use of Mental Health Services in the United States.” Archives of General Psychiatry 62(6):629-640.</w:t>
      </w:r>
    </w:p>
    <w:p w14:paraId="22C9249D" w14:textId="77777777" w:rsidR="000C547E" w:rsidRPr="005654C3" w:rsidRDefault="000C547E" w:rsidP="000C547E">
      <w:pPr>
        <w:pStyle w:val="Body"/>
        <w:spacing w:before="0"/>
        <w:ind w:left="216" w:hanging="216"/>
      </w:pPr>
      <w:r w:rsidRPr="005654C3">
        <w:t>Williams Jr, J. W., P.H. Noël, J.A. Cordes, G. Ramirez, M. Pignone. 2002. “Is This Patient Clinically Depressed?” Journal of the American Medical Association 287(9):1160-1170.</w:t>
      </w:r>
    </w:p>
    <w:p w14:paraId="198E60A5" w14:textId="77777777" w:rsidR="000C547E" w:rsidRDefault="000C547E" w:rsidP="000C547E">
      <w:r w:rsidRPr="005654C3">
        <w:t>Williams, S.B., E.A. O'Connor, M. Eder, E.P. Whitlock. 2009. “Screening for Child and Adolescent Depression in Primary Care Settings: A Systematic Evidence Review for the US Preventive Services Task Force.” Pediatrics 123(4):e716-e735.</w:t>
      </w:r>
    </w:p>
    <w:p w14:paraId="5D04B3F1" w14:textId="77777777" w:rsidR="000C547E" w:rsidRDefault="000C547E" w:rsidP="00782A86">
      <w:pPr>
        <w:keepNext/>
        <w:jc w:val="center"/>
        <w:outlineLvl w:val="0"/>
        <w:rPr>
          <w:rFonts w:cs="Arial"/>
          <w:b/>
          <w:i/>
          <w:sz w:val="28"/>
          <w:szCs w:val="28"/>
        </w:rPr>
      </w:pPr>
    </w:p>
    <w:p w14:paraId="7310D0D7" w14:textId="77777777" w:rsidR="00463667" w:rsidRPr="00DF1884" w:rsidRDefault="00463667" w:rsidP="00463667">
      <w:pPr>
        <w:sectPr w:rsidR="00463667" w:rsidRPr="00DF1884" w:rsidSect="0039781B">
          <w:headerReference w:type="even" r:id="rId84"/>
          <w:pgSz w:w="12240" w:h="15840" w:code="1"/>
          <w:pgMar w:top="1080" w:right="1080" w:bottom="1080" w:left="1440" w:header="720" w:footer="720" w:gutter="0"/>
          <w:cols w:space="720"/>
        </w:sectPr>
      </w:pPr>
    </w:p>
    <w:p w14:paraId="6728B9EB" w14:textId="77777777" w:rsidR="00463667" w:rsidRPr="00DF1884" w:rsidRDefault="00463667" w:rsidP="00463667">
      <w:pPr>
        <w:pStyle w:val="Breakpage"/>
      </w:pPr>
    </w:p>
    <w:p w14:paraId="20716947" w14:textId="77777777" w:rsidR="00463667" w:rsidRPr="00DF1884" w:rsidRDefault="00463667" w:rsidP="00463667">
      <w:pPr>
        <w:pStyle w:val="Breakpage"/>
      </w:pPr>
    </w:p>
    <w:p w14:paraId="39E09AC4" w14:textId="77777777" w:rsidR="00463667" w:rsidRPr="00DF1884" w:rsidRDefault="00463667" w:rsidP="00463667">
      <w:pPr>
        <w:pStyle w:val="Breakpage"/>
      </w:pPr>
    </w:p>
    <w:p w14:paraId="789E2019" w14:textId="77777777" w:rsidR="00463667" w:rsidRPr="00DF1884" w:rsidRDefault="00463667" w:rsidP="00463667">
      <w:pPr>
        <w:pStyle w:val="Breakpage"/>
      </w:pPr>
    </w:p>
    <w:p w14:paraId="6542698C" w14:textId="77777777" w:rsidR="00463667" w:rsidRPr="00DF1884" w:rsidRDefault="00463667" w:rsidP="00463667">
      <w:pPr>
        <w:pStyle w:val="Breakpage"/>
      </w:pPr>
    </w:p>
    <w:p w14:paraId="3FD81379" w14:textId="4FC06BFF" w:rsidR="00463667" w:rsidRPr="00DF1884" w:rsidRDefault="00463667" w:rsidP="00463667">
      <w:pPr>
        <w:pStyle w:val="Breakpage"/>
      </w:pPr>
      <w:r w:rsidRPr="00DF1884">
        <w:t>Appendix</w:t>
      </w:r>
      <w:r w:rsidR="00DF1884" w:rsidRPr="00DF1884">
        <w:t xml:space="preserve"> </w:t>
      </w:r>
      <w:r w:rsidRPr="00DF1884">
        <w:t>3</w:t>
      </w:r>
    </w:p>
    <w:p w14:paraId="5F6FED36" w14:textId="77777777" w:rsidR="00463667" w:rsidRPr="00DF1884" w:rsidRDefault="00463667" w:rsidP="00463667">
      <w:pPr>
        <w:pStyle w:val="Breakpage"/>
      </w:pPr>
    </w:p>
    <w:p w14:paraId="63EC0BCE" w14:textId="13050E29" w:rsidR="00463667" w:rsidRPr="00DF1884" w:rsidRDefault="00463667" w:rsidP="00463667">
      <w:pPr>
        <w:pStyle w:val="Breakpage"/>
        <w:sectPr w:rsidR="00463667" w:rsidRPr="00DF1884" w:rsidSect="0039781B">
          <w:headerReference w:type="default" r:id="rId85"/>
          <w:footerReference w:type="default" r:id="rId86"/>
          <w:pgSz w:w="12240" w:h="15840" w:code="1"/>
          <w:pgMar w:top="1080" w:right="1080" w:bottom="1080" w:left="1440" w:header="720" w:footer="720" w:gutter="0"/>
          <w:cols w:space="720"/>
        </w:sectPr>
      </w:pPr>
      <w:r w:rsidRPr="00DF1884">
        <w:t>Practitioner</w:t>
      </w:r>
      <w:r w:rsidR="00DF1884" w:rsidRPr="00DF1884">
        <w:t xml:space="preserve"> </w:t>
      </w:r>
      <w:r w:rsidRPr="00DF1884">
        <w:t>Types</w:t>
      </w:r>
    </w:p>
    <w:p w14:paraId="718DB9D8" w14:textId="77777777" w:rsidR="00463667" w:rsidRPr="00DF1884" w:rsidRDefault="00463667" w:rsidP="00463667"/>
    <w:p w14:paraId="651F95C4" w14:textId="77777777" w:rsidR="00463667" w:rsidRPr="00DF1884" w:rsidRDefault="00463667" w:rsidP="00463667">
      <w:pPr>
        <w:sectPr w:rsidR="00463667" w:rsidRPr="00DF1884" w:rsidSect="0039781B">
          <w:headerReference w:type="even" r:id="rId87"/>
          <w:headerReference w:type="default" r:id="rId88"/>
          <w:footerReference w:type="even" r:id="rId89"/>
          <w:pgSz w:w="12240" w:h="15840" w:code="1"/>
          <w:pgMar w:top="1080" w:right="1080" w:bottom="1080" w:left="1440" w:header="720" w:footer="720" w:gutter="0"/>
          <w:pgNumType w:start="2"/>
          <w:cols w:space="720"/>
        </w:sectPr>
      </w:pPr>
    </w:p>
    <w:p w14:paraId="07C17B9D" w14:textId="590F6728" w:rsidR="00463667" w:rsidRPr="00DF1884" w:rsidRDefault="00463667" w:rsidP="00463667">
      <w:pPr>
        <w:jc w:val="center"/>
        <w:rPr>
          <w:b/>
          <w:sz w:val="32"/>
          <w:szCs w:val="32"/>
        </w:rPr>
      </w:pPr>
      <w:r w:rsidRPr="00DF1884">
        <w:rPr>
          <w:b/>
          <w:sz w:val="32"/>
          <w:szCs w:val="32"/>
        </w:rPr>
        <w:lastRenderedPageBreak/>
        <w:t>APPENDIX</w:t>
      </w:r>
      <w:r w:rsidR="00DF1884" w:rsidRPr="00DF1884">
        <w:rPr>
          <w:b/>
          <w:sz w:val="32"/>
          <w:szCs w:val="32"/>
        </w:rPr>
        <w:t xml:space="preserve"> </w:t>
      </w:r>
      <w:r w:rsidRPr="00DF1884">
        <w:rPr>
          <w:b/>
          <w:sz w:val="32"/>
          <w:szCs w:val="32"/>
        </w:rPr>
        <w:t>3</w:t>
      </w:r>
    </w:p>
    <w:p w14:paraId="24AFEFBB" w14:textId="64C9E6CA" w:rsidR="00463667" w:rsidRPr="00DF1884" w:rsidRDefault="00463667" w:rsidP="00EF7C1A">
      <w:pPr>
        <w:spacing w:before="120" w:after="360"/>
        <w:jc w:val="center"/>
        <w:rPr>
          <w:b/>
          <w:sz w:val="28"/>
        </w:rPr>
      </w:pPr>
      <w:r w:rsidRPr="00DF1884">
        <w:rPr>
          <w:b/>
          <w:sz w:val="28"/>
        </w:rPr>
        <w:t>PRACTITIONER</w:t>
      </w:r>
      <w:r w:rsidR="00DF1884" w:rsidRPr="00DF1884">
        <w:rPr>
          <w:b/>
          <w:sz w:val="28"/>
        </w:rPr>
        <w:t xml:space="preserve"> </w:t>
      </w:r>
      <w:r w:rsidRPr="00DF1884">
        <w:rPr>
          <w:b/>
          <w:sz w:val="28"/>
        </w:rPr>
        <w:t>TYPES</w:t>
      </w:r>
    </w:p>
    <w:tbl>
      <w:tblPr>
        <w:tblW w:w="9900" w:type="dxa"/>
        <w:tblInd w:w="-90" w:type="dxa"/>
        <w:tblLayout w:type="fixed"/>
        <w:tblLook w:val="0000" w:firstRow="0" w:lastRow="0" w:firstColumn="0" w:lastColumn="0" w:noHBand="0" w:noVBand="0"/>
      </w:tblPr>
      <w:tblGrid>
        <w:gridCol w:w="1890"/>
        <w:gridCol w:w="8010"/>
      </w:tblGrid>
      <w:tr w:rsidR="00463667" w:rsidRPr="00DF1884" w14:paraId="3AEB7B46" w14:textId="77777777" w:rsidTr="00CE4F2B">
        <w:tc>
          <w:tcPr>
            <w:tcW w:w="1890" w:type="dxa"/>
            <w:tcBorders>
              <w:bottom w:val="dotted" w:sz="6" w:space="0" w:color="auto"/>
            </w:tcBorders>
          </w:tcPr>
          <w:p w14:paraId="0C8CAD88" w14:textId="2FF4641B" w:rsidR="00463667" w:rsidRPr="00DF1884" w:rsidRDefault="00463667" w:rsidP="00463667">
            <w:pPr>
              <w:pStyle w:val="MarginSubhead"/>
              <w:spacing w:before="0"/>
              <w:ind w:left="0"/>
            </w:pPr>
            <w:r w:rsidRPr="00DF1884">
              <w:t>clinical</w:t>
            </w:r>
            <w:r w:rsidR="00DF1884" w:rsidRPr="00DF1884">
              <w:t xml:space="preserve"> </w:t>
            </w:r>
            <w:r w:rsidRPr="00DF1884">
              <w:t>pharmacist</w:t>
            </w:r>
          </w:p>
        </w:tc>
        <w:tc>
          <w:tcPr>
            <w:tcW w:w="8010" w:type="dxa"/>
            <w:tcBorders>
              <w:bottom w:val="dotted" w:sz="6" w:space="0" w:color="auto"/>
            </w:tcBorders>
          </w:tcPr>
          <w:p w14:paraId="0BE9F0A8" w14:textId="6D4A8708" w:rsidR="00463667" w:rsidRPr="00DF1884" w:rsidRDefault="00463667" w:rsidP="00C56CA6">
            <w:pPr>
              <w:pStyle w:val="Body"/>
              <w:spacing w:before="0"/>
            </w:pPr>
            <w:r w:rsidRPr="00DF1884">
              <w:t>A</w:t>
            </w:r>
            <w:r w:rsidR="00DF1884" w:rsidRPr="00DF1884">
              <w:t xml:space="preserve"> </w:t>
            </w:r>
            <w:r w:rsidRPr="00DF1884">
              <w:t>pharmacist</w:t>
            </w:r>
            <w:r w:rsidR="00DF1884" w:rsidRPr="00DF1884">
              <w:t xml:space="preserve"> </w:t>
            </w:r>
            <w:r w:rsidRPr="00DF1884">
              <w:t>with</w:t>
            </w:r>
            <w:r w:rsidR="00DF1884" w:rsidRPr="00DF1884">
              <w:t xml:space="preserve"> </w:t>
            </w:r>
            <w:r w:rsidRPr="00DF1884">
              <w:t>extensive</w:t>
            </w:r>
            <w:r w:rsidR="00DF1884" w:rsidRPr="00DF1884">
              <w:t xml:space="preserve"> </w:t>
            </w:r>
            <w:r w:rsidRPr="00DF1884">
              <w:t>education</w:t>
            </w:r>
            <w:r w:rsidR="00DF1884" w:rsidRPr="00DF1884">
              <w:t xml:space="preserve"> </w:t>
            </w:r>
            <w:r w:rsidRPr="00DF1884">
              <w:t>in</w:t>
            </w:r>
            <w:r w:rsidR="00DF1884" w:rsidRPr="00DF1884">
              <w:t xml:space="preserve"> </w:t>
            </w:r>
            <w:r w:rsidRPr="00DF1884">
              <w:t>the</w:t>
            </w:r>
            <w:r w:rsidR="00DF1884" w:rsidRPr="00DF1884">
              <w:t xml:space="preserve"> </w:t>
            </w:r>
            <w:r w:rsidRPr="00DF1884">
              <w:t>biomedical,</w:t>
            </w:r>
            <w:r w:rsidR="00DF1884" w:rsidRPr="00DF1884">
              <w:t xml:space="preserve"> </w:t>
            </w:r>
            <w:r w:rsidRPr="00DF1884">
              <w:t>pharmaceutical,</w:t>
            </w:r>
            <w:r w:rsidR="00DF1884" w:rsidRPr="00DF1884">
              <w:t xml:space="preserve"> </w:t>
            </w:r>
            <w:r w:rsidRPr="00DF1884">
              <w:t>sociobehavioral</w:t>
            </w:r>
            <w:r w:rsidR="00DF1884" w:rsidRPr="00DF1884">
              <w:t xml:space="preserve"> </w:t>
            </w:r>
            <w:r w:rsidRPr="00DF1884">
              <w:t>and</w:t>
            </w:r>
            <w:r w:rsidR="00DF1884" w:rsidRPr="00DF1884">
              <w:t xml:space="preserve"> </w:t>
            </w:r>
            <w:r w:rsidRPr="00DF1884">
              <w:t>clinical</w:t>
            </w:r>
            <w:r w:rsidR="00DF1884" w:rsidRPr="00DF1884">
              <w:t xml:space="preserve"> </w:t>
            </w:r>
            <w:r w:rsidRPr="00DF1884">
              <w:t>sciences.</w:t>
            </w:r>
            <w:r w:rsidR="00DF1884" w:rsidRPr="00DF1884">
              <w:t xml:space="preserve"> </w:t>
            </w:r>
            <w:r w:rsidRPr="00DF1884">
              <w:t>Clinical</w:t>
            </w:r>
            <w:r w:rsidR="00DF1884" w:rsidRPr="00DF1884">
              <w:t xml:space="preserve"> </w:t>
            </w:r>
            <w:r w:rsidRPr="00DF1884">
              <w:t>pharmacists</w:t>
            </w:r>
            <w:r w:rsidR="00DF1884" w:rsidRPr="00DF1884">
              <w:t xml:space="preserve"> </w:t>
            </w:r>
            <w:r w:rsidRPr="00DF1884">
              <w:t>are</w:t>
            </w:r>
            <w:r w:rsidR="00DF1884" w:rsidRPr="00DF1884">
              <w:t xml:space="preserve"> </w:t>
            </w:r>
            <w:r w:rsidRPr="00DF1884">
              <w:t>experts</w:t>
            </w:r>
            <w:r w:rsidR="00DF1884" w:rsidRPr="00DF1884">
              <w:t xml:space="preserve"> </w:t>
            </w:r>
            <w:r w:rsidRPr="00DF1884">
              <w:t>in</w:t>
            </w:r>
            <w:r w:rsidR="00DF1884" w:rsidRPr="00DF1884">
              <w:t xml:space="preserve"> </w:t>
            </w:r>
            <w:r w:rsidRPr="00DF1884">
              <w:t>the</w:t>
            </w:r>
            <w:r w:rsidR="00DF1884" w:rsidRPr="00DF1884">
              <w:t xml:space="preserve"> </w:t>
            </w:r>
            <w:r w:rsidRPr="00DF1884">
              <w:t>therapeutic</w:t>
            </w:r>
            <w:r w:rsidR="00DF1884" w:rsidRPr="00DF1884">
              <w:t xml:space="preserve"> </w:t>
            </w:r>
            <w:r w:rsidRPr="00DF1884">
              <w:t>use</w:t>
            </w:r>
            <w:r w:rsidR="00DF1884" w:rsidRPr="00DF1884">
              <w:t xml:space="preserve"> </w:t>
            </w:r>
            <w:r w:rsidRPr="00DF1884">
              <w:t>of</w:t>
            </w:r>
            <w:r w:rsidR="00DF1884" w:rsidRPr="00DF1884">
              <w:t xml:space="preserve"> </w:t>
            </w:r>
            <w:r w:rsidRPr="00DF1884">
              <w:t>medications</w:t>
            </w:r>
            <w:r w:rsidR="00DF1884" w:rsidRPr="00DF1884">
              <w:t xml:space="preserve"> </w:t>
            </w:r>
            <w:r w:rsidRPr="00DF1884">
              <w:t>and</w:t>
            </w:r>
            <w:r w:rsidR="00DF1884" w:rsidRPr="00DF1884">
              <w:t xml:space="preserve"> </w:t>
            </w:r>
            <w:r w:rsidRPr="00DF1884">
              <w:t>are</w:t>
            </w:r>
            <w:r w:rsidR="00DF1884" w:rsidRPr="00DF1884">
              <w:t xml:space="preserve"> </w:t>
            </w:r>
            <w:r w:rsidRPr="00DF1884">
              <w:t>a</w:t>
            </w:r>
            <w:r w:rsidR="00DF1884" w:rsidRPr="00DF1884">
              <w:t xml:space="preserve"> </w:t>
            </w:r>
            <w:r w:rsidRPr="00DF1884">
              <w:t>primary</w:t>
            </w:r>
            <w:r w:rsidR="00DF1884" w:rsidRPr="00DF1884">
              <w:t xml:space="preserve"> </w:t>
            </w:r>
            <w:r w:rsidRPr="00DF1884">
              <w:t>source</w:t>
            </w:r>
            <w:r w:rsidR="00DF1884" w:rsidRPr="00DF1884">
              <w:t xml:space="preserve"> </w:t>
            </w:r>
            <w:r w:rsidRPr="00DF1884">
              <w:t>of</w:t>
            </w:r>
            <w:r w:rsidR="00DF1884" w:rsidRPr="00DF1884">
              <w:t xml:space="preserve"> </w:t>
            </w:r>
            <w:r w:rsidRPr="00DF1884">
              <w:t>scientifically</w:t>
            </w:r>
            <w:r w:rsidR="00DF1884" w:rsidRPr="00DF1884">
              <w:t xml:space="preserve"> </w:t>
            </w:r>
            <w:r w:rsidRPr="00DF1884">
              <w:t>valid</w:t>
            </w:r>
            <w:r w:rsidR="00DF1884" w:rsidRPr="00DF1884">
              <w:t xml:space="preserve"> </w:t>
            </w:r>
            <w:r w:rsidRPr="00DF1884">
              <w:t>information</w:t>
            </w:r>
            <w:r w:rsidR="00DF1884" w:rsidRPr="00DF1884">
              <w:t xml:space="preserve"> </w:t>
            </w:r>
            <w:r w:rsidRPr="00DF1884">
              <w:t>and</w:t>
            </w:r>
            <w:r w:rsidR="00DF1884" w:rsidRPr="00DF1884">
              <w:t xml:space="preserve"> </w:t>
            </w:r>
            <w:r w:rsidRPr="00DF1884">
              <w:t>advice</w:t>
            </w:r>
            <w:r w:rsidR="00DF1884" w:rsidRPr="00DF1884">
              <w:t xml:space="preserve"> </w:t>
            </w:r>
            <w:r w:rsidRPr="00DF1884">
              <w:t>regarding</w:t>
            </w:r>
            <w:r w:rsidR="00DF1884" w:rsidRPr="00DF1884">
              <w:t xml:space="preserve"> </w:t>
            </w:r>
            <w:r w:rsidRPr="00DF1884">
              <w:t>the</w:t>
            </w:r>
            <w:r w:rsidR="00DF1884" w:rsidRPr="00DF1884">
              <w:t xml:space="preserve"> </w:t>
            </w:r>
            <w:r w:rsidRPr="00DF1884">
              <w:t>safe,</w:t>
            </w:r>
            <w:r w:rsidR="00DF1884" w:rsidRPr="00DF1884">
              <w:t xml:space="preserve"> </w:t>
            </w:r>
            <w:r w:rsidRPr="00DF1884">
              <w:t>appropriate</w:t>
            </w:r>
            <w:r w:rsidR="00DF1884" w:rsidRPr="00DF1884">
              <w:t xml:space="preserve"> </w:t>
            </w:r>
            <w:r w:rsidRPr="00DF1884">
              <w:t>and</w:t>
            </w:r>
            <w:r w:rsidR="00DF1884" w:rsidRPr="00DF1884">
              <w:t xml:space="preserve"> </w:t>
            </w:r>
            <w:r w:rsidRPr="00DF1884">
              <w:t>cost-effective</w:t>
            </w:r>
            <w:r w:rsidR="00DF1884" w:rsidRPr="00DF1884">
              <w:t xml:space="preserve"> </w:t>
            </w:r>
            <w:r w:rsidRPr="00DF1884">
              <w:t>use</w:t>
            </w:r>
            <w:r w:rsidR="00DF1884" w:rsidRPr="00DF1884">
              <w:t xml:space="preserve"> </w:t>
            </w:r>
            <w:r w:rsidRPr="00DF1884">
              <w:t>of</w:t>
            </w:r>
            <w:r w:rsidR="00DF1884" w:rsidRPr="00DF1884">
              <w:t xml:space="preserve"> </w:t>
            </w:r>
            <w:r w:rsidRPr="00DF1884">
              <w:t>medications.</w:t>
            </w:r>
          </w:p>
          <w:p w14:paraId="28C223FD" w14:textId="7130B997" w:rsidR="00463667" w:rsidRPr="00DF1884" w:rsidRDefault="00463667" w:rsidP="00C56CA6">
            <w:pPr>
              <w:pStyle w:val="Body"/>
              <w:spacing w:after="40"/>
            </w:pPr>
            <w:r w:rsidRPr="00DF1884">
              <w:t>Most</w:t>
            </w:r>
            <w:r w:rsidR="00DF1884" w:rsidRPr="00DF1884">
              <w:t xml:space="preserve"> </w:t>
            </w:r>
            <w:r w:rsidRPr="00DF1884">
              <w:t>clinical</w:t>
            </w:r>
            <w:r w:rsidR="00DF1884" w:rsidRPr="00DF1884">
              <w:t xml:space="preserve"> </w:t>
            </w:r>
            <w:r w:rsidRPr="00DF1884">
              <w:t>pharmacists</w:t>
            </w:r>
            <w:r w:rsidR="00DF1884" w:rsidRPr="00DF1884">
              <w:t xml:space="preserve"> </w:t>
            </w:r>
            <w:r w:rsidRPr="00DF1884">
              <w:t>have</w:t>
            </w:r>
            <w:r w:rsidR="00DF1884" w:rsidRPr="00DF1884">
              <w:t xml:space="preserve"> </w:t>
            </w:r>
            <w:r w:rsidRPr="00DF1884">
              <w:t>a</w:t>
            </w:r>
            <w:r w:rsidR="00DF1884" w:rsidRPr="00DF1884">
              <w:t xml:space="preserve"> </w:t>
            </w:r>
            <w:r w:rsidRPr="00DF1884">
              <w:t>Doctor</w:t>
            </w:r>
            <w:r w:rsidR="00DF1884" w:rsidRPr="00DF1884">
              <w:t xml:space="preserve"> </w:t>
            </w:r>
            <w:r w:rsidRPr="00DF1884">
              <w:t>of</w:t>
            </w:r>
            <w:r w:rsidR="00DF1884" w:rsidRPr="00DF1884">
              <w:t xml:space="preserve"> </w:t>
            </w:r>
            <w:r w:rsidRPr="00DF1884">
              <w:t>Pharmacy</w:t>
            </w:r>
            <w:r w:rsidR="00DF1884" w:rsidRPr="00DF1884">
              <w:t xml:space="preserve"> </w:t>
            </w:r>
            <w:r w:rsidRPr="00DF1884">
              <w:t>(PharmD)</w:t>
            </w:r>
            <w:r w:rsidR="00DF1884" w:rsidRPr="00DF1884">
              <w:t xml:space="preserve"> </w:t>
            </w:r>
            <w:r w:rsidRPr="00DF1884">
              <w:t>degree</w:t>
            </w:r>
            <w:r w:rsidR="00DF1884" w:rsidRPr="00DF1884">
              <w:t xml:space="preserve"> </w:t>
            </w:r>
            <w:r w:rsidRPr="00DF1884">
              <w:t>and</w:t>
            </w:r>
            <w:r w:rsidR="00DF1884" w:rsidRPr="00DF1884">
              <w:t xml:space="preserve"> </w:t>
            </w:r>
            <w:r w:rsidRPr="00DF1884">
              <w:t>many</w:t>
            </w:r>
            <w:r w:rsidR="00DF1884" w:rsidRPr="00DF1884">
              <w:t xml:space="preserve"> </w:t>
            </w:r>
            <w:r w:rsidRPr="00DF1884">
              <w:t>have</w:t>
            </w:r>
            <w:r w:rsidR="00DF1884" w:rsidRPr="00DF1884">
              <w:t xml:space="preserve"> </w:t>
            </w:r>
            <w:r w:rsidRPr="00DF1884">
              <w:t>completed</w:t>
            </w:r>
            <w:r w:rsidR="00DF1884" w:rsidRPr="00DF1884">
              <w:t xml:space="preserve"> </w:t>
            </w:r>
            <w:r w:rsidRPr="00DF1884">
              <w:t>one</w:t>
            </w:r>
            <w:r w:rsidR="00DF1884" w:rsidRPr="00DF1884">
              <w:t xml:space="preserve"> </w:t>
            </w:r>
            <w:r w:rsidRPr="00DF1884">
              <w:t>or</w:t>
            </w:r>
            <w:r w:rsidR="00DF1884" w:rsidRPr="00DF1884">
              <w:t xml:space="preserve"> </w:t>
            </w:r>
            <w:r w:rsidRPr="00DF1884">
              <w:t>more</w:t>
            </w:r>
            <w:r w:rsidR="00DF1884" w:rsidRPr="00DF1884">
              <w:t xml:space="preserve"> </w:t>
            </w:r>
            <w:r w:rsidRPr="00DF1884">
              <w:t>years</w:t>
            </w:r>
            <w:r w:rsidR="00DF1884" w:rsidRPr="00DF1884">
              <w:t xml:space="preserve"> </w:t>
            </w:r>
            <w:r w:rsidRPr="00DF1884">
              <w:t>of</w:t>
            </w:r>
            <w:r w:rsidR="00DF1884" w:rsidRPr="00DF1884">
              <w:t xml:space="preserve"> </w:t>
            </w:r>
            <w:r w:rsidRPr="00DF1884">
              <w:t>post-graduate</w:t>
            </w:r>
            <w:r w:rsidR="00DF1884" w:rsidRPr="00DF1884">
              <w:t xml:space="preserve"> </w:t>
            </w:r>
            <w:r w:rsidRPr="00DF1884">
              <w:t>training</w:t>
            </w:r>
            <w:r w:rsidR="00DF1884" w:rsidRPr="00DF1884">
              <w:t xml:space="preserve"> </w:t>
            </w:r>
            <w:r w:rsidRPr="00DF1884">
              <w:t>(e.g.,</w:t>
            </w:r>
            <w:r w:rsidR="00DF1884" w:rsidRPr="00DF1884">
              <w:t xml:space="preserve"> </w:t>
            </w:r>
            <w:r w:rsidRPr="00DF1884">
              <w:t>a</w:t>
            </w:r>
            <w:r w:rsidR="00DF1884" w:rsidRPr="00DF1884">
              <w:t xml:space="preserve"> </w:t>
            </w:r>
            <w:r w:rsidRPr="00DF1884">
              <w:t>general</w:t>
            </w:r>
            <w:r w:rsidR="00DF1884" w:rsidRPr="00DF1884">
              <w:t xml:space="preserve"> </w:t>
            </w:r>
            <w:r w:rsidRPr="00DF1884">
              <w:t>and/or</w:t>
            </w:r>
            <w:r w:rsidR="00DF1884" w:rsidRPr="00DF1884">
              <w:t xml:space="preserve"> </w:t>
            </w:r>
            <w:r w:rsidRPr="00DF1884">
              <w:t>specialty</w:t>
            </w:r>
            <w:r w:rsidR="00DF1884" w:rsidRPr="00DF1884">
              <w:t xml:space="preserve"> </w:t>
            </w:r>
            <w:r w:rsidRPr="00DF1884">
              <w:t>pharmacy</w:t>
            </w:r>
            <w:r w:rsidR="00DF1884" w:rsidRPr="00DF1884">
              <w:t xml:space="preserve"> </w:t>
            </w:r>
            <w:r w:rsidRPr="00DF1884">
              <w:t>residency).</w:t>
            </w:r>
            <w:r w:rsidR="00DF1884" w:rsidRPr="00DF1884">
              <w:t xml:space="preserve"> </w:t>
            </w:r>
            <w:r w:rsidRPr="00DF1884">
              <w:t>In</w:t>
            </w:r>
            <w:r w:rsidR="00DF1884" w:rsidRPr="00DF1884">
              <w:t xml:space="preserve"> </w:t>
            </w:r>
            <w:r w:rsidRPr="00DF1884">
              <w:t>some</w:t>
            </w:r>
            <w:r w:rsidR="00DF1884" w:rsidRPr="00DF1884">
              <w:t xml:space="preserve"> </w:t>
            </w:r>
            <w:r w:rsidRPr="00DF1884">
              <w:t>states,</w:t>
            </w:r>
            <w:r w:rsidR="00DF1884" w:rsidRPr="00DF1884">
              <w:t xml:space="preserve"> </w:t>
            </w:r>
            <w:r w:rsidRPr="00DF1884">
              <w:t>clinical</w:t>
            </w:r>
            <w:r w:rsidR="00DF1884" w:rsidRPr="00DF1884">
              <w:t xml:space="preserve"> </w:t>
            </w:r>
            <w:r w:rsidRPr="00DF1884">
              <w:t>pharmacists</w:t>
            </w:r>
            <w:r w:rsidR="00DF1884" w:rsidRPr="00DF1884">
              <w:t xml:space="preserve"> </w:t>
            </w:r>
            <w:r w:rsidRPr="00DF1884">
              <w:t>have</w:t>
            </w:r>
            <w:r w:rsidR="00DF1884" w:rsidRPr="00DF1884">
              <w:t xml:space="preserve"> </w:t>
            </w:r>
            <w:r w:rsidRPr="00DF1884">
              <w:t>prescriptive</w:t>
            </w:r>
            <w:r w:rsidR="00DF1884" w:rsidRPr="00DF1884">
              <w:t xml:space="preserve"> </w:t>
            </w:r>
            <w:r w:rsidRPr="00DF1884">
              <w:t>authority.</w:t>
            </w:r>
          </w:p>
        </w:tc>
      </w:tr>
      <w:tr w:rsidR="00463667" w:rsidRPr="00DF1884" w14:paraId="5F5CA907" w14:textId="77777777" w:rsidTr="00CE4F2B">
        <w:tc>
          <w:tcPr>
            <w:tcW w:w="1890" w:type="dxa"/>
            <w:tcBorders>
              <w:top w:val="dotted" w:sz="6" w:space="0" w:color="auto"/>
              <w:bottom w:val="dotted" w:sz="6" w:space="0" w:color="auto"/>
            </w:tcBorders>
          </w:tcPr>
          <w:p w14:paraId="76E50883" w14:textId="1D94E807" w:rsidR="00463667" w:rsidRPr="00DF1884" w:rsidRDefault="00463667" w:rsidP="00463667">
            <w:pPr>
              <w:pStyle w:val="MarginSubhead"/>
              <w:spacing w:after="120"/>
              <w:ind w:left="0"/>
            </w:pPr>
            <w:r w:rsidRPr="00DF1884">
              <w:t>dental</w:t>
            </w:r>
            <w:r w:rsidR="00DF1884" w:rsidRPr="00DF1884">
              <w:t xml:space="preserve"> </w:t>
            </w:r>
            <w:r w:rsidRPr="00DF1884">
              <w:t>practitioner</w:t>
            </w:r>
          </w:p>
        </w:tc>
        <w:tc>
          <w:tcPr>
            <w:tcW w:w="8010" w:type="dxa"/>
            <w:tcBorders>
              <w:top w:val="dotted" w:sz="6" w:space="0" w:color="auto"/>
              <w:bottom w:val="dotted" w:sz="6" w:space="0" w:color="auto"/>
            </w:tcBorders>
          </w:tcPr>
          <w:p w14:paraId="4B8492DC" w14:textId="382D573F" w:rsidR="00463667" w:rsidRPr="00DF1884" w:rsidRDefault="00463667" w:rsidP="00C56CA6">
            <w:pPr>
              <w:pStyle w:val="Body"/>
              <w:spacing w:after="40"/>
            </w:pPr>
            <w:r w:rsidRPr="00DF1884">
              <w:t>A</w:t>
            </w:r>
            <w:r w:rsidR="00DF1884" w:rsidRPr="00DF1884">
              <w:t xml:space="preserve"> </w:t>
            </w:r>
            <w:r w:rsidRPr="00DF1884">
              <w:t>practitioner</w:t>
            </w:r>
            <w:r w:rsidR="00DF1884" w:rsidRPr="00DF1884">
              <w:t xml:space="preserve"> </w:t>
            </w:r>
            <w:r w:rsidRPr="00DF1884">
              <w:t>who</w:t>
            </w:r>
            <w:r w:rsidR="00DF1884" w:rsidRPr="00DF1884">
              <w:t xml:space="preserve"> </w:t>
            </w:r>
            <w:r w:rsidRPr="00DF1884">
              <w:t>holds</w:t>
            </w:r>
            <w:r w:rsidR="00DF1884" w:rsidRPr="00DF1884">
              <w:t xml:space="preserve"> </w:t>
            </w:r>
            <w:r w:rsidRPr="00DF1884">
              <w:t>a</w:t>
            </w:r>
            <w:r w:rsidR="00DF1884" w:rsidRPr="00DF1884">
              <w:t xml:space="preserve"> </w:t>
            </w:r>
            <w:r w:rsidRPr="00DF1884">
              <w:t>Doctor</w:t>
            </w:r>
            <w:r w:rsidR="00DF1884" w:rsidRPr="00DF1884">
              <w:t xml:space="preserve"> </w:t>
            </w:r>
            <w:r w:rsidRPr="00DF1884">
              <w:t>of</w:t>
            </w:r>
            <w:r w:rsidR="00DF1884" w:rsidRPr="00DF1884">
              <w:t xml:space="preserve"> </w:t>
            </w:r>
            <w:r w:rsidRPr="00DF1884">
              <w:t>Dental</w:t>
            </w:r>
            <w:r w:rsidR="00DF1884" w:rsidRPr="00DF1884">
              <w:t xml:space="preserve"> </w:t>
            </w:r>
            <w:r w:rsidRPr="00DF1884">
              <w:t>Surgery</w:t>
            </w:r>
            <w:r w:rsidR="00DF1884" w:rsidRPr="00DF1884">
              <w:t xml:space="preserve"> </w:t>
            </w:r>
            <w:r w:rsidRPr="00DF1884">
              <w:t>(DDS)</w:t>
            </w:r>
            <w:r w:rsidR="00DF1884" w:rsidRPr="00DF1884">
              <w:t xml:space="preserve"> </w:t>
            </w:r>
            <w:r w:rsidRPr="00DF1884">
              <w:t>or</w:t>
            </w:r>
            <w:r w:rsidR="00DF1884" w:rsidRPr="00DF1884">
              <w:t xml:space="preserve"> </w:t>
            </w:r>
            <w:r w:rsidRPr="00DF1884">
              <w:t>a</w:t>
            </w:r>
            <w:r w:rsidR="00DF1884" w:rsidRPr="00DF1884">
              <w:t xml:space="preserve"> </w:t>
            </w:r>
            <w:r w:rsidRPr="00DF1884">
              <w:t>Doctor</w:t>
            </w:r>
            <w:r w:rsidR="00DF1884" w:rsidRPr="00DF1884">
              <w:t xml:space="preserve"> </w:t>
            </w:r>
            <w:r w:rsidRPr="00DF1884">
              <w:t>of</w:t>
            </w:r>
            <w:r w:rsidR="00DF1884" w:rsidRPr="00DF1884">
              <w:t xml:space="preserve"> </w:t>
            </w:r>
            <w:r w:rsidRPr="00DF1884">
              <w:t>Dental</w:t>
            </w:r>
            <w:r w:rsidR="00DF1884" w:rsidRPr="00DF1884">
              <w:t xml:space="preserve"> </w:t>
            </w:r>
            <w:r w:rsidRPr="00DF1884">
              <w:t>Medicine</w:t>
            </w:r>
            <w:r w:rsidR="00DF1884" w:rsidRPr="00DF1884">
              <w:t xml:space="preserve"> </w:t>
            </w:r>
            <w:r w:rsidRPr="00DF1884">
              <w:t>(DMD)</w:t>
            </w:r>
            <w:r w:rsidR="00DF1884" w:rsidRPr="00DF1884">
              <w:t xml:space="preserve"> </w:t>
            </w:r>
            <w:r w:rsidRPr="00DF1884">
              <w:t>degree</w:t>
            </w:r>
            <w:r w:rsidR="00DF1884" w:rsidRPr="00DF1884">
              <w:t xml:space="preserve"> </w:t>
            </w:r>
            <w:r w:rsidRPr="00DF1884">
              <w:t>from</w:t>
            </w:r>
            <w:r w:rsidR="00DF1884" w:rsidRPr="00DF1884">
              <w:t xml:space="preserve"> </w:t>
            </w:r>
            <w:r w:rsidRPr="00DF1884">
              <w:t>an</w:t>
            </w:r>
            <w:r w:rsidR="00DF1884" w:rsidRPr="00DF1884">
              <w:t xml:space="preserve"> </w:t>
            </w:r>
            <w:r w:rsidRPr="00DF1884">
              <w:t>accredited</w:t>
            </w:r>
            <w:r w:rsidR="00DF1884" w:rsidRPr="00DF1884">
              <w:t xml:space="preserve"> </w:t>
            </w:r>
            <w:r w:rsidRPr="00DF1884">
              <w:t>school</w:t>
            </w:r>
            <w:r w:rsidR="00DF1884" w:rsidRPr="00DF1884">
              <w:t xml:space="preserve"> </w:t>
            </w:r>
            <w:r w:rsidRPr="00DF1884">
              <w:t>of</w:t>
            </w:r>
            <w:r w:rsidR="00DF1884" w:rsidRPr="00DF1884">
              <w:t xml:space="preserve"> </w:t>
            </w:r>
            <w:r w:rsidRPr="00DF1884">
              <w:t>dentistry</w:t>
            </w:r>
            <w:r w:rsidR="00DF1884" w:rsidRPr="00DF1884">
              <w:t xml:space="preserve"> </w:t>
            </w:r>
            <w:r w:rsidRPr="00DF1884">
              <w:t>and</w:t>
            </w:r>
            <w:r w:rsidR="00DF1884" w:rsidRPr="00DF1884">
              <w:t xml:space="preserve"> </w:t>
            </w:r>
            <w:r w:rsidRPr="00DF1884">
              <w:t>is</w:t>
            </w:r>
            <w:r w:rsidR="00DF1884" w:rsidRPr="00DF1884">
              <w:t xml:space="preserve"> </w:t>
            </w:r>
            <w:r w:rsidRPr="00DF1884">
              <w:t>licensed</w:t>
            </w:r>
            <w:r w:rsidR="00DF1884" w:rsidRPr="00DF1884">
              <w:t xml:space="preserve"> </w:t>
            </w:r>
            <w:r w:rsidRPr="00DF1884">
              <w:t>to</w:t>
            </w:r>
            <w:r w:rsidR="00DF1884" w:rsidRPr="00DF1884">
              <w:t xml:space="preserve"> </w:t>
            </w:r>
            <w:r w:rsidRPr="00DF1884">
              <w:t>practice</w:t>
            </w:r>
            <w:r w:rsidR="00DF1884" w:rsidRPr="00DF1884">
              <w:t xml:space="preserve"> </w:t>
            </w:r>
            <w:r w:rsidRPr="00DF1884">
              <w:t>dentistry</w:t>
            </w:r>
            <w:r w:rsidR="00DF1884" w:rsidRPr="00DF1884">
              <w:t xml:space="preserve"> </w:t>
            </w:r>
            <w:r w:rsidRPr="00DF1884">
              <w:t>by</w:t>
            </w:r>
            <w:r w:rsidR="00DF1884" w:rsidRPr="00DF1884">
              <w:t xml:space="preserve"> </w:t>
            </w:r>
            <w:r w:rsidRPr="00DF1884">
              <w:t>a</w:t>
            </w:r>
            <w:r w:rsidR="00DF1884" w:rsidRPr="00DF1884">
              <w:t xml:space="preserve"> </w:t>
            </w:r>
            <w:r w:rsidRPr="00DF1884">
              <w:t>state</w:t>
            </w:r>
            <w:r w:rsidR="00DF1884" w:rsidRPr="00DF1884">
              <w:t xml:space="preserve"> </w:t>
            </w:r>
            <w:r w:rsidRPr="00DF1884">
              <w:t>board</w:t>
            </w:r>
            <w:r w:rsidR="00DF1884" w:rsidRPr="00DF1884">
              <w:t xml:space="preserve"> </w:t>
            </w:r>
            <w:r w:rsidRPr="00DF1884">
              <w:t>of</w:t>
            </w:r>
            <w:r w:rsidR="00DF1884" w:rsidRPr="00DF1884">
              <w:t xml:space="preserve"> </w:t>
            </w:r>
            <w:r w:rsidRPr="00DF1884">
              <w:t>dental</w:t>
            </w:r>
            <w:r w:rsidR="00DF1884" w:rsidRPr="00DF1884">
              <w:t xml:space="preserve"> </w:t>
            </w:r>
            <w:r w:rsidRPr="00DF1884">
              <w:t>examiners.</w:t>
            </w:r>
          </w:p>
          <w:p w14:paraId="3802D2C5" w14:textId="6F55B19B" w:rsidR="00463667" w:rsidRPr="00DF1884" w:rsidRDefault="00463667" w:rsidP="00C56CA6">
            <w:pPr>
              <w:pStyle w:val="Body"/>
              <w:spacing w:after="40"/>
              <w:rPr>
                <w:bCs/>
              </w:rPr>
            </w:pPr>
            <w:r w:rsidRPr="00DF1884">
              <w:t>Certified</w:t>
            </w:r>
            <w:r w:rsidR="00DF1884" w:rsidRPr="00DF1884">
              <w:t xml:space="preserve"> </w:t>
            </w:r>
            <w:r w:rsidRPr="00DF1884">
              <w:t>and</w:t>
            </w:r>
            <w:r w:rsidR="00DF1884" w:rsidRPr="00DF1884">
              <w:t xml:space="preserve"> </w:t>
            </w:r>
            <w:r w:rsidRPr="00DF1884">
              <w:t>licensed</w:t>
            </w:r>
            <w:r w:rsidR="00DF1884" w:rsidRPr="00DF1884">
              <w:t xml:space="preserve"> </w:t>
            </w:r>
            <w:r w:rsidRPr="00DF1884">
              <w:t>dental</w:t>
            </w:r>
            <w:r w:rsidR="00DF1884" w:rsidRPr="00DF1884">
              <w:t xml:space="preserve"> </w:t>
            </w:r>
            <w:r w:rsidRPr="00DF1884">
              <w:t>hygienists</w:t>
            </w:r>
            <w:r w:rsidR="00DF1884" w:rsidRPr="00DF1884">
              <w:t xml:space="preserve"> </w:t>
            </w:r>
            <w:r w:rsidRPr="00DF1884">
              <w:t>are</w:t>
            </w:r>
            <w:r w:rsidR="00DF1884" w:rsidRPr="00DF1884">
              <w:t xml:space="preserve"> </w:t>
            </w:r>
            <w:r w:rsidRPr="00DF1884">
              <w:t>considered</w:t>
            </w:r>
            <w:r w:rsidR="00DF1884" w:rsidRPr="00DF1884">
              <w:t xml:space="preserve"> </w:t>
            </w:r>
            <w:r w:rsidRPr="00DF1884">
              <w:t>dental</w:t>
            </w:r>
            <w:r w:rsidR="00DF1884" w:rsidRPr="00DF1884">
              <w:t xml:space="preserve"> </w:t>
            </w:r>
            <w:r w:rsidRPr="00DF1884">
              <w:t>practitioners.</w:t>
            </w:r>
          </w:p>
        </w:tc>
      </w:tr>
      <w:tr w:rsidR="00463667" w:rsidRPr="00DF1884" w14:paraId="0FB9494D" w14:textId="77777777" w:rsidTr="00CE4F2B">
        <w:tc>
          <w:tcPr>
            <w:tcW w:w="1890" w:type="dxa"/>
            <w:tcBorders>
              <w:top w:val="dotted" w:sz="6" w:space="0" w:color="auto"/>
            </w:tcBorders>
          </w:tcPr>
          <w:p w14:paraId="00CD6D1B" w14:textId="59F60922" w:rsidR="00463667" w:rsidRPr="00DF1884" w:rsidRDefault="00463667" w:rsidP="00463667">
            <w:pPr>
              <w:pStyle w:val="MarginSubhead"/>
              <w:ind w:left="0"/>
            </w:pPr>
            <w:r w:rsidRPr="00DF1884">
              <w:t>mental</w:t>
            </w:r>
            <w:r w:rsidR="00DF1884" w:rsidRPr="00DF1884">
              <w:t xml:space="preserve"> </w:t>
            </w:r>
            <w:r w:rsidRPr="00DF1884">
              <w:t>health</w:t>
            </w:r>
            <w:r w:rsidR="00DF1884" w:rsidRPr="00DF1884">
              <w:t xml:space="preserve"> </w:t>
            </w:r>
            <w:r w:rsidRPr="00DF1884">
              <w:t>practitioner</w:t>
            </w:r>
          </w:p>
        </w:tc>
        <w:tc>
          <w:tcPr>
            <w:tcW w:w="8010" w:type="dxa"/>
            <w:tcBorders>
              <w:top w:val="dotted" w:sz="6" w:space="0" w:color="auto"/>
            </w:tcBorders>
          </w:tcPr>
          <w:p w14:paraId="63DF4613" w14:textId="4D817690" w:rsidR="00463667" w:rsidRPr="00DF1884" w:rsidRDefault="00463667" w:rsidP="00C56CA6">
            <w:pPr>
              <w:pStyle w:val="Body"/>
            </w:pPr>
            <w:r w:rsidRPr="00DF1884">
              <w:t>A</w:t>
            </w:r>
            <w:r w:rsidR="00DF1884" w:rsidRPr="00DF1884">
              <w:t xml:space="preserve"> </w:t>
            </w:r>
            <w:r w:rsidRPr="00DF1884">
              <w:t>practitioner</w:t>
            </w:r>
            <w:r w:rsidR="00DF1884" w:rsidRPr="00DF1884">
              <w:t xml:space="preserve"> </w:t>
            </w:r>
            <w:r w:rsidRPr="00DF1884">
              <w:t>who</w:t>
            </w:r>
            <w:r w:rsidR="00DF1884" w:rsidRPr="00DF1884">
              <w:t xml:space="preserve"> </w:t>
            </w:r>
            <w:r w:rsidRPr="00DF1884">
              <w:t>provides</w:t>
            </w:r>
            <w:r w:rsidR="00DF1884" w:rsidRPr="00DF1884">
              <w:t xml:space="preserve"> </w:t>
            </w:r>
            <w:r w:rsidRPr="00DF1884">
              <w:t>mental</w:t>
            </w:r>
            <w:r w:rsidR="00DF1884" w:rsidRPr="00DF1884">
              <w:t xml:space="preserve"> </w:t>
            </w:r>
            <w:r w:rsidRPr="00DF1884">
              <w:t>health</w:t>
            </w:r>
            <w:r w:rsidR="00DF1884" w:rsidRPr="00DF1884">
              <w:t xml:space="preserve"> </w:t>
            </w:r>
            <w:r w:rsidRPr="00DF1884">
              <w:t>services</w:t>
            </w:r>
            <w:r w:rsidR="00DF1884" w:rsidRPr="00DF1884">
              <w:t xml:space="preserve"> </w:t>
            </w:r>
            <w:r w:rsidRPr="00DF1884">
              <w:t>and</w:t>
            </w:r>
            <w:r w:rsidR="00DF1884" w:rsidRPr="00DF1884">
              <w:t xml:space="preserve"> </w:t>
            </w:r>
            <w:r w:rsidRPr="00DF1884">
              <w:t>meets</w:t>
            </w:r>
            <w:r w:rsidR="00DF1884" w:rsidRPr="00DF1884">
              <w:t xml:space="preserve"> </w:t>
            </w:r>
            <w:r w:rsidRPr="00DF1884">
              <w:t>any</w:t>
            </w:r>
            <w:r w:rsidR="00DF1884" w:rsidRPr="00DF1884">
              <w:t xml:space="preserve"> </w:t>
            </w:r>
            <w:r w:rsidRPr="00DF1884">
              <w:t>of</w:t>
            </w:r>
            <w:r w:rsidR="00DF1884" w:rsidRPr="00DF1884">
              <w:t xml:space="preserve"> </w:t>
            </w:r>
            <w:r w:rsidRPr="00DF1884">
              <w:t>the</w:t>
            </w:r>
            <w:r w:rsidR="00DF1884" w:rsidRPr="00DF1884">
              <w:t xml:space="preserve"> </w:t>
            </w:r>
            <w:r w:rsidRPr="00DF1884">
              <w:t>following</w:t>
            </w:r>
            <w:r w:rsidR="00DF1884" w:rsidRPr="00DF1884">
              <w:t xml:space="preserve"> </w:t>
            </w:r>
            <w:r w:rsidRPr="00DF1884">
              <w:t>criteria:</w:t>
            </w:r>
          </w:p>
          <w:p w14:paraId="0790399F" w14:textId="131A459E" w:rsidR="00463667" w:rsidRPr="00DF1884" w:rsidRDefault="00463667" w:rsidP="00C56CA6">
            <w:pPr>
              <w:pStyle w:val="Bullet"/>
              <w:spacing w:after="120"/>
            </w:pPr>
            <w:r w:rsidRPr="00DF1884">
              <w:t>An</w:t>
            </w:r>
            <w:r w:rsidR="00DF1884" w:rsidRPr="00DF1884">
              <w:t xml:space="preserve"> </w:t>
            </w:r>
            <w:r w:rsidRPr="00DF1884">
              <w:t>MD</w:t>
            </w:r>
            <w:r w:rsidR="00DF1884" w:rsidRPr="00DF1884">
              <w:t xml:space="preserve"> </w:t>
            </w:r>
            <w:r w:rsidRPr="00DF1884">
              <w:t>or</w:t>
            </w:r>
            <w:r w:rsidR="00DF1884" w:rsidRPr="00DF1884">
              <w:t xml:space="preserve"> </w:t>
            </w:r>
            <w:r w:rsidRPr="00DF1884">
              <w:t>doctor</w:t>
            </w:r>
            <w:r w:rsidR="00DF1884" w:rsidRPr="00DF1884">
              <w:t xml:space="preserve"> </w:t>
            </w:r>
            <w:r w:rsidRPr="00DF1884">
              <w:t>of</w:t>
            </w:r>
            <w:r w:rsidR="00DF1884" w:rsidRPr="00DF1884">
              <w:t xml:space="preserve"> </w:t>
            </w:r>
            <w:r w:rsidRPr="00DF1884">
              <w:t>osteopathy</w:t>
            </w:r>
            <w:r w:rsidR="00DF1884" w:rsidRPr="00DF1884">
              <w:t xml:space="preserve"> </w:t>
            </w:r>
            <w:r w:rsidRPr="00DF1884">
              <w:t>(DO)</w:t>
            </w:r>
            <w:r w:rsidR="00DF1884" w:rsidRPr="00DF1884">
              <w:t xml:space="preserve"> </w:t>
            </w:r>
            <w:r w:rsidRPr="00DF1884">
              <w:t>who</w:t>
            </w:r>
            <w:r w:rsidR="00DF1884" w:rsidRPr="00DF1884">
              <w:t xml:space="preserve"> </w:t>
            </w:r>
            <w:r w:rsidRPr="00DF1884">
              <w:t>is</w:t>
            </w:r>
            <w:r w:rsidR="00DF1884" w:rsidRPr="00DF1884">
              <w:t xml:space="preserve"> </w:t>
            </w:r>
            <w:r w:rsidRPr="00DF1884">
              <w:t>certified</w:t>
            </w:r>
            <w:r w:rsidR="00DF1884" w:rsidRPr="00DF1884">
              <w:t xml:space="preserve"> </w:t>
            </w:r>
            <w:r w:rsidRPr="00DF1884">
              <w:t>as</w:t>
            </w:r>
            <w:r w:rsidR="00DF1884" w:rsidRPr="00DF1884">
              <w:t xml:space="preserve"> </w:t>
            </w:r>
            <w:r w:rsidRPr="00DF1884">
              <w:t>a</w:t>
            </w:r>
            <w:r w:rsidR="00DF1884" w:rsidRPr="00DF1884">
              <w:t xml:space="preserve"> </w:t>
            </w:r>
            <w:r w:rsidRPr="00DF1884">
              <w:t>psychiatrist</w:t>
            </w:r>
            <w:r w:rsidR="00DF1884" w:rsidRPr="00DF1884">
              <w:t xml:space="preserve"> </w:t>
            </w:r>
            <w:r w:rsidRPr="00DF1884">
              <w:t>or</w:t>
            </w:r>
            <w:r w:rsidR="00DF1884" w:rsidRPr="00DF1884">
              <w:t xml:space="preserve"> </w:t>
            </w:r>
            <w:r w:rsidRPr="00DF1884">
              <w:t>child</w:t>
            </w:r>
            <w:r w:rsidR="00DF1884" w:rsidRPr="00DF1884">
              <w:t xml:space="preserve"> </w:t>
            </w:r>
            <w:r w:rsidRPr="00DF1884">
              <w:t>psychiatrist</w:t>
            </w:r>
            <w:r w:rsidR="00DF1884" w:rsidRPr="00DF1884">
              <w:t xml:space="preserve"> </w:t>
            </w:r>
            <w:r w:rsidRPr="00DF1884">
              <w:t>by</w:t>
            </w:r>
            <w:r w:rsidR="00DF1884" w:rsidRPr="00DF1884">
              <w:t xml:space="preserve"> </w:t>
            </w:r>
            <w:r w:rsidRPr="00DF1884">
              <w:t>the</w:t>
            </w:r>
            <w:r w:rsidR="00DF1884" w:rsidRPr="00DF1884">
              <w:t xml:space="preserve"> </w:t>
            </w:r>
            <w:r w:rsidRPr="00DF1884">
              <w:t>American</w:t>
            </w:r>
            <w:r w:rsidR="00DF1884" w:rsidRPr="00DF1884">
              <w:t xml:space="preserve"> </w:t>
            </w:r>
            <w:r w:rsidRPr="00DF1884">
              <w:t>Medical</w:t>
            </w:r>
            <w:r w:rsidR="00DF1884" w:rsidRPr="00DF1884">
              <w:t xml:space="preserve"> </w:t>
            </w:r>
            <w:r w:rsidRPr="00DF1884">
              <w:t>Specialties</w:t>
            </w:r>
            <w:r w:rsidR="00DF1884" w:rsidRPr="00DF1884">
              <w:t xml:space="preserve"> </w:t>
            </w:r>
            <w:r w:rsidRPr="00DF1884">
              <w:t>Board</w:t>
            </w:r>
            <w:r w:rsidR="00DF1884" w:rsidRPr="00DF1884">
              <w:t xml:space="preserve"> </w:t>
            </w:r>
            <w:r w:rsidRPr="00DF1884">
              <w:t>of</w:t>
            </w:r>
            <w:r w:rsidR="00DF1884" w:rsidRPr="00DF1884">
              <w:t xml:space="preserve"> </w:t>
            </w:r>
            <w:r w:rsidRPr="00DF1884">
              <w:t>Psychiatry</w:t>
            </w:r>
            <w:r w:rsidR="00DF1884" w:rsidRPr="00DF1884">
              <w:t xml:space="preserve"> </w:t>
            </w:r>
            <w:r w:rsidRPr="00DF1884">
              <w:t>and</w:t>
            </w:r>
            <w:r w:rsidR="00DF1884" w:rsidRPr="00DF1884">
              <w:t xml:space="preserve"> </w:t>
            </w:r>
            <w:r w:rsidRPr="00DF1884">
              <w:t>Neurology</w:t>
            </w:r>
            <w:r w:rsidR="00DF1884" w:rsidRPr="00DF1884">
              <w:t xml:space="preserve"> </w:t>
            </w:r>
            <w:r w:rsidRPr="00DF1884">
              <w:t>or</w:t>
            </w:r>
            <w:r w:rsidR="00DF1884" w:rsidRPr="00DF1884">
              <w:t xml:space="preserve"> </w:t>
            </w:r>
            <w:r w:rsidRPr="00DF1884">
              <w:t>by</w:t>
            </w:r>
            <w:r w:rsidR="00DF1884" w:rsidRPr="00DF1884">
              <w:t xml:space="preserve"> </w:t>
            </w:r>
            <w:r w:rsidRPr="00DF1884">
              <w:t>the</w:t>
            </w:r>
            <w:r w:rsidR="00DF1884" w:rsidRPr="00DF1884">
              <w:t xml:space="preserve"> </w:t>
            </w:r>
            <w:r w:rsidRPr="00DF1884">
              <w:t>American</w:t>
            </w:r>
            <w:r w:rsidR="00DF1884" w:rsidRPr="00DF1884">
              <w:t xml:space="preserve"> </w:t>
            </w:r>
            <w:r w:rsidRPr="00DF1884">
              <w:t>Osteopathic</w:t>
            </w:r>
            <w:r w:rsidR="00DF1884" w:rsidRPr="00DF1884">
              <w:t xml:space="preserve"> </w:t>
            </w:r>
            <w:r w:rsidRPr="00DF1884">
              <w:t>Board</w:t>
            </w:r>
            <w:r w:rsidR="00DF1884" w:rsidRPr="00DF1884">
              <w:t xml:space="preserve"> </w:t>
            </w:r>
            <w:r w:rsidRPr="00DF1884">
              <w:t>of</w:t>
            </w:r>
            <w:r w:rsidR="00DF1884" w:rsidRPr="00DF1884">
              <w:t xml:space="preserve"> </w:t>
            </w:r>
            <w:r w:rsidRPr="00DF1884">
              <w:t>Neurology</w:t>
            </w:r>
            <w:r w:rsidR="00DF1884" w:rsidRPr="00DF1884">
              <w:t xml:space="preserve"> </w:t>
            </w:r>
            <w:r w:rsidRPr="00DF1884">
              <w:t>and</w:t>
            </w:r>
            <w:r w:rsidR="00DF1884" w:rsidRPr="00DF1884">
              <w:t xml:space="preserve"> </w:t>
            </w:r>
            <w:r w:rsidRPr="00DF1884">
              <w:t>Psychiatry;</w:t>
            </w:r>
            <w:r w:rsidR="00DF1884" w:rsidRPr="00DF1884">
              <w:t xml:space="preserve"> </w:t>
            </w:r>
            <w:r w:rsidRPr="00DF1884">
              <w:t>or,</w:t>
            </w:r>
            <w:r w:rsidR="00DF1884" w:rsidRPr="00DF1884">
              <w:t xml:space="preserve"> </w:t>
            </w:r>
            <w:r w:rsidRPr="00DF1884">
              <w:t>if</w:t>
            </w:r>
            <w:r w:rsidR="00DF1884" w:rsidRPr="00DF1884">
              <w:t xml:space="preserve"> </w:t>
            </w:r>
            <w:r w:rsidRPr="00DF1884">
              <w:t>not</w:t>
            </w:r>
            <w:r w:rsidR="00DF1884" w:rsidRPr="00DF1884">
              <w:t xml:space="preserve"> </w:t>
            </w:r>
            <w:r w:rsidRPr="00DF1884">
              <w:t>certified,</w:t>
            </w:r>
            <w:r w:rsidR="00DF1884" w:rsidRPr="00DF1884">
              <w:t xml:space="preserve"> </w:t>
            </w:r>
            <w:r w:rsidRPr="00DF1884">
              <w:t>who</w:t>
            </w:r>
            <w:r w:rsidR="00DF1884" w:rsidRPr="00DF1884">
              <w:t xml:space="preserve"> </w:t>
            </w:r>
            <w:r w:rsidRPr="00DF1884">
              <w:t>successfully</w:t>
            </w:r>
            <w:r w:rsidR="00DF1884" w:rsidRPr="00DF1884">
              <w:t xml:space="preserve"> </w:t>
            </w:r>
            <w:r w:rsidRPr="00DF1884">
              <w:t>completed</w:t>
            </w:r>
            <w:r w:rsidR="00DF1884" w:rsidRPr="00DF1884">
              <w:t xml:space="preserve"> </w:t>
            </w:r>
            <w:r w:rsidRPr="00DF1884">
              <w:t>an</w:t>
            </w:r>
            <w:r w:rsidR="00DF1884" w:rsidRPr="00DF1884">
              <w:t xml:space="preserve"> </w:t>
            </w:r>
            <w:r w:rsidRPr="00DF1884">
              <w:t>accredited</w:t>
            </w:r>
            <w:r w:rsidR="00DF1884" w:rsidRPr="00DF1884">
              <w:t xml:space="preserve"> </w:t>
            </w:r>
            <w:r w:rsidRPr="00DF1884">
              <w:t>program</w:t>
            </w:r>
            <w:r w:rsidR="00DF1884" w:rsidRPr="00DF1884">
              <w:t xml:space="preserve"> </w:t>
            </w:r>
            <w:r w:rsidRPr="00DF1884">
              <w:t>of</w:t>
            </w:r>
            <w:r w:rsidR="00DF1884" w:rsidRPr="00DF1884">
              <w:t xml:space="preserve"> </w:t>
            </w:r>
            <w:r w:rsidRPr="00DF1884">
              <w:t>graduate</w:t>
            </w:r>
            <w:r w:rsidR="00DF1884" w:rsidRPr="00DF1884">
              <w:t xml:space="preserve"> </w:t>
            </w:r>
            <w:r w:rsidRPr="00DF1884">
              <w:t>medical</w:t>
            </w:r>
            <w:r w:rsidR="00DF1884" w:rsidRPr="00DF1884">
              <w:t xml:space="preserve"> </w:t>
            </w:r>
            <w:r w:rsidRPr="00DF1884">
              <w:t>or</w:t>
            </w:r>
            <w:r w:rsidR="00DF1884" w:rsidRPr="00DF1884">
              <w:t xml:space="preserve"> </w:t>
            </w:r>
            <w:r w:rsidRPr="00DF1884">
              <w:t>osteopathic</w:t>
            </w:r>
            <w:r w:rsidR="00DF1884" w:rsidRPr="00DF1884">
              <w:t xml:space="preserve"> </w:t>
            </w:r>
            <w:r w:rsidRPr="00DF1884">
              <w:t>education</w:t>
            </w:r>
            <w:r w:rsidR="00DF1884" w:rsidRPr="00DF1884">
              <w:t xml:space="preserve"> </w:t>
            </w:r>
            <w:r w:rsidRPr="00DF1884">
              <w:t>in</w:t>
            </w:r>
            <w:r w:rsidR="00DF1884" w:rsidRPr="00DF1884">
              <w:t xml:space="preserve"> </w:t>
            </w:r>
            <w:r w:rsidRPr="00DF1884">
              <w:t>psychiatry</w:t>
            </w:r>
            <w:r w:rsidR="00DF1884" w:rsidRPr="00DF1884">
              <w:t xml:space="preserve"> </w:t>
            </w:r>
            <w:r w:rsidRPr="00DF1884">
              <w:t>or</w:t>
            </w:r>
            <w:r w:rsidR="00DF1884" w:rsidRPr="00DF1884">
              <w:t xml:space="preserve"> </w:t>
            </w:r>
            <w:r w:rsidRPr="00DF1884">
              <w:t>child</w:t>
            </w:r>
            <w:r w:rsidR="00DF1884" w:rsidRPr="00DF1884">
              <w:t xml:space="preserve"> </w:t>
            </w:r>
            <w:r w:rsidRPr="00DF1884">
              <w:t>psychiatry</w:t>
            </w:r>
            <w:r w:rsidR="00DF1884" w:rsidRPr="00DF1884">
              <w:t xml:space="preserve"> </w:t>
            </w:r>
            <w:r w:rsidRPr="00DF1884">
              <w:t>and</w:t>
            </w:r>
            <w:r w:rsidR="00DF1884" w:rsidRPr="00DF1884">
              <w:t xml:space="preserve"> </w:t>
            </w:r>
            <w:r w:rsidRPr="00DF1884">
              <w:t>is</w:t>
            </w:r>
            <w:r w:rsidR="00DF1884" w:rsidRPr="00DF1884">
              <w:t xml:space="preserve"> </w:t>
            </w:r>
            <w:r w:rsidRPr="00DF1884">
              <w:t>licensed</w:t>
            </w:r>
            <w:r w:rsidR="00DF1884" w:rsidRPr="00DF1884">
              <w:t xml:space="preserve"> </w:t>
            </w:r>
            <w:r w:rsidRPr="00DF1884">
              <w:t>to</w:t>
            </w:r>
            <w:r w:rsidR="00DF1884" w:rsidRPr="00DF1884">
              <w:t xml:space="preserve"> </w:t>
            </w:r>
            <w:r w:rsidRPr="00DF1884">
              <w:t>practice</w:t>
            </w:r>
            <w:r w:rsidR="00DF1884" w:rsidRPr="00DF1884">
              <w:t xml:space="preserve"> </w:t>
            </w:r>
            <w:r w:rsidRPr="00DF1884">
              <w:t>patient</w:t>
            </w:r>
            <w:r w:rsidR="00DF1884" w:rsidRPr="00DF1884">
              <w:t xml:space="preserve"> </w:t>
            </w:r>
            <w:r w:rsidRPr="00DF1884">
              <w:t>care</w:t>
            </w:r>
            <w:r w:rsidR="00DF1884" w:rsidRPr="00DF1884">
              <w:t xml:space="preserve"> </w:t>
            </w:r>
            <w:r w:rsidRPr="00DF1884">
              <w:t>psychiatry</w:t>
            </w:r>
            <w:r w:rsidR="00DF1884" w:rsidRPr="00DF1884">
              <w:t xml:space="preserve"> </w:t>
            </w:r>
            <w:r w:rsidRPr="00DF1884">
              <w:t>or</w:t>
            </w:r>
            <w:r w:rsidR="00DF1884" w:rsidRPr="00DF1884">
              <w:t xml:space="preserve"> </w:t>
            </w:r>
            <w:r w:rsidRPr="00DF1884">
              <w:t>child</w:t>
            </w:r>
            <w:r w:rsidR="00DF1884" w:rsidRPr="00DF1884">
              <w:t xml:space="preserve"> </w:t>
            </w:r>
            <w:r w:rsidRPr="00DF1884">
              <w:t>psychiatry,</w:t>
            </w:r>
            <w:r w:rsidR="00DF1884" w:rsidRPr="00DF1884">
              <w:t xml:space="preserve"> </w:t>
            </w:r>
            <w:r w:rsidRPr="00DF1884">
              <w:t>if</w:t>
            </w:r>
            <w:r w:rsidR="00DF1884" w:rsidRPr="00DF1884">
              <w:t xml:space="preserve"> </w:t>
            </w:r>
            <w:r w:rsidRPr="00DF1884">
              <w:t>required</w:t>
            </w:r>
            <w:r w:rsidR="00DF1884" w:rsidRPr="00DF1884">
              <w:t xml:space="preserve"> </w:t>
            </w:r>
            <w:r w:rsidRPr="00DF1884">
              <w:t>by</w:t>
            </w:r>
            <w:r w:rsidR="00DF1884" w:rsidRPr="00DF1884">
              <w:t xml:space="preserve"> </w:t>
            </w:r>
            <w:r w:rsidRPr="00DF1884">
              <w:t>the</w:t>
            </w:r>
            <w:r w:rsidR="00DF1884" w:rsidRPr="00DF1884">
              <w:t xml:space="preserve"> </w:t>
            </w:r>
            <w:r w:rsidRPr="00DF1884">
              <w:t>state</w:t>
            </w:r>
            <w:r w:rsidR="00DF1884" w:rsidRPr="00DF1884">
              <w:t xml:space="preserve"> </w:t>
            </w:r>
            <w:r w:rsidRPr="00DF1884">
              <w:t>of</w:t>
            </w:r>
            <w:r w:rsidR="00DF1884" w:rsidRPr="00DF1884">
              <w:t xml:space="preserve"> </w:t>
            </w:r>
            <w:r w:rsidRPr="00DF1884">
              <w:t>practice.</w:t>
            </w:r>
          </w:p>
          <w:p w14:paraId="42FF4B39" w14:textId="6780DADB" w:rsidR="00463667" w:rsidRPr="00DF1884" w:rsidRDefault="00463667" w:rsidP="00C56CA6">
            <w:pPr>
              <w:pStyle w:val="Bullet"/>
              <w:spacing w:before="0"/>
            </w:pPr>
            <w:r w:rsidRPr="00DF1884">
              <w:t>An</w:t>
            </w:r>
            <w:r w:rsidR="00DF1884" w:rsidRPr="00DF1884">
              <w:t xml:space="preserve"> </w:t>
            </w:r>
            <w:r w:rsidRPr="00DF1884">
              <w:t>individual</w:t>
            </w:r>
            <w:r w:rsidR="00DF1884" w:rsidRPr="00DF1884">
              <w:t xml:space="preserve"> </w:t>
            </w:r>
            <w:r w:rsidRPr="00DF1884">
              <w:t>who</w:t>
            </w:r>
            <w:r w:rsidR="00DF1884" w:rsidRPr="00DF1884">
              <w:t xml:space="preserve"> </w:t>
            </w:r>
            <w:r w:rsidRPr="00DF1884">
              <w:t>is</w:t>
            </w:r>
            <w:r w:rsidR="00DF1884" w:rsidRPr="00DF1884">
              <w:t xml:space="preserve"> </w:t>
            </w:r>
            <w:r w:rsidRPr="00DF1884">
              <w:t>licensed</w:t>
            </w:r>
            <w:r w:rsidR="00DF1884" w:rsidRPr="00DF1884">
              <w:t xml:space="preserve"> </w:t>
            </w:r>
            <w:r w:rsidRPr="00DF1884">
              <w:t>as</w:t>
            </w:r>
            <w:r w:rsidR="00DF1884" w:rsidRPr="00DF1884">
              <w:t xml:space="preserve"> </w:t>
            </w:r>
            <w:r w:rsidRPr="00DF1884">
              <w:t>a</w:t>
            </w:r>
            <w:r w:rsidR="00DF1884" w:rsidRPr="00DF1884">
              <w:t xml:space="preserve"> </w:t>
            </w:r>
            <w:r w:rsidRPr="00DF1884">
              <w:t>psychologist</w:t>
            </w:r>
            <w:r w:rsidR="00DF1884" w:rsidRPr="00DF1884">
              <w:t xml:space="preserve"> </w:t>
            </w:r>
            <w:r w:rsidRPr="00DF1884">
              <w:t>in</w:t>
            </w:r>
            <w:r w:rsidR="00DF1884" w:rsidRPr="00DF1884">
              <w:t xml:space="preserve"> </w:t>
            </w:r>
            <w:r w:rsidRPr="00DF1884">
              <w:t>his/her</w:t>
            </w:r>
            <w:r w:rsidR="00DF1884" w:rsidRPr="00DF1884">
              <w:t xml:space="preserve"> </w:t>
            </w:r>
            <w:r w:rsidRPr="00DF1884">
              <w:t>state</w:t>
            </w:r>
            <w:r w:rsidR="00DF1884" w:rsidRPr="00DF1884">
              <w:t xml:space="preserve"> </w:t>
            </w:r>
            <w:r w:rsidRPr="00DF1884">
              <w:t>of</w:t>
            </w:r>
            <w:r w:rsidR="00DF1884" w:rsidRPr="00DF1884">
              <w:t xml:space="preserve"> </w:t>
            </w:r>
            <w:r w:rsidRPr="00DF1884">
              <w:t>practice</w:t>
            </w:r>
            <w:r w:rsidR="006E6B8A" w:rsidRPr="00DF1884">
              <w:t>,</w:t>
            </w:r>
            <w:r w:rsidR="00DF1884" w:rsidRPr="00DF1884">
              <w:t xml:space="preserve"> </w:t>
            </w:r>
            <w:r w:rsidR="006E6B8A" w:rsidRPr="00DF1884">
              <w:t>if</w:t>
            </w:r>
            <w:r w:rsidR="00DF1884" w:rsidRPr="00DF1884">
              <w:t xml:space="preserve"> </w:t>
            </w:r>
            <w:r w:rsidR="006E6B8A" w:rsidRPr="00DF1884">
              <w:t>required</w:t>
            </w:r>
            <w:r w:rsidR="00DF1884" w:rsidRPr="00DF1884">
              <w:t xml:space="preserve"> </w:t>
            </w:r>
            <w:r w:rsidR="006E6B8A" w:rsidRPr="00DF1884">
              <w:t>by</w:t>
            </w:r>
            <w:r w:rsidR="00DF1884" w:rsidRPr="00DF1884">
              <w:t xml:space="preserve"> </w:t>
            </w:r>
            <w:r w:rsidR="006E6B8A" w:rsidRPr="00DF1884">
              <w:t>the</w:t>
            </w:r>
            <w:r w:rsidR="00DF1884" w:rsidRPr="00DF1884">
              <w:t xml:space="preserve"> </w:t>
            </w:r>
            <w:r w:rsidR="006E6B8A" w:rsidRPr="00DF1884">
              <w:t>state</w:t>
            </w:r>
            <w:r w:rsidR="00DF1884" w:rsidRPr="00DF1884">
              <w:t xml:space="preserve"> </w:t>
            </w:r>
            <w:r w:rsidR="006E6B8A" w:rsidRPr="00DF1884">
              <w:t>of</w:t>
            </w:r>
            <w:r w:rsidR="00DF1884" w:rsidRPr="00DF1884">
              <w:t xml:space="preserve"> </w:t>
            </w:r>
            <w:r w:rsidR="006E6B8A" w:rsidRPr="00DF1884">
              <w:t>practice</w:t>
            </w:r>
            <w:r w:rsidRPr="00DF1884">
              <w:t>.</w:t>
            </w:r>
          </w:p>
          <w:p w14:paraId="56F5A7F7" w14:textId="260C8B87" w:rsidR="00463667" w:rsidRPr="00DF1884" w:rsidRDefault="00463667" w:rsidP="00C56CA6">
            <w:pPr>
              <w:pStyle w:val="Bullet"/>
              <w:spacing w:after="120"/>
              <w:rPr>
                <w:bCs/>
              </w:rPr>
            </w:pPr>
            <w:r w:rsidRPr="00DF1884">
              <w:t>An</w:t>
            </w:r>
            <w:r w:rsidR="00DF1884" w:rsidRPr="00DF1884">
              <w:t xml:space="preserve"> </w:t>
            </w:r>
            <w:r w:rsidRPr="00DF1884">
              <w:t>individual</w:t>
            </w:r>
            <w:r w:rsidR="00DF1884" w:rsidRPr="00DF1884">
              <w:t xml:space="preserve"> </w:t>
            </w:r>
            <w:r w:rsidRPr="00DF1884">
              <w:t>who</w:t>
            </w:r>
            <w:r w:rsidR="00DF1884" w:rsidRPr="00DF1884">
              <w:t xml:space="preserve"> </w:t>
            </w:r>
            <w:r w:rsidRPr="00DF1884">
              <w:t>is</w:t>
            </w:r>
            <w:r w:rsidR="00DF1884" w:rsidRPr="00DF1884">
              <w:t xml:space="preserve"> </w:t>
            </w:r>
            <w:r w:rsidRPr="00DF1884">
              <w:t>certified</w:t>
            </w:r>
            <w:r w:rsidR="00DF1884" w:rsidRPr="00DF1884">
              <w:t xml:space="preserve"> </w:t>
            </w:r>
            <w:r w:rsidRPr="00DF1884">
              <w:t>in</w:t>
            </w:r>
            <w:r w:rsidR="00DF1884" w:rsidRPr="00DF1884">
              <w:t xml:space="preserve"> </w:t>
            </w:r>
            <w:r w:rsidRPr="00DF1884">
              <w:t>clinical</w:t>
            </w:r>
            <w:r w:rsidR="00DF1884" w:rsidRPr="00DF1884">
              <w:t xml:space="preserve"> </w:t>
            </w:r>
            <w:r w:rsidRPr="00DF1884">
              <w:t>social</w:t>
            </w:r>
            <w:r w:rsidR="00DF1884" w:rsidRPr="00DF1884">
              <w:t xml:space="preserve"> </w:t>
            </w:r>
            <w:r w:rsidRPr="00DF1884">
              <w:t>work</w:t>
            </w:r>
            <w:r w:rsidR="00DF1884" w:rsidRPr="00DF1884">
              <w:t xml:space="preserve"> </w:t>
            </w:r>
            <w:r w:rsidRPr="00DF1884">
              <w:t>by</w:t>
            </w:r>
            <w:r w:rsidR="00DF1884" w:rsidRPr="00DF1884">
              <w:t xml:space="preserve"> </w:t>
            </w:r>
            <w:r w:rsidRPr="00DF1884">
              <w:t>the</w:t>
            </w:r>
            <w:r w:rsidR="00DF1884" w:rsidRPr="00DF1884">
              <w:t xml:space="preserve"> </w:t>
            </w:r>
            <w:r w:rsidRPr="00DF1884">
              <w:t>American</w:t>
            </w:r>
            <w:r w:rsidR="00DF1884" w:rsidRPr="00DF1884">
              <w:t xml:space="preserve"> </w:t>
            </w:r>
            <w:r w:rsidRPr="00DF1884">
              <w:t>Board</w:t>
            </w:r>
            <w:r w:rsidR="00DF1884" w:rsidRPr="00DF1884">
              <w:t xml:space="preserve"> </w:t>
            </w:r>
            <w:r w:rsidRPr="00DF1884">
              <w:t>of</w:t>
            </w:r>
            <w:r w:rsidR="00DF1884" w:rsidRPr="00DF1884">
              <w:t xml:space="preserve"> </w:t>
            </w:r>
            <w:r w:rsidRPr="00DF1884">
              <w:t>Examiners;</w:t>
            </w:r>
            <w:r w:rsidR="00DF1884" w:rsidRPr="00DF1884">
              <w:t xml:space="preserve"> </w:t>
            </w:r>
            <w:r w:rsidRPr="00DF1884">
              <w:t>who</w:t>
            </w:r>
            <w:r w:rsidR="00DF1884" w:rsidRPr="00DF1884">
              <w:t xml:space="preserve"> </w:t>
            </w:r>
            <w:r w:rsidRPr="00DF1884">
              <w:t>is</w:t>
            </w:r>
            <w:r w:rsidR="00DF1884" w:rsidRPr="00DF1884">
              <w:t xml:space="preserve"> </w:t>
            </w:r>
            <w:r w:rsidRPr="00DF1884">
              <w:t>listed</w:t>
            </w:r>
            <w:r w:rsidR="00DF1884" w:rsidRPr="00DF1884">
              <w:t xml:space="preserve"> </w:t>
            </w:r>
            <w:r w:rsidRPr="00DF1884">
              <w:t>on</w:t>
            </w:r>
            <w:r w:rsidR="00DF1884" w:rsidRPr="00DF1884">
              <w:t xml:space="preserve"> </w:t>
            </w:r>
            <w:r w:rsidRPr="00DF1884">
              <w:t>the</w:t>
            </w:r>
            <w:r w:rsidR="00DF1884" w:rsidRPr="00DF1884">
              <w:t xml:space="preserve"> </w:t>
            </w:r>
            <w:r w:rsidRPr="00DF1884">
              <w:t>National</w:t>
            </w:r>
            <w:r w:rsidR="00DF1884" w:rsidRPr="00DF1884">
              <w:t xml:space="preserve"> </w:t>
            </w:r>
            <w:r w:rsidRPr="00DF1884">
              <w:t>Association</w:t>
            </w:r>
            <w:r w:rsidR="00DF1884" w:rsidRPr="00DF1884">
              <w:t xml:space="preserve"> </w:t>
            </w:r>
            <w:r w:rsidRPr="00DF1884">
              <w:t>of</w:t>
            </w:r>
            <w:r w:rsidR="00DF1884" w:rsidRPr="00DF1884">
              <w:t xml:space="preserve"> </w:t>
            </w:r>
            <w:r w:rsidRPr="00DF1884">
              <w:t>Social</w:t>
            </w:r>
            <w:r w:rsidR="00DF1884" w:rsidRPr="00DF1884">
              <w:t xml:space="preserve"> </w:t>
            </w:r>
            <w:r w:rsidRPr="00DF1884">
              <w:t>Worker’s</w:t>
            </w:r>
            <w:r w:rsidR="00DF1884" w:rsidRPr="00DF1884">
              <w:t xml:space="preserve"> </w:t>
            </w:r>
            <w:r w:rsidRPr="00DF1884">
              <w:t>Clinical</w:t>
            </w:r>
            <w:r w:rsidR="00DF1884" w:rsidRPr="00DF1884">
              <w:t xml:space="preserve"> </w:t>
            </w:r>
            <w:r w:rsidRPr="00DF1884">
              <w:t>Register;</w:t>
            </w:r>
            <w:r w:rsidR="00DF1884" w:rsidRPr="00DF1884">
              <w:t xml:space="preserve"> </w:t>
            </w:r>
            <w:r w:rsidRPr="00DF1884">
              <w:t>or</w:t>
            </w:r>
            <w:r w:rsidR="00DF1884" w:rsidRPr="00DF1884">
              <w:t xml:space="preserve"> </w:t>
            </w:r>
            <w:r w:rsidRPr="00DF1884">
              <w:t>who</w:t>
            </w:r>
            <w:r w:rsidR="00DF1884" w:rsidRPr="00DF1884">
              <w:t xml:space="preserve"> </w:t>
            </w:r>
            <w:r w:rsidRPr="00DF1884">
              <w:t>has</w:t>
            </w:r>
            <w:r w:rsidR="00DF1884" w:rsidRPr="00DF1884">
              <w:t xml:space="preserve"> </w:t>
            </w:r>
            <w:r w:rsidRPr="00DF1884">
              <w:t>a</w:t>
            </w:r>
            <w:r w:rsidR="00DF1884" w:rsidRPr="00DF1884">
              <w:t xml:space="preserve"> </w:t>
            </w:r>
            <w:r w:rsidRPr="00DF1884">
              <w:t>master’s</w:t>
            </w:r>
            <w:r w:rsidR="00DF1884" w:rsidRPr="00DF1884">
              <w:t xml:space="preserve"> </w:t>
            </w:r>
            <w:r w:rsidRPr="00DF1884">
              <w:t>degree</w:t>
            </w:r>
            <w:r w:rsidR="00DF1884" w:rsidRPr="00DF1884">
              <w:t xml:space="preserve"> </w:t>
            </w:r>
            <w:r w:rsidRPr="00DF1884">
              <w:t>in</w:t>
            </w:r>
            <w:r w:rsidR="00DF1884" w:rsidRPr="00DF1884">
              <w:t xml:space="preserve"> </w:t>
            </w:r>
            <w:r w:rsidRPr="00DF1884">
              <w:t>social</w:t>
            </w:r>
            <w:r w:rsidR="00DF1884" w:rsidRPr="00DF1884">
              <w:t xml:space="preserve"> </w:t>
            </w:r>
            <w:r w:rsidRPr="00DF1884">
              <w:t>work</w:t>
            </w:r>
            <w:r w:rsidR="00DF1884" w:rsidRPr="00DF1884">
              <w:t xml:space="preserve"> </w:t>
            </w:r>
            <w:r w:rsidRPr="00DF1884">
              <w:t>and</w:t>
            </w:r>
            <w:r w:rsidR="00DF1884" w:rsidRPr="00DF1884">
              <w:t xml:space="preserve"> </w:t>
            </w:r>
            <w:r w:rsidRPr="00DF1884">
              <w:t>is</w:t>
            </w:r>
            <w:r w:rsidR="00DF1884" w:rsidRPr="00DF1884">
              <w:t xml:space="preserve"> </w:t>
            </w:r>
            <w:r w:rsidRPr="00DF1884">
              <w:t>licensed</w:t>
            </w:r>
            <w:r w:rsidR="00DF1884" w:rsidRPr="00DF1884">
              <w:t xml:space="preserve"> </w:t>
            </w:r>
            <w:r w:rsidRPr="00DF1884">
              <w:t>or</w:t>
            </w:r>
            <w:r w:rsidR="00DF1884" w:rsidRPr="00DF1884">
              <w:t xml:space="preserve"> </w:t>
            </w:r>
            <w:r w:rsidRPr="00DF1884">
              <w:t>certified</w:t>
            </w:r>
            <w:r w:rsidR="00DF1884" w:rsidRPr="00DF1884">
              <w:t xml:space="preserve"> </w:t>
            </w:r>
            <w:r w:rsidRPr="00DF1884">
              <w:t>to</w:t>
            </w:r>
            <w:r w:rsidR="00DF1884" w:rsidRPr="00DF1884">
              <w:t xml:space="preserve"> </w:t>
            </w:r>
            <w:r w:rsidRPr="00DF1884">
              <w:t>practice</w:t>
            </w:r>
            <w:r w:rsidR="00DF1884" w:rsidRPr="00DF1884">
              <w:t xml:space="preserve"> </w:t>
            </w:r>
            <w:r w:rsidRPr="00DF1884">
              <w:t>as</w:t>
            </w:r>
            <w:r w:rsidR="00DF1884" w:rsidRPr="00DF1884">
              <w:t xml:space="preserve"> </w:t>
            </w:r>
            <w:r w:rsidRPr="00DF1884">
              <w:t>a</w:t>
            </w:r>
            <w:r w:rsidR="00DF1884" w:rsidRPr="00DF1884">
              <w:t xml:space="preserve"> </w:t>
            </w:r>
            <w:r w:rsidRPr="00DF1884">
              <w:t>social</w:t>
            </w:r>
            <w:r w:rsidR="00DF1884" w:rsidRPr="00DF1884">
              <w:t xml:space="preserve"> </w:t>
            </w:r>
            <w:r w:rsidRPr="00DF1884">
              <w:t>worker,</w:t>
            </w:r>
            <w:r w:rsidR="00DF1884" w:rsidRPr="00DF1884">
              <w:t xml:space="preserve"> </w:t>
            </w:r>
            <w:r w:rsidRPr="00DF1884">
              <w:t>if</w:t>
            </w:r>
            <w:r w:rsidR="00DF1884" w:rsidRPr="00DF1884">
              <w:t xml:space="preserve"> </w:t>
            </w:r>
            <w:r w:rsidRPr="00DF1884">
              <w:t>required</w:t>
            </w:r>
            <w:r w:rsidR="00DF1884" w:rsidRPr="00DF1884">
              <w:t xml:space="preserve"> </w:t>
            </w:r>
            <w:r w:rsidRPr="00DF1884">
              <w:t>by</w:t>
            </w:r>
            <w:r w:rsidR="00DF1884" w:rsidRPr="00DF1884">
              <w:t xml:space="preserve"> </w:t>
            </w:r>
            <w:r w:rsidRPr="00DF1884">
              <w:t>the</w:t>
            </w:r>
            <w:r w:rsidR="00DF1884" w:rsidRPr="00DF1884">
              <w:t xml:space="preserve"> </w:t>
            </w:r>
            <w:r w:rsidRPr="00DF1884">
              <w:t>state</w:t>
            </w:r>
            <w:r w:rsidR="00DF1884" w:rsidRPr="00DF1884">
              <w:t xml:space="preserve"> </w:t>
            </w:r>
            <w:r w:rsidRPr="00DF1884">
              <w:t>of</w:t>
            </w:r>
            <w:r w:rsidR="00DF1884" w:rsidRPr="00DF1884">
              <w:t xml:space="preserve"> </w:t>
            </w:r>
            <w:r w:rsidRPr="00DF1884">
              <w:t>practice.</w:t>
            </w:r>
          </w:p>
          <w:p w14:paraId="29399BE7" w14:textId="7185C554" w:rsidR="00463667" w:rsidRPr="00DF1884" w:rsidRDefault="00463667" w:rsidP="00C56CA6">
            <w:pPr>
              <w:pStyle w:val="Bullet"/>
              <w:spacing w:before="0"/>
            </w:pPr>
            <w:r w:rsidRPr="00DF1884">
              <w:t>A</w:t>
            </w:r>
            <w:r w:rsidR="00DF1884" w:rsidRPr="00DF1884">
              <w:t xml:space="preserve"> </w:t>
            </w:r>
            <w:r w:rsidRPr="00DF1884">
              <w:t>registered</w:t>
            </w:r>
            <w:r w:rsidR="00DF1884" w:rsidRPr="00DF1884">
              <w:t xml:space="preserve"> </w:t>
            </w:r>
            <w:r w:rsidRPr="00DF1884">
              <w:t>nurse</w:t>
            </w:r>
            <w:r w:rsidR="00DF1884" w:rsidRPr="00DF1884">
              <w:t xml:space="preserve"> </w:t>
            </w:r>
            <w:r w:rsidRPr="00DF1884">
              <w:t>(RN)</w:t>
            </w:r>
            <w:r w:rsidR="00DF1884" w:rsidRPr="00DF1884">
              <w:t xml:space="preserve"> </w:t>
            </w:r>
            <w:r w:rsidRPr="00DF1884">
              <w:t>who</w:t>
            </w:r>
            <w:r w:rsidR="00DF1884" w:rsidRPr="00DF1884">
              <w:t xml:space="preserve"> </w:t>
            </w:r>
            <w:r w:rsidRPr="00DF1884">
              <w:t>is</w:t>
            </w:r>
            <w:r w:rsidR="00DF1884" w:rsidRPr="00DF1884">
              <w:t xml:space="preserve"> </w:t>
            </w:r>
            <w:r w:rsidRPr="00DF1884">
              <w:t>certified</w:t>
            </w:r>
            <w:r w:rsidR="00DF1884" w:rsidRPr="00DF1884">
              <w:t xml:space="preserve"> </w:t>
            </w:r>
            <w:r w:rsidRPr="00DF1884">
              <w:t>by</w:t>
            </w:r>
            <w:r w:rsidR="00DF1884" w:rsidRPr="00DF1884">
              <w:t xml:space="preserve"> </w:t>
            </w:r>
            <w:r w:rsidRPr="00DF1884">
              <w:t>the</w:t>
            </w:r>
            <w:r w:rsidR="00DF1884" w:rsidRPr="00DF1884">
              <w:t xml:space="preserve"> </w:t>
            </w:r>
            <w:r w:rsidRPr="00DF1884">
              <w:t>American</w:t>
            </w:r>
            <w:r w:rsidR="00DF1884" w:rsidRPr="00DF1884">
              <w:t xml:space="preserve"> </w:t>
            </w:r>
            <w:r w:rsidRPr="00DF1884">
              <w:t>Nurses</w:t>
            </w:r>
            <w:r w:rsidR="00DF1884" w:rsidRPr="00DF1884">
              <w:t xml:space="preserve"> </w:t>
            </w:r>
            <w:r w:rsidRPr="00DF1884">
              <w:t>Credentialing</w:t>
            </w:r>
            <w:r w:rsidR="00DF1884" w:rsidRPr="00DF1884">
              <w:t xml:space="preserve"> </w:t>
            </w:r>
            <w:r w:rsidRPr="00DF1884">
              <w:t>Center</w:t>
            </w:r>
            <w:r w:rsidR="00DF1884" w:rsidRPr="00DF1884">
              <w:t xml:space="preserve"> </w:t>
            </w:r>
            <w:r w:rsidRPr="00DF1884">
              <w:t>(a</w:t>
            </w:r>
            <w:r w:rsidR="00DF1884" w:rsidRPr="00DF1884">
              <w:t xml:space="preserve"> </w:t>
            </w:r>
            <w:r w:rsidRPr="00DF1884">
              <w:t>subsidiary</w:t>
            </w:r>
            <w:r w:rsidR="00DF1884" w:rsidRPr="00DF1884">
              <w:t xml:space="preserve"> </w:t>
            </w:r>
            <w:r w:rsidRPr="00DF1884">
              <w:t>of</w:t>
            </w:r>
            <w:r w:rsidR="00DF1884" w:rsidRPr="00DF1884">
              <w:t xml:space="preserve"> </w:t>
            </w:r>
            <w:r w:rsidRPr="00DF1884">
              <w:t>the</w:t>
            </w:r>
            <w:r w:rsidR="00DF1884" w:rsidRPr="00DF1884">
              <w:t xml:space="preserve"> </w:t>
            </w:r>
            <w:r w:rsidRPr="00DF1884">
              <w:t>American</w:t>
            </w:r>
            <w:r w:rsidR="00DF1884" w:rsidRPr="00DF1884">
              <w:t xml:space="preserve"> </w:t>
            </w:r>
            <w:r w:rsidRPr="00DF1884">
              <w:t>Nurses</w:t>
            </w:r>
            <w:r w:rsidR="00DF1884" w:rsidRPr="00DF1884">
              <w:t xml:space="preserve"> </w:t>
            </w:r>
            <w:r w:rsidRPr="00DF1884">
              <w:t>Association)</w:t>
            </w:r>
            <w:r w:rsidR="00DF1884" w:rsidRPr="00DF1884">
              <w:t xml:space="preserve"> </w:t>
            </w:r>
            <w:r w:rsidRPr="00DF1884">
              <w:t>as</w:t>
            </w:r>
            <w:r w:rsidR="00DF1884" w:rsidRPr="00DF1884">
              <w:t xml:space="preserve"> </w:t>
            </w:r>
            <w:r w:rsidRPr="00DF1884">
              <w:t>a</w:t>
            </w:r>
            <w:r w:rsidR="00DF1884" w:rsidRPr="00DF1884">
              <w:t xml:space="preserve"> </w:t>
            </w:r>
            <w:r w:rsidRPr="00DF1884">
              <w:t>psychiatric</w:t>
            </w:r>
            <w:r w:rsidR="00DF1884" w:rsidRPr="00DF1884">
              <w:t xml:space="preserve"> </w:t>
            </w:r>
            <w:r w:rsidRPr="00DF1884">
              <w:t>nurse</w:t>
            </w:r>
            <w:r w:rsidR="00DF1884" w:rsidRPr="00DF1884">
              <w:t xml:space="preserve"> </w:t>
            </w:r>
            <w:r w:rsidRPr="00DF1884">
              <w:t>or</w:t>
            </w:r>
            <w:r w:rsidR="00DF1884" w:rsidRPr="00DF1884">
              <w:t xml:space="preserve"> </w:t>
            </w:r>
            <w:r w:rsidRPr="00DF1884">
              <w:t>mental</w:t>
            </w:r>
            <w:r w:rsidR="00DF1884" w:rsidRPr="00DF1884">
              <w:t xml:space="preserve"> </w:t>
            </w:r>
            <w:r w:rsidRPr="00DF1884">
              <w:t>health</w:t>
            </w:r>
            <w:r w:rsidR="00DF1884" w:rsidRPr="00DF1884">
              <w:t xml:space="preserve"> </w:t>
            </w:r>
            <w:r w:rsidRPr="00DF1884">
              <w:t>clinical</w:t>
            </w:r>
            <w:r w:rsidR="00DF1884" w:rsidRPr="00DF1884">
              <w:t xml:space="preserve"> </w:t>
            </w:r>
            <w:r w:rsidRPr="00DF1884">
              <w:t>nurse</w:t>
            </w:r>
            <w:r w:rsidR="00DF1884" w:rsidRPr="00DF1884">
              <w:t xml:space="preserve"> </w:t>
            </w:r>
            <w:r w:rsidRPr="00DF1884">
              <w:t>specialist,</w:t>
            </w:r>
            <w:r w:rsidR="00DF1884" w:rsidRPr="00DF1884">
              <w:t xml:space="preserve"> </w:t>
            </w:r>
            <w:r w:rsidRPr="00DF1884">
              <w:t>or</w:t>
            </w:r>
            <w:r w:rsidR="00DF1884" w:rsidRPr="00DF1884">
              <w:t xml:space="preserve"> </w:t>
            </w:r>
            <w:r w:rsidRPr="00DF1884">
              <w:t>who</w:t>
            </w:r>
            <w:r w:rsidR="00DF1884" w:rsidRPr="00DF1884">
              <w:t xml:space="preserve"> </w:t>
            </w:r>
            <w:r w:rsidRPr="00DF1884">
              <w:t>has</w:t>
            </w:r>
            <w:r w:rsidR="00DF1884" w:rsidRPr="00DF1884">
              <w:t xml:space="preserve"> </w:t>
            </w:r>
            <w:r w:rsidRPr="00DF1884">
              <w:t>a</w:t>
            </w:r>
            <w:r w:rsidR="00DF1884" w:rsidRPr="00DF1884">
              <w:t xml:space="preserve"> </w:t>
            </w:r>
            <w:r w:rsidRPr="00DF1884">
              <w:t>master’s</w:t>
            </w:r>
            <w:r w:rsidR="00DF1884" w:rsidRPr="00DF1884">
              <w:t xml:space="preserve"> </w:t>
            </w:r>
            <w:r w:rsidRPr="00DF1884">
              <w:t>degree</w:t>
            </w:r>
            <w:r w:rsidR="00DF1884" w:rsidRPr="00DF1884">
              <w:t xml:space="preserve"> </w:t>
            </w:r>
            <w:r w:rsidRPr="00DF1884">
              <w:t>in</w:t>
            </w:r>
            <w:r w:rsidR="00DF1884" w:rsidRPr="00DF1884">
              <w:t xml:space="preserve"> </w:t>
            </w:r>
            <w:r w:rsidRPr="00DF1884">
              <w:t>nursing</w:t>
            </w:r>
            <w:r w:rsidR="00DF1884" w:rsidRPr="00DF1884">
              <w:t xml:space="preserve"> </w:t>
            </w:r>
            <w:r w:rsidRPr="00DF1884">
              <w:t>with</w:t>
            </w:r>
            <w:r w:rsidR="00DF1884" w:rsidRPr="00DF1884">
              <w:t xml:space="preserve"> </w:t>
            </w:r>
            <w:r w:rsidRPr="00DF1884">
              <w:t>a</w:t>
            </w:r>
            <w:r w:rsidR="00DF1884" w:rsidRPr="00DF1884">
              <w:t xml:space="preserve"> </w:t>
            </w:r>
            <w:r w:rsidRPr="00DF1884">
              <w:t>specialization</w:t>
            </w:r>
            <w:r w:rsidR="00DF1884" w:rsidRPr="00DF1884">
              <w:t xml:space="preserve"> </w:t>
            </w:r>
            <w:r w:rsidRPr="00DF1884">
              <w:t>in</w:t>
            </w:r>
            <w:r w:rsidR="00DF1884" w:rsidRPr="00DF1884">
              <w:t xml:space="preserve"> </w:t>
            </w:r>
            <w:r w:rsidRPr="00DF1884">
              <w:t>psychiatric/mental</w:t>
            </w:r>
            <w:r w:rsidR="00DF1884" w:rsidRPr="00DF1884">
              <w:t xml:space="preserve"> </w:t>
            </w:r>
            <w:r w:rsidRPr="00DF1884">
              <w:t>health</w:t>
            </w:r>
            <w:r w:rsidR="00DF1884" w:rsidRPr="00DF1884">
              <w:t xml:space="preserve"> </w:t>
            </w:r>
            <w:r w:rsidRPr="00DF1884">
              <w:t>and</w:t>
            </w:r>
            <w:r w:rsidR="00DF1884" w:rsidRPr="00DF1884">
              <w:t xml:space="preserve"> </w:t>
            </w:r>
            <w:r w:rsidRPr="00DF1884">
              <w:t>two</w:t>
            </w:r>
            <w:r w:rsidR="00DF1884" w:rsidRPr="00DF1884">
              <w:t xml:space="preserve"> </w:t>
            </w:r>
            <w:r w:rsidRPr="00DF1884">
              <w:t>years</w:t>
            </w:r>
            <w:r w:rsidR="00DF1884" w:rsidRPr="00DF1884">
              <w:t xml:space="preserve"> </w:t>
            </w:r>
            <w:r w:rsidRPr="00DF1884">
              <w:t>of</w:t>
            </w:r>
            <w:r w:rsidR="00DF1884" w:rsidRPr="00DF1884">
              <w:t xml:space="preserve"> </w:t>
            </w:r>
            <w:r w:rsidRPr="00DF1884">
              <w:t>supervised</w:t>
            </w:r>
            <w:r w:rsidR="00DF1884" w:rsidRPr="00DF1884">
              <w:t xml:space="preserve"> </w:t>
            </w:r>
            <w:r w:rsidRPr="00DF1884">
              <w:t>clinical</w:t>
            </w:r>
            <w:r w:rsidR="00DF1884" w:rsidRPr="00DF1884">
              <w:t xml:space="preserve"> </w:t>
            </w:r>
            <w:r w:rsidRPr="00DF1884">
              <w:t>experience</w:t>
            </w:r>
            <w:r w:rsidR="00DF1884" w:rsidRPr="00DF1884">
              <w:t xml:space="preserve"> </w:t>
            </w:r>
            <w:r w:rsidRPr="00DF1884">
              <w:t>and</w:t>
            </w:r>
            <w:r w:rsidR="00DF1884" w:rsidRPr="00DF1884">
              <w:t xml:space="preserve"> </w:t>
            </w:r>
            <w:r w:rsidRPr="00DF1884">
              <w:t>is</w:t>
            </w:r>
            <w:r w:rsidR="00DF1884" w:rsidRPr="00DF1884">
              <w:t xml:space="preserve"> </w:t>
            </w:r>
            <w:r w:rsidRPr="00DF1884">
              <w:t>licensed</w:t>
            </w:r>
            <w:r w:rsidR="00DF1884" w:rsidRPr="00DF1884">
              <w:t xml:space="preserve"> </w:t>
            </w:r>
            <w:r w:rsidRPr="00DF1884">
              <w:t>to</w:t>
            </w:r>
            <w:r w:rsidR="00DF1884" w:rsidRPr="00DF1884">
              <w:t xml:space="preserve"> </w:t>
            </w:r>
            <w:r w:rsidRPr="00DF1884">
              <w:t>practice</w:t>
            </w:r>
            <w:r w:rsidR="00DF1884" w:rsidRPr="00DF1884">
              <w:t xml:space="preserve"> </w:t>
            </w:r>
            <w:r w:rsidRPr="00DF1884">
              <w:t>as</w:t>
            </w:r>
            <w:r w:rsidR="00DF1884" w:rsidRPr="00DF1884">
              <w:t xml:space="preserve"> </w:t>
            </w:r>
            <w:r w:rsidRPr="00DF1884">
              <w:t>a</w:t>
            </w:r>
            <w:r w:rsidR="00DF1884" w:rsidRPr="00DF1884">
              <w:t xml:space="preserve"> </w:t>
            </w:r>
            <w:r w:rsidRPr="00DF1884">
              <w:t>psychiatric</w:t>
            </w:r>
            <w:r w:rsidR="00DF1884" w:rsidRPr="00DF1884">
              <w:t xml:space="preserve"> </w:t>
            </w:r>
            <w:r w:rsidRPr="00DF1884">
              <w:t>or</w:t>
            </w:r>
            <w:r w:rsidR="00DF1884" w:rsidRPr="00DF1884">
              <w:t xml:space="preserve"> </w:t>
            </w:r>
            <w:r w:rsidRPr="00DF1884">
              <w:t>mental</w:t>
            </w:r>
            <w:r w:rsidR="00DF1884" w:rsidRPr="00DF1884">
              <w:t xml:space="preserve"> </w:t>
            </w:r>
            <w:r w:rsidRPr="00DF1884">
              <w:t>health</w:t>
            </w:r>
            <w:r w:rsidR="00DF1884" w:rsidRPr="00DF1884">
              <w:t xml:space="preserve"> </w:t>
            </w:r>
            <w:r w:rsidRPr="00DF1884">
              <w:t>nurse,</w:t>
            </w:r>
            <w:r w:rsidR="00DF1884" w:rsidRPr="00DF1884">
              <w:t xml:space="preserve"> </w:t>
            </w:r>
            <w:r w:rsidRPr="00DF1884">
              <w:t>if</w:t>
            </w:r>
            <w:r w:rsidR="00DF1884" w:rsidRPr="00DF1884">
              <w:t xml:space="preserve"> </w:t>
            </w:r>
            <w:r w:rsidRPr="00DF1884">
              <w:t>required</w:t>
            </w:r>
            <w:r w:rsidR="00DF1884" w:rsidRPr="00DF1884">
              <w:t xml:space="preserve"> </w:t>
            </w:r>
            <w:r w:rsidRPr="00DF1884">
              <w:t>by</w:t>
            </w:r>
            <w:r w:rsidR="00DF1884" w:rsidRPr="00DF1884">
              <w:t xml:space="preserve"> </w:t>
            </w:r>
            <w:r w:rsidRPr="00DF1884">
              <w:t>the</w:t>
            </w:r>
            <w:r w:rsidR="00DF1884" w:rsidRPr="00DF1884">
              <w:t xml:space="preserve"> </w:t>
            </w:r>
            <w:r w:rsidRPr="00DF1884">
              <w:t>state</w:t>
            </w:r>
            <w:r w:rsidR="00DF1884" w:rsidRPr="00DF1884">
              <w:t xml:space="preserve"> </w:t>
            </w:r>
            <w:r w:rsidRPr="00DF1884">
              <w:t>of</w:t>
            </w:r>
            <w:r w:rsidR="00DF1884" w:rsidRPr="00DF1884">
              <w:t xml:space="preserve"> </w:t>
            </w:r>
            <w:r w:rsidRPr="00DF1884">
              <w:t>practice.</w:t>
            </w:r>
          </w:p>
          <w:p w14:paraId="221EB959" w14:textId="287FCCAA" w:rsidR="00463667" w:rsidRPr="00DF1884" w:rsidRDefault="00463667" w:rsidP="00C56CA6">
            <w:pPr>
              <w:pStyle w:val="Bullet"/>
              <w:rPr>
                <w:bCs/>
              </w:rPr>
            </w:pPr>
            <w:r w:rsidRPr="00DF1884">
              <w:t>An</w:t>
            </w:r>
            <w:r w:rsidR="00DF1884" w:rsidRPr="00DF1884">
              <w:t xml:space="preserve"> </w:t>
            </w:r>
            <w:r w:rsidRPr="00DF1884">
              <w:t>individual</w:t>
            </w:r>
            <w:r w:rsidR="00DF1884" w:rsidRPr="00DF1884">
              <w:t xml:space="preserve"> </w:t>
            </w:r>
            <w:r w:rsidRPr="00DF1884">
              <w:t>(normally</w:t>
            </w:r>
            <w:r w:rsidR="00DF1884" w:rsidRPr="00DF1884">
              <w:t xml:space="preserve"> </w:t>
            </w:r>
            <w:r w:rsidRPr="00DF1884">
              <w:t>with</w:t>
            </w:r>
            <w:r w:rsidR="00DF1884" w:rsidRPr="00DF1884">
              <w:t xml:space="preserve"> </w:t>
            </w:r>
            <w:r w:rsidRPr="00DF1884">
              <w:t>a</w:t>
            </w:r>
            <w:r w:rsidR="00DF1884" w:rsidRPr="00DF1884">
              <w:t xml:space="preserve"> </w:t>
            </w:r>
            <w:r w:rsidRPr="00DF1884">
              <w:t>master’s</w:t>
            </w:r>
            <w:r w:rsidR="00DF1884" w:rsidRPr="00DF1884">
              <w:t xml:space="preserve"> </w:t>
            </w:r>
            <w:r w:rsidRPr="00DF1884">
              <w:t>or</w:t>
            </w:r>
            <w:r w:rsidR="00DF1884" w:rsidRPr="00DF1884">
              <w:t xml:space="preserve"> </w:t>
            </w:r>
            <w:r w:rsidRPr="00DF1884">
              <w:t>a</w:t>
            </w:r>
            <w:r w:rsidR="00DF1884" w:rsidRPr="00DF1884">
              <w:t xml:space="preserve"> </w:t>
            </w:r>
            <w:r w:rsidRPr="00DF1884">
              <w:t>doctoral</w:t>
            </w:r>
            <w:r w:rsidR="00DF1884" w:rsidRPr="00DF1884">
              <w:t xml:space="preserve"> </w:t>
            </w:r>
            <w:r w:rsidRPr="00DF1884">
              <w:t>degree</w:t>
            </w:r>
            <w:r w:rsidR="00DF1884" w:rsidRPr="00DF1884">
              <w:t xml:space="preserve"> </w:t>
            </w:r>
            <w:r w:rsidRPr="00DF1884">
              <w:t>in</w:t>
            </w:r>
            <w:r w:rsidR="00DF1884" w:rsidRPr="00DF1884">
              <w:t xml:space="preserve"> </w:t>
            </w:r>
            <w:r w:rsidRPr="00DF1884">
              <w:t>marital</w:t>
            </w:r>
            <w:r w:rsidR="00DF1884" w:rsidRPr="00DF1884">
              <w:t xml:space="preserve"> </w:t>
            </w:r>
            <w:r w:rsidRPr="00DF1884">
              <w:t>and</w:t>
            </w:r>
            <w:r w:rsidR="00DF1884" w:rsidRPr="00DF1884">
              <w:t xml:space="preserve"> </w:t>
            </w:r>
            <w:r w:rsidRPr="00DF1884">
              <w:t>family</w:t>
            </w:r>
            <w:r w:rsidR="00DF1884" w:rsidRPr="00DF1884">
              <w:t xml:space="preserve"> </w:t>
            </w:r>
            <w:r w:rsidRPr="00DF1884">
              <w:t>therapy</w:t>
            </w:r>
            <w:r w:rsidR="00DF1884" w:rsidRPr="00DF1884">
              <w:t xml:space="preserve"> </w:t>
            </w:r>
            <w:r w:rsidRPr="00DF1884">
              <w:t>and</w:t>
            </w:r>
            <w:r w:rsidR="00DF1884" w:rsidRPr="00DF1884">
              <w:t xml:space="preserve"> </w:t>
            </w:r>
            <w:r w:rsidRPr="00DF1884">
              <w:t>at</w:t>
            </w:r>
            <w:r w:rsidR="00DF1884" w:rsidRPr="00DF1884">
              <w:t xml:space="preserve"> </w:t>
            </w:r>
            <w:r w:rsidRPr="00DF1884">
              <w:t>least</w:t>
            </w:r>
            <w:r w:rsidR="00DF1884" w:rsidRPr="00DF1884">
              <w:t xml:space="preserve"> </w:t>
            </w:r>
            <w:r w:rsidRPr="00DF1884">
              <w:t>two</w:t>
            </w:r>
            <w:r w:rsidR="00DF1884" w:rsidRPr="00DF1884">
              <w:t xml:space="preserve"> </w:t>
            </w:r>
            <w:r w:rsidRPr="00DF1884">
              <w:t>years</w:t>
            </w:r>
            <w:r w:rsidR="00DF1884" w:rsidRPr="00DF1884">
              <w:t xml:space="preserve"> </w:t>
            </w:r>
            <w:r w:rsidRPr="00DF1884">
              <w:t>of</w:t>
            </w:r>
            <w:r w:rsidR="00DF1884" w:rsidRPr="00DF1884">
              <w:t xml:space="preserve"> </w:t>
            </w:r>
            <w:r w:rsidRPr="00DF1884">
              <w:t>supervised</w:t>
            </w:r>
            <w:r w:rsidR="00DF1884" w:rsidRPr="00DF1884">
              <w:t xml:space="preserve"> </w:t>
            </w:r>
            <w:r w:rsidRPr="00DF1884">
              <w:t>clinical</w:t>
            </w:r>
            <w:r w:rsidR="00DF1884" w:rsidRPr="00DF1884">
              <w:t xml:space="preserve"> </w:t>
            </w:r>
            <w:r w:rsidRPr="00DF1884">
              <w:t>experience)</w:t>
            </w:r>
            <w:r w:rsidR="00DF1884" w:rsidRPr="00DF1884">
              <w:t xml:space="preserve"> </w:t>
            </w:r>
            <w:r w:rsidRPr="00DF1884">
              <w:t>who</w:t>
            </w:r>
            <w:r w:rsidR="00DF1884" w:rsidRPr="00DF1884">
              <w:t xml:space="preserve"> </w:t>
            </w:r>
            <w:r w:rsidRPr="00DF1884">
              <w:t>is</w:t>
            </w:r>
            <w:r w:rsidR="00DF1884" w:rsidRPr="00DF1884">
              <w:t xml:space="preserve"> </w:t>
            </w:r>
            <w:r w:rsidRPr="00DF1884">
              <w:t>practicing</w:t>
            </w:r>
            <w:r w:rsidR="00DF1884" w:rsidRPr="00DF1884">
              <w:t xml:space="preserve"> </w:t>
            </w:r>
            <w:r w:rsidRPr="00DF1884">
              <w:t>as</w:t>
            </w:r>
            <w:r w:rsidR="00DF1884" w:rsidRPr="00DF1884">
              <w:t xml:space="preserve"> </w:t>
            </w:r>
            <w:r w:rsidRPr="00DF1884">
              <w:t>a</w:t>
            </w:r>
            <w:r w:rsidR="00DF1884" w:rsidRPr="00DF1884">
              <w:t xml:space="preserve"> </w:t>
            </w:r>
            <w:r w:rsidRPr="00DF1884">
              <w:t>marital</w:t>
            </w:r>
            <w:r w:rsidR="00DF1884" w:rsidRPr="00DF1884">
              <w:t xml:space="preserve"> </w:t>
            </w:r>
            <w:r w:rsidRPr="00DF1884">
              <w:t>and</w:t>
            </w:r>
            <w:r w:rsidR="00DF1884" w:rsidRPr="00DF1884">
              <w:t xml:space="preserve"> </w:t>
            </w:r>
            <w:r w:rsidRPr="00DF1884">
              <w:t>family</w:t>
            </w:r>
            <w:r w:rsidR="00DF1884" w:rsidRPr="00DF1884">
              <w:t xml:space="preserve"> </w:t>
            </w:r>
            <w:r w:rsidRPr="00DF1884">
              <w:t>therapist</w:t>
            </w:r>
            <w:r w:rsidR="00DF1884" w:rsidRPr="00DF1884">
              <w:t xml:space="preserve"> </w:t>
            </w:r>
            <w:r w:rsidRPr="00DF1884">
              <w:t>and</w:t>
            </w:r>
            <w:r w:rsidR="00DF1884" w:rsidRPr="00DF1884">
              <w:t xml:space="preserve"> </w:t>
            </w:r>
            <w:r w:rsidRPr="00DF1884">
              <w:t>is</w:t>
            </w:r>
            <w:r w:rsidR="00DF1884" w:rsidRPr="00DF1884">
              <w:t xml:space="preserve"> </w:t>
            </w:r>
            <w:r w:rsidRPr="00DF1884">
              <w:t>licensed</w:t>
            </w:r>
            <w:r w:rsidR="00DF1884" w:rsidRPr="00DF1884">
              <w:t xml:space="preserve"> </w:t>
            </w:r>
            <w:r w:rsidRPr="00DF1884">
              <w:t>or</w:t>
            </w:r>
            <w:r w:rsidR="00DF1884" w:rsidRPr="00DF1884">
              <w:t xml:space="preserve"> </w:t>
            </w:r>
            <w:r w:rsidRPr="00DF1884">
              <w:t>a</w:t>
            </w:r>
            <w:r w:rsidR="00DF1884" w:rsidRPr="00DF1884">
              <w:t xml:space="preserve"> </w:t>
            </w:r>
            <w:r w:rsidRPr="00DF1884">
              <w:t>certified</w:t>
            </w:r>
            <w:r w:rsidR="00DF1884" w:rsidRPr="00DF1884">
              <w:t xml:space="preserve"> </w:t>
            </w:r>
            <w:r w:rsidRPr="00DF1884">
              <w:t>counselor</w:t>
            </w:r>
            <w:r w:rsidR="00DF1884" w:rsidRPr="00DF1884">
              <w:t xml:space="preserve"> </w:t>
            </w:r>
            <w:r w:rsidRPr="00DF1884">
              <w:t>by</w:t>
            </w:r>
            <w:r w:rsidR="00DF1884" w:rsidRPr="00DF1884">
              <w:t xml:space="preserve"> </w:t>
            </w:r>
            <w:r w:rsidRPr="00DF1884">
              <w:t>the</w:t>
            </w:r>
            <w:r w:rsidR="00DF1884" w:rsidRPr="00DF1884">
              <w:t xml:space="preserve"> </w:t>
            </w:r>
            <w:r w:rsidRPr="00DF1884">
              <w:t>state</w:t>
            </w:r>
            <w:r w:rsidR="00DF1884" w:rsidRPr="00DF1884">
              <w:t xml:space="preserve"> </w:t>
            </w:r>
            <w:r w:rsidRPr="00DF1884">
              <w:t>of</w:t>
            </w:r>
            <w:r w:rsidR="00DF1884" w:rsidRPr="00DF1884">
              <w:t xml:space="preserve"> </w:t>
            </w:r>
            <w:r w:rsidRPr="00DF1884">
              <w:t>practice,</w:t>
            </w:r>
            <w:r w:rsidR="00DF1884" w:rsidRPr="00DF1884">
              <w:t xml:space="preserve"> </w:t>
            </w:r>
            <w:r w:rsidRPr="00DF1884">
              <w:t>or</w:t>
            </w:r>
            <w:r w:rsidR="00DF1884" w:rsidRPr="00DF1884">
              <w:t xml:space="preserve"> </w:t>
            </w:r>
            <w:r w:rsidRPr="00DF1884">
              <w:t>if</w:t>
            </w:r>
            <w:r w:rsidR="00DF1884" w:rsidRPr="00DF1884">
              <w:t xml:space="preserve"> </w:t>
            </w:r>
            <w:r w:rsidRPr="00DF1884">
              <w:t>licensure</w:t>
            </w:r>
            <w:r w:rsidR="00DF1884" w:rsidRPr="00DF1884">
              <w:t xml:space="preserve"> </w:t>
            </w:r>
            <w:r w:rsidRPr="00DF1884">
              <w:t>or</w:t>
            </w:r>
            <w:r w:rsidR="00DF1884" w:rsidRPr="00DF1884">
              <w:t xml:space="preserve"> </w:t>
            </w:r>
            <w:r w:rsidRPr="00DF1884">
              <w:t>certification</w:t>
            </w:r>
            <w:r w:rsidR="00DF1884" w:rsidRPr="00DF1884">
              <w:t xml:space="preserve"> </w:t>
            </w:r>
            <w:r w:rsidRPr="00DF1884">
              <w:t>is</w:t>
            </w:r>
            <w:r w:rsidR="00DF1884" w:rsidRPr="00DF1884">
              <w:t xml:space="preserve"> </w:t>
            </w:r>
            <w:r w:rsidRPr="00DF1884">
              <w:t>not</w:t>
            </w:r>
            <w:r w:rsidR="00DF1884" w:rsidRPr="00DF1884">
              <w:t xml:space="preserve"> </w:t>
            </w:r>
            <w:r w:rsidRPr="00DF1884">
              <w:t>required</w:t>
            </w:r>
            <w:r w:rsidR="00DF1884" w:rsidRPr="00DF1884">
              <w:t xml:space="preserve"> </w:t>
            </w:r>
            <w:r w:rsidRPr="00DF1884">
              <w:t>by</w:t>
            </w:r>
            <w:r w:rsidR="00DF1884" w:rsidRPr="00DF1884">
              <w:t xml:space="preserve"> </w:t>
            </w:r>
            <w:r w:rsidRPr="00DF1884">
              <w:t>the</w:t>
            </w:r>
            <w:r w:rsidR="00DF1884" w:rsidRPr="00DF1884">
              <w:t xml:space="preserve"> </w:t>
            </w:r>
            <w:r w:rsidRPr="00DF1884">
              <w:t>state</w:t>
            </w:r>
            <w:r w:rsidR="00DF1884" w:rsidRPr="00DF1884">
              <w:t xml:space="preserve"> </w:t>
            </w:r>
            <w:r w:rsidRPr="00DF1884">
              <w:t>of</w:t>
            </w:r>
            <w:r w:rsidR="00DF1884" w:rsidRPr="00DF1884">
              <w:t xml:space="preserve"> </w:t>
            </w:r>
            <w:r w:rsidRPr="00DF1884">
              <w:t>practice,</w:t>
            </w:r>
            <w:r w:rsidR="00DF1884" w:rsidRPr="00DF1884">
              <w:t xml:space="preserve"> </w:t>
            </w:r>
            <w:r w:rsidRPr="00DF1884">
              <w:t>who</w:t>
            </w:r>
            <w:r w:rsidR="00DF1884" w:rsidRPr="00DF1884">
              <w:t xml:space="preserve"> </w:t>
            </w:r>
            <w:r w:rsidRPr="00DF1884">
              <w:t>is</w:t>
            </w:r>
            <w:r w:rsidR="00DF1884" w:rsidRPr="00DF1884">
              <w:t xml:space="preserve"> </w:t>
            </w:r>
            <w:r w:rsidRPr="00DF1884">
              <w:t>eligible</w:t>
            </w:r>
            <w:r w:rsidR="00DF1884" w:rsidRPr="00DF1884">
              <w:t xml:space="preserve"> </w:t>
            </w:r>
            <w:r w:rsidRPr="00DF1884">
              <w:t>for</w:t>
            </w:r>
            <w:r w:rsidR="00DF1884" w:rsidRPr="00DF1884">
              <w:t xml:space="preserve"> </w:t>
            </w:r>
            <w:r w:rsidRPr="00DF1884">
              <w:t>clinical</w:t>
            </w:r>
            <w:r w:rsidR="00DF1884" w:rsidRPr="00DF1884">
              <w:t xml:space="preserve"> </w:t>
            </w:r>
            <w:r w:rsidRPr="00DF1884">
              <w:t>membership</w:t>
            </w:r>
            <w:r w:rsidR="00DF1884" w:rsidRPr="00DF1884">
              <w:t xml:space="preserve"> </w:t>
            </w:r>
            <w:r w:rsidRPr="00DF1884">
              <w:t>in</w:t>
            </w:r>
            <w:r w:rsidR="00DF1884" w:rsidRPr="00DF1884">
              <w:t xml:space="preserve"> </w:t>
            </w:r>
            <w:r w:rsidRPr="00DF1884">
              <w:t>the</w:t>
            </w:r>
            <w:r w:rsidR="00DF1884" w:rsidRPr="00DF1884">
              <w:t xml:space="preserve"> </w:t>
            </w:r>
            <w:r w:rsidRPr="00DF1884">
              <w:t>American</w:t>
            </w:r>
            <w:r w:rsidR="00DF1884" w:rsidRPr="00DF1884">
              <w:t xml:space="preserve"> </w:t>
            </w:r>
            <w:r w:rsidRPr="00DF1884">
              <w:t>Association</w:t>
            </w:r>
            <w:r w:rsidR="00DF1884" w:rsidRPr="00DF1884">
              <w:t xml:space="preserve"> </w:t>
            </w:r>
            <w:r w:rsidRPr="00DF1884">
              <w:t>for</w:t>
            </w:r>
            <w:r w:rsidR="00DF1884" w:rsidRPr="00DF1884">
              <w:t xml:space="preserve"> </w:t>
            </w:r>
            <w:r w:rsidRPr="00DF1884">
              <w:t>Marriage</w:t>
            </w:r>
            <w:r w:rsidR="00DF1884" w:rsidRPr="00DF1884">
              <w:t xml:space="preserve"> </w:t>
            </w:r>
            <w:r w:rsidRPr="00DF1884">
              <w:t>and</w:t>
            </w:r>
            <w:r w:rsidR="00DF1884" w:rsidRPr="00DF1884">
              <w:t xml:space="preserve"> </w:t>
            </w:r>
            <w:r w:rsidRPr="00DF1884">
              <w:t>Family</w:t>
            </w:r>
            <w:r w:rsidR="00DF1884" w:rsidRPr="00DF1884">
              <w:t xml:space="preserve"> </w:t>
            </w:r>
            <w:r w:rsidRPr="00DF1884">
              <w:t>Therapy.</w:t>
            </w:r>
          </w:p>
        </w:tc>
      </w:tr>
    </w:tbl>
    <w:p w14:paraId="523DCAC4" w14:textId="77777777" w:rsidR="00463667" w:rsidRPr="00DF1884" w:rsidRDefault="00463667" w:rsidP="00463667">
      <w:pPr>
        <w:sectPr w:rsidR="00463667" w:rsidRPr="00DF1884" w:rsidSect="0039781B">
          <w:headerReference w:type="even" r:id="rId90"/>
          <w:headerReference w:type="default" r:id="rId91"/>
          <w:footerReference w:type="default" r:id="rId92"/>
          <w:pgSz w:w="12240" w:h="15840" w:code="1"/>
          <w:pgMar w:top="1080" w:right="1080" w:bottom="1080" w:left="1440" w:header="720" w:footer="720" w:gutter="0"/>
          <w:pgNumType w:start="1"/>
          <w:cols w:space="720"/>
        </w:sectPr>
      </w:pPr>
    </w:p>
    <w:tbl>
      <w:tblPr>
        <w:tblW w:w="9900" w:type="dxa"/>
        <w:tblInd w:w="-90" w:type="dxa"/>
        <w:tblLayout w:type="fixed"/>
        <w:tblLook w:val="0000" w:firstRow="0" w:lastRow="0" w:firstColumn="0" w:lastColumn="0" w:noHBand="0" w:noVBand="0"/>
      </w:tblPr>
      <w:tblGrid>
        <w:gridCol w:w="2304"/>
        <w:gridCol w:w="7596"/>
      </w:tblGrid>
      <w:tr w:rsidR="00463667" w:rsidRPr="00DF1884" w14:paraId="482BA65A" w14:textId="77777777" w:rsidTr="00463667">
        <w:tc>
          <w:tcPr>
            <w:tcW w:w="2304" w:type="dxa"/>
            <w:tcBorders>
              <w:bottom w:val="dotted" w:sz="6" w:space="0" w:color="auto"/>
            </w:tcBorders>
          </w:tcPr>
          <w:p w14:paraId="27989919" w14:textId="77777777" w:rsidR="00463667" w:rsidRPr="00DF1884" w:rsidRDefault="00463667" w:rsidP="00463667">
            <w:pPr>
              <w:pStyle w:val="MarginSubhead"/>
              <w:ind w:left="0"/>
            </w:pPr>
          </w:p>
        </w:tc>
        <w:tc>
          <w:tcPr>
            <w:tcW w:w="7596" w:type="dxa"/>
            <w:tcBorders>
              <w:bottom w:val="dotted" w:sz="6" w:space="0" w:color="auto"/>
            </w:tcBorders>
          </w:tcPr>
          <w:p w14:paraId="24360A08" w14:textId="637DC5B9" w:rsidR="00463667" w:rsidRPr="00DF1884" w:rsidRDefault="00463667" w:rsidP="00C56CA6">
            <w:pPr>
              <w:pStyle w:val="Bullet"/>
              <w:spacing w:before="0" w:after="60"/>
            </w:pPr>
            <w:r w:rsidRPr="00DF1884">
              <w:t>An</w:t>
            </w:r>
            <w:r w:rsidR="00DF1884" w:rsidRPr="00DF1884">
              <w:t xml:space="preserve"> </w:t>
            </w:r>
            <w:r w:rsidRPr="00DF1884">
              <w:t>individual</w:t>
            </w:r>
            <w:r w:rsidR="00DF1884" w:rsidRPr="00DF1884">
              <w:t xml:space="preserve"> </w:t>
            </w:r>
            <w:r w:rsidRPr="00DF1884">
              <w:t>(normally</w:t>
            </w:r>
            <w:r w:rsidR="00DF1884" w:rsidRPr="00DF1884">
              <w:t xml:space="preserve"> </w:t>
            </w:r>
            <w:r w:rsidRPr="00DF1884">
              <w:t>with</w:t>
            </w:r>
            <w:r w:rsidR="00DF1884" w:rsidRPr="00DF1884">
              <w:t xml:space="preserve"> </w:t>
            </w:r>
            <w:r w:rsidRPr="00DF1884">
              <w:t>a</w:t>
            </w:r>
            <w:r w:rsidR="00DF1884" w:rsidRPr="00DF1884">
              <w:t xml:space="preserve"> </w:t>
            </w:r>
            <w:r w:rsidRPr="00DF1884">
              <w:t>master’s</w:t>
            </w:r>
            <w:r w:rsidR="00DF1884" w:rsidRPr="00DF1884">
              <w:t xml:space="preserve"> </w:t>
            </w:r>
            <w:r w:rsidRPr="00DF1884">
              <w:t>or</w:t>
            </w:r>
            <w:r w:rsidR="00DF1884" w:rsidRPr="00DF1884">
              <w:t xml:space="preserve"> </w:t>
            </w:r>
            <w:r w:rsidRPr="00DF1884">
              <w:t>doctoral</w:t>
            </w:r>
            <w:r w:rsidR="00DF1884" w:rsidRPr="00DF1884">
              <w:t xml:space="preserve"> </w:t>
            </w:r>
            <w:r w:rsidRPr="00DF1884">
              <w:t>degree</w:t>
            </w:r>
            <w:r w:rsidR="00DF1884" w:rsidRPr="00DF1884">
              <w:t xml:space="preserve"> </w:t>
            </w:r>
            <w:r w:rsidRPr="00DF1884">
              <w:t>in</w:t>
            </w:r>
            <w:r w:rsidR="00DF1884" w:rsidRPr="00DF1884">
              <w:t xml:space="preserve"> </w:t>
            </w:r>
            <w:r w:rsidRPr="00DF1884">
              <w:t>counseling</w:t>
            </w:r>
            <w:r w:rsidR="00DF1884" w:rsidRPr="00DF1884">
              <w:t xml:space="preserve"> </w:t>
            </w:r>
            <w:r w:rsidRPr="00DF1884">
              <w:t>and</w:t>
            </w:r>
            <w:r w:rsidR="00DF1884" w:rsidRPr="00DF1884">
              <w:t xml:space="preserve"> </w:t>
            </w:r>
            <w:r w:rsidRPr="00DF1884">
              <w:t>at</w:t>
            </w:r>
            <w:r w:rsidR="00DF1884" w:rsidRPr="00DF1884">
              <w:t xml:space="preserve"> </w:t>
            </w:r>
            <w:r w:rsidRPr="00DF1884">
              <w:t>least</w:t>
            </w:r>
            <w:r w:rsidR="00DF1884" w:rsidRPr="00DF1884">
              <w:t xml:space="preserve"> </w:t>
            </w:r>
            <w:r w:rsidRPr="00DF1884">
              <w:t>two</w:t>
            </w:r>
            <w:r w:rsidR="00DF1884" w:rsidRPr="00DF1884">
              <w:t xml:space="preserve"> </w:t>
            </w:r>
            <w:r w:rsidRPr="00DF1884">
              <w:t>years</w:t>
            </w:r>
            <w:r w:rsidR="00DF1884" w:rsidRPr="00DF1884">
              <w:t xml:space="preserve"> </w:t>
            </w:r>
            <w:r w:rsidRPr="00DF1884">
              <w:t>of</w:t>
            </w:r>
            <w:r w:rsidR="00DF1884" w:rsidRPr="00DF1884">
              <w:t xml:space="preserve"> </w:t>
            </w:r>
            <w:r w:rsidRPr="00DF1884">
              <w:t>supervised</w:t>
            </w:r>
            <w:r w:rsidR="00DF1884" w:rsidRPr="00DF1884">
              <w:t xml:space="preserve"> </w:t>
            </w:r>
            <w:r w:rsidRPr="00DF1884">
              <w:t>clinical</w:t>
            </w:r>
            <w:r w:rsidR="00DF1884" w:rsidRPr="00DF1884">
              <w:t xml:space="preserve"> </w:t>
            </w:r>
            <w:r w:rsidRPr="00DF1884">
              <w:t>experience)</w:t>
            </w:r>
            <w:r w:rsidR="00DF1884" w:rsidRPr="00DF1884">
              <w:t xml:space="preserve"> </w:t>
            </w:r>
            <w:r w:rsidRPr="00DF1884">
              <w:t>who</w:t>
            </w:r>
            <w:r w:rsidR="00DF1884" w:rsidRPr="00DF1884">
              <w:t xml:space="preserve"> </w:t>
            </w:r>
            <w:r w:rsidRPr="00DF1884">
              <w:t>is</w:t>
            </w:r>
            <w:r w:rsidR="00DF1884" w:rsidRPr="00DF1884">
              <w:t xml:space="preserve"> </w:t>
            </w:r>
            <w:r w:rsidRPr="00DF1884">
              <w:t>practicing</w:t>
            </w:r>
            <w:r w:rsidR="00DF1884" w:rsidRPr="00DF1884">
              <w:t xml:space="preserve"> </w:t>
            </w:r>
            <w:r w:rsidRPr="00DF1884">
              <w:t>as</w:t>
            </w:r>
            <w:r w:rsidR="00DF1884" w:rsidRPr="00DF1884">
              <w:t xml:space="preserve"> </w:t>
            </w:r>
            <w:r w:rsidRPr="00DF1884">
              <w:t>a</w:t>
            </w:r>
            <w:r w:rsidR="00DF1884" w:rsidRPr="00DF1884">
              <w:t xml:space="preserve"> </w:t>
            </w:r>
            <w:r w:rsidRPr="00DF1884">
              <w:t>professional</w:t>
            </w:r>
            <w:r w:rsidR="00DF1884" w:rsidRPr="00DF1884">
              <w:t xml:space="preserve"> </w:t>
            </w:r>
            <w:r w:rsidRPr="00DF1884">
              <w:t>counselor</w:t>
            </w:r>
            <w:r w:rsidR="00DF1884" w:rsidRPr="00DF1884">
              <w:t xml:space="preserve"> </w:t>
            </w:r>
            <w:r w:rsidRPr="00DF1884">
              <w:t>and</w:t>
            </w:r>
            <w:r w:rsidR="00DF1884" w:rsidRPr="00DF1884">
              <w:t xml:space="preserve"> </w:t>
            </w:r>
            <w:r w:rsidRPr="00DF1884">
              <w:t>who</w:t>
            </w:r>
            <w:r w:rsidR="00DF1884" w:rsidRPr="00DF1884">
              <w:t xml:space="preserve"> </w:t>
            </w:r>
            <w:r w:rsidRPr="00DF1884">
              <w:t>is</w:t>
            </w:r>
            <w:r w:rsidR="00DF1884" w:rsidRPr="00DF1884">
              <w:t xml:space="preserve"> </w:t>
            </w:r>
            <w:r w:rsidRPr="00DF1884">
              <w:t>licensed</w:t>
            </w:r>
            <w:r w:rsidR="00DF1884" w:rsidRPr="00DF1884">
              <w:t xml:space="preserve"> </w:t>
            </w:r>
            <w:r w:rsidRPr="00DF1884">
              <w:t>or</w:t>
            </w:r>
            <w:r w:rsidR="00DF1884" w:rsidRPr="00DF1884">
              <w:t xml:space="preserve"> </w:t>
            </w:r>
            <w:r w:rsidRPr="00DF1884">
              <w:t>certified</w:t>
            </w:r>
            <w:r w:rsidR="00DF1884" w:rsidRPr="00DF1884">
              <w:t xml:space="preserve"> </w:t>
            </w:r>
            <w:r w:rsidRPr="00DF1884">
              <w:t>to</w:t>
            </w:r>
            <w:r w:rsidR="00DF1884" w:rsidRPr="00DF1884">
              <w:t xml:space="preserve"> </w:t>
            </w:r>
            <w:r w:rsidRPr="00DF1884">
              <w:t>do</w:t>
            </w:r>
            <w:r w:rsidR="00DF1884" w:rsidRPr="00DF1884">
              <w:t xml:space="preserve"> </w:t>
            </w:r>
            <w:r w:rsidRPr="00DF1884">
              <w:t>so</w:t>
            </w:r>
            <w:r w:rsidR="00DF1884" w:rsidRPr="00DF1884">
              <w:t xml:space="preserve"> </w:t>
            </w:r>
            <w:r w:rsidRPr="00DF1884">
              <w:t>by</w:t>
            </w:r>
            <w:r w:rsidR="00DF1884" w:rsidRPr="00DF1884">
              <w:t xml:space="preserve"> </w:t>
            </w:r>
            <w:r w:rsidRPr="00DF1884">
              <w:t>the</w:t>
            </w:r>
            <w:r w:rsidR="00DF1884" w:rsidRPr="00DF1884">
              <w:t xml:space="preserve"> </w:t>
            </w:r>
            <w:r w:rsidRPr="00DF1884">
              <w:t>state</w:t>
            </w:r>
            <w:r w:rsidR="00DF1884" w:rsidRPr="00DF1884">
              <w:t xml:space="preserve"> </w:t>
            </w:r>
            <w:r w:rsidRPr="00DF1884">
              <w:t>of</w:t>
            </w:r>
            <w:r w:rsidR="00DF1884" w:rsidRPr="00DF1884">
              <w:t xml:space="preserve"> </w:t>
            </w:r>
            <w:r w:rsidRPr="00DF1884">
              <w:t>practice,</w:t>
            </w:r>
            <w:r w:rsidR="00DF1884" w:rsidRPr="00DF1884">
              <w:t xml:space="preserve"> </w:t>
            </w:r>
            <w:r w:rsidRPr="00DF1884">
              <w:t>or</w:t>
            </w:r>
            <w:r w:rsidR="00DF1884" w:rsidRPr="00DF1884">
              <w:t xml:space="preserve"> </w:t>
            </w:r>
            <w:r w:rsidRPr="00DF1884">
              <w:t>if</w:t>
            </w:r>
            <w:r w:rsidR="00DF1884" w:rsidRPr="00DF1884">
              <w:t xml:space="preserve"> </w:t>
            </w:r>
            <w:r w:rsidRPr="00DF1884">
              <w:t>licensure</w:t>
            </w:r>
            <w:r w:rsidR="00DF1884" w:rsidRPr="00DF1884">
              <w:t xml:space="preserve"> </w:t>
            </w:r>
            <w:r w:rsidRPr="00DF1884">
              <w:t>or</w:t>
            </w:r>
            <w:r w:rsidR="00DF1884" w:rsidRPr="00DF1884">
              <w:t xml:space="preserve"> </w:t>
            </w:r>
            <w:r w:rsidRPr="00DF1884">
              <w:t>certification</w:t>
            </w:r>
            <w:r w:rsidR="00DF1884" w:rsidRPr="00DF1884">
              <w:t xml:space="preserve"> </w:t>
            </w:r>
            <w:r w:rsidRPr="00DF1884">
              <w:t>is</w:t>
            </w:r>
            <w:r w:rsidR="00DF1884" w:rsidRPr="00DF1884">
              <w:t xml:space="preserve"> </w:t>
            </w:r>
            <w:r w:rsidRPr="00DF1884">
              <w:t>not</w:t>
            </w:r>
            <w:r w:rsidR="00DF1884" w:rsidRPr="00DF1884">
              <w:t xml:space="preserve"> </w:t>
            </w:r>
            <w:r w:rsidRPr="00DF1884">
              <w:t>required</w:t>
            </w:r>
            <w:r w:rsidR="00DF1884" w:rsidRPr="00DF1884">
              <w:t xml:space="preserve"> </w:t>
            </w:r>
            <w:r w:rsidRPr="00DF1884">
              <w:t>by</w:t>
            </w:r>
            <w:r w:rsidR="00DF1884" w:rsidRPr="00DF1884">
              <w:t xml:space="preserve"> </w:t>
            </w:r>
            <w:r w:rsidRPr="00DF1884">
              <w:t>the</w:t>
            </w:r>
            <w:r w:rsidR="00DF1884" w:rsidRPr="00DF1884">
              <w:t xml:space="preserve"> </w:t>
            </w:r>
            <w:r w:rsidRPr="00DF1884">
              <w:t>state</w:t>
            </w:r>
            <w:r w:rsidR="00DF1884" w:rsidRPr="00DF1884">
              <w:t xml:space="preserve"> </w:t>
            </w:r>
            <w:r w:rsidRPr="00DF1884">
              <w:t>of</w:t>
            </w:r>
            <w:r w:rsidR="00DF1884" w:rsidRPr="00DF1884">
              <w:t xml:space="preserve"> </w:t>
            </w:r>
            <w:r w:rsidRPr="00DF1884">
              <w:t>practice,</w:t>
            </w:r>
            <w:r w:rsidR="00DF1884" w:rsidRPr="00DF1884">
              <w:t xml:space="preserve"> </w:t>
            </w:r>
            <w:r w:rsidRPr="00DF1884">
              <w:t>is</w:t>
            </w:r>
            <w:r w:rsidR="00DF1884" w:rsidRPr="00DF1884">
              <w:t xml:space="preserve"> </w:t>
            </w:r>
            <w:r w:rsidRPr="00DF1884">
              <w:t>a</w:t>
            </w:r>
            <w:r w:rsidR="00DF1884" w:rsidRPr="00DF1884">
              <w:t xml:space="preserve"> </w:t>
            </w:r>
            <w:r w:rsidRPr="00DF1884">
              <w:t>National</w:t>
            </w:r>
            <w:r w:rsidR="00DF1884" w:rsidRPr="00DF1884">
              <w:t xml:space="preserve"> </w:t>
            </w:r>
            <w:r w:rsidRPr="00DF1884">
              <w:t>Certified</w:t>
            </w:r>
            <w:r w:rsidR="00DF1884" w:rsidRPr="00DF1884">
              <w:t xml:space="preserve"> </w:t>
            </w:r>
            <w:r w:rsidRPr="00DF1884">
              <w:t>Counselor</w:t>
            </w:r>
            <w:r w:rsidR="00DF1884" w:rsidRPr="00DF1884">
              <w:t xml:space="preserve"> </w:t>
            </w:r>
            <w:r w:rsidRPr="00DF1884">
              <w:t>with</w:t>
            </w:r>
            <w:r w:rsidR="00DF1884" w:rsidRPr="00DF1884">
              <w:t xml:space="preserve"> </w:t>
            </w:r>
            <w:r w:rsidRPr="00DF1884">
              <w:t>a</w:t>
            </w:r>
            <w:r w:rsidR="00DF1884" w:rsidRPr="00DF1884">
              <w:t xml:space="preserve"> </w:t>
            </w:r>
            <w:r w:rsidRPr="00DF1884">
              <w:t>Specialty</w:t>
            </w:r>
            <w:r w:rsidR="00DF1884" w:rsidRPr="00DF1884">
              <w:t xml:space="preserve"> </w:t>
            </w:r>
            <w:r w:rsidRPr="00DF1884">
              <w:t>Certification</w:t>
            </w:r>
            <w:r w:rsidR="00DF1884" w:rsidRPr="00DF1884">
              <w:t xml:space="preserve"> </w:t>
            </w:r>
            <w:r w:rsidRPr="00DF1884">
              <w:t>in</w:t>
            </w:r>
            <w:r w:rsidR="00DF1884" w:rsidRPr="00DF1884">
              <w:t xml:space="preserve"> </w:t>
            </w:r>
            <w:r w:rsidRPr="00DF1884">
              <w:t>Clinical</w:t>
            </w:r>
            <w:r w:rsidR="00DF1884" w:rsidRPr="00DF1884">
              <w:t xml:space="preserve"> </w:t>
            </w:r>
            <w:r w:rsidRPr="00DF1884">
              <w:t>Mental</w:t>
            </w:r>
            <w:r w:rsidR="00DF1884" w:rsidRPr="00DF1884">
              <w:t xml:space="preserve"> </w:t>
            </w:r>
            <w:r w:rsidRPr="00DF1884">
              <w:t>Health</w:t>
            </w:r>
            <w:r w:rsidR="00DF1884" w:rsidRPr="00DF1884">
              <w:t xml:space="preserve"> </w:t>
            </w:r>
            <w:r w:rsidRPr="00DF1884">
              <w:t>Counseling</w:t>
            </w:r>
            <w:r w:rsidR="00DF1884" w:rsidRPr="00DF1884">
              <w:t xml:space="preserve"> </w:t>
            </w:r>
            <w:r w:rsidRPr="00DF1884">
              <w:t>from</w:t>
            </w:r>
            <w:r w:rsidR="00DF1884" w:rsidRPr="00DF1884">
              <w:t xml:space="preserve"> </w:t>
            </w:r>
            <w:r w:rsidRPr="00DF1884">
              <w:t>the</w:t>
            </w:r>
            <w:r w:rsidR="00DF1884" w:rsidRPr="00DF1884">
              <w:t xml:space="preserve"> </w:t>
            </w:r>
            <w:r w:rsidRPr="00DF1884">
              <w:t>National</w:t>
            </w:r>
            <w:r w:rsidR="00DF1884" w:rsidRPr="00DF1884">
              <w:t xml:space="preserve"> </w:t>
            </w:r>
            <w:r w:rsidRPr="00DF1884">
              <w:t>Board</w:t>
            </w:r>
            <w:r w:rsidR="00DF1884" w:rsidRPr="00DF1884">
              <w:t xml:space="preserve"> </w:t>
            </w:r>
            <w:r w:rsidRPr="00DF1884">
              <w:t>for</w:t>
            </w:r>
            <w:r w:rsidR="00DF1884" w:rsidRPr="00DF1884">
              <w:t xml:space="preserve"> </w:t>
            </w:r>
            <w:r w:rsidRPr="00DF1884">
              <w:t>Certified</w:t>
            </w:r>
            <w:r w:rsidR="00DF1884" w:rsidRPr="00DF1884">
              <w:t xml:space="preserve"> </w:t>
            </w:r>
            <w:r w:rsidRPr="00DF1884">
              <w:t>Counselors</w:t>
            </w:r>
            <w:r w:rsidR="00DF1884" w:rsidRPr="00DF1884">
              <w:t xml:space="preserve"> </w:t>
            </w:r>
            <w:r w:rsidRPr="00DF1884">
              <w:t>(NBCC).</w:t>
            </w:r>
          </w:p>
        </w:tc>
      </w:tr>
      <w:tr w:rsidR="00463667" w:rsidRPr="00DF1884" w14:paraId="5A35BA4E" w14:textId="77777777" w:rsidTr="00463667">
        <w:tc>
          <w:tcPr>
            <w:tcW w:w="2304" w:type="dxa"/>
            <w:tcBorders>
              <w:top w:val="dotted" w:sz="6" w:space="0" w:color="auto"/>
              <w:bottom w:val="dotted" w:sz="6" w:space="0" w:color="auto"/>
            </w:tcBorders>
          </w:tcPr>
          <w:p w14:paraId="4D99B58B" w14:textId="5295C024" w:rsidR="00463667" w:rsidRPr="00DF1884" w:rsidRDefault="00463667" w:rsidP="00463667">
            <w:pPr>
              <w:pStyle w:val="MarginSubhead"/>
              <w:ind w:left="0"/>
            </w:pPr>
            <w:r w:rsidRPr="00DF1884">
              <w:t>OB/GYN</w:t>
            </w:r>
            <w:r w:rsidR="00DF1884" w:rsidRPr="00DF1884">
              <w:t xml:space="preserve"> </w:t>
            </w:r>
            <w:r w:rsidRPr="00DF1884">
              <w:t>and</w:t>
            </w:r>
            <w:r w:rsidR="00DF1884" w:rsidRPr="00DF1884">
              <w:t xml:space="preserve"> </w:t>
            </w:r>
            <w:r w:rsidRPr="00DF1884">
              <w:t>other</w:t>
            </w:r>
            <w:r w:rsidR="00DF1884" w:rsidRPr="00DF1884">
              <w:t xml:space="preserve"> </w:t>
            </w:r>
            <w:r w:rsidRPr="00DF1884">
              <w:t>prenatal</w:t>
            </w:r>
            <w:r w:rsidR="00DF1884" w:rsidRPr="00DF1884">
              <w:t xml:space="preserve"> </w:t>
            </w:r>
            <w:r w:rsidRPr="00DF1884">
              <w:t>care</w:t>
            </w:r>
            <w:r w:rsidR="00DF1884" w:rsidRPr="00DF1884">
              <w:t xml:space="preserve"> </w:t>
            </w:r>
            <w:r w:rsidRPr="00DF1884">
              <w:t>practitioner</w:t>
            </w:r>
          </w:p>
        </w:tc>
        <w:tc>
          <w:tcPr>
            <w:tcW w:w="7596" w:type="dxa"/>
            <w:tcBorders>
              <w:top w:val="dotted" w:sz="6" w:space="0" w:color="auto"/>
              <w:bottom w:val="dotted" w:sz="6" w:space="0" w:color="auto"/>
            </w:tcBorders>
          </w:tcPr>
          <w:p w14:paraId="1CD67016" w14:textId="77777777" w:rsidR="00463667" w:rsidRPr="00DF1884" w:rsidRDefault="00463667" w:rsidP="00C56CA6">
            <w:pPr>
              <w:pStyle w:val="Body"/>
            </w:pPr>
            <w:r w:rsidRPr="00DF1884">
              <w:t>Includes:</w:t>
            </w:r>
          </w:p>
          <w:p w14:paraId="6996C69E" w14:textId="0EBA8E7C" w:rsidR="00463667" w:rsidRPr="00DF1884" w:rsidRDefault="00463667" w:rsidP="00C56CA6">
            <w:pPr>
              <w:pStyle w:val="Bullet"/>
            </w:pPr>
            <w:r w:rsidRPr="00DF1884">
              <w:t>Physicians</w:t>
            </w:r>
            <w:r w:rsidR="00DF1884" w:rsidRPr="00DF1884">
              <w:t xml:space="preserve"> </w:t>
            </w:r>
            <w:r w:rsidRPr="00DF1884">
              <w:t>certified</w:t>
            </w:r>
            <w:r w:rsidR="00DF1884" w:rsidRPr="00DF1884">
              <w:t xml:space="preserve"> </w:t>
            </w:r>
            <w:r w:rsidRPr="00DF1884">
              <w:t>as</w:t>
            </w:r>
            <w:r w:rsidR="00DF1884" w:rsidRPr="00DF1884">
              <w:t xml:space="preserve"> </w:t>
            </w:r>
            <w:r w:rsidRPr="00DF1884">
              <w:t>obstetricians</w:t>
            </w:r>
            <w:r w:rsidR="00DF1884" w:rsidRPr="00DF1884">
              <w:t xml:space="preserve"> </w:t>
            </w:r>
            <w:r w:rsidRPr="00DF1884">
              <w:t>or</w:t>
            </w:r>
            <w:r w:rsidR="00DF1884" w:rsidRPr="00DF1884">
              <w:t xml:space="preserve"> </w:t>
            </w:r>
            <w:r w:rsidRPr="00DF1884">
              <w:t>gynecologists</w:t>
            </w:r>
            <w:r w:rsidR="00DF1884" w:rsidRPr="00DF1884">
              <w:t xml:space="preserve"> </w:t>
            </w:r>
            <w:r w:rsidRPr="00DF1884">
              <w:t>by</w:t>
            </w:r>
            <w:r w:rsidR="00DF1884" w:rsidRPr="00DF1884">
              <w:t xml:space="preserve"> </w:t>
            </w:r>
            <w:r w:rsidRPr="00DF1884">
              <w:t>the</w:t>
            </w:r>
            <w:r w:rsidR="00DF1884" w:rsidRPr="00DF1884">
              <w:t xml:space="preserve"> </w:t>
            </w:r>
            <w:r w:rsidRPr="00DF1884">
              <w:t>American</w:t>
            </w:r>
            <w:r w:rsidR="00DF1884" w:rsidRPr="00DF1884">
              <w:t xml:space="preserve"> </w:t>
            </w:r>
            <w:r w:rsidRPr="00DF1884">
              <w:t>Medical</w:t>
            </w:r>
            <w:r w:rsidR="00DF1884" w:rsidRPr="00DF1884">
              <w:t xml:space="preserve"> </w:t>
            </w:r>
            <w:r w:rsidRPr="00DF1884">
              <w:t>Specialties</w:t>
            </w:r>
            <w:r w:rsidR="00DF1884" w:rsidRPr="00DF1884">
              <w:t xml:space="preserve"> </w:t>
            </w:r>
            <w:r w:rsidRPr="00DF1884">
              <w:t>Board</w:t>
            </w:r>
            <w:r w:rsidR="00DF1884" w:rsidRPr="00DF1884">
              <w:t xml:space="preserve"> </w:t>
            </w:r>
            <w:r w:rsidRPr="00DF1884">
              <w:t>of</w:t>
            </w:r>
            <w:r w:rsidR="00DF1884" w:rsidRPr="00DF1884">
              <w:t xml:space="preserve"> </w:t>
            </w:r>
            <w:r w:rsidRPr="00DF1884">
              <w:t>Obstetrics</w:t>
            </w:r>
            <w:r w:rsidR="00DF1884" w:rsidRPr="00DF1884">
              <w:t xml:space="preserve"> </w:t>
            </w:r>
            <w:r w:rsidRPr="00DF1884">
              <w:t>or</w:t>
            </w:r>
            <w:r w:rsidR="00DF1884" w:rsidRPr="00DF1884">
              <w:t xml:space="preserve"> </w:t>
            </w:r>
            <w:r w:rsidRPr="00DF1884">
              <w:t>Gynecology</w:t>
            </w:r>
            <w:r w:rsidR="00DF1884" w:rsidRPr="00DF1884">
              <w:t xml:space="preserve"> </w:t>
            </w:r>
            <w:r w:rsidRPr="00DF1884">
              <w:t>or</w:t>
            </w:r>
            <w:r w:rsidR="00DF1884" w:rsidRPr="00DF1884">
              <w:t xml:space="preserve"> </w:t>
            </w:r>
            <w:r w:rsidRPr="00DF1884">
              <w:t>the</w:t>
            </w:r>
            <w:r w:rsidR="00DF1884" w:rsidRPr="00DF1884">
              <w:t xml:space="preserve"> </w:t>
            </w:r>
            <w:r w:rsidRPr="00DF1884">
              <w:t>American</w:t>
            </w:r>
            <w:r w:rsidR="00DF1884" w:rsidRPr="00DF1884">
              <w:t xml:space="preserve"> </w:t>
            </w:r>
            <w:r w:rsidRPr="00DF1884">
              <w:t>Osteopathic</w:t>
            </w:r>
            <w:r w:rsidR="00DF1884" w:rsidRPr="00DF1884">
              <w:t xml:space="preserve"> </w:t>
            </w:r>
            <w:r w:rsidRPr="00DF1884">
              <w:t>Association;</w:t>
            </w:r>
            <w:r w:rsidR="00DF1884" w:rsidRPr="00DF1884">
              <w:t xml:space="preserve"> </w:t>
            </w:r>
            <w:r w:rsidRPr="00DF1884">
              <w:t>or,</w:t>
            </w:r>
            <w:r w:rsidR="00DF1884" w:rsidRPr="00DF1884">
              <w:t xml:space="preserve"> </w:t>
            </w:r>
            <w:r w:rsidRPr="00DF1884">
              <w:t>if</w:t>
            </w:r>
            <w:r w:rsidR="00DF1884" w:rsidRPr="00DF1884">
              <w:t xml:space="preserve"> </w:t>
            </w:r>
            <w:r w:rsidRPr="00DF1884">
              <w:t>not</w:t>
            </w:r>
            <w:r w:rsidR="00DF1884" w:rsidRPr="00DF1884">
              <w:t xml:space="preserve"> </w:t>
            </w:r>
            <w:r w:rsidRPr="00DF1884">
              <w:t>certified,</w:t>
            </w:r>
            <w:r w:rsidR="00DF1884" w:rsidRPr="00DF1884">
              <w:t xml:space="preserve"> </w:t>
            </w:r>
            <w:r w:rsidRPr="00DF1884">
              <w:t>who</w:t>
            </w:r>
            <w:r w:rsidR="00DF1884" w:rsidRPr="00DF1884">
              <w:t xml:space="preserve"> </w:t>
            </w:r>
            <w:r w:rsidRPr="00DF1884">
              <w:t>successfully</w:t>
            </w:r>
            <w:r w:rsidR="00DF1884" w:rsidRPr="00DF1884">
              <w:t xml:space="preserve"> </w:t>
            </w:r>
            <w:r w:rsidRPr="00DF1884">
              <w:t>completed</w:t>
            </w:r>
            <w:r w:rsidR="00DF1884" w:rsidRPr="00DF1884">
              <w:t xml:space="preserve"> </w:t>
            </w:r>
            <w:r w:rsidRPr="00DF1884">
              <w:t>an</w:t>
            </w:r>
            <w:r w:rsidR="00DF1884" w:rsidRPr="00DF1884">
              <w:t xml:space="preserve"> </w:t>
            </w:r>
            <w:r w:rsidRPr="00DF1884">
              <w:t>accredited</w:t>
            </w:r>
            <w:r w:rsidR="00DF1884" w:rsidRPr="00DF1884">
              <w:t xml:space="preserve"> </w:t>
            </w:r>
            <w:r w:rsidRPr="00DF1884">
              <w:t>program</w:t>
            </w:r>
            <w:r w:rsidR="00DF1884" w:rsidRPr="00DF1884">
              <w:t xml:space="preserve"> </w:t>
            </w:r>
            <w:r w:rsidRPr="00DF1884">
              <w:t>of</w:t>
            </w:r>
            <w:r w:rsidR="00DF1884" w:rsidRPr="00DF1884">
              <w:t xml:space="preserve"> </w:t>
            </w:r>
            <w:r w:rsidRPr="00DF1884">
              <w:t>graduate</w:t>
            </w:r>
            <w:r w:rsidR="00DF1884" w:rsidRPr="00DF1884">
              <w:t xml:space="preserve"> </w:t>
            </w:r>
            <w:r w:rsidRPr="00DF1884">
              <w:t>medical</w:t>
            </w:r>
            <w:r w:rsidR="00DF1884" w:rsidRPr="00DF1884">
              <w:t xml:space="preserve"> </w:t>
            </w:r>
            <w:r w:rsidRPr="00DF1884">
              <w:t>or</w:t>
            </w:r>
            <w:r w:rsidR="00DF1884" w:rsidRPr="00DF1884">
              <w:t xml:space="preserve"> </w:t>
            </w:r>
            <w:r w:rsidRPr="00DF1884">
              <w:t>osteopathic</w:t>
            </w:r>
            <w:r w:rsidR="00DF1884" w:rsidRPr="00DF1884">
              <w:t xml:space="preserve"> </w:t>
            </w:r>
            <w:r w:rsidRPr="00DF1884">
              <w:t>education</w:t>
            </w:r>
            <w:r w:rsidR="00DF1884" w:rsidRPr="00DF1884">
              <w:t xml:space="preserve"> </w:t>
            </w:r>
            <w:r w:rsidRPr="00DF1884">
              <w:t>in</w:t>
            </w:r>
            <w:r w:rsidR="00DF1884" w:rsidRPr="00DF1884">
              <w:t xml:space="preserve"> </w:t>
            </w:r>
            <w:r w:rsidRPr="00DF1884">
              <w:t>obstetrics</w:t>
            </w:r>
            <w:r w:rsidR="00DF1884" w:rsidRPr="00DF1884">
              <w:t xml:space="preserve"> </w:t>
            </w:r>
            <w:r w:rsidRPr="00DF1884">
              <w:t>and</w:t>
            </w:r>
            <w:r w:rsidR="00DF1884" w:rsidRPr="00DF1884">
              <w:t xml:space="preserve"> </w:t>
            </w:r>
            <w:r w:rsidRPr="00DF1884">
              <w:t>gynecology.</w:t>
            </w:r>
          </w:p>
          <w:p w14:paraId="584E984E" w14:textId="595F3FAD" w:rsidR="00463667" w:rsidRPr="00DF1884" w:rsidRDefault="00463667" w:rsidP="00C56CA6">
            <w:pPr>
              <w:pStyle w:val="Bullet"/>
              <w:spacing w:after="60"/>
            </w:pPr>
            <w:r w:rsidRPr="00DF1884">
              <w:t>Certified</w:t>
            </w:r>
            <w:r w:rsidR="00DF1884" w:rsidRPr="00DF1884">
              <w:t xml:space="preserve"> </w:t>
            </w:r>
            <w:r w:rsidRPr="00DF1884">
              <w:t>nurse</w:t>
            </w:r>
            <w:r w:rsidR="00DF1884" w:rsidRPr="00DF1884">
              <w:t xml:space="preserve"> </w:t>
            </w:r>
            <w:r w:rsidRPr="00DF1884">
              <w:t>midwives</w:t>
            </w:r>
            <w:r w:rsidR="00DF1884" w:rsidRPr="00DF1884">
              <w:t xml:space="preserve"> </w:t>
            </w:r>
            <w:r w:rsidRPr="00DF1884">
              <w:t>and</w:t>
            </w:r>
            <w:r w:rsidR="00DF1884" w:rsidRPr="00DF1884">
              <w:t xml:space="preserve"> </w:t>
            </w:r>
            <w:r w:rsidRPr="00DF1884">
              <w:t>nurse</w:t>
            </w:r>
            <w:r w:rsidR="00DF1884" w:rsidRPr="00DF1884">
              <w:t xml:space="preserve"> </w:t>
            </w:r>
            <w:r w:rsidRPr="00DF1884">
              <w:t>practitioners</w:t>
            </w:r>
            <w:r w:rsidR="00DF1884" w:rsidRPr="00DF1884">
              <w:t xml:space="preserve"> </w:t>
            </w:r>
            <w:r w:rsidRPr="00DF1884">
              <w:t>who</w:t>
            </w:r>
            <w:r w:rsidR="00DF1884" w:rsidRPr="00DF1884">
              <w:t xml:space="preserve"> </w:t>
            </w:r>
            <w:r w:rsidRPr="00DF1884">
              <w:t>deliver</w:t>
            </w:r>
            <w:r w:rsidR="00DF1884" w:rsidRPr="00DF1884">
              <w:t xml:space="preserve"> </w:t>
            </w:r>
            <w:r w:rsidRPr="00DF1884">
              <w:t>prenatal</w:t>
            </w:r>
            <w:r w:rsidR="00DF1884" w:rsidRPr="00DF1884">
              <w:t xml:space="preserve"> </w:t>
            </w:r>
            <w:r w:rsidRPr="00DF1884">
              <w:t>care</w:t>
            </w:r>
            <w:r w:rsidR="00DF1884" w:rsidRPr="00DF1884">
              <w:t xml:space="preserve"> </w:t>
            </w:r>
            <w:r w:rsidRPr="00DF1884">
              <w:t>services</w:t>
            </w:r>
            <w:r w:rsidR="00DF1884" w:rsidRPr="00DF1884">
              <w:t xml:space="preserve"> </w:t>
            </w:r>
            <w:r w:rsidRPr="00DF1884">
              <w:t>in</w:t>
            </w:r>
            <w:r w:rsidR="00DF1884" w:rsidRPr="00DF1884">
              <w:t xml:space="preserve"> </w:t>
            </w:r>
            <w:r w:rsidRPr="00DF1884">
              <w:t>a</w:t>
            </w:r>
            <w:r w:rsidR="00DF1884" w:rsidRPr="00DF1884">
              <w:t xml:space="preserve"> </w:t>
            </w:r>
            <w:r w:rsidRPr="00DF1884">
              <w:t>specialty</w:t>
            </w:r>
            <w:r w:rsidR="00DF1884" w:rsidRPr="00DF1884">
              <w:t xml:space="preserve"> </w:t>
            </w:r>
            <w:r w:rsidRPr="00DF1884">
              <w:t>setting</w:t>
            </w:r>
            <w:r w:rsidR="00DF1884" w:rsidRPr="00DF1884">
              <w:t xml:space="preserve"> </w:t>
            </w:r>
            <w:r w:rsidRPr="00DF1884">
              <w:t>(under</w:t>
            </w:r>
            <w:r w:rsidR="00DF1884" w:rsidRPr="00DF1884">
              <w:t xml:space="preserve"> </w:t>
            </w:r>
            <w:r w:rsidRPr="00DF1884">
              <w:t>the</w:t>
            </w:r>
            <w:r w:rsidR="00DF1884" w:rsidRPr="00DF1884">
              <w:t xml:space="preserve"> </w:t>
            </w:r>
            <w:r w:rsidRPr="00DF1884">
              <w:t>direction</w:t>
            </w:r>
            <w:r w:rsidR="00DF1884" w:rsidRPr="00DF1884">
              <w:t xml:space="preserve"> </w:t>
            </w:r>
            <w:r w:rsidRPr="00DF1884">
              <w:t>of</w:t>
            </w:r>
            <w:r w:rsidR="00DF1884" w:rsidRPr="00DF1884">
              <w:t xml:space="preserve"> </w:t>
            </w:r>
            <w:r w:rsidRPr="00DF1884">
              <w:t>an</w:t>
            </w:r>
            <w:r w:rsidR="00DF1884" w:rsidRPr="00DF1884">
              <w:t xml:space="preserve"> </w:t>
            </w:r>
            <w:r w:rsidRPr="00DF1884">
              <w:t>OB/GYN</w:t>
            </w:r>
            <w:r w:rsidR="00DF1884" w:rsidRPr="00DF1884">
              <w:t xml:space="preserve"> </w:t>
            </w:r>
            <w:r w:rsidRPr="00DF1884">
              <w:t>certified</w:t>
            </w:r>
            <w:r w:rsidR="00DF1884" w:rsidRPr="00DF1884">
              <w:t xml:space="preserve"> </w:t>
            </w:r>
            <w:r w:rsidRPr="00DF1884">
              <w:t>or</w:t>
            </w:r>
            <w:r w:rsidR="00DF1884" w:rsidRPr="00DF1884">
              <w:t xml:space="preserve"> </w:t>
            </w:r>
            <w:r w:rsidRPr="00DF1884">
              <w:t>accredited</w:t>
            </w:r>
            <w:r w:rsidR="00DF1884" w:rsidRPr="00DF1884">
              <w:t xml:space="preserve"> </w:t>
            </w:r>
            <w:r w:rsidRPr="00DF1884">
              <w:t>provider).</w:t>
            </w:r>
          </w:p>
        </w:tc>
      </w:tr>
      <w:tr w:rsidR="00463667" w:rsidRPr="00DF1884" w14:paraId="437F9AB1" w14:textId="77777777" w:rsidTr="00463667">
        <w:tc>
          <w:tcPr>
            <w:tcW w:w="2304" w:type="dxa"/>
            <w:tcBorders>
              <w:top w:val="dotted" w:sz="6" w:space="0" w:color="auto"/>
              <w:bottom w:val="dotted" w:sz="6" w:space="0" w:color="auto"/>
            </w:tcBorders>
          </w:tcPr>
          <w:p w14:paraId="5A393799" w14:textId="31453665" w:rsidR="00463667" w:rsidRPr="00DF1884" w:rsidRDefault="00463667" w:rsidP="00463667">
            <w:pPr>
              <w:pStyle w:val="MarginSubhead"/>
              <w:ind w:left="0"/>
            </w:pPr>
            <w:r w:rsidRPr="00DF1884">
              <w:t>PCP</w:t>
            </w:r>
          </w:p>
        </w:tc>
        <w:tc>
          <w:tcPr>
            <w:tcW w:w="7596" w:type="dxa"/>
            <w:tcBorders>
              <w:top w:val="dotted" w:sz="6" w:space="0" w:color="auto"/>
              <w:bottom w:val="dotted" w:sz="6" w:space="0" w:color="auto"/>
            </w:tcBorders>
          </w:tcPr>
          <w:p w14:paraId="6016CCAF" w14:textId="78A29BF4" w:rsidR="00463667" w:rsidRPr="00DF1884" w:rsidRDefault="00463667" w:rsidP="00C56CA6">
            <w:pPr>
              <w:pStyle w:val="Body"/>
            </w:pPr>
            <w:r w:rsidRPr="00DF1884">
              <w:t>Primary</w:t>
            </w:r>
            <w:r w:rsidR="00DF1884" w:rsidRPr="00DF1884">
              <w:t xml:space="preserve"> </w:t>
            </w:r>
            <w:r w:rsidRPr="00DF1884">
              <w:t>care</w:t>
            </w:r>
            <w:r w:rsidR="00DF1884" w:rsidRPr="00DF1884">
              <w:t xml:space="preserve"> </w:t>
            </w:r>
            <w:r w:rsidRPr="00DF1884">
              <w:t>practitioner.</w:t>
            </w:r>
            <w:r w:rsidR="00DF1884" w:rsidRPr="00DF1884">
              <w:t xml:space="preserve"> </w:t>
            </w:r>
            <w:r w:rsidRPr="00DF1884">
              <w:t>A</w:t>
            </w:r>
            <w:r w:rsidR="00DF1884" w:rsidRPr="00DF1884">
              <w:t xml:space="preserve"> </w:t>
            </w:r>
            <w:r w:rsidRPr="00DF1884">
              <w:t>physician</w:t>
            </w:r>
            <w:r w:rsidR="00DF1884" w:rsidRPr="00DF1884">
              <w:t xml:space="preserve"> </w:t>
            </w:r>
            <w:r w:rsidRPr="00DF1884">
              <w:t>or</w:t>
            </w:r>
            <w:r w:rsidR="00DF1884" w:rsidRPr="00DF1884">
              <w:t xml:space="preserve"> </w:t>
            </w:r>
            <w:r w:rsidRPr="00DF1884">
              <w:t>nonphysician</w:t>
            </w:r>
            <w:r w:rsidR="00DF1884" w:rsidRPr="00DF1884">
              <w:t xml:space="preserve"> </w:t>
            </w:r>
            <w:r w:rsidRPr="00DF1884">
              <w:t>(e.g.,</w:t>
            </w:r>
            <w:r w:rsidR="00DF1884" w:rsidRPr="00DF1884">
              <w:t xml:space="preserve"> </w:t>
            </w:r>
            <w:r w:rsidRPr="00DF1884">
              <w:t>nurse</w:t>
            </w:r>
            <w:r w:rsidR="00DF1884" w:rsidRPr="00DF1884">
              <w:t xml:space="preserve"> </w:t>
            </w:r>
            <w:r w:rsidRPr="00DF1884">
              <w:t>practitioner,</w:t>
            </w:r>
            <w:r w:rsidR="00DF1884" w:rsidRPr="00DF1884">
              <w:t xml:space="preserve"> </w:t>
            </w:r>
            <w:r w:rsidRPr="00DF1884">
              <w:t>physician</w:t>
            </w:r>
            <w:r w:rsidR="00DF1884" w:rsidRPr="00DF1884">
              <w:t xml:space="preserve"> </w:t>
            </w:r>
            <w:r w:rsidRPr="00DF1884">
              <w:t>assistant)</w:t>
            </w:r>
            <w:r w:rsidR="00DF1884" w:rsidRPr="00DF1884">
              <w:t xml:space="preserve"> </w:t>
            </w:r>
            <w:r w:rsidRPr="00DF1884">
              <w:t>who</w:t>
            </w:r>
            <w:r w:rsidR="00DF1884" w:rsidRPr="00DF1884">
              <w:t xml:space="preserve"> </w:t>
            </w:r>
            <w:r w:rsidRPr="00DF1884">
              <w:t>offers</w:t>
            </w:r>
            <w:r w:rsidR="00DF1884" w:rsidRPr="00DF1884">
              <w:t xml:space="preserve"> </w:t>
            </w:r>
            <w:r w:rsidRPr="00DF1884">
              <w:t>primary</w:t>
            </w:r>
            <w:r w:rsidR="00DF1884" w:rsidRPr="00DF1884">
              <w:t xml:space="preserve"> </w:t>
            </w:r>
            <w:r w:rsidRPr="00DF1884">
              <w:t>care</w:t>
            </w:r>
            <w:r w:rsidR="00DF1884" w:rsidRPr="00DF1884">
              <w:t xml:space="preserve"> </w:t>
            </w:r>
            <w:r w:rsidRPr="00DF1884">
              <w:t>medical</w:t>
            </w:r>
            <w:r w:rsidR="00DF1884" w:rsidRPr="00DF1884">
              <w:t xml:space="preserve"> </w:t>
            </w:r>
            <w:r w:rsidRPr="00DF1884">
              <w:t>services.</w:t>
            </w:r>
            <w:r w:rsidR="00DF1884" w:rsidRPr="00DF1884">
              <w:t xml:space="preserve"> </w:t>
            </w:r>
          </w:p>
          <w:p w14:paraId="65B74930" w14:textId="53EFC087" w:rsidR="00463667" w:rsidRPr="00DF1884" w:rsidRDefault="00463667" w:rsidP="00C56CA6">
            <w:pPr>
              <w:pStyle w:val="Body"/>
              <w:spacing w:after="60"/>
            </w:pPr>
            <w:r w:rsidRPr="00DF1884">
              <w:t>Licensed</w:t>
            </w:r>
            <w:r w:rsidR="00DF1884" w:rsidRPr="00DF1884">
              <w:t xml:space="preserve"> </w:t>
            </w:r>
            <w:r w:rsidRPr="00DF1884">
              <w:t>practical</w:t>
            </w:r>
            <w:r w:rsidR="00DF1884" w:rsidRPr="00DF1884">
              <w:t xml:space="preserve"> </w:t>
            </w:r>
            <w:r w:rsidRPr="00DF1884">
              <w:t>nurses</w:t>
            </w:r>
            <w:r w:rsidR="00DF1884" w:rsidRPr="00DF1884">
              <w:t xml:space="preserve"> </w:t>
            </w:r>
            <w:r w:rsidRPr="00DF1884">
              <w:t>and</w:t>
            </w:r>
            <w:r w:rsidR="00DF1884" w:rsidRPr="00DF1884">
              <w:t xml:space="preserve"> </w:t>
            </w:r>
            <w:r w:rsidRPr="00DF1884">
              <w:t>registered</w:t>
            </w:r>
            <w:r w:rsidR="00DF1884" w:rsidRPr="00DF1884">
              <w:t xml:space="preserve"> </w:t>
            </w:r>
            <w:r w:rsidRPr="00DF1884">
              <w:t>nurses</w:t>
            </w:r>
            <w:r w:rsidR="00DF1884" w:rsidRPr="00DF1884">
              <w:t xml:space="preserve"> </w:t>
            </w:r>
            <w:r w:rsidRPr="00DF1884">
              <w:t>are</w:t>
            </w:r>
            <w:r w:rsidR="00DF1884" w:rsidRPr="00DF1884">
              <w:t xml:space="preserve"> </w:t>
            </w:r>
            <w:r w:rsidRPr="00DF1884">
              <w:t>not</w:t>
            </w:r>
            <w:r w:rsidR="00DF1884" w:rsidRPr="00DF1884">
              <w:t xml:space="preserve"> </w:t>
            </w:r>
            <w:r w:rsidRPr="00DF1884">
              <w:t>considered</w:t>
            </w:r>
            <w:r w:rsidR="00DF1884" w:rsidRPr="00DF1884">
              <w:t xml:space="preserve"> </w:t>
            </w:r>
            <w:r w:rsidRPr="00DF1884">
              <w:t>PCPs.</w:t>
            </w:r>
          </w:p>
        </w:tc>
      </w:tr>
      <w:tr w:rsidR="00463667" w:rsidRPr="00DF1884" w14:paraId="5957112C" w14:textId="77777777" w:rsidTr="00463667">
        <w:tc>
          <w:tcPr>
            <w:tcW w:w="2304" w:type="dxa"/>
            <w:tcBorders>
              <w:top w:val="dotted" w:sz="6" w:space="0" w:color="auto"/>
              <w:bottom w:val="dotted" w:sz="6" w:space="0" w:color="auto"/>
            </w:tcBorders>
          </w:tcPr>
          <w:p w14:paraId="115E537E" w14:textId="0B4A842F" w:rsidR="00463667" w:rsidRPr="00DF1884" w:rsidRDefault="00463667" w:rsidP="00463667">
            <w:pPr>
              <w:pStyle w:val="MarginSubhead"/>
              <w:spacing w:after="120"/>
              <w:ind w:left="0"/>
            </w:pPr>
            <w:r w:rsidRPr="00DF1884">
              <w:t>prescribing</w:t>
            </w:r>
            <w:r w:rsidR="00DF1884" w:rsidRPr="00DF1884">
              <w:t xml:space="preserve"> </w:t>
            </w:r>
            <w:r w:rsidRPr="00DF1884">
              <w:t>practitioner</w:t>
            </w:r>
          </w:p>
        </w:tc>
        <w:tc>
          <w:tcPr>
            <w:tcW w:w="7596" w:type="dxa"/>
            <w:tcBorders>
              <w:top w:val="dotted" w:sz="6" w:space="0" w:color="auto"/>
              <w:bottom w:val="dotted" w:sz="6" w:space="0" w:color="auto"/>
            </w:tcBorders>
          </w:tcPr>
          <w:p w14:paraId="6AB5BE6B" w14:textId="1FEDC6D5" w:rsidR="00463667" w:rsidRPr="00DF1884" w:rsidRDefault="00463667" w:rsidP="00C56CA6">
            <w:pPr>
              <w:pStyle w:val="Body"/>
              <w:spacing w:after="60"/>
              <w:rPr>
                <w:bCs/>
              </w:rPr>
            </w:pPr>
            <w:r w:rsidRPr="00DF1884">
              <w:t>A</w:t>
            </w:r>
            <w:r w:rsidR="00DF1884" w:rsidRPr="00DF1884">
              <w:t xml:space="preserve"> </w:t>
            </w:r>
            <w:r w:rsidRPr="00DF1884">
              <w:t>practitioner</w:t>
            </w:r>
            <w:r w:rsidR="00DF1884" w:rsidRPr="00DF1884">
              <w:t xml:space="preserve"> </w:t>
            </w:r>
            <w:r w:rsidRPr="00DF1884">
              <w:t>with</w:t>
            </w:r>
            <w:r w:rsidR="00DF1884" w:rsidRPr="00DF1884">
              <w:t xml:space="preserve"> </w:t>
            </w:r>
            <w:r w:rsidRPr="00DF1884">
              <w:t>prescribing</w:t>
            </w:r>
            <w:r w:rsidR="00DF1884" w:rsidRPr="00DF1884">
              <w:t xml:space="preserve"> </w:t>
            </w:r>
            <w:r w:rsidRPr="00DF1884">
              <w:t>privileges,</w:t>
            </w:r>
            <w:r w:rsidR="00DF1884" w:rsidRPr="00DF1884">
              <w:t xml:space="preserve"> </w:t>
            </w:r>
            <w:r w:rsidRPr="00DF1884">
              <w:t>including</w:t>
            </w:r>
            <w:r w:rsidR="00DF1884" w:rsidRPr="00DF1884">
              <w:t xml:space="preserve"> </w:t>
            </w:r>
            <w:r w:rsidRPr="00DF1884">
              <w:t>nurse</w:t>
            </w:r>
            <w:r w:rsidR="00DF1884" w:rsidRPr="00DF1884">
              <w:t xml:space="preserve"> </w:t>
            </w:r>
            <w:r w:rsidRPr="00DF1884">
              <w:t>practitioners,</w:t>
            </w:r>
            <w:r w:rsidR="00DF1884" w:rsidRPr="00DF1884">
              <w:t xml:space="preserve"> </w:t>
            </w:r>
            <w:r w:rsidRPr="00DF1884">
              <w:t>physician</w:t>
            </w:r>
            <w:r w:rsidR="00DF1884" w:rsidRPr="00DF1884">
              <w:t xml:space="preserve"> </w:t>
            </w:r>
            <w:r w:rsidRPr="00DF1884">
              <w:t>assistants</w:t>
            </w:r>
            <w:r w:rsidR="00DF1884" w:rsidRPr="00DF1884">
              <w:t xml:space="preserve"> </w:t>
            </w:r>
            <w:r w:rsidRPr="00DF1884">
              <w:t>and</w:t>
            </w:r>
            <w:r w:rsidR="00DF1884" w:rsidRPr="00DF1884">
              <w:t xml:space="preserve"> </w:t>
            </w:r>
            <w:r w:rsidRPr="00DF1884">
              <w:t>other</w:t>
            </w:r>
            <w:r w:rsidR="00DF1884" w:rsidRPr="00DF1884">
              <w:t xml:space="preserve"> </w:t>
            </w:r>
            <w:r w:rsidRPr="00DF1884">
              <w:t>non-MDs</w:t>
            </w:r>
            <w:r w:rsidR="00DF1884" w:rsidRPr="00DF1884">
              <w:t xml:space="preserve"> </w:t>
            </w:r>
            <w:r w:rsidRPr="00DF1884">
              <w:t>who</w:t>
            </w:r>
            <w:r w:rsidR="00DF1884" w:rsidRPr="00DF1884">
              <w:t xml:space="preserve"> </w:t>
            </w:r>
            <w:r w:rsidRPr="00DF1884">
              <w:t>have</w:t>
            </w:r>
            <w:r w:rsidR="00DF1884" w:rsidRPr="00DF1884">
              <w:t xml:space="preserve"> </w:t>
            </w:r>
            <w:r w:rsidRPr="00DF1884">
              <w:t>the</w:t>
            </w:r>
            <w:r w:rsidR="00DF1884" w:rsidRPr="00DF1884">
              <w:t xml:space="preserve"> </w:t>
            </w:r>
            <w:r w:rsidRPr="00DF1884">
              <w:t>authority</w:t>
            </w:r>
            <w:r w:rsidR="00DF1884" w:rsidRPr="00DF1884">
              <w:t xml:space="preserve"> </w:t>
            </w:r>
            <w:r w:rsidRPr="00DF1884">
              <w:t>to</w:t>
            </w:r>
            <w:r w:rsidR="00DF1884" w:rsidRPr="00DF1884">
              <w:t xml:space="preserve"> </w:t>
            </w:r>
            <w:r w:rsidRPr="00DF1884">
              <w:t>prescribe</w:t>
            </w:r>
            <w:r w:rsidR="00DF1884" w:rsidRPr="00DF1884">
              <w:t xml:space="preserve"> </w:t>
            </w:r>
            <w:r w:rsidRPr="00DF1884">
              <w:t>medications.</w:t>
            </w:r>
          </w:p>
        </w:tc>
      </w:tr>
      <w:tr w:rsidR="00463667" w:rsidRPr="00DF1884" w14:paraId="165163DD" w14:textId="77777777" w:rsidTr="00463667">
        <w:trPr>
          <w:cantSplit/>
        </w:trPr>
        <w:tc>
          <w:tcPr>
            <w:tcW w:w="2304" w:type="dxa"/>
            <w:tcBorders>
              <w:top w:val="dotted" w:sz="6" w:space="0" w:color="auto"/>
            </w:tcBorders>
          </w:tcPr>
          <w:p w14:paraId="7C3A99F3" w14:textId="1BD02E76" w:rsidR="00463667" w:rsidRPr="00DF1884" w:rsidRDefault="00463667" w:rsidP="00463667">
            <w:pPr>
              <w:pStyle w:val="MarginSubhead"/>
              <w:ind w:left="0"/>
            </w:pPr>
            <w:r w:rsidRPr="00DF1884">
              <w:t>primary</w:t>
            </w:r>
            <w:r w:rsidR="00DF1884" w:rsidRPr="00DF1884">
              <w:t xml:space="preserve"> </w:t>
            </w:r>
            <w:r w:rsidRPr="00DF1884">
              <w:t>care</w:t>
            </w:r>
            <w:r w:rsidR="00DF1884" w:rsidRPr="00DF1884">
              <w:t xml:space="preserve"> </w:t>
            </w:r>
            <w:r w:rsidRPr="00DF1884">
              <w:t>physician</w:t>
            </w:r>
          </w:p>
        </w:tc>
        <w:tc>
          <w:tcPr>
            <w:tcW w:w="7596" w:type="dxa"/>
            <w:tcBorders>
              <w:top w:val="dotted" w:sz="6" w:space="0" w:color="auto"/>
            </w:tcBorders>
          </w:tcPr>
          <w:p w14:paraId="6F30FEBA" w14:textId="77777777" w:rsidR="00463667" w:rsidRPr="00DF1884" w:rsidRDefault="00463667" w:rsidP="00C56CA6">
            <w:pPr>
              <w:pStyle w:val="Body"/>
              <w:spacing w:after="120"/>
              <w:rPr>
                <w:bCs/>
              </w:rPr>
            </w:pPr>
            <w:r w:rsidRPr="00DF1884">
              <w:rPr>
                <w:bCs/>
              </w:rPr>
              <w:t>Includes:</w:t>
            </w:r>
          </w:p>
          <w:p w14:paraId="45A924B9" w14:textId="46A70C80" w:rsidR="00463667" w:rsidRPr="00DF1884" w:rsidRDefault="00463667" w:rsidP="00CE4F2B">
            <w:pPr>
              <w:pStyle w:val="Bullet"/>
              <w:spacing w:before="60"/>
            </w:pPr>
            <w:r w:rsidRPr="00DF1884">
              <w:t>General</w:t>
            </w:r>
            <w:r w:rsidR="00DF1884" w:rsidRPr="00DF1884">
              <w:t xml:space="preserve"> </w:t>
            </w:r>
            <w:r w:rsidRPr="00DF1884">
              <w:t>or</w:t>
            </w:r>
            <w:r w:rsidR="00DF1884" w:rsidRPr="00DF1884">
              <w:t xml:space="preserve"> </w:t>
            </w:r>
            <w:r w:rsidRPr="00DF1884">
              <w:t>family</w:t>
            </w:r>
            <w:r w:rsidR="00DF1884" w:rsidRPr="00DF1884">
              <w:t xml:space="preserve"> </w:t>
            </w:r>
            <w:r w:rsidRPr="00DF1884">
              <w:t>practice</w:t>
            </w:r>
            <w:r w:rsidR="00DF1884" w:rsidRPr="00DF1884">
              <w:t xml:space="preserve"> </w:t>
            </w:r>
            <w:r w:rsidRPr="00DF1884">
              <w:t>physicians.</w:t>
            </w:r>
          </w:p>
          <w:p w14:paraId="04F2B07E" w14:textId="77777777" w:rsidR="00463667" w:rsidRPr="00DF1884" w:rsidRDefault="00463667" w:rsidP="00CE4F2B">
            <w:pPr>
              <w:pStyle w:val="Bullet"/>
              <w:spacing w:before="60"/>
            </w:pPr>
            <w:r w:rsidRPr="00DF1884">
              <w:t>Geriatricians.</w:t>
            </w:r>
          </w:p>
          <w:p w14:paraId="6D6978BC" w14:textId="0DB2CAF4" w:rsidR="00463667" w:rsidRPr="00DF1884" w:rsidRDefault="00463667" w:rsidP="00CE4F2B">
            <w:pPr>
              <w:pStyle w:val="Bullet"/>
              <w:spacing w:before="60"/>
            </w:pPr>
            <w:r w:rsidRPr="00DF1884">
              <w:t>General</w:t>
            </w:r>
            <w:r w:rsidR="00DF1884" w:rsidRPr="00DF1884">
              <w:t xml:space="preserve"> </w:t>
            </w:r>
            <w:r w:rsidRPr="00DF1884">
              <w:t>internal</w:t>
            </w:r>
            <w:r w:rsidR="00DF1884" w:rsidRPr="00DF1884">
              <w:t xml:space="preserve"> </w:t>
            </w:r>
            <w:r w:rsidRPr="00DF1884">
              <w:t>medicine</w:t>
            </w:r>
            <w:r w:rsidR="00DF1884" w:rsidRPr="00DF1884">
              <w:t xml:space="preserve"> </w:t>
            </w:r>
            <w:r w:rsidRPr="00DF1884">
              <w:t>physicians.</w:t>
            </w:r>
          </w:p>
          <w:p w14:paraId="0249AF86" w14:textId="43FBCE46" w:rsidR="00463667" w:rsidRPr="00DF1884" w:rsidRDefault="00463667" w:rsidP="00CE4F2B">
            <w:pPr>
              <w:pStyle w:val="Bullet"/>
              <w:spacing w:before="60"/>
            </w:pPr>
            <w:r w:rsidRPr="00DF1884">
              <w:t>General</w:t>
            </w:r>
            <w:r w:rsidR="00DF1884" w:rsidRPr="00DF1884">
              <w:t xml:space="preserve"> </w:t>
            </w:r>
            <w:r w:rsidRPr="00DF1884">
              <w:t>pediatricians.</w:t>
            </w:r>
          </w:p>
          <w:p w14:paraId="5FDF5875" w14:textId="514CB4FD" w:rsidR="00463667" w:rsidRPr="00DF1884" w:rsidRDefault="00463667" w:rsidP="00CE4F2B">
            <w:pPr>
              <w:pStyle w:val="Bullet"/>
              <w:spacing w:before="60"/>
            </w:pPr>
            <w:r w:rsidRPr="00DF1884">
              <w:t>Obstetricians/gynecologists</w:t>
            </w:r>
            <w:r w:rsidR="00DF1884" w:rsidRPr="00DF1884">
              <w:t xml:space="preserve"> </w:t>
            </w:r>
            <w:r w:rsidRPr="00DF1884">
              <w:t>(OB/GYN).</w:t>
            </w:r>
            <w:r w:rsidR="00DF1884" w:rsidRPr="00DF1884">
              <w:t xml:space="preserve"> </w:t>
            </w:r>
          </w:p>
        </w:tc>
      </w:tr>
    </w:tbl>
    <w:p w14:paraId="4B70DA38" w14:textId="77777777" w:rsidR="00463667" w:rsidRPr="00DF1884" w:rsidRDefault="00463667" w:rsidP="00463667">
      <w:pPr>
        <w:ind w:left="180" w:hanging="180"/>
        <w:jc w:val="right"/>
        <w:rPr>
          <w:sz w:val="18"/>
          <w:szCs w:val="18"/>
        </w:rPr>
        <w:sectPr w:rsidR="00463667" w:rsidRPr="00DF1884" w:rsidSect="0039781B">
          <w:pgSz w:w="12240" w:h="15840" w:code="1"/>
          <w:pgMar w:top="1080" w:right="1080" w:bottom="1080" w:left="1440" w:header="720" w:footer="720" w:gutter="0"/>
          <w:cols w:space="720"/>
        </w:sectPr>
      </w:pPr>
    </w:p>
    <w:p w14:paraId="43707461" w14:textId="77777777" w:rsidR="00463667" w:rsidRPr="00DF1884" w:rsidRDefault="00463667" w:rsidP="00463667">
      <w:pPr>
        <w:pStyle w:val="Breakpage"/>
      </w:pPr>
    </w:p>
    <w:p w14:paraId="4C2D8581" w14:textId="77777777" w:rsidR="00463667" w:rsidRPr="00DF1884" w:rsidRDefault="00463667" w:rsidP="00463667">
      <w:pPr>
        <w:pStyle w:val="Breakpage"/>
      </w:pPr>
    </w:p>
    <w:p w14:paraId="09677EA8" w14:textId="77777777" w:rsidR="00463667" w:rsidRPr="00DF1884" w:rsidRDefault="00463667" w:rsidP="00463667">
      <w:pPr>
        <w:pStyle w:val="Breakpage"/>
      </w:pPr>
    </w:p>
    <w:p w14:paraId="6272AFDF" w14:textId="77777777" w:rsidR="00463667" w:rsidRPr="00DF1884" w:rsidRDefault="00463667" w:rsidP="00463667">
      <w:pPr>
        <w:pStyle w:val="Breakpage"/>
      </w:pPr>
    </w:p>
    <w:p w14:paraId="64D1EABB" w14:textId="77777777" w:rsidR="00463667" w:rsidRPr="00DF1884" w:rsidRDefault="00463667" w:rsidP="00463667">
      <w:pPr>
        <w:pStyle w:val="Breakpage"/>
      </w:pPr>
    </w:p>
    <w:p w14:paraId="6426F746" w14:textId="49982C2D" w:rsidR="00463667" w:rsidRPr="00DF1884" w:rsidRDefault="00463667" w:rsidP="00463667">
      <w:pPr>
        <w:pStyle w:val="Breakpage"/>
      </w:pPr>
      <w:r w:rsidRPr="00DF1884">
        <w:t>Appendix</w:t>
      </w:r>
      <w:r w:rsidR="00DF1884" w:rsidRPr="00DF1884">
        <w:t xml:space="preserve"> </w:t>
      </w:r>
      <w:r w:rsidRPr="00DF1884">
        <w:t>4</w:t>
      </w:r>
    </w:p>
    <w:p w14:paraId="45E9357C" w14:textId="77777777" w:rsidR="00463667" w:rsidRPr="00DF1884" w:rsidRDefault="00463667" w:rsidP="00463667">
      <w:pPr>
        <w:pStyle w:val="Breakpage"/>
      </w:pPr>
    </w:p>
    <w:p w14:paraId="1EB5B5F5" w14:textId="0B0EB5AA" w:rsidR="00463667" w:rsidRPr="00DF1884" w:rsidRDefault="00463667" w:rsidP="00463667">
      <w:pPr>
        <w:pStyle w:val="Breakpage"/>
      </w:pPr>
      <w:r w:rsidRPr="00DF1884">
        <w:t>Data</w:t>
      </w:r>
      <w:r w:rsidR="00DF1884" w:rsidRPr="00DF1884">
        <w:t xml:space="preserve"> </w:t>
      </w:r>
      <w:r w:rsidRPr="00DF1884">
        <w:t>Element</w:t>
      </w:r>
      <w:r w:rsidR="00DF1884" w:rsidRPr="00DF1884">
        <w:t xml:space="preserve"> </w:t>
      </w:r>
      <w:r w:rsidRPr="00DF1884">
        <w:t>Definitions</w:t>
      </w:r>
    </w:p>
    <w:p w14:paraId="3C123EA9" w14:textId="77777777" w:rsidR="00463667" w:rsidRPr="00DF1884" w:rsidRDefault="00463667" w:rsidP="00463667"/>
    <w:p w14:paraId="22FABE40" w14:textId="77777777" w:rsidR="00463667" w:rsidRPr="00DF1884" w:rsidRDefault="00463667" w:rsidP="00463667"/>
    <w:p w14:paraId="08616376" w14:textId="77777777" w:rsidR="00463667" w:rsidRPr="00DF1884" w:rsidRDefault="00463667" w:rsidP="00463667">
      <w:pPr>
        <w:sectPr w:rsidR="00463667" w:rsidRPr="00DF1884" w:rsidSect="0039781B">
          <w:headerReference w:type="default" r:id="rId93"/>
          <w:footerReference w:type="default" r:id="rId94"/>
          <w:pgSz w:w="12240" w:h="15840" w:code="1"/>
          <w:pgMar w:top="1080" w:right="1080" w:bottom="1080" w:left="1440" w:header="720" w:footer="720" w:gutter="0"/>
          <w:cols w:space="720"/>
        </w:sectPr>
      </w:pPr>
    </w:p>
    <w:p w14:paraId="1B3160EA" w14:textId="77777777" w:rsidR="00463667" w:rsidRPr="00DF1884" w:rsidRDefault="00463667" w:rsidP="00463667"/>
    <w:p w14:paraId="505FA994" w14:textId="77777777" w:rsidR="00463667" w:rsidRPr="00DF1884" w:rsidRDefault="00463667" w:rsidP="00463667">
      <w:pPr>
        <w:sectPr w:rsidR="00463667" w:rsidRPr="00DF1884" w:rsidSect="0039781B">
          <w:headerReference w:type="even" r:id="rId95"/>
          <w:footerReference w:type="even" r:id="rId96"/>
          <w:pgSz w:w="12240" w:h="15840" w:code="1"/>
          <w:pgMar w:top="1080" w:right="1080" w:bottom="1080" w:left="1440" w:header="720" w:footer="720" w:gutter="0"/>
          <w:pgNumType w:start="2"/>
          <w:cols w:space="720"/>
        </w:sectPr>
      </w:pPr>
    </w:p>
    <w:p w14:paraId="00F971EE" w14:textId="3B2D9EAC" w:rsidR="00463667" w:rsidRPr="00DF1884" w:rsidRDefault="00463667" w:rsidP="00463667">
      <w:pPr>
        <w:jc w:val="center"/>
        <w:rPr>
          <w:b/>
          <w:sz w:val="32"/>
          <w:szCs w:val="32"/>
        </w:rPr>
      </w:pPr>
      <w:r w:rsidRPr="00DF1884">
        <w:rPr>
          <w:b/>
          <w:sz w:val="32"/>
          <w:szCs w:val="32"/>
        </w:rPr>
        <w:lastRenderedPageBreak/>
        <w:t>APPENDIX</w:t>
      </w:r>
      <w:r w:rsidR="00DF1884" w:rsidRPr="00DF1884">
        <w:rPr>
          <w:b/>
          <w:sz w:val="32"/>
          <w:szCs w:val="32"/>
        </w:rPr>
        <w:t xml:space="preserve"> </w:t>
      </w:r>
      <w:r w:rsidRPr="00DF1884">
        <w:rPr>
          <w:b/>
          <w:sz w:val="32"/>
          <w:szCs w:val="32"/>
        </w:rPr>
        <w:t>4</w:t>
      </w:r>
    </w:p>
    <w:p w14:paraId="7C945ECC" w14:textId="6C09FA7B" w:rsidR="00463667" w:rsidRPr="00DF1884" w:rsidRDefault="00463667" w:rsidP="00EF7C1A">
      <w:pPr>
        <w:spacing w:before="120" w:after="360"/>
        <w:jc w:val="center"/>
        <w:rPr>
          <w:b/>
          <w:sz w:val="28"/>
        </w:rPr>
      </w:pPr>
      <w:r w:rsidRPr="00DF1884">
        <w:rPr>
          <w:b/>
          <w:sz w:val="28"/>
        </w:rPr>
        <w:t>DATA</w:t>
      </w:r>
      <w:r w:rsidR="00DF1884" w:rsidRPr="00DF1884">
        <w:rPr>
          <w:b/>
          <w:sz w:val="28"/>
        </w:rPr>
        <w:t xml:space="preserve"> </w:t>
      </w:r>
      <w:r w:rsidRPr="00DF1884">
        <w:rPr>
          <w:b/>
          <w:sz w:val="28"/>
        </w:rPr>
        <w:t>ELEMENT</w:t>
      </w:r>
      <w:r w:rsidR="00DF1884" w:rsidRPr="00DF1884">
        <w:rPr>
          <w:b/>
          <w:sz w:val="28"/>
        </w:rPr>
        <w:t xml:space="preserve"> </w:t>
      </w:r>
      <w:r w:rsidRPr="00DF1884">
        <w:rPr>
          <w:b/>
          <w:sz w:val="28"/>
        </w:rPr>
        <w:t>DEFINITIONS</w:t>
      </w:r>
    </w:p>
    <w:tbl>
      <w:tblPr>
        <w:tblW w:w="1331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632"/>
        <w:gridCol w:w="868"/>
        <w:gridCol w:w="810"/>
        <w:gridCol w:w="990"/>
        <w:gridCol w:w="7012"/>
      </w:tblGrid>
      <w:tr w:rsidR="00463667" w:rsidRPr="00DF1884" w14:paraId="55846F7C" w14:textId="77777777" w:rsidTr="00C56CA6">
        <w:tc>
          <w:tcPr>
            <w:tcW w:w="3632" w:type="dxa"/>
            <w:tcBorders>
              <w:top w:val="single" w:sz="6" w:space="0" w:color="auto"/>
              <w:left w:val="single" w:sz="6" w:space="0" w:color="auto"/>
              <w:bottom w:val="single" w:sz="6" w:space="0" w:color="auto"/>
              <w:right w:val="nil"/>
            </w:tcBorders>
            <w:shd w:val="clear" w:color="auto" w:fill="000000"/>
            <w:vAlign w:val="bottom"/>
          </w:tcPr>
          <w:p w14:paraId="63059FCF" w14:textId="77777777" w:rsidR="00463667" w:rsidRPr="00DF1884" w:rsidRDefault="00463667" w:rsidP="00C56CA6">
            <w:pPr>
              <w:pStyle w:val="TableHead"/>
              <w:rPr>
                <w:color w:val="auto"/>
              </w:rPr>
            </w:pPr>
          </w:p>
        </w:tc>
        <w:tc>
          <w:tcPr>
            <w:tcW w:w="868" w:type="dxa"/>
            <w:tcBorders>
              <w:top w:val="single" w:sz="6" w:space="0" w:color="auto"/>
              <w:left w:val="single" w:sz="6" w:space="0" w:color="FFFFFF"/>
              <w:bottom w:val="single" w:sz="6" w:space="0" w:color="auto"/>
              <w:right w:val="single" w:sz="6" w:space="0" w:color="FFFFFF"/>
            </w:tcBorders>
            <w:shd w:val="clear" w:color="auto" w:fill="000000"/>
            <w:vAlign w:val="bottom"/>
          </w:tcPr>
          <w:p w14:paraId="69D0BC90" w14:textId="77777777" w:rsidR="00463667" w:rsidRPr="00DF1884" w:rsidRDefault="00463667" w:rsidP="00C56CA6">
            <w:pPr>
              <w:pStyle w:val="TableHead"/>
              <w:rPr>
                <w:color w:val="auto"/>
              </w:rPr>
            </w:pPr>
            <w:r w:rsidRPr="00DF1884">
              <w:rPr>
                <w:color w:val="auto"/>
              </w:rPr>
              <w:t>Admin</w:t>
            </w:r>
          </w:p>
        </w:tc>
        <w:tc>
          <w:tcPr>
            <w:tcW w:w="810" w:type="dxa"/>
            <w:tcBorders>
              <w:top w:val="single" w:sz="6" w:space="0" w:color="auto"/>
              <w:left w:val="nil"/>
              <w:bottom w:val="single" w:sz="6" w:space="0" w:color="auto"/>
              <w:right w:val="single" w:sz="4" w:space="0" w:color="FFFFFF"/>
            </w:tcBorders>
            <w:shd w:val="clear" w:color="auto" w:fill="000000"/>
            <w:vAlign w:val="bottom"/>
          </w:tcPr>
          <w:p w14:paraId="07DEBD87" w14:textId="77777777" w:rsidR="00463667" w:rsidRPr="00DF1884" w:rsidRDefault="00463667" w:rsidP="00C56CA6">
            <w:pPr>
              <w:pStyle w:val="TableHead"/>
              <w:rPr>
                <w:color w:val="auto"/>
              </w:rPr>
            </w:pPr>
            <w:r w:rsidRPr="00DF1884">
              <w:rPr>
                <w:color w:val="auto"/>
              </w:rPr>
              <w:t>Hybrid</w:t>
            </w:r>
          </w:p>
        </w:tc>
        <w:tc>
          <w:tcPr>
            <w:tcW w:w="990" w:type="dxa"/>
            <w:tcBorders>
              <w:top w:val="single" w:sz="6" w:space="0" w:color="auto"/>
              <w:left w:val="single" w:sz="4" w:space="0" w:color="FFFFFF"/>
              <w:bottom w:val="single" w:sz="6" w:space="0" w:color="auto"/>
              <w:right w:val="single" w:sz="4" w:space="0" w:color="FFFFFF"/>
            </w:tcBorders>
            <w:shd w:val="clear" w:color="auto" w:fill="000000"/>
            <w:vAlign w:val="bottom"/>
          </w:tcPr>
          <w:p w14:paraId="07199606" w14:textId="77777777" w:rsidR="00463667" w:rsidRPr="00DF1884" w:rsidRDefault="00463667" w:rsidP="00C56CA6">
            <w:pPr>
              <w:pStyle w:val="TableHead"/>
              <w:rPr>
                <w:color w:val="auto"/>
              </w:rPr>
            </w:pPr>
            <w:r w:rsidRPr="00DF1884">
              <w:rPr>
                <w:color w:val="auto"/>
              </w:rPr>
              <w:t>Research</w:t>
            </w:r>
          </w:p>
        </w:tc>
        <w:tc>
          <w:tcPr>
            <w:tcW w:w="7012" w:type="dxa"/>
            <w:tcBorders>
              <w:top w:val="single" w:sz="6" w:space="0" w:color="auto"/>
              <w:left w:val="single" w:sz="4" w:space="0" w:color="FFFFFF"/>
              <w:bottom w:val="single" w:sz="6" w:space="0" w:color="auto"/>
              <w:right w:val="single" w:sz="4" w:space="0" w:color="auto"/>
            </w:tcBorders>
            <w:shd w:val="clear" w:color="auto" w:fill="000000"/>
            <w:vAlign w:val="bottom"/>
          </w:tcPr>
          <w:p w14:paraId="7B9D1D92" w14:textId="77777777" w:rsidR="00463667" w:rsidRPr="00DF1884" w:rsidRDefault="00463667" w:rsidP="00C56CA6">
            <w:pPr>
              <w:pStyle w:val="TableHead"/>
              <w:rPr>
                <w:color w:val="auto"/>
              </w:rPr>
            </w:pPr>
            <w:r w:rsidRPr="00DF1884">
              <w:rPr>
                <w:color w:val="auto"/>
              </w:rPr>
              <w:t>Meaning</w:t>
            </w:r>
          </w:p>
        </w:tc>
      </w:tr>
      <w:tr w:rsidR="00463667" w:rsidRPr="00DF1884" w14:paraId="265C9605" w14:textId="77777777" w:rsidTr="00C56CA6">
        <w:tc>
          <w:tcPr>
            <w:tcW w:w="3632" w:type="dxa"/>
            <w:tcBorders>
              <w:top w:val="single" w:sz="6" w:space="0" w:color="auto"/>
              <w:left w:val="single" w:sz="6" w:space="0" w:color="auto"/>
              <w:bottom w:val="single" w:sz="6" w:space="0" w:color="auto"/>
              <w:right w:val="single" w:sz="6" w:space="0" w:color="auto"/>
            </w:tcBorders>
          </w:tcPr>
          <w:p w14:paraId="54B5D537" w14:textId="565DE155" w:rsidR="00463667" w:rsidRPr="00DF1884" w:rsidRDefault="00463667" w:rsidP="00C56CA6">
            <w:pPr>
              <w:pStyle w:val="TableText"/>
            </w:pPr>
            <w:r w:rsidRPr="00DF1884">
              <w:t>Measurement</w:t>
            </w:r>
            <w:r w:rsidR="00DF1884" w:rsidRPr="00DF1884">
              <w:t xml:space="preserve"> </w:t>
            </w:r>
            <w:r w:rsidRPr="00DF1884">
              <w:t>year</w:t>
            </w:r>
          </w:p>
        </w:tc>
        <w:tc>
          <w:tcPr>
            <w:tcW w:w="868" w:type="dxa"/>
            <w:tcBorders>
              <w:top w:val="single" w:sz="6" w:space="0" w:color="auto"/>
              <w:left w:val="single" w:sz="6" w:space="0" w:color="auto"/>
              <w:bottom w:val="single" w:sz="6" w:space="0" w:color="auto"/>
              <w:right w:val="single" w:sz="6" w:space="0" w:color="auto"/>
            </w:tcBorders>
          </w:tcPr>
          <w:p w14:paraId="5EC191C5"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810" w:type="dxa"/>
            <w:tcBorders>
              <w:top w:val="single" w:sz="6" w:space="0" w:color="auto"/>
              <w:left w:val="single" w:sz="6" w:space="0" w:color="auto"/>
              <w:bottom w:val="single" w:sz="6" w:space="0" w:color="auto"/>
              <w:right w:val="single" w:sz="6" w:space="0" w:color="auto"/>
            </w:tcBorders>
          </w:tcPr>
          <w:p w14:paraId="430216E5"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990" w:type="dxa"/>
            <w:tcBorders>
              <w:top w:val="single" w:sz="6" w:space="0" w:color="auto"/>
              <w:left w:val="single" w:sz="6" w:space="0" w:color="auto"/>
              <w:bottom w:val="single" w:sz="6" w:space="0" w:color="auto"/>
              <w:right w:val="single" w:sz="6" w:space="0" w:color="auto"/>
            </w:tcBorders>
          </w:tcPr>
          <w:p w14:paraId="42353159" w14:textId="77777777" w:rsidR="00463667" w:rsidRPr="00DF1884" w:rsidRDefault="00463667" w:rsidP="00C56CA6">
            <w:pPr>
              <w:pStyle w:val="TableText"/>
              <w:jc w:val="center"/>
              <w:rPr>
                <w:rFonts w:cs="Arial"/>
                <w:sz w:val="24"/>
              </w:rPr>
            </w:pPr>
          </w:p>
        </w:tc>
        <w:tc>
          <w:tcPr>
            <w:tcW w:w="7012" w:type="dxa"/>
            <w:tcBorders>
              <w:top w:val="single" w:sz="6" w:space="0" w:color="auto"/>
              <w:left w:val="single" w:sz="6" w:space="0" w:color="auto"/>
              <w:bottom w:val="single" w:sz="6" w:space="0" w:color="auto"/>
              <w:right w:val="single" w:sz="6" w:space="0" w:color="auto"/>
            </w:tcBorders>
          </w:tcPr>
          <w:p w14:paraId="0DB2FB3A" w14:textId="30C8A445" w:rsidR="00463667" w:rsidRPr="00DF1884" w:rsidRDefault="00463667" w:rsidP="00442111">
            <w:pPr>
              <w:pStyle w:val="TableText"/>
            </w:pPr>
            <w:r w:rsidRPr="00DF1884">
              <w:t>Data</w:t>
            </w:r>
            <w:r w:rsidR="00DF1884" w:rsidRPr="00DF1884">
              <w:t xml:space="preserve"> </w:t>
            </w:r>
            <w:r w:rsidRPr="00DF1884">
              <w:t>year</w:t>
            </w:r>
            <w:r w:rsidR="00DF1884" w:rsidRPr="00DF1884">
              <w:t xml:space="preserve"> </w:t>
            </w:r>
            <w:r w:rsidRPr="00DF1884">
              <w:t>(i.e.,</w:t>
            </w:r>
            <w:r w:rsidR="00DF1884" w:rsidRPr="00DF1884">
              <w:t xml:space="preserve"> </w:t>
            </w:r>
            <w:r w:rsidRPr="00DF1884">
              <w:t>year</w:t>
            </w:r>
            <w:r w:rsidR="00DF1884" w:rsidRPr="00DF1884">
              <w:t xml:space="preserve"> </w:t>
            </w:r>
            <w:r w:rsidRPr="00DF1884">
              <w:t>prior</w:t>
            </w:r>
            <w:r w:rsidR="00DF1884" w:rsidRPr="00DF1884">
              <w:t xml:space="preserve"> </w:t>
            </w:r>
            <w:r w:rsidRPr="00DF1884">
              <w:t>to</w:t>
            </w:r>
            <w:r w:rsidR="00DF1884" w:rsidRPr="00DF1884">
              <w:t xml:space="preserve"> </w:t>
            </w:r>
            <w:r w:rsidRPr="00DF1884">
              <w:t>reporting</w:t>
            </w:r>
            <w:r w:rsidR="00DF1884" w:rsidRPr="00DF1884">
              <w:t xml:space="preserve"> </w:t>
            </w:r>
            <w:r w:rsidRPr="00DF1884">
              <w:t>year).</w:t>
            </w:r>
            <w:r w:rsidR="00DF1884" w:rsidRPr="00DF1884">
              <w:t xml:space="preserve"> </w:t>
            </w:r>
            <w:r w:rsidRPr="00DF1884">
              <w:t>For</w:t>
            </w:r>
            <w:r w:rsidR="00DF1884" w:rsidRPr="00DF1884">
              <w:t xml:space="preserve"> </w:t>
            </w:r>
            <w:r w:rsidRPr="00DF1884">
              <w:t>HEDIS</w:t>
            </w:r>
            <w:r w:rsidR="00DF1884" w:rsidRPr="00DF1884">
              <w:t xml:space="preserve"> </w:t>
            </w:r>
            <w:r w:rsidR="00442111" w:rsidRPr="00DF1884">
              <w:t>2016</w:t>
            </w:r>
            <w:r w:rsidRPr="00DF1884">
              <w:t>,</w:t>
            </w:r>
            <w:r w:rsidR="00DF1884" w:rsidRPr="00DF1884">
              <w:t xml:space="preserve"> </w:t>
            </w:r>
            <w:r w:rsidRPr="00DF1884">
              <w:t>the</w:t>
            </w:r>
            <w:r w:rsidR="00DF1884" w:rsidRPr="00DF1884">
              <w:t xml:space="preserve"> </w:t>
            </w:r>
            <w:r w:rsidRPr="00DF1884">
              <w:t>measurement</w:t>
            </w:r>
            <w:r w:rsidR="00DF1884" w:rsidRPr="00DF1884">
              <w:t xml:space="preserve"> </w:t>
            </w:r>
            <w:r w:rsidRPr="00DF1884">
              <w:t>year</w:t>
            </w:r>
            <w:r w:rsidR="00DF1884" w:rsidRPr="00DF1884">
              <w:t xml:space="preserve"> </w:t>
            </w:r>
            <w:r w:rsidRPr="00DF1884">
              <w:t>is</w:t>
            </w:r>
            <w:r w:rsidR="00DF1884" w:rsidRPr="00DF1884">
              <w:t xml:space="preserve"> </w:t>
            </w:r>
            <w:r w:rsidR="00442111" w:rsidRPr="00DF1884">
              <w:t>2015</w:t>
            </w:r>
            <w:r w:rsidRPr="00DF1884">
              <w:t>.</w:t>
            </w:r>
          </w:p>
        </w:tc>
      </w:tr>
      <w:tr w:rsidR="00463667" w:rsidRPr="00DF1884" w14:paraId="38280D05" w14:textId="77777777" w:rsidTr="00C56CA6">
        <w:tc>
          <w:tcPr>
            <w:tcW w:w="3632" w:type="dxa"/>
            <w:tcBorders>
              <w:top w:val="single" w:sz="6" w:space="0" w:color="auto"/>
              <w:left w:val="single" w:sz="6" w:space="0" w:color="auto"/>
              <w:bottom w:val="single" w:sz="6" w:space="0" w:color="auto"/>
              <w:right w:val="single" w:sz="6" w:space="0" w:color="auto"/>
            </w:tcBorders>
            <w:shd w:val="clear" w:color="auto" w:fill="E0E0E0"/>
          </w:tcPr>
          <w:p w14:paraId="48F40F43" w14:textId="34EA49A7" w:rsidR="00463667" w:rsidRPr="00DF1884" w:rsidRDefault="00463667" w:rsidP="00C56CA6">
            <w:pPr>
              <w:pStyle w:val="TableText"/>
            </w:pPr>
            <w:r w:rsidRPr="00DF1884">
              <w:t>Data</w:t>
            </w:r>
            <w:r w:rsidR="00DF1884" w:rsidRPr="00DF1884">
              <w:t xml:space="preserve"> </w:t>
            </w:r>
            <w:r w:rsidRPr="00DF1884">
              <w:t>collection</w:t>
            </w:r>
            <w:r w:rsidR="00DF1884" w:rsidRPr="00DF1884">
              <w:t xml:space="preserve"> </w:t>
            </w:r>
            <w:r w:rsidRPr="00DF1884">
              <w:t>methodology</w:t>
            </w:r>
            <w:r w:rsidR="00DF1884" w:rsidRPr="00DF1884">
              <w:t xml:space="preserve"> </w:t>
            </w:r>
            <w:r w:rsidRPr="00DF1884">
              <w:t>(Administrative</w:t>
            </w:r>
            <w:r w:rsidR="00DF1884" w:rsidRPr="00DF1884">
              <w:t xml:space="preserve"> </w:t>
            </w:r>
            <w:r w:rsidRPr="00DF1884">
              <w:t>or</w:t>
            </w:r>
            <w:r w:rsidR="00DF1884" w:rsidRPr="00DF1884">
              <w:t xml:space="preserve"> </w:t>
            </w:r>
            <w:r w:rsidRPr="00DF1884">
              <w:t>Hybrid)</w:t>
            </w:r>
          </w:p>
        </w:tc>
        <w:tc>
          <w:tcPr>
            <w:tcW w:w="868" w:type="dxa"/>
            <w:tcBorders>
              <w:top w:val="single" w:sz="6" w:space="0" w:color="auto"/>
              <w:left w:val="single" w:sz="6" w:space="0" w:color="auto"/>
              <w:bottom w:val="single" w:sz="6" w:space="0" w:color="auto"/>
              <w:right w:val="single" w:sz="6" w:space="0" w:color="auto"/>
            </w:tcBorders>
            <w:shd w:val="clear" w:color="auto" w:fill="E0E0E0"/>
          </w:tcPr>
          <w:p w14:paraId="55FA6830"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810" w:type="dxa"/>
            <w:tcBorders>
              <w:top w:val="single" w:sz="6" w:space="0" w:color="auto"/>
              <w:left w:val="single" w:sz="6" w:space="0" w:color="auto"/>
              <w:bottom w:val="single" w:sz="6" w:space="0" w:color="auto"/>
              <w:right w:val="single" w:sz="6" w:space="0" w:color="auto"/>
            </w:tcBorders>
            <w:shd w:val="clear" w:color="auto" w:fill="E0E0E0"/>
          </w:tcPr>
          <w:p w14:paraId="027BD408"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990" w:type="dxa"/>
            <w:tcBorders>
              <w:top w:val="single" w:sz="6" w:space="0" w:color="auto"/>
              <w:left w:val="single" w:sz="6" w:space="0" w:color="auto"/>
              <w:bottom w:val="single" w:sz="6" w:space="0" w:color="auto"/>
              <w:right w:val="single" w:sz="6" w:space="0" w:color="auto"/>
            </w:tcBorders>
            <w:shd w:val="clear" w:color="auto" w:fill="E0E0E0"/>
          </w:tcPr>
          <w:p w14:paraId="6381DB2B" w14:textId="77777777" w:rsidR="00463667" w:rsidRPr="00DF1884" w:rsidRDefault="00463667" w:rsidP="00C56CA6">
            <w:pPr>
              <w:pStyle w:val="TableText"/>
              <w:jc w:val="center"/>
              <w:rPr>
                <w:rFonts w:cs="Arial"/>
                <w:sz w:val="24"/>
              </w:rPr>
            </w:pPr>
          </w:p>
        </w:tc>
        <w:tc>
          <w:tcPr>
            <w:tcW w:w="7012" w:type="dxa"/>
            <w:tcBorders>
              <w:top w:val="single" w:sz="6" w:space="0" w:color="auto"/>
              <w:left w:val="single" w:sz="6" w:space="0" w:color="auto"/>
              <w:bottom w:val="single" w:sz="6" w:space="0" w:color="auto"/>
              <w:right w:val="single" w:sz="6" w:space="0" w:color="auto"/>
            </w:tcBorders>
            <w:shd w:val="clear" w:color="auto" w:fill="E0E0E0"/>
          </w:tcPr>
          <w:p w14:paraId="07C1FD88" w14:textId="46520A9B" w:rsidR="00463667" w:rsidRPr="00DF1884" w:rsidRDefault="00463667" w:rsidP="00C56CA6">
            <w:pPr>
              <w:pStyle w:val="TableText"/>
            </w:pPr>
            <w:r w:rsidRPr="00DF1884">
              <w:t>Method</w:t>
            </w:r>
            <w:r w:rsidR="00DF1884" w:rsidRPr="00DF1884">
              <w:t xml:space="preserve"> </w:t>
            </w:r>
            <w:r w:rsidRPr="00DF1884">
              <w:t>used</w:t>
            </w:r>
            <w:r w:rsidR="00DF1884" w:rsidRPr="00DF1884">
              <w:t xml:space="preserve"> </w:t>
            </w:r>
            <w:r w:rsidRPr="00DF1884">
              <w:t>to</w:t>
            </w:r>
            <w:r w:rsidR="00DF1884" w:rsidRPr="00DF1884">
              <w:t xml:space="preserve"> </w:t>
            </w:r>
            <w:r w:rsidRPr="00DF1884">
              <w:t>collect</w:t>
            </w:r>
            <w:r w:rsidR="00DF1884" w:rsidRPr="00DF1884">
              <w:t xml:space="preserve"> </w:t>
            </w:r>
            <w:r w:rsidRPr="00DF1884">
              <w:t>HEDIS</w:t>
            </w:r>
            <w:r w:rsidR="00DF1884" w:rsidRPr="00DF1884">
              <w:t xml:space="preserve"> </w:t>
            </w:r>
            <w:r w:rsidRPr="00DF1884">
              <w:t>data.</w:t>
            </w:r>
            <w:r w:rsidR="00DF1884" w:rsidRPr="00DF1884">
              <w:t xml:space="preserve"> </w:t>
            </w:r>
            <w:r w:rsidRPr="00DF1884">
              <w:t>The</w:t>
            </w:r>
            <w:r w:rsidR="00DF1884" w:rsidRPr="00DF1884">
              <w:t xml:space="preserve"> </w:t>
            </w:r>
            <w:r w:rsidRPr="00DF1884">
              <w:t>Administrative</w:t>
            </w:r>
            <w:r w:rsidR="00DF1884" w:rsidRPr="00DF1884">
              <w:t xml:space="preserve"> </w:t>
            </w:r>
            <w:r w:rsidRPr="00DF1884">
              <w:t>Method</w:t>
            </w:r>
            <w:r w:rsidR="00DF1884" w:rsidRPr="00DF1884">
              <w:t xml:space="preserve"> </w:t>
            </w:r>
            <w:r w:rsidRPr="00DF1884">
              <w:t>is</w:t>
            </w:r>
            <w:r w:rsidR="00DF1884" w:rsidRPr="00DF1884">
              <w:t xml:space="preserve"> </w:t>
            </w:r>
            <w:r w:rsidRPr="00DF1884">
              <w:t>from</w:t>
            </w:r>
            <w:r w:rsidR="00DF1884" w:rsidRPr="00DF1884">
              <w:t xml:space="preserve"> </w:t>
            </w:r>
            <w:r w:rsidRPr="00DF1884">
              <w:t>transactional</w:t>
            </w:r>
            <w:r w:rsidR="00DF1884" w:rsidRPr="00DF1884">
              <w:t xml:space="preserve"> </w:t>
            </w:r>
            <w:r w:rsidRPr="00DF1884">
              <w:t>data</w:t>
            </w:r>
            <w:r w:rsidR="00DF1884" w:rsidRPr="00DF1884">
              <w:t xml:space="preserve"> </w:t>
            </w:r>
            <w:r w:rsidRPr="00DF1884">
              <w:t>for</w:t>
            </w:r>
            <w:r w:rsidR="00DF1884" w:rsidRPr="00DF1884">
              <w:t xml:space="preserve"> </w:t>
            </w:r>
            <w:r w:rsidRPr="00DF1884">
              <w:t>the</w:t>
            </w:r>
            <w:r w:rsidR="00DF1884" w:rsidRPr="00DF1884">
              <w:t xml:space="preserve"> </w:t>
            </w:r>
            <w:r w:rsidRPr="00DF1884">
              <w:t>eligible</w:t>
            </w:r>
            <w:r w:rsidR="00DF1884" w:rsidRPr="00DF1884">
              <w:t xml:space="preserve"> </w:t>
            </w:r>
            <w:r w:rsidRPr="00DF1884">
              <w:t>population</w:t>
            </w:r>
            <w:r w:rsidR="00DF1884" w:rsidRPr="00DF1884">
              <w:t xml:space="preserve"> </w:t>
            </w:r>
            <w:r w:rsidRPr="00DF1884">
              <w:t>and</w:t>
            </w:r>
            <w:r w:rsidR="00DF1884" w:rsidRPr="00DF1884">
              <w:t xml:space="preserve"> </w:t>
            </w:r>
            <w:r w:rsidRPr="00DF1884">
              <w:t>the</w:t>
            </w:r>
            <w:r w:rsidR="00DF1884" w:rsidRPr="00DF1884">
              <w:t xml:space="preserve"> </w:t>
            </w:r>
            <w:r w:rsidRPr="00DF1884">
              <w:t>Hybrid</w:t>
            </w:r>
            <w:r w:rsidR="00DF1884" w:rsidRPr="00DF1884">
              <w:t xml:space="preserve"> </w:t>
            </w:r>
            <w:r w:rsidRPr="00DF1884">
              <w:t>Method</w:t>
            </w:r>
            <w:r w:rsidR="00DF1884" w:rsidRPr="00DF1884">
              <w:t xml:space="preserve"> </w:t>
            </w:r>
            <w:r w:rsidRPr="00DF1884">
              <w:t>is</w:t>
            </w:r>
            <w:r w:rsidR="00DF1884" w:rsidRPr="00DF1884">
              <w:t xml:space="preserve"> </w:t>
            </w:r>
            <w:r w:rsidRPr="00DF1884">
              <w:t>from</w:t>
            </w:r>
            <w:r w:rsidR="00DF1884" w:rsidRPr="00DF1884">
              <w:t xml:space="preserve"> </w:t>
            </w:r>
            <w:r w:rsidRPr="00DF1884">
              <w:t>medical</w:t>
            </w:r>
            <w:r w:rsidR="00DF1884" w:rsidRPr="00DF1884">
              <w:t xml:space="preserve"> </w:t>
            </w:r>
            <w:r w:rsidRPr="00DF1884">
              <w:t>record</w:t>
            </w:r>
            <w:r w:rsidR="00DF1884" w:rsidRPr="00DF1884">
              <w:t xml:space="preserve"> </w:t>
            </w:r>
            <w:r w:rsidRPr="00DF1884">
              <w:t>or</w:t>
            </w:r>
            <w:r w:rsidR="00DF1884" w:rsidRPr="00DF1884">
              <w:t xml:space="preserve"> </w:t>
            </w:r>
            <w:r w:rsidRPr="00DF1884">
              <w:t>electronic</w:t>
            </w:r>
            <w:r w:rsidR="00DF1884" w:rsidRPr="00DF1884">
              <w:t xml:space="preserve"> </w:t>
            </w:r>
            <w:r w:rsidRPr="00DF1884">
              <w:t>medical</w:t>
            </w:r>
            <w:r w:rsidR="00DF1884" w:rsidRPr="00DF1884">
              <w:t xml:space="preserve"> </w:t>
            </w:r>
            <w:r w:rsidRPr="00DF1884">
              <w:t>record</w:t>
            </w:r>
            <w:r w:rsidR="00DF1884" w:rsidRPr="00DF1884">
              <w:t xml:space="preserve"> </w:t>
            </w:r>
            <w:r w:rsidRPr="00DF1884">
              <w:t>and</w:t>
            </w:r>
            <w:r w:rsidR="00DF1884" w:rsidRPr="00DF1884">
              <w:t xml:space="preserve"> </w:t>
            </w:r>
            <w:r w:rsidRPr="00DF1884">
              <w:t>transactional</w:t>
            </w:r>
            <w:r w:rsidR="00DF1884" w:rsidRPr="00DF1884">
              <w:t xml:space="preserve"> </w:t>
            </w:r>
            <w:r w:rsidRPr="00DF1884">
              <w:t>data</w:t>
            </w:r>
            <w:r w:rsidR="00DF1884" w:rsidRPr="00DF1884">
              <w:t xml:space="preserve"> </w:t>
            </w:r>
            <w:r w:rsidRPr="00DF1884">
              <w:t>for</w:t>
            </w:r>
            <w:r w:rsidR="00DF1884" w:rsidRPr="00DF1884">
              <w:t xml:space="preserve"> </w:t>
            </w:r>
            <w:r w:rsidRPr="00DF1884">
              <w:t>the</w:t>
            </w:r>
            <w:r w:rsidR="00DF1884" w:rsidRPr="00DF1884">
              <w:t xml:space="preserve"> </w:t>
            </w:r>
            <w:r w:rsidRPr="00DF1884">
              <w:t>sample.</w:t>
            </w:r>
            <w:r w:rsidR="00DF1884" w:rsidRPr="00DF1884">
              <w:t xml:space="preserve"> </w:t>
            </w:r>
          </w:p>
        </w:tc>
      </w:tr>
      <w:tr w:rsidR="00463667" w:rsidRPr="00DF1884" w14:paraId="20ADB5A1" w14:textId="77777777" w:rsidTr="00C56CA6">
        <w:tc>
          <w:tcPr>
            <w:tcW w:w="3632" w:type="dxa"/>
            <w:tcBorders>
              <w:top w:val="single" w:sz="6" w:space="0" w:color="auto"/>
              <w:left w:val="single" w:sz="6" w:space="0" w:color="auto"/>
              <w:bottom w:val="single" w:sz="6" w:space="0" w:color="auto"/>
              <w:right w:val="single" w:sz="6" w:space="0" w:color="auto"/>
            </w:tcBorders>
          </w:tcPr>
          <w:p w14:paraId="73883EA6" w14:textId="2F9022E6" w:rsidR="00463667" w:rsidRPr="00DF1884" w:rsidRDefault="00463667" w:rsidP="00C56CA6">
            <w:pPr>
              <w:pStyle w:val="TableText"/>
            </w:pPr>
            <w:r w:rsidRPr="00DF1884">
              <w:t>Eligible</w:t>
            </w:r>
            <w:r w:rsidR="00DF1884" w:rsidRPr="00DF1884">
              <w:t xml:space="preserve"> </w:t>
            </w:r>
            <w:r w:rsidRPr="00DF1884">
              <w:t>population</w:t>
            </w:r>
            <w:r w:rsidR="00DF1884" w:rsidRPr="00DF1884">
              <w:t xml:space="preserve"> </w:t>
            </w:r>
          </w:p>
        </w:tc>
        <w:tc>
          <w:tcPr>
            <w:tcW w:w="868" w:type="dxa"/>
            <w:tcBorders>
              <w:top w:val="single" w:sz="6" w:space="0" w:color="auto"/>
              <w:left w:val="single" w:sz="6" w:space="0" w:color="auto"/>
              <w:bottom w:val="single" w:sz="6" w:space="0" w:color="auto"/>
              <w:right w:val="single" w:sz="6" w:space="0" w:color="auto"/>
            </w:tcBorders>
          </w:tcPr>
          <w:p w14:paraId="4CD84B3C"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810" w:type="dxa"/>
            <w:tcBorders>
              <w:top w:val="single" w:sz="6" w:space="0" w:color="auto"/>
              <w:left w:val="single" w:sz="6" w:space="0" w:color="auto"/>
              <w:bottom w:val="single" w:sz="6" w:space="0" w:color="auto"/>
              <w:right w:val="single" w:sz="6" w:space="0" w:color="auto"/>
            </w:tcBorders>
          </w:tcPr>
          <w:p w14:paraId="20CB0A0D"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990" w:type="dxa"/>
            <w:tcBorders>
              <w:top w:val="single" w:sz="6" w:space="0" w:color="auto"/>
              <w:left w:val="single" w:sz="6" w:space="0" w:color="auto"/>
              <w:bottom w:val="single" w:sz="6" w:space="0" w:color="auto"/>
              <w:right w:val="single" w:sz="6" w:space="0" w:color="auto"/>
            </w:tcBorders>
          </w:tcPr>
          <w:p w14:paraId="284D529D" w14:textId="77777777" w:rsidR="00463667" w:rsidRPr="00DF1884" w:rsidRDefault="00463667" w:rsidP="00C56CA6">
            <w:pPr>
              <w:pStyle w:val="TableText"/>
              <w:jc w:val="center"/>
              <w:rPr>
                <w:rFonts w:cs="Arial"/>
                <w:sz w:val="24"/>
              </w:rPr>
            </w:pPr>
          </w:p>
        </w:tc>
        <w:tc>
          <w:tcPr>
            <w:tcW w:w="7012" w:type="dxa"/>
            <w:tcBorders>
              <w:top w:val="single" w:sz="6" w:space="0" w:color="auto"/>
              <w:left w:val="single" w:sz="6" w:space="0" w:color="auto"/>
              <w:bottom w:val="single" w:sz="6" w:space="0" w:color="auto"/>
              <w:right w:val="single" w:sz="6" w:space="0" w:color="auto"/>
            </w:tcBorders>
          </w:tcPr>
          <w:p w14:paraId="39672C39" w14:textId="104FE8F4" w:rsidR="00463667" w:rsidRPr="00DF1884" w:rsidRDefault="00463667" w:rsidP="00463667">
            <w:pPr>
              <w:pStyle w:val="TableBullet"/>
            </w:pPr>
            <w:r w:rsidRPr="00DF1884">
              <w:t>Members</w:t>
            </w:r>
            <w:r w:rsidR="00DF1884" w:rsidRPr="00DF1884">
              <w:t xml:space="preserve"> </w:t>
            </w:r>
            <w:r w:rsidRPr="00DF1884">
              <w:t>who</w:t>
            </w:r>
            <w:r w:rsidR="00DF1884" w:rsidRPr="00DF1884">
              <w:t xml:space="preserve"> </w:t>
            </w:r>
            <w:r w:rsidRPr="00DF1884">
              <w:t>meet</w:t>
            </w:r>
            <w:r w:rsidR="00DF1884" w:rsidRPr="00DF1884">
              <w:t xml:space="preserve"> </w:t>
            </w:r>
            <w:r w:rsidRPr="00DF1884">
              <w:t>all</w:t>
            </w:r>
            <w:r w:rsidR="00DF1884" w:rsidRPr="00DF1884">
              <w:t xml:space="preserve"> </w:t>
            </w:r>
            <w:r w:rsidRPr="00DF1884">
              <w:t>criteria</w:t>
            </w:r>
            <w:r w:rsidR="00DF1884" w:rsidRPr="00DF1884">
              <w:t xml:space="preserve"> </w:t>
            </w:r>
            <w:r w:rsidRPr="00DF1884">
              <w:t>for</w:t>
            </w:r>
            <w:r w:rsidR="00DF1884" w:rsidRPr="00DF1884">
              <w:t xml:space="preserve"> </w:t>
            </w:r>
            <w:r w:rsidRPr="00DF1884">
              <w:t>the</w:t>
            </w:r>
            <w:r w:rsidR="00DF1884" w:rsidRPr="00DF1884">
              <w:t xml:space="preserve"> </w:t>
            </w:r>
            <w:r w:rsidRPr="00DF1884">
              <w:t>population.</w:t>
            </w:r>
            <w:r w:rsidR="00DF1884" w:rsidRPr="00DF1884">
              <w:t xml:space="preserve"> </w:t>
            </w:r>
            <w:r w:rsidRPr="00DF1884">
              <w:t>This</w:t>
            </w:r>
            <w:r w:rsidR="00DF1884" w:rsidRPr="00DF1884">
              <w:t xml:space="preserve"> </w:t>
            </w:r>
            <w:r w:rsidRPr="00DF1884">
              <w:t>is</w:t>
            </w:r>
            <w:r w:rsidR="00DF1884" w:rsidRPr="00DF1884">
              <w:t xml:space="preserve"> </w:t>
            </w:r>
            <w:r w:rsidRPr="00DF1884">
              <w:t>the</w:t>
            </w:r>
            <w:r w:rsidR="00DF1884" w:rsidRPr="00DF1884">
              <w:t xml:space="preserve"> </w:t>
            </w:r>
            <w:r w:rsidRPr="00DF1884">
              <w:t>universe</w:t>
            </w:r>
            <w:r w:rsidR="00DF1884" w:rsidRPr="00DF1884">
              <w:t xml:space="preserve"> </w:t>
            </w:r>
            <w:r w:rsidRPr="00DF1884">
              <w:t>of</w:t>
            </w:r>
            <w:r w:rsidR="00DF1884" w:rsidRPr="00DF1884">
              <w:t xml:space="preserve"> </w:t>
            </w:r>
            <w:r w:rsidRPr="00DF1884">
              <w:t>members</w:t>
            </w:r>
            <w:r w:rsidR="00DF1884" w:rsidRPr="00DF1884">
              <w:t xml:space="preserve"> </w:t>
            </w:r>
            <w:r w:rsidRPr="00DF1884">
              <w:t>for</w:t>
            </w:r>
            <w:r w:rsidR="00DF1884" w:rsidRPr="00DF1884">
              <w:t xml:space="preserve"> </w:t>
            </w:r>
            <w:r w:rsidRPr="00DF1884">
              <w:t>each</w:t>
            </w:r>
            <w:r w:rsidR="00DF1884" w:rsidRPr="00DF1884">
              <w:t xml:space="preserve"> </w:t>
            </w:r>
            <w:r w:rsidRPr="00DF1884">
              <w:t>measure.</w:t>
            </w:r>
            <w:r w:rsidR="00DF1884" w:rsidRPr="00DF1884">
              <w:t xml:space="preserve"> </w:t>
            </w:r>
          </w:p>
          <w:p w14:paraId="461862B8" w14:textId="025BB258" w:rsidR="00463667" w:rsidRPr="00DF1884" w:rsidRDefault="00463667" w:rsidP="00463667">
            <w:pPr>
              <w:pStyle w:val="TableBullet"/>
            </w:pPr>
            <w:r w:rsidRPr="00DF1884">
              <w:t>For</w:t>
            </w:r>
            <w:r w:rsidR="00DF1884" w:rsidRPr="00DF1884">
              <w:t xml:space="preserve"> </w:t>
            </w:r>
            <w:r w:rsidRPr="00DF1884">
              <w:t>administrative</w:t>
            </w:r>
            <w:r w:rsidR="00DF1884" w:rsidRPr="00DF1884">
              <w:rPr>
                <w:i/>
                <w:iCs/>
              </w:rPr>
              <w:t xml:space="preserve"> </w:t>
            </w:r>
            <w:r w:rsidRPr="00DF1884">
              <w:t>measures,</w:t>
            </w:r>
            <w:r w:rsidR="00DF1884" w:rsidRPr="00DF1884">
              <w:t xml:space="preserve"> </w:t>
            </w:r>
            <w:r w:rsidRPr="00DF1884">
              <w:t>the</w:t>
            </w:r>
            <w:r w:rsidR="00DF1884" w:rsidRPr="00DF1884">
              <w:t xml:space="preserve"> </w:t>
            </w:r>
            <w:r w:rsidRPr="00DF1884">
              <w:t>eligible</w:t>
            </w:r>
            <w:r w:rsidR="00DF1884" w:rsidRPr="00DF1884">
              <w:t xml:space="preserve"> </w:t>
            </w:r>
            <w:r w:rsidRPr="00DF1884">
              <w:t>population</w:t>
            </w:r>
            <w:r w:rsidR="00DF1884" w:rsidRPr="00DF1884">
              <w:t xml:space="preserve"> </w:t>
            </w:r>
            <w:r w:rsidRPr="00DF1884">
              <w:t>is</w:t>
            </w:r>
            <w:r w:rsidR="00780E0E">
              <w:t xml:space="preserve"> reported</w:t>
            </w:r>
            <w:r w:rsidR="00DF1884" w:rsidRPr="00DF1884">
              <w:t xml:space="preserve"> </w:t>
            </w:r>
            <w:r w:rsidRPr="00DF1884">
              <w:t>after</w:t>
            </w:r>
            <w:r w:rsidR="00DF1884" w:rsidRPr="00DF1884">
              <w:t xml:space="preserve"> </w:t>
            </w:r>
            <w:r w:rsidRPr="00DF1884">
              <w:t>evaluation</w:t>
            </w:r>
            <w:r w:rsidR="00DF1884" w:rsidRPr="00DF1884">
              <w:t xml:space="preserve"> </w:t>
            </w:r>
            <w:r w:rsidRPr="00DF1884">
              <w:t>for</w:t>
            </w:r>
            <w:r w:rsidR="00DF1884" w:rsidRPr="00DF1884">
              <w:t xml:space="preserve"> </w:t>
            </w:r>
            <w:r w:rsidRPr="00DF1884">
              <w:t>optional</w:t>
            </w:r>
            <w:r w:rsidR="00DF1884" w:rsidRPr="00DF1884">
              <w:t xml:space="preserve"> </w:t>
            </w:r>
            <w:r w:rsidRPr="00DF1884">
              <w:t>exclusion</w:t>
            </w:r>
            <w:r w:rsidR="00DF1884" w:rsidRPr="00DF1884">
              <w:t xml:space="preserve"> </w:t>
            </w:r>
            <w:r w:rsidRPr="00DF1884">
              <w:t>criteria</w:t>
            </w:r>
            <w:r w:rsidR="00DF1884" w:rsidRPr="00DF1884">
              <w:t xml:space="preserve"> </w:t>
            </w:r>
            <w:r w:rsidRPr="00DF1884">
              <w:t>and</w:t>
            </w:r>
            <w:r w:rsidR="00DF1884" w:rsidRPr="00DF1884">
              <w:t xml:space="preserve"> </w:t>
            </w:r>
            <w:r w:rsidRPr="00DF1884">
              <w:t>after</w:t>
            </w:r>
            <w:r w:rsidR="00DF1884" w:rsidRPr="00DF1884">
              <w:t xml:space="preserve"> </w:t>
            </w:r>
            <w:r w:rsidRPr="00DF1884">
              <w:t>required</w:t>
            </w:r>
            <w:r w:rsidR="00DF1884" w:rsidRPr="00DF1884">
              <w:t xml:space="preserve"> </w:t>
            </w:r>
            <w:r w:rsidRPr="00DF1884">
              <w:t>exclusions</w:t>
            </w:r>
            <w:r w:rsidR="00DF1884" w:rsidRPr="00DF1884">
              <w:t xml:space="preserve"> </w:t>
            </w:r>
            <w:r w:rsidRPr="00DF1884">
              <w:t>are</w:t>
            </w:r>
            <w:r w:rsidR="00DF1884" w:rsidRPr="00DF1884">
              <w:t xml:space="preserve"> </w:t>
            </w:r>
            <w:r w:rsidRPr="00DF1884">
              <w:t>applied.</w:t>
            </w:r>
          </w:p>
          <w:p w14:paraId="309008C8" w14:textId="0826B75F" w:rsidR="00463667" w:rsidRPr="00DF1884" w:rsidRDefault="00463667" w:rsidP="00463667">
            <w:pPr>
              <w:pStyle w:val="TableBullet"/>
            </w:pPr>
            <w:r w:rsidRPr="00DF1884">
              <w:t>For</w:t>
            </w:r>
            <w:r w:rsidR="00DF1884" w:rsidRPr="00DF1884">
              <w:t xml:space="preserve"> </w:t>
            </w:r>
            <w:r w:rsidRPr="00DF1884">
              <w:t>hybrid</w:t>
            </w:r>
            <w:r w:rsidR="00DF1884" w:rsidRPr="00DF1884">
              <w:t xml:space="preserve"> </w:t>
            </w:r>
            <w:r w:rsidRPr="00DF1884">
              <w:t>measures,</w:t>
            </w:r>
            <w:r w:rsidR="00DF1884" w:rsidRPr="00DF1884">
              <w:t xml:space="preserve"> </w:t>
            </w:r>
            <w:r w:rsidRPr="00DF1884">
              <w:t>the</w:t>
            </w:r>
            <w:r w:rsidR="00DF1884" w:rsidRPr="00DF1884">
              <w:t xml:space="preserve"> </w:t>
            </w:r>
            <w:r w:rsidRPr="00DF1884">
              <w:t>eligible</w:t>
            </w:r>
            <w:r w:rsidR="00DF1884" w:rsidRPr="00DF1884">
              <w:t xml:space="preserve"> </w:t>
            </w:r>
            <w:r w:rsidRPr="00DF1884">
              <w:t>population</w:t>
            </w:r>
            <w:r w:rsidR="00DF1884" w:rsidRPr="00DF1884">
              <w:t xml:space="preserve"> </w:t>
            </w:r>
            <w:r w:rsidRPr="00DF1884">
              <w:t>of</w:t>
            </w:r>
            <w:r w:rsidR="00DF1884" w:rsidRPr="00DF1884">
              <w:t xml:space="preserve"> </w:t>
            </w:r>
            <w:r w:rsidRPr="00DF1884">
              <w:t>members</w:t>
            </w:r>
            <w:r w:rsidR="00DF1884" w:rsidRPr="00DF1884">
              <w:t xml:space="preserve"> </w:t>
            </w:r>
            <w:r w:rsidRPr="00DF1884">
              <w:t>is</w:t>
            </w:r>
            <w:r w:rsidR="00DF1884" w:rsidRPr="00DF1884">
              <w:t xml:space="preserve"> </w:t>
            </w:r>
            <w:r w:rsidRPr="00DF1884">
              <w:t>reported</w:t>
            </w:r>
            <w:r w:rsidR="00DF1884" w:rsidRPr="00DF1884">
              <w:t xml:space="preserve"> </w:t>
            </w:r>
            <w:r w:rsidRPr="00DF1884">
              <w:t>prior</w:t>
            </w:r>
            <w:r w:rsidR="00DF1884" w:rsidRPr="00DF1884">
              <w:t xml:space="preserve"> </w:t>
            </w:r>
            <w:r w:rsidRPr="00DF1884">
              <w:t>to</w:t>
            </w:r>
            <w:r w:rsidR="00DF1884" w:rsidRPr="00DF1884">
              <w:t xml:space="preserve"> </w:t>
            </w:r>
            <w:r w:rsidRPr="00DF1884">
              <w:t>optional</w:t>
            </w:r>
            <w:r w:rsidR="00DF1884" w:rsidRPr="00DF1884">
              <w:t xml:space="preserve"> </w:t>
            </w:r>
            <w:r w:rsidRPr="00DF1884">
              <w:t>exclusions</w:t>
            </w:r>
            <w:r w:rsidR="00DF1884" w:rsidRPr="00DF1884">
              <w:t xml:space="preserve"> </w:t>
            </w:r>
            <w:r w:rsidRPr="00DF1884">
              <w:t>and</w:t>
            </w:r>
            <w:r w:rsidR="00DF1884" w:rsidRPr="00DF1884">
              <w:t xml:space="preserve"> </w:t>
            </w:r>
            <w:r w:rsidRPr="00DF1884">
              <w:t>after</w:t>
            </w:r>
            <w:r w:rsidR="00DF1884" w:rsidRPr="00DF1884">
              <w:t xml:space="preserve"> </w:t>
            </w:r>
            <w:r w:rsidRPr="00DF1884">
              <w:t>required</w:t>
            </w:r>
            <w:r w:rsidR="00DF1884" w:rsidRPr="00DF1884">
              <w:t xml:space="preserve"> </w:t>
            </w:r>
            <w:r w:rsidRPr="00DF1884">
              <w:t>exclusions</w:t>
            </w:r>
            <w:r w:rsidR="00DF1884" w:rsidRPr="00DF1884">
              <w:t xml:space="preserve"> </w:t>
            </w:r>
            <w:r w:rsidRPr="00DF1884">
              <w:t>are</w:t>
            </w:r>
            <w:r w:rsidR="00DF1884" w:rsidRPr="00DF1884">
              <w:t xml:space="preserve"> </w:t>
            </w:r>
            <w:r w:rsidRPr="00DF1884">
              <w:t>applied</w:t>
            </w:r>
            <w:r w:rsidR="00DF1884" w:rsidRPr="00DF1884">
              <w:t xml:space="preserve"> </w:t>
            </w:r>
            <w:r w:rsidRPr="00DF1884">
              <w:t>(see</w:t>
            </w:r>
            <w:r w:rsidR="00DF1884" w:rsidRPr="00DF1884">
              <w:t xml:space="preserve"> </w:t>
            </w:r>
            <w:r w:rsidRPr="00DF1884">
              <w:rPr>
                <w:i/>
              </w:rPr>
              <w:t>Guidelines</w:t>
            </w:r>
            <w:r w:rsidR="00DF1884" w:rsidRPr="00DF1884">
              <w:rPr>
                <w:i/>
              </w:rPr>
              <w:t xml:space="preserve"> </w:t>
            </w:r>
            <w:r w:rsidRPr="00DF1884">
              <w:rPr>
                <w:i/>
              </w:rPr>
              <w:t>for</w:t>
            </w:r>
            <w:r w:rsidR="00DF1884" w:rsidRPr="00DF1884">
              <w:rPr>
                <w:i/>
              </w:rPr>
              <w:t xml:space="preserve"> </w:t>
            </w:r>
            <w:r w:rsidRPr="00DF1884">
              <w:rPr>
                <w:i/>
              </w:rPr>
              <w:t>Calculations</w:t>
            </w:r>
            <w:r w:rsidR="00DF1884" w:rsidRPr="00DF1884">
              <w:rPr>
                <w:i/>
              </w:rPr>
              <w:t xml:space="preserve"> </w:t>
            </w:r>
            <w:r w:rsidRPr="00DF1884">
              <w:rPr>
                <w:i/>
              </w:rPr>
              <w:t>and</w:t>
            </w:r>
            <w:r w:rsidR="00DF1884" w:rsidRPr="00DF1884">
              <w:rPr>
                <w:i/>
              </w:rPr>
              <w:t xml:space="preserve"> </w:t>
            </w:r>
            <w:r w:rsidRPr="00DF1884">
              <w:rPr>
                <w:i/>
              </w:rPr>
              <w:t>Sampling</w:t>
            </w:r>
            <w:r w:rsidR="00DF1884" w:rsidRPr="00DF1884">
              <w:t xml:space="preserve"> </w:t>
            </w:r>
            <w:r w:rsidRPr="00DF1884">
              <w:t>for</w:t>
            </w:r>
            <w:r w:rsidR="00DF1884" w:rsidRPr="00DF1884">
              <w:t xml:space="preserve"> </w:t>
            </w:r>
            <w:r w:rsidRPr="00DF1884">
              <w:t>the</w:t>
            </w:r>
            <w:r w:rsidR="00DF1884" w:rsidRPr="00DF1884">
              <w:t xml:space="preserve"> </w:t>
            </w:r>
            <w:r w:rsidRPr="00DF1884">
              <w:t>three</w:t>
            </w:r>
            <w:r w:rsidR="00DF1884" w:rsidRPr="00DF1884">
              <w:t xml:space="preserve"> </w:t>
            </w:r>
            <w:r w:rsidRPr="00DF1884">
              <w:t>approaches</w:t>
            </w:r>
            <w:r w:rsidR="00DF1884" w:rsidRPr="00DF1884">
              <w:t xml:space="preserve"> </w:t>
            </w:r>
            <w:r w:rsidRPr="00DF1884">
              <w:t>to</w:t>
            </w:r>
            <w:r w:rsidR="00DF1884" w:rsidRPr="00DF1884">
              <w:t xml:space="preserve"> </w:t>
            </w:r>
            <w:r w:rsidRPr="00DF1884">
              <w:t>conducting</w:t>
            </w:r>
            <w:r w:rsidR="00DF1884" w:rsidRPr="00DF1884">
              <w:t xml:space="preserve"> </w:t>
            </w:r>
            <w:r w:rsidRPr="00DF1884">
              <w:t>the</w:t>
            </w:r>
            <w:r w:rsidR="00DF1884" w:rsidRPr="00DF1884">
              <w:t xml:space="preserve"> </w:t>
            </w:r>
            <w:r w:rsidRPr="00DF1884">
              <w:t>Hybrid</w:t>
            </w:r>
            <w:r w:rsidR="00DF1884" w:rsidRPr="00DF1884">
              <w:t xml:space="preserve"> </w:t>
            </w:r>
            <w:r w:rsidRPr="00DF1884">
              <w:t>Method).</w:t>
            </w:r>
          </w:p>
        </w:tc>
      </w:tr>
      <w:tr w:rsidR="00463667" w:rsidRPr="00DF1884" w14:paraId="5C07A4AF" w14:textId="77777777" w:rsidTr="00C56CA6">
        <w:tc>
          <w:tcPr>
            <w:tcW w:w="363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31D9437" w14:textId="1262A917" w:rsidR="00463667" w:rsidRPr="00DF1884" w:rsidRDefault="00463667" w:rsidP="00C56CA6">
            <w:pPr>
              <w:pStyle w:val="TableText"/>
            </w:pPr>
            <w:r w:rsidRPr="00DF1884">
              <w:t>Number</w:t>
            </w:r>
            <w:r w:rsidR="00DF1884" w:rsidRPr="00DF1884">
              <w:t xml:space="preserve"> </w:t>
            </w:r>
            <w:r w:rsidRPr="00DF1884">
              <w:t>of</w:t>
            </w:r>
            <w:r w:rsidR="00DF1884" w:rsidRPr="00DF1884">
              <w:t xml:space="preserve"> </w:t>
            </w:r>
            <w:r w:rsidRPr="00DF1884">
              <w:t>optional</w:t>
            </w:r>
            <w:r w:rsidR="00DF1884" w:rsidRPr="00DF1884">
              <w:t xml:space="preserve"> </w:t>
            </w:r>
            <w:r w:rsidRPr="00DF1884">
              <w:t>exclusions</w:t>
            </w:r>
          </w:p>
        </w:tc>
        <w:tc>
          <w:tcPr>
            <w:tcW w:w="8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0CBDAB2"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81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791BAE8" w14:textId="77777777" w:rsidR="00463667" w:rsidRPr="00DF1884" w:rsidRDefault="00463667" w:rsidP="00C56CA6">
            <w:pPr>
              <w:pStyle w:val="TableText"/>
              <w:jc w:val="center"/>
              <w:rPr>
                <w:rFonts w:cs="Arial"/>
                <w:sz w:val="24"/>
              </w:rPr>
            </w:pPr>
          </w:p>
        </w:tc>
        <w:tc>
          <w:tcPr>
            <w:tcW w:w="9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CBBFA65" w14:textId="77777777" w:rsidR="00463667" w:rsidRPr="00DF1884" w:rsidRDefault="00463667" w:rsidP="00C56CA6">
            <w:pPr>
              <w:pStyle w:val="TableText"/>
              <w:jc w:val="center"/>
              <w:rPr>
                <w:rFonts w:cs="Arial"/>
                <w:sz w:val="24"/>
              </w:rPr>
            </w:pPr>
          </w:p>
        </w:tc>
        <w:tc>
          <w:tcPr>
            <w:tcW w:w="701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281E3A9" w14:textId="2978B9DE" w:rsidR="00463667" w:rsidRPr="00DF1884" w:rsidRDefault="00463667" w:rsidP="00C56CA6">
            <w:pPr>
              <w:pStyle w:val="TableText"/>
            </w:pPr>
            <w:r w:rsidRPr="00DF1884">
              <w:t>Number</w:t>
            </w:r>
            <w:r w:rsidR="00DF1884" w:rsidRPr="00DF1884">
              <w:t xml:space="preserve"> </w:t>
            </w:r>
            <w:r w:rsidRPr="00DF1884">
              <w:t>of</w:t>
            </w:r>
            <w:r w:rsidR="00DF1884" w:rsidRPr="00DF1884">
              <w:t xml:space="preserve"> </w:t>
            </w:r>
            <w:r w:rsidRPr="00DF1884">
              <w:t>members</w:t>
            </w:r>
            <w:r w:rsidR="00DF1884" w:rsidRPr="00DF1884">
              <w:t xml:space="preserve"> </w:t>
            </w:r>
            <w:r w:rsidRPr="00DF1884">
              <w:t>excluded</w:t>
            </w:r>
            <w:r w:rsidR="00DF1884" w:rsidRPr="00DF1884">
              <w:t xml:space="preserve"> </w:t>
            </w:r>
            <w:r w:rsidRPr="00DF1884">
              <w:t>from</w:t>
            </w:r>
            <w:r w:rsidR="00DF1884" w:rsidRPr="00DF1884">
              <w:t xml:space="preserve"> </w:t>
            </w:r>
            <w:r w:rsidRPr="00DF1884">
              <w:t>the</w:t>
            </w:r>
            <w:r w:rsidR="00DF1884" w:rsidRPr="00DF1884">
              <w:t xml:space="preserve"> </w:t>
            </w:r>
            <w:r w:rsidRPr="00DF1884">
              <w:t>eligible</w:t>
            </w:r>
            <w:r w:rsidR="00DF1884" w:rsidRPr="00DF1884">
              <w:t xml:space="preserve"> </w:t>
            </w:r>
            <w:r w:rsidRPr="00DF1884">
              <w:t>population</w:t>
            </w:r>
            <w:r w:rsidR="00DF1884" w:rsidRPr="00DF1884">
              <w:t xml:space="preserve"> </w:t>
            </w:r>
            <w:r w:rsidRPr="00DF1884">
              <w:t>because</w:t>
            </w:r>
            <w:r w:rsidR="00DF1884" w:rsidRPr="00DF1884">
              <w:t xml:space="preserve"> </w:t>
            </w:r>
            <w:r w:rsidRPr="00DF1884">
              <w:t>they</w:t>
            </w:r>
            <w:r w:rsidR="00DF1884" w:rsidRPr="00DF1884">
              <w:t xml:space="preserve"> </w:t>
            </w:r>
            <w:r w:rsidRPr="00DF1884">
              <w:t>did</w:t>
            </w:r>
            <w:r w:rsidR="00DF1884" w:rsidRPr="00DF1884">
              <w:t xml:space="preserve"> </w:t>
            </w:r>
            <w:r w:rsidRPr="00DF1884">
              <w:t>not</w:t>
            </w:r>
            <w:r w:rsidR="00DF1884" w:rsidRPr="00DF1884">
              <w:t xml:space="preserve"> </w:t>
            </w:r>
            <w:r w:rsidRPr="00DF1884">
              <w:t>meet</w:t>
            </w:r>
            <w:r w:rsidR="00DF1884" w:rsidRPr="00DF1884">
              <w:t xml:space="preserve"> </w:t>
            </w:r>
            <w:r w:rsidRPr="00DF1884">
              <w:t>the</w:t>
            </w:r>
            <w:r w:rsidR="00DF1884" w:rsidRPr="00DF1884">
              <w:t xml:space="preserve"> </w:t>
            </w:r>
            <w:r w:rsidRPr="00DF1884">
              <w:t>numerator</w:t>
            </w:r>
            <w:r w:rsidR="00DF1884" w:rsidRPr="00DF1884">
              <w:t xml:space="preserve"> </w:t>
            </w:r>
            <w:r w:rsidRPr="00DF1884">
              <w:t>criteria</w:t>
            </w:r>
            <w:r w:rsidR="00DF1884" w:rsidRPr="00DF1884">
              <w:t xml:space="preserve"> </w:t>
            </w:r>
            <w:r w:rsidRPr="00DF1884">
              <w:t>and</w:t>
            </w:r>
            <w:r w:rsidR="00DF1884" w:rsidRPr="00DF1884">
              <w:t xml:space="preserve"> </w:t>
            </w:r>
            <w:r w:rsidRPr="00DF1884">
              <w:t>did</w:t>
            </w:r>
            <w:r w:rsidR="00DF1884" w:rsidRPr="00DF1884">
              <w:t xml:space="preserve"> </w:t>
            </w:r>
            <w:r w:rsidRPr="00DF1884">
              <w:t>meet</w:t>
            </w:r>
            <w:r w:rsidR="00DF1884" w:rsidRPr="00DF1884">
              <w:t xml:space="preserve"> </w:t>
            </w:r>
            <w:r w:rsidRPr="00DF1884">
              <w:t>the</w:t>
            </w:r>
            <w:r w:rsidR="00DF1884" w:rsidRPr="00DF1884">
              <w:t xml:space="preserve"> </w:t>
            </w:r>
            <w:r w:rsidRPr="00DF1884">
              <w:t>optional</w:t>
            </w:r>
            <w:r w:rsidR="00DF1884" w:rsidRPr="00DF1884">
              <w:t xml:space="preserve"> </w:t>
            </w:r>
            <w:r w:rsidRPr="00DF1884">
              <w:t>exclusion</w:t>
            </w:r>
            <w:r w:rsidR="00DF1884" w:rsidRPr="00DF1884">
              <w:t xml:space="preserve"> </w:t>
            </w:r>
            <w:r w:rsidRPr="00DF1884">
              <w:t>criteria.</w:t>
            </w:r>
          </w:p>
        </w:tc>
      </w:tr>
      <w:tr w:rsidR="00463667" w:rsidRPr="00DF1884" w14:paraId="63AB5308" w14:textId="77777777" w:rsidTr="00C56CA6">
        <w:trPr>
          <w:trHeight w:val="471"/>
        </w:trPr>
        <w:tc>
          <w:tcPr>
            <w:tcW w:w="3632" w:type="dxa"/>
            <w:tcBorders>
              <w:top w:val="single" w:sz="6" w:space="0" w:color="auto"/>
              <w:left w:val="single" w:sz="6" w:space="0" w:color="auto"/>
              <w:bottom w:val="single" w:sz="6" w:space="0" w:color="auto"/>
              <w:right w:val="single" w:sz="6" w:space="0" w:color="auto"/>
            </w:tcBorders>
            <w:shd w:val="clear" w:color="auto" w:fill="auto"/>
          </w:tcPr>
          <w:p w14:paraId="2C45A2B2" w14:textId="77413814" w:rsidR="00463667" w:rsidRPr="00DF1884" w:rsidRDefault="00463667" w:rsidP="00C56CA6">
            <w:pPr>
              <w:pStyle w:val="TableText"/>
            </w:pPr>
            <w:r w:rsidRPr="00DF1884">
              <w:t>Number</w:t>
            </w:r>
            <w:r w:rsidR="00DF1884" w:rsidRPr="00DF1884">
              <w:t xml:space="preserve"> </w:t>
            </w:r>
            <w:r w:rsidRPr="00DF1884">
              <w:t>of</w:t>
            </w:r>
            <w:r w:rsidR="00DF1884" w:rsidRPr="00DF1884">
              <w:t xml:space="preserve"> </w:t>
            </w:r>
            <w:r w:rsidRPr="00DF1884">
              <w:t>required</w:t>
            </w:r>
            <w:r w:rsidR="00DF1884" w:rsidRPr="00DF1884">
              <w:t xml:space="preserve"> </w:t>
            </w:r>
            <w:r w:rsidRPr="00DF1884">
              <w:t>exclusions</w:t>
            </w:r>
          </w:p>
        </w:tc>
        <w:tc>
          <w:tcPr>
            <w:tcW w:w="868" w:type="dxa"/>
            <w:tcBorders>
              <w:top w:val="single" w:sz="6" w:space="0" w:color="auto"/>
              <w:left w:val="single" w:sz="6" w:space="0" w:color="auto"/>
              <w:bottom w:val="single" w:sz="6" w:space="0" w:color="auto"/>
              <w:right w:val="single" w:sz="6" w:space="0" w:color="auto"/>
            </w:tcBorders>
            <w:shd w:val="clear" w:color="auto" w:fill="auto"/>
          </w:tcPr>
          <w:p w14:paraId="067F4755"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810" w:type="dxa"/>
            <w:tcBorders>
              <w:top w:val="single" w:sz="6" w:space="0" w:color="auto"/>
              <w:left w:val="single" w:sz="6" w:space="0" w:color="auto"/>
              <w:bottom w:val="single" w:sz="6" w:space="0" w:color="auto"/>
              <w:right w:val="single" w:sz="6" w:space="0" w:color="auto"/>
            </w:tcBorders>
            <w:shd w:val="clear" w:color="auto" w:fill="auto"/>
          </w:tcPr>
          <w:p w14:paraId="5BE031FD" w14:textId="77777777" w:rsidR="00463667" w:rsidRPr="00DF1884" w:rsidRDefault="00463667" w:rsidP="00C56CA6">
            <w:pPr>
              <w:pStyle w:val="TableText"/>
              <w:jc w:val="center"/>
              <w:rPr>
                <w:rFonts w:cs="Arial"/>
                <w:sz w:val="24"/>
              </w:rPr>
            </w:pP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42EA93E5" w14:textId="77777777" w:rsidR="00463667" w:rsidRPr="00DF1884" w:rsidRDefault="00463667" w:rsidP="00C56CA6">
            <w:pPr>
              <w:pStyle w:val="TableText"/>
              <w:jc w:val="center"/>
              <w:rPr>
                <w:rFonts w:cs="Arial"/>
                <w:sz w:val="24"/>
              </w:rPr>
            </w:pPr>
          </w:p>
        </w:tc>
        <w:tc>
          <w:tcPr>
            <w:tcW w:w="7012" w:type="dxa"/>
            <w:tcBorders>
              <w:top w:val="single" w:sz="6" w:space="0" w:color="auto"/>
              <w:left w:val="single" w:sz="6" w:space="0" w:color="auto"/>
              <w:bottom w:val="single" w:sz="6" w:space="0" w:color="auto"/>
              <w:right w:val="single" w:sz="6" w:space="0" w:color="auto"/>
            </w:tcBorders>
            <w:shd w:val="clear" w:color="auto" w:fill="auto"/>
          </w:tcPr>
          <w:p w14:paraId="3C38A1FE" w14:textId="58C1DAD3" w:rsidR="00463667" w:rsidRPr="00DF1884" w:rsidRDefault="00463667" w:rsidP="00C56CA6">
            <w:pPr>
              <w:pStyle w:val="TableText"/>
            </w:pPr>
            <w:r w:rsidRPr="00DF1884">
              <w:t>Number</w:t>
            </w:r>
            <w:r w:rsidR="00DF1884" w:rsidRPr="00DF1884">
              <w:t xml:space="preserve"> </w:t>
            </w:r>
            <w:r w:rsidRPr="00DF1884">
              <w:t>of</w:t>
            </w:r>
            <w:r w:rsidR="00DF1884" w:rsidRPr="00DF1884">
              <w:t xml:space="preserve"> </w:t>
            </w:r>
            <w:r w:rsidRPr="00DF1884">
              <w:t>members</w:t>
            </w:r>
            <w:r w:rsidR="00DF1884" w:rsidRPr="00DF1884">
              <w:t xml:space="preserve"> </w:t>
            </w:r>
            <w:r w:rsidRPr="00DF1884">
              <w:t>excluded</w:t>
            </w:r>
            <w:r w:rsidR="00DF1884" w:rsidRPr="00DF1884">
              <w:t xml:space="preserve"> </w:t>
            </w:r>
            <w:r w:rsidRPr="00DF1884">
              <w:t>from</w:t>
            </w:r>
            <w:r w:rsidR="00DF1884" w:rsidRPr="00DF1884">
              <w:t xml:space="preserve"> </w:t>
            </w:r>
            <w:r w:rsidRPr="00DF1884">
              <w:t>the</w:t>
            </w:r>
            <w:r w:rsidR="00DF1884" w:rsidRPr="00DF1884">
              <w:t xml:space="preserve"> </w:t>
            </w:r>
            <w:r w:rsidRPr="00DF1884">
              <w:t>eligible</w:t>
            </w:r>
            <w:r w:rsidR="00DF1884" w:rsidRPr="00DF1884">
              <w:t xml:space="preserve"> </w:t>
            </w:r>
            <w:r w:rsidRPr="00DF1884">
              <w:t>population</w:t>
            </w:r>
            <w:r w:rsidR="00DF1884" w:rsidRPr="00DF1884">
              <w:t xml:space="preserve"> </w:t>
            </w:r>
            <w:r w:rsidRPr="00DF1884">
              <w:t>because</w:t>
            </w:r>
            <w:r w:rsidR="00DF1884" w:rsidRPr="00DF1884">
              <w:t xml:space="preserve"> </w:t>
            </w:r>
            <w:r w:rsidRPr="00DF1884">
              <w:t>they</w:t>
            </w:r>
            <w:r w:rsidR="00DF1884" w:rsidRPr="00DF1884">
              <w:t xml:space="preserve"> </w:t>
            </w:r>
            <w:r w:rsidRPr="00DF1884">
              <w:t>did</w:t>
            </w:r>
            <w:r w:rsidR="00DF1884" w:rsidRPr="00DF1884">
              <w:t xml:space="preserve"> </w:t>
            </w:r>
            <w:r w:rsidRPr="00DF1884">
              <w:t>meet</w:t>
            </w:r>
            <w:r w:rsidR="00DF1884" w:rsidRPr="00DF1884">
              <w:t xml:space="preserve"> </w:t>
            </w:r>
            <w:r w:rsidRPr="00DF1884">
              <w:t>the</w:t>
            </w:r>
            <w:r w:rsidR="00DF1884" w:rsidRPr="00DF1884">
              <w:t xml:space="preserve"> </w:t>
            </w:r>
            <w:r w:rsidRPr="00DF1884">
              <w:t>required</w:t>
            </w:r>
            <w:r w:rsidR="00DF1884" w:rsidRPr="00DF1884">
              <w:t xml:space="preserve"> </w:t>
            </w:r>
            <w:r w:rsidRPr="00DF1884">
              <w:t>exclusion</w:t>
            </w:r>
            <w:r w:rsidR="00DF1884" w:rsidRPr="00DF1884">
              <w:t xml:space="preserve"> </w:t>
            </w:r>
            <w:r w:rsidRPr="00DF1884">
              <w:t>criteria.</w:t>
            </w:r>
          </w:p>
        </w:tc>
      </w:tr>
      <w:tr w:rsidR="00463667" w:rsidRPr="00DF1884" w14:paraId="7FAF80AE" w14:textId="77777777" w:rsidTr="00C56CA6">
        <w:trPr>
          <w:trHeight w:val="471"/>
        </w:trPr>
        <w:tc>
          <w:tcPr>
            <w:tcW w:w="363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E9D37DE" w14:textId="277D6467" w:rsidR="00463667" w:rsidRPr="00DF1884" w:rsidRDefault="00463667" w:rsidP="00C56CA6">
            <w:pPr>
              <w:pStyle w:val="TableText"/>
            </w:pPr>
            <w:r w:rsidRPr="00DF1884">
              <w:t>Number</w:t>
            </w:r>
            <w:r w:rsidR="00DF1884" w:rsidRPr="00DF1884">
              <w:t xml:space="preserve"> </w:t>
            </w:r>
            <w:r w:rsidRPr="00DF1884">
              <w:t>of</w:t>
            </w:r>
            <w:r w:rsidR="00DF1884" w:rsidRPr="00DF1884">
              <w:t xml:space="preserve"> </w:t>
            </w:r>
            <w:r w:rsidRPr="00DF1884">
              <w:t>numerator</w:t>
            </w:r>
            <w:r w:rsidR="00DF1884" w:rsidRPr="00DF1884">
              <w:t xml:space="preserve"> </w:t>
            </w:r>
            <w:r w:rsidRPr="00DF1884">
              <w:t>events</w:t>
            </w:r>
            <w:r w:rsidR="00DF1884" w:rsidRPr="00DF1884">
              <w:t xml:space="preserve"> </w:t>
            </w:r>
            <w:r w:rsidRPr="00DF1884">
              <w:t>by</w:t>
            </w:r>
            <w:r w:rsidR="00DF1884" w:rsidRPr="00DF1884">
              <w:t xml:space="preserve"> </w:t>
            </w:r>
            <w:r w:rsidRPr="00DF1884">
              <w:t>administrative</w:t>
            </w:r>
            <w:r w:rsidR="00DF1884" w:rsidRPr="00DF1884">
              <w:t xml:space="preserve"> </w:t>
            </w:r>
            <w:r w:rsidRPr="00DF1884">
              <w:t>data</w:t>
            </w:r>
            <w:r w:rsidR="00DF1884" w:rsidRPr="00DF1884">
              <w:t xml:space="preserve"> </w:t>
            </w:r>
            <w:r w:rsidRPr="00DF1884">
              <w:t>in</w:t>
            </w:r>
            <w:r w:rsidR="00DF1884" w:rsidRPr="00DF1884">
              <w:t xml:space="preserve"> </w:t>
            </w:r>
            <w:r w:rsidRPr="00DF1884">
              <w:t>eligible</w:t>
            </w:r>
            <w:r w:rsidR="00DF1884" w:rsidRPr="00DF1884">
              <w:t xml:space="preserve"> </w:t>
            </w:r>
            <w:r w:rsidRPr="00DF1884">
              <w:t>population</w:t>
            </w:r>
            <w:r w:rsidR="00DF1884" w:rsidRPr="00DF1884">
              <w:t xml:space="preserve"> </w:t>
            </w:r>
            <w:r w:rsidRPr="00DF1884">
              <w:t>(before</w:t>
            </w:r>
            <w:r w:rsidR="00DF1884" w:rsidRPr="00DF1884">
              <w:t xml:space="preserve"> </w:t>
            </w:r>
            <w:r w:rsidRPr="00DF1884">
              <w:t>exclusions)</w:t>
            </w:r>
          </w:p>
        </w:tc>
        <w:tc>
          <w:tcPr>
            <w:tcW w:w="8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07510F2" w14:textId="77777777" w:rsidR="00463667" w:rsidRPr="00DF1884" w:rsidRDefault="00463667" w:rsidP="00C56CA6">
            <w:pPr>
              <w:pStyle w:val="TableText"/>
              <w:jc w:val="center"/>
              <w:rPr>
                <w:rFonts w:cs="Arial"/>
                <w:sz w:val="24"/>
              </w:rPr>
            </w:pPr>
          </w:p>
        </w:tc>
        <w:tc>
          <w:tcPr>
            <w:tcW w:w="81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617F0D4"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9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F7EB17C" w14:textId="77777777" w:rsidR="00463667" w:rsidRPr="00DF1884" w:rsidRDefault="00463667" w:rsidP="00C56CA6">
            <w:pPr>
              <w:pStyle w:val="TableText"/>
              <w:jc w:val="center"/>
              <w:rPr>
                <w:rFonts w:cs="Arial"/>
                <w:sz w:val="24"/>
              </w:rPr>
            </w:pPr>
          </w:p>
        </w:tc>
        <w:tc>
          <w:tcPr>
            <w:tcW w:w="701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A6BABEE" w14:textId="08CD761D" w:rsidR="00463667" w:rsidRPr="00DF1884" w:rsidRDefault="00463667" w:rsidP="00C56CA6">
            <w:pPr>
              <w:pStyle w:val="TableText"/>
            </w:pPr>
            <w:r w:rsidRPr="00DF1884">
              <w:t>The</w:t>
            </w:r>
            <w:r w:rsidR="00DF1884" w:rsidRPr="00DF1884">
              <w:t xml:space="preserve"> </w:t>
            </w:r>
            <w:r w:rsidRPr="00DF1884">
              <w:t>number</w:t>
            </w:r>
            <w:r w:rsidR="00DF1884" w:rsidRPr="00DF1884">
              <w:t xml:space="preserve"> </w:t>
            </w:r>
            <w:r w:rsidRPr="00DF1884">
              <w:t>of</w:t>
            </w:r>
            <w:r w:rsidR="00DF1884" w:rsidRPr="00DF1884">
              <w:t xml:space="preserve"> </w:t>
            </w:r>
            <w:r w:rsidRPr="00DF1884">
              <w:t>members</w:t>
            </w:r>
            <w:r w:rsidR="00DF1884" w:rsidRPr="00DF1884">
              <w:t xml:space="preserve"> </w:t>
            </w:r>
            <w:r w:rsidRPr="00DF1884">
              <w:t>in</w:t>
            </w:r>
            <w:r w:rsidR="00DF1884" w:rsidRPr="00DF1884">
              <w:t xml:space="preserve"> </w:t>
            </w:r>
            <w:r w:rsidRPr="00DF1884">
              <w:t>the</w:t>
            </w:r>
            <w:r w:rsidR="00DF1884" w:rsidRPr="00DF1884">
              <w:t xml:space="preserve"> </w:t>
            </w:r>
            <w:r w:rsidRPr="00DF1884">
              <w:t>eligible</w:t>
            </w:r>
            <w:r w:rsidR="00DF1884" w:rsidRPr="00DF1884">
              <w:t xml:space="preserve"> </w:t>
            </w:r>
            <w:r w:rsidRPr="00DF1884">
              <w:t>population</w:t>
            </w:r>
            <w:r w:rsidR="00DF1884" w:rsidRPr="00DF1884">
              <w:t xml:space="preserve"> </w:t>
            </w:r>
            <w:r w:rsidRPr="00DF1884">
              <w:t>who</w:t>
            </w:r>
            <w:r w:rsidR="00DF1884" w:rsidRPr="00DF1884">
              <w:t xml:space="preserve"> </w:t>
            </w:r>
            <w:r w:rsidRPr="00DF1884">
              <w:t>met</w:t>
            </w:r>
            <w:r w:rsidR="00DF1884" w:rsidRPr="00DF1884">
              <w:t xml:space="preserve"> </w:t>
            </w:r>
            <w:r w:rsidRPr="00DF1884">
              <w:t>the</w:t>
            </w:r>
            <w:r w:rsidR="00DF1884" w:rsidRPr="00DF1884">
              <w:t xml:space="preserve"> </w:t>
            </w:r>
            <w:r w:rsidRPr="00DF1884">
              <w:t>numerator</w:t>
            </w:r>
            <w:r w:rsidR="00DF1884" w:rsidRPr="00DF1884">
              <w:t xml:space="preserve"> </w:t>
            </w:r>
            <w:r w:rsidRPr="00DF1884">
              <w:t>criteria.</w:t>
            </w:r>
            <w:r w:rsidR="00DF1884" w:rsidRPr="00DF1884">
              <w:t xml:space="preserve"> </w:t>
            </w:r>
          </w:p>
        </w:tc>
      </w:tr>
      <w:tr w:rsidR="00463667" w:rsidRPr="00DF1884" w14:paraId="0BF34354" w14:textId="77777777" w:rsidTr="00C56CA6">
        <w:trPr>
          <w:trHeight w:val="264"/>
        </w:trPr>
        <w:tc>
          <w:tcPr>
            <w:tcW w:w="3632" w:type="dxa"/>
            <w:tcBorders>
              <w:top w:val="single" w:sz="6" w:space="0" w:color="auto"/>
              <w:left w:val="single" w:sz="6" w:space="0" w:color="auto"/>
              <w:bottom w:val="single" w:sz="6" w:space="0" w:color="auto"/>
              <w:right w:val="single" w:sz="6" w:space="0" w:color="auto"/>
            </w:tcBorders>
            <w:shd w:val="clear" w:color="auto" w:fill="auto"/>
          </w:tcPr>
          <w:p w14:paraId="0AE88E66" w14:textId="14DE64AD" w:rsidR="00463667" w:rsidRPr="00DF1884" w:rsidRDefault="00463667" w:rsidP="00C56CA6">
            <w:pPr>
              <w:pStyle w:val="TableText"/>
            </w:pPr>
            <w:r w:rsidRPr="00DF1884">
              <w:t>Current</w:t>
            </w:r>
            <w:r w:rsidR="00DF1884" w:rsidRPr="00DF1884">
              <w:t xml:space="preserve"> </w:t>
            </w:r>
            <w:r w:rsidRPr="00DF1884">
              <w:t>year’s</w:t>
            </w:r>
            <w:r w:rsidR="00DF1884" w:rsidRPr="00DF1884">
              <w:t xml:space="preserve"> </w:t>
            </w:r>
            <w:r w:rsidRPr="00DF1884">
              <w:t>administrative</w:t>
            </w:r>
            <w:r w:rsidR="00DF1884" w:rsidRPr="00DF1884">
              <w:t xml:space="preserve"> </w:t>
            </w:r>
            <w:r w:rsidRPr="00DF1884">
              <w:t>rate</w:t>
            </w:r>
            <w:r w:rsidR="00DF1884" w:rsidRPr="00DF1884">
              <w:t xml:space="preserve"> </w:t>
            </w:r>
            <w:r w:rsidRPr="00DF1884">
              <w:t>(before</w:t>
            </w:r>
            <w:r w:rsidR="00DF1884" w:rsidRPr="00DF1884">
              <w:t xml:space="preserve"> </w:t>
            </w:r>
            <w:r w:rsidRPr="00DF1884">
              <w:t>exclusions)</w:t>
            </w:r>
          </w:p>
        </w:tc>
        <w:tc>
          <w:tcPr>
            <w:tcW w:w="868" w:type="dxa"/>
            <w:tcBorders>
              <w:top w:val="single" w:sz="6" w:space="0" w:color="auto"/>
              <w:left w:val="single" w:sz="6" w:space="0" w:color="auto"/>
              <w:bottom w:val="single" w:sz="6" w:space="0" w:color="auto"/>
              <w:right w:val="single" w:sz="6" w:space="0" w:color="auto"/>
            </w:tcBorders>
            <w:shd w:val="clear" w:color="auto" w:fill="auto"/>
          </w:tcPr>
          <w:p w14:paraId="16AB83D9" w14:textId="77777777" w:rsidR="00463667" w:rsidRPr="00DF1884" w:rsidRDefault="00463667" w:rsidP="00C56CA6">
            <w:pPr>
              <w:pStyle w:val="TableText"/>
              <w:jc w:val="center"/>
              <w:rPr>
                <w:rFonts w:cs="Arial"/>
                <w:sz w:val="24"/>
              </w:rPr>
            </w:pPr>
          </w:p>
        </w:tc>
        <w:tc>
          <w:tcPr>
            <w:tcW w:w="810" w:type="dxa"/>
            <w:tcBorders>
              <w:top w:val="single" w:sz="6" w:space="0" w:color="auto"/>
              <w:left w:val="single" w:sz="6" w:space="0" w:color="auto"/>
              <w:bottom w:val="single" w:sz="6" w:space="0" w:color="auto"/>
              <w:right w:val="single" w:sz="6" w:space="0" w:color="auto"/>
            </w:tcBorders>
            <w:shd w:val="clear" w:color="auto" w:fill="auto"/>
          </w:tcPr>
          <w:p w14:paraId="4CEDD66D"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5B47EF15" w14:textId="77777777" w:rsidR="00463667" w:rsidRPr="00DF1884" w:rsidRDefault="00463667" w:rsidP="00C56CA6">
            <w:pPr>
              <w:pStyle w:val="TableText"/>
              <w:jc w:val="center"/>
              <w:rPr>
                <w:rFonts w:cs="Arial"/>
                <w:sz w:val="24"/>
              </w:rPr>
            </w:pPr>
          </w:p>
        </w:tc>
        <w:tc>
          <w:tcPr>
            <w:tcW w:w="7012" w:type="dxa"/>
            <w:tcBorders>
              <w:top w:val="single" w:sz="6" w:space="0" w:color="auto"/>
              <w:left w:val="single" w:sz="6" w:space="0" w:color="auto"/>
              <w:bottom w:val="single" w:sz="6" w:space="0" w:color="auto"/>
              <w:right w:val="single" w:sz="6" w:space="0" w:color="auto"/>
            </w:tcBorders>
            <w:shd w:val="clear" w:color="auto" w:fill="auto"/>
          </w:tcPr>
          <w:p w14:paraId="71ABF083" w14:textId="0A8F44FB" w:rsidR="00463667" w:rsidRPr="00DF1884" w:rsidRDefault="00463667" w:rsidP="00C56CA6">
            <w:pPr>
              <w:pStyle w:val="TableText"/>
            </w:pPr>
            <w:r w:rsidRPr="00DF1884">
              <w:t>This</w:t>
            </w:r>
            <w:r w:rsidR="00DF1884" w:rsidRPr="00DF1884">
              <w:t xml:space="preserve"> </w:t>
            </w:r>
            <w:r w:rsidRPr="00DF1884">
              <w:t>is</w:t>
            </w:r>
            <w:r w:rsidR="00DF1884" w:rsidRPr="00DF1884">
              <w:t xml:space="preserve"> </w:t>
            </w:r>
            <w:r w:rsidRPr="00DF1884">
              <w:t>a</w:t>
            </w:r>
            <w:r w:rsidR="00DF1884" w:rsidRPr="00DF1884">
              <w:t xml:space="preserve"> </w:t>
            </w:r>
            <w:r w:rsidRPr="00DF1884">
              <w:t>calculated</w:t>
            </w:r>
            <w:r w:rsidR="00DF1884" w:rsidRPr="00DF1884">
              <w:t xml:space="preserve"> </w:t>
            </w:r>
            <w:r w:rsidRPr="00DF1884">
              <w:t>field</w:t>
            </w:r>
            <w:r w:rsidR="00DF1884" w:rsidRPr="00DF1884">
              <w:t xml:space="preserve"> </w:t>
            </w:r>
            <w:r w:rsidRPr="00DF1884">
              <w:t>in</w:t>
            </w:r>
            <w:r w:rsidR="00DF1884" w:rsidRPr="00DF1884">
              <w:t xml:space="preserve"> </w:t>
            </w:r>
            <w:r w:rsidRPr="00DF1884">
              <w:t>IDSS.</w:t>
            </w:r>
          </w:p>
          <w:p w14:paraId="6C36C367" w14:textId="5E33DBD5" w:rsidR="00463667" w:rsidRPr="00DF1884" w:rsidRDefault="00463667" w:rsidP="00C56CA6">
            <w:pPr>
              <w:pStyle w:val="TableText"/>
            </w:pPr>
            <w:r w:rsidRPr="00DF1884">
              <w:t>Numerator</w:t>
            </w:r>
            <w:r w:rsidR="00DF1884" w:rsidRPr="00DF1884">
              <w:t xml:space="preserve"> </w:t>
            </w:r>
            <w:r w:rsidRPr="00DF1884">
              <w:t>events</w:t>
            </w:r>
            <w:r w:rsidR="00DF1884" w:rsidRPr="00DF1884">
              <w:t xml:space="preserve"> </w:t>
            </w:r>
            <w:r w:rsidRPr="00DF1884">
              <w:t>by</w:t>
            </w:r>
            <w:r w:rsidR="00DF1884" w:rsidRPr="00DF1884">
              <w:t xml:space="preserve"> </w:t>
            </w:r>
            <w:r w:rsidRPr="00DF1884">
              <w:t>administrative</w:t>
            </w:r>
            <w:r w:rsidR="00DF1884" w:rsidRPr="00DF1884">
              <w:t xml:space="preserve"> </w:t>
            </w:r>
            <w:r w:rsidRPr="00DF1884">
              <w:t>data</w:t>
            </w:r>
            <w:r w:rsidR="00DF1884" w:rsidRPr="00DF1884">
              <w:t xml:space="preserve"> </w:t>
            </w:r>
            <w:r w:rsidRPr="00DF1884">
              <w:t>in</w:t>
            </w:r>
            <w:r w:rsidR="00DF1884" w:rsidRPr="00DF1884">
              <w:t xml:space="preserve"> </w:t>
            </w:r>
            <w:r w:rsidRPr="00DF1884">
              <w:t>eligible</w:t>
            </w:r>
            <w:r w:rsidR="00DF1884" w:rsidRPr="00DF1884">
              <w:t xml:space="preserve"> </w:t>
            </w:r>
            <w:r w:rsidRPr="00DF1884">
              <w:t>population</w:t>
            </w:r>
            <w:r w:rsidR="00DF1884" w:rsidRPr="00DF1884">
              <w:t xml:space="preserve"> </w:t>
            </w:r>
            <w:r w:rsidRPr="00DF1884">
              <w:sym w:font="Symbol" w:char="00B8"/>
            </w:r>
            <w:r w:rsidR="00DF1884" w:rsidRPr="00DF1884">
              <w:t xml:space="preserve"> </w:t>
            </w:r>
            <w:r w:rsidRPr="00DF1884">
              <w:t>eligible</w:t>
            </w:r>
            <w:r w:rsidR="00DF1884" w:rsidRPr="00DF1884">
              <w:t xml:space="preserve"> </w:t>
            </w:r>
            <w:r w:rsidRPr="00DF1884">
              <w:t>population.</w:t>
            </w:r>
          </w:p>
        </w:tc>
      </w:tr>
      <w:tr w:rsidR="00463667" w:rsidRPr="00DF1884" w14:paraId="056659E3" w14:textId="77777777" w:rsidTr="00C56CA6">
        <w:tc>
          <w:tcPr>
            <w:tcW w:w="363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6A9934" w14:textId="7DA4FEA4" w:rsidR="00463667" w:rsidRPr="00DF1884" w:rsidRDefault="00463667" w:rsidP="00C56CA6">
            <w:pPr>
              <w:pStyle w:val="TableText"/>
            </w:pPr>
            <w:r w:rsidRPr="00DF1884">
              <w:t>Minimum</w:t>
            </w:r>
            <w:r w:rsidR="00DF1884" w:rsidRPr="00DF1884">
              <w:t xml:space="preserve"> </w:t>
            </w:r>
            <w:r w:rsidRPr="00DF1884">
              <w:t>required</w:t>
            </w:r>
            <w:r w:rsidR="00DF1884" w:rsidRPr="00DF1884">
              <w:t xml:space="preserve"> </w:t>
            </w:r>
            <w:r w:rsidRPr="00DF1884">
              <w:t>sample</w:t>
            </w:r>
            <w:r w:rsidR="00DF1884" w:rsidRPr="00DF1884">
              <w:t xml:space="preserve"> </w:t>
            </w:r>
            <w:r w:rsidRPr="00DF1884">
              <w:t>size</w:t>
            </w:r>
            <w:r w:rsidR="00DF1884" w:rsidRPr="00DF1884">
              <w:t xml:space="preserve"> </w:t>
            </w:r>
            <w:r w:rsidRPr="00DF1884">
              <w:t>(MRSS)</w:t>
            </w:r>
            <w:r w:rsidR="00DF1884" w:rsidRPr="00DF1884">
              <w:t xml:space="preserve"> </w:t>
            </w:r>
            <w:r w:rsidRPr="00DF1884">
              <w:t>or</w:t>
            </w:r>
            <w:r w:rsidR="00DF1884" w:rsidRPr="00DF1884">
              <w:t xml:space="preserve"> </w:t>
            </w:r>
            <w:r w:rsidRPr="00DF1884">
              <w:t>other</w:t>
            </w:r>
            <w:r w:rsidR="00DF1884" w:rsidRPr="00DF1884">
              <w:t xml:space="preserve"> </w:t>
            </w:r>
            <w:r w:rsidRPr="00DF1884">
              <w:t>sample</w:t>
            </w:r>
            <w:r w:rsidR="00DF1884" w:rsidRPr="00DF1884">
              <w:t xml:space="preserve"> </w:t>
            </w:r>
            <w:r w:rsidRPr="00DF1884">
              <w:t>size</w:t>
            </w:r>
            <w:r w:rsidR="00DF1884" w:rsidRPr="00DF1884">
              <w:t xml:space="preserve"> </w:t>
            </w:r>
          </w:p>
        </w:tc>
        <w:tc>
          <w:tcPr>
            <w:tcW w:w="8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A840F66" w14:textId="77777777" w:rsidR="00463667" w:rsidRPr="00DF1884" w:rsidRDefault="00463667" w:rsidP="00C56CA6">
            <w:pPr>
              <w:pStyle w:val="TableText"/>
              <w:jc w:val="center"/>
              <w:rPr>
                <w:rFonts w:cs="Arial"/>
                <w:sz w:val="24"/>
              </w:rPr>
            </w:pPr>
          </w:p>
        </w:tc>
        <w:tc>
          <w:tcPr>
            <w:tcW w:w="81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74F75AD"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9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E623B7A" w14:textId="77777777" w:rsidR="00463667" w:rsidRPr="00DF1884" w:rsidRDefault="00463667" w:rsidP="00C56CA6">
            <w:pPr>
              <w:pStyle w:val="TableText"/>
              <w:jc w:val="center"/>
              <w:rPr>
                <w:rFonts w:cs="Arial"/>
                <w:sz w:val="24"/>
              </w:rPr>
            </w:pPr>
          </w:p>
        </w:tc>
        <w:tc>
          <w:tcPr>
            <w:tcW w:w="701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99071B1" w14:textId="66D52D32" w:rsidR="00463667" w:rsidRPr="00DF1884" w:rsidRDefault="00463667" w:rsidP="00C56CA6">
            <w:pPr>
              <w:pStyle w:val="TableText"/>
            </w:pPr>
            <w:r w:rsidRPr="00DF1884">
              <w:t>When</w:t>
            </w:r>
            <w:r w:rsidR="00DF1884" w:rsidRPr="00DF1884">
              <w:t xml:space="preserve"> </w:t>
            </w:r>
            <w:r w:rsidRPr="00DF1884">
              <w:t>selecting</w:t>
            </w:r>
            <w:r w:rsidR="00DF1884" w:rsidRPr="00DF1884">
              <w:t xml:space="preserve"> </w:t>
            </w:r>
            <w:r w:rsidRPr="00DF1884">
              <w:t>the</w:t>
            </w:r>
            <w:r w:rsidR="00DF1884" w:rsidRPr="00DF1884">
              <w:t xml:space="preserve"> </w:t>
            </w:r>
            <w:r w:rsidRPr="00DF1884">
              <w:t>sample,</w:t>
            </w:r>
            <w:r w:rsidR="00DF1884" w:rsidRPr="00DF1884">
              <w:t xml:space="preserve"> </w:t>
            </w:r>
            <w:r w:rsidRPr="00DF1884">
              <w:t>this</w:t>
            </w:r>
            <w:r w:rsidR="00DF1884" w:rsidRPr="00DF1884">
              <w:t xml:space="preserve"> </w:t>
            </w:r>
            <w:r w:rsidRPr="00DF1884">
              <w:t>is</w:t>
            </w:r>
            <w:r w:rsidR="00DF1884" w:rsidRPr="00DF1884">
              <w:t xml:space="preserve"> </w:t>
            </w:r>
            <w:r w:rsidRPr="00DF1884">
              <w:t>the</w:t>
            </w:r>
            <w:r w:rsidR="00DF1884" w:rsidRPr="00DF1884">
              <w:t xml:space="preserve"> </w:t>
            </w:r>
            <w:r w:rsidRPr="00DF1884">
              <w:t>required</w:t>
            </w:r>
            <w:r w:rsidR="00DF1884" w:rsidRPr="00DF1884">
              <w:t xml:space="preserve"> </w:t>
            </w:r>
            <w:r w:rsidRPr="00DF1884">
              <w:t>number</w:t>
            </w:r>
            <w:r w:rsidR="00DF1884" w:rsidRPr="00DF1884">
              <w:t xml:space="preserve"> </w:t>
            </w:r>
            <w:r w:rsidRPr="00DF1884">
              <w:t>of</w:t>
            </w:r>
            <w:r w:rsidR="00DF1884" w:rsidRPr="00DF1884">
              <w:t xml:space="preserve"> </w:t>
            </w:r>
            <w:r w:rsidRPr="00DF1884">
              <w:t>members</w:t>
            </w:r>
            <w:r w:rsidR="00DF1884" w:rsidRPr="00DF1884">
              <w:t xml:space="preserve"> </w:t>
            </w:r>
            <w:r w:rsidRPr="00DF1884">
              <w:t>in</w:t>
            </w:r>
            <w:r w:rsidR="00DF1884" w:rsidRPr="00DF1884">
              <w:t xml:space="preserve"> </w:t>
            </w:r>
            <w:r w:rsidRPr="00DF1884">
              <w:t>the</w:t>
            </w:r>
            <w:r w:rsidR="00DF1884" w:rsidRPr="00DF1884">
              <w:t xml:space="preserve"> </w:t>
            </w:r>
            <w:r w:rsidRPr="00DF1884">
              <w:t>sample.</w:t>
            </w:r>
            <w:r w:rsidR="00DF1884" w:rsidRPr="00DF1884">
              <w:t xml:space="preserve"> </w:t>
            </w:r>
            <w:r w:rsidRPr="00DF1884">
              <w:t>Organizations</w:t>
            </w:r>
            <w:r w:rsidR="00DF1884" w:rsidRPr="00DF1884">
              <w:t xml:space="preserve"> </w:t>
            </w:r>
            <w:r w:rsidRPr="00DF1884">
              <w:t>can</w:t>
            </w:r>
            <w:r w:rsidR="00DF1884" w:rsidRPr="00DF1884">
              <w:t xml:space="preserve"> </w:t>
            </w:r>
            <w:r w:rsidRPr="00DF1884">
              <w:t>reduce</w:t>
            </w:r>
            <w:r w:rsidR="00DF1884" w:rsidRPr="00DF1884">
              <w:t xml:space="preserve"> </w:t>
            </w:r>
            <w:r w:rsidRPr="00DF1884">
              <w:t>their</w:t>
            </w:r>
            <w:r w:rsidR="00DF1884" w:rsidRPr="00DF1884">
              <w:t xml:space="preserve"> </w:t>
            </w:r>
            <w:r w:rsidRPr="00DF1884">
              <w:t>samples</w:t>
            </w:r>
            <w:r w:rsidR="00DF1884" w:rsidRPr="00DF1884">
              <w:t xml:space="preserve"> </w:t>
            </w:r>
            <w:r w:rsidRPr="00DF1884">
              <w:t>using</w:t>
            </w:r>
            <w:r w:rsidR="00DF1884" w:rsidRPr="00DF1884">
              <w:t xml:space="preserve"> </w:t>
            </w:r>
            <w:r w:rsidRPr="00DF1884">
              <w:t>Tables</w:t>
            </w:r>
            <w:r w:rsidR="00DF1884" w:rsidRPr="00DF1884">
              <w:t xml:space="preserve"> </w:t>
            </w:r>
            <w:r w:rsidRPr="00DF1884">
              <w:t>2</w:t>
            </w:r>
            <w:r w:rsidR="00DF1884" w:rsidRPr="00DF1884">
              <w:t xml:space="preserve"> </w:t>
            </w:r>
            <w:r w:rsidRPr="00DF1884">
              <w:t>and</w:t>
            </w:r>
            <w:r w:rsidR="00DF1884" w:rsidRPr="00DF1884">
              <w:t xml:space="preserve"> </w:t>
            </w:r>
            <w:r w:rsidRPr="00DF1884">
              <w:t>3</w:t>
            </w:r>
            <w:r w:rsidR="00DF1884" w:rsidRPr="00DF1884">
              <w:t xml:space="preserve"> </w:t>
            </w:r>
            <w:r w:rsidRPr="00DF1884">
              <w:t>in</w:t>
            </w:r>
            <w:r w:rsidR="00DF1884" w:rsidRPr="00DF1884">
              <w:t xml:space="preserve"> </w:t>
            </w:r>
            <w:r w:rsidRPr="00DF1884">
              <w:t>the</w:t>
            </w:r>
            <w:r w:rsidR="00DF1884" w:rsidRPr="00DF1884">
              <w:t xml:space="preserve"> </w:t>
            </w:r>
            <w:r w:rsidRPr="00DF1884">
              <w:t>sampling</w:t>
            </w:r>
            <w:r w:rsidR="00DF1884" w:rsidRPr="00DF1884">
              <w:t xml:space="preserve"> </w:t>
            </w:r>
            <w:r w:rsidRPr="00DF1884">
              <w:t>guidelines.</w:t>
            </w:r>
          </w:p>
        </w:tc>
      </w:tr>
      <w:tr w:rsidR="00463667" w:rsidRPr="00DF1884" w14:paraId="3F600911" w14:textId="77777777" w:rsidTr="00C56CA6">
        <w:tc>
          <w:tcPr>
            <w:tcW w:w="3632" w:type="dxa"/>
            <w:tcBorders>
              <w:top w:val="single" w:sz="6" w:space="0" w:color="auto"/>
              <w:left w:val="single" w:sz="6" w:space="0" w:color="auto"/>
              <w:bottom w:val="single" w:sz="6" w:space="0" w:color="auto"/>
              <w:right w:val="single" w:sz="6" w:space="0" w:color="auto"/>
            </w:tcBorders>
            <w:shd w:val="clear" w:color="auto" w:fill="auto"/>
          </w:tcPr>
          <w:p w14:paraId="429310FD" w14:textId="2B81695C" w:rsidR="00463667" w:rsidRPr="00DF1884" w:rsidRDefault="00463667" w:rsidP="00C56CA6">
            <w:pPr>
              <w:pStyle w:val="TableText"/>
            </w:pPr>
            <w:r w:rsidRPr="00DF1884">
              <w:t>Oversampling</w:t>
            </w:r>
            <w:r w:rsidR="00DF1884" w:rsidRPr="00DF1884">
              <w:t xml:space="preserve"> </w:t>
            </w:r>
            <w:r w:rsidRPr="00DF1884">
              <w:t>rate</w:t>
            </w:r>
          </w:p>
        </w:tc>
        <w:tc>
          <w:tcPr>
            <w:tcW w:w="868" w:type="dxa"/>
            <w:tcBorders>
              <w:top w:val="single" w:sz="6" w:space="0" w:color="auto"/>
              <w:left w:val="single" w:sz="6" w:space="0" w:color="auto"/>
              <w:bottom w:val="single" w:sz="6" w:space="0" w:color="auto"/>
              <w:right w:val="single" w:sz="6" w:space="0" w:color="auto"/>
            </w:tcBorders>
            <w:shd w:val="clear" w:color="auto" w:fill="auto"/>
          </w:tcPr>
          <w:p w14:paraId="1EFF843E" w14:textId="77777777" w:rsidR="00463667" w:rsidRPr="00DF1884" w:rsidRDefault="00463667" w:rsidP="00C56CA6">
            <w:pPr>
              <w:pStyle w:val="TableText"/>
              <w:jc w:val="center"/>
              <w:rPr>
                <w:rFonts w:cs="Arial"/>
                <w:sz w:val="24"/>
              </w:rPr>
            </w:pPr>
          </w:p>
        </w:tc>
        <w:tc>
          <w:tcPr>
            <w:tcW w:w="810" w:type="dxa"/>
            <w:tcBorders>
              <w:top w:val="single" w:sz="6" w:space="0" w:color="auto"/>
              <w:left w:val="single" w:sz="6" w:space="0" w:color="auto"/>
              <w:bottom w:val="single" w:sz="6" w:space="0" w:color="auto"/>
              <w:right w:val="single" w:sz="6" w:space="0" w:color="auto"/>
            </w:tcBorders>
            <w:shd w:val="clear" w:color="auto" w:fill="auto"/>
          </w:tcPr>
          <w:p w14:paraId="4B80F931"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2DE4AF42" w14:textId="77777777" w:rsidR="00463667" w:rsidRPr="00DF1884" w:rsidRDefault="00463667" w:rsidP="00C56CA6">
            <w:pPr>
              <w:pStyle w:val="TableText"/>
              <w:jc w:val="center"/>
              <w:rPr>
                <w:rFonts w:cs="Arial"/>
                <w:sz w:val="24"/>
              </w:rPr>
            </w:pPr>
          </w:p>
        </w:tc>
        <w:tc>
          <w:tcPr>
            <w:tcW w:w="7012" w:type="dxa"/>
            <w:tcBorders>
              <w:top w:val="single" w:sz="6" w:space="0" w:color="auto"/>
              <w:left w:val="single" w:sz="6" w:space="0" w:color="auto"/>
              <w:bottom w:val="single" w:sz="6" w:space="0" w:color="auto"/>
              <w:right w:val="single" w:sz="6" w:space="0" w:color="auto"/>
            </w:tcBorders>
            <w:shd w:val="clear" w:color="auto" w:fill="auto"/>
          </w:tcPr>
          <w:p w14:paraId="39244461" w14:textId="140CDD8A" w:rsidR="00463667" w:rsidRPr="00DF1884" w:rsidRDefault="00463667" w:rsidP="00282EAA">
            <w:pPr>
              <w:pStyle w:val="TableText"/>
            </w:pPr>
            <w:r w:rsidRPr="00DF1884">
              <w:t>The</w:t>
            </w:r>
            <w:r w:rsidR="00DF1884" w:rsidRPr="00DF1884">
              <w:t xml:space="preserve"> </w:t>
            </w:r>
            <w:r w:rsidRPr="00DF1884">
              <w:t>percentage</w:t>
            </w:r>
            <w:r w:rsidR="00DF1884" w:rsidRPr="00DF1884">
              <w:t xml:space="preserve"> </w:t>
            </w:r>
            <w:r w:rsidRPr="00DF1884">
              <w:t>of</w:t>
            </w:r>
            <w:r w:rsidR="00DF1884" w:rsidRPr="00DF1884">
              <w:t xml:space="preserve"> </w:t>
            </w:r>
            <w:r w:rsidRPr="00DF1884">
              <w:t>additional</w:t>
            </w:r>
            <w:r w:rsidR="00DF1884" w:rsidRPr="00DF1884">
              <w:t xml:space="preserve"> </w:t>
            </w:r>
            <w:r w:rsidRPr="00DF1884">
              <w:t>records</w:t>
            </w:r>
            <w:r w:rsidR="00DF1884" w:rsidRPr="00DF1884">
              <w:t xml:space="preserve"> </w:t>
            </w:r>
            <w:r w:rsidRPr="00DF1884">
              <w:t>needed</w:t>
            </w:r>
            <w:r w:rsidR="00DF1884" w:rsidRPr="00DF1884">
              <w:t xml:space="preserve"> </w:t>
            </w:r>
            <w:r w:rsidRPr="00DF1884">
              <w:t>to</w:t>
            </w:r>
            <w:r w:rsidR="00DF1884" w:rsidRPr="00DF1884">
              <w:t xml:space="preserve"> </w:t>
            </w:r>
            <w:r w:rsidRPr="00DF1884">
              <w:t>replace</w:t>
            </w:r>
            <w:r w:rsidR="00DF1884" w:rsidRPr="00DF1884">
              <w:t xml:space="preserve"> </w:t>
            </w:r>
            <w:r w:rsidRPr="00DF1884">
              <w:t>exclusions</w:t>
            </w:r>
            <w:r w:rsidR="00DF1884" w:rsidRPr="00DF1884">
              <w:t xml:space="preserve"> </w:t>
            </w:r>
            <w:r w:rsidRPr="00DF1884">
              <w:t>and</w:t>
            </w:r>
            <w:r w:rsidR="00DF1884" w:rsidRPr="00DF1884">
              <w:t xml:space="preserve"> </w:t>
            </w:r>
            <w:r w:rsidRPr="00DF1884">
              <w:t>valid</w:t>
            </w:r>
            <w:r w:rsidR="00DF1884" w:rsidRPr="00DF1884">
              <w:t xml:space="preserve"> </w:t>
            </w:r>
            <w:r w:rsidRPr="00DF1884">
              <w:t>data</w:t>
            </w:r>
            <w:r w:rsidR="00DF1884" w:rsidRPr="00DF1884">
              <w:t xml:space="preserve"> </w:t>
            </w:r>
            <w:r w:rsidRPr="00DF1884">
              <w:t>errors</w:t>
            </w:r>
            <w:r w:rsidR="00DF1884" w:rsidRPr="00DF1884">
              <w:t xml:space="preserve"> </w:t>
            </w:r>
            <w:r w:rsidRPr="00DF1884">
              <w:t>in</w:t>
            </w:r>
            <w:r w:rsidR="00DF1884" w:rsidRPr="00DF1884">
              <w:t xml:space="preserve"> </w:t>
            </w:r>
            <w:r w:rsidRPr="00DF1884">
              <w:t>the</w:t>
            </w:r>
            <w:r w:rsidR="00DF1884" w:rsidRPr="00DF1884">
              <w:t xml:space="preserve"> </w:t>
            </w:r>
            <w:r w:rsidRPr="00DF1884">
              <w:t>denominator</w:t>
            </w:r>
            <w:r w:rsidR="00C06229" w:rsidRPr="00DF1884">
              <w:t>.</w:t>
            </w:r>
            <w:r w:rsidR="00DF1884" w:rsidRPr="00DF1884">
              <w:t xml:space="preserve"> </w:t>
            </w:r>
            <w:r w:rsidRPr="00DF1884">
              <w:t>Organizations</w:t>
            </w:r>
            <w:r w:rsidR="00DF1884" w:rsidRPr="00DF1884">
              <w:t xml:space="preserve"> </w:t>
            </w:r>
            <w:r w:rsidRPr="00DF1884">
              <w:t>that</w:t>
            </w:r>
            <w:r w:rsidR="00DF1884" w:rsidRPr="00DF1884">
              <w:t xml:space="preserve"> </w:t>
            </w:r>
            <w:r w:rsidRPr="00DF1884">
              <w:t>need</w:t>
            </w:r>
            <w:r w:rsidR="00DF1884" w:rsidRPr="00DF1884">
              <w:t xml:space="preserve"> </w:t>
            </w:r>
            <w:r w:rsidRPr="00DF1884">
              <w:t>more</w:t>
            </w:r>
            <w:r w:rsidR="00DF1884" w:rsidRPr="00DF1884">
              <w:t xml:space="preserve"> </w:t>
            </w:r>
            <w:r w:rsidRPr="00DF1884">
              <w:t>than</w:t>
            </w:r>
            <w:r w:rsidR="00DF1884" w:rsidRPr="00DF1884">
              <w:t xml:space="preserve"> </w:t>
            </w:r>
            <w:r w:rsidRPr="00DF1884">
              <w:t>a</w:t>
            </w:r>
            <w:r w:rsidR="00DF1884" w:rsidRPr="00DF1884">
              <w:t xml:space="preserve"> </w:t>
            </w:r>
            <w:r w:rsidRPr="00DF1884">
              <w:t>20%</w:t>
            </w:r>
            <w:r w:rsidR="00DF1884" w:rsidRPr="00DF1884">
              <w:t xml:space="preserve"> </w:t>
            </w:r>
            <w:r w:rsidRPr="00DF1884">
              <w:t>oversample</w:t>
            </w:r>
            <w:r w:rsidR="00DF1884" w:rsidRPr="00DF1884">
              <w:t xml:space="preserve"> </w:t>
            </w:r>
            <w:r w:rsidRPr="00DF1884">
              <w:t>must</w:t>
            </w:r>
            <w:r w:rsidR="00DF1884" w:rsidRPr="00DF1884">
              <w:t xml:space="preserve"> </w:t>
            </w:r>
            <w:r w:rsidRPr="00DF1884">
              <w:t>contact</w:t>
            </w:r>
            <w:r w:rsidR="00DF1884" w:rsidRPr="00DF1884">
              <w:t xml:space="preserve"> </w:t>
            </w:r>
            <w:r w:rsidRPr="00DF1884">
              <w:t>NCQA.</w:t>
            </w:r>
            <w:r w:rsidR="00DF1884" w:rsidRPr="00DF1884">
              <w:t xml:space="preserve"> </w:t>
            </w:r>
          </w:p>
        </w:tc>
      </w:tr>
      <w:tr w:rsidR="00463667" w:rsidRPr="00DF1884" w14:paraId="74312C63" w14:textId="77777777" w:rsidTr="00C56CA6">
        <w:tc>
          <w:tcPr>
            <w:tcW w:w="3632"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248A41F" w14:textId="5E9A365C" w:rsidR="00463667" w:rsidRPr="00DF1884" w:rsidRDefault="00463667" w:rsidP="00C56CA6">
            <w:pPr>
              <w:pStyle w:val="TableText"/>
            </w:pPr>
            <w:r w:rsidRPr="00DF1884">
              <w:t>Final</w:t>
            </w:r>
            <w:r w:rsidR="00DF1884" w:rsidRPr="00DF1884">
              <w:t xml:space="preserve"> </w:t>
            </w:r>
            <w:r w:rsidRPr="00DF1884">
              <w:t>sample</w:t>
            </w:r>
            <w:r w:rsidR="00DF1884" w:rsidRPr="00DF1884">
              <w:t xml:space="preserve"> </w:t>
            </w:r>
            <w:r w:rsidRPr="00DF1884">
              <w:t>size</w:t>
            </w:r>
            <w:r w:rsidR="00DF1884" w:rsidRPr="00DF1884">
              <w:t xml:space="preserve"> </w:t>
            </w:r>
            <w:r w:rsidRPr="00DF1884">
              <w:t>(FSS)</w:t>
            </w:r>
            <w:r w:rsidR="00DF1884" w:rsidRPr="00DF1884">
              <w:t xml:space="preserve"> </w:t>
            </w:r>
          </w:p>
        </w:tc>
        <w:tc>
          <w:tcPr>
            <w:tcW w:w="8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7CD1607" w14:textId="77777777" w:rsidR="00463667" w:rsidRPr="00DF1884" w:rsidRDefault="00463667" w:rsidP="00C56CA6">
            <w:pPr>
              <w:pStyle w:val="TableText"/>
              <w:jc w:val="center"/>
              <w:rPr>
                <w:rFonts w:cs="Arial"/>
                <w:sz w:val="24"/>
              </w:rPr>
            </w:pPr>
          </w:p>
        </w:tc>
        <w:tc>
          <w:tcPr>
            <w:tcW w:w="81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D2B913"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9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C12E005" w14:textId="77777777" w:rsidR="00463667" w:rsidRPr="00DF1884" w:rsidRDefault="00463667" w:rsidP="00C56CA6">
            <w:pPr>
              <w:pStyle w:val="TableText"/>
              <w:jc w:val="center"/>
              <w:rPr>
                <w:rFonts w:cs="Arial"/>
                <w:sz w:val="24"/>
              </w:rPr>
            </w:pPr>
          </w:p>
        </w:tc>
        <w:tc>
          <w:tcPr>
            <w:tcW w:w="7012"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B292303" w14:textId="54518989" w:rsidR="00463667" w:rsidRPr="00DF1884" w:rsidRDefault="00463667" w:rsidP="00C56CA6">
            <w:pPr>
              <w:pStyle w:val="TableText"/>
            </w:pPr>
            <w:r w:rsidRPr="00DF1884">
              <w:t>Minimum</w:t>
            </w:r>
            <w:r w:rsidR="00DF1884" w:rsidRPr="00DF1884">
              <w:t xml:space="preserve"> </w:t>
            </w:r>
            <w:r w:rsidRPr="00DF1884">
              <w:t>required</w:t>
            </w:r>
            <w:r w:rsidR="00DF1884" w:rsidRPr="00DF1884">
              <w:t xml:space="preserve"> </w:t>
            </w:r>
            <w:r w:rsidRPr="00DF1884">
              <w:t>sample</w:t>
            </w:r>
            <w:r w:rsidR="00DF1884" w:rsidRPr="00DF1884">
              <w:t xml:space="preserve"> </w:t>
            </w:r>
            <w:r w:rsidRPr="00DF1884">
              <w:t>size</w:t>
            </w:r>
            <w:r w:rsidR="00DF1884" w:rsidRPr="00DF1884">
              <w:t xml:space="preserve"> </w:t>
            </w:r>
            <w:r w:rsidRPr="00DF1884">
              <w:t>+</w:t>
            </w:r>
            <w:r w:rsidR="00DF1884" w:rsidRPr="00DF1884">
              <w:t xml:space="preserve"> </w:t>
            </w:r>
            <w:r w:rsidRPr="00DF1884">
              <w:t>oversample.</w:t>
            </w:r>
          </w:p>
        </w:tc>
      </w:tr>
      <w:tr w:rsidR="00463667" w:rsidRPr="00DF1884" w14:paraId="55CD0BF3" w14:textId="77777777" w:rsidTr="00C56CA6">
        <w:tc>
          <w:tcPr>
            <w:tcW w:w="3632" w:type="dxa"/>
            <w:tcBorders>
              <w:top w:val="single" w:sz="6" w:space="0" w:color="auto"/>
              <w:left w:val="single" w:sz="6" w:space="0" w:color="auto"/>
              <w:bottom w:val="single" w:sz="6" w:space="0" w:color="auto"/>
              <w:right w:val="single" w:sz="6" w:space="0" w:color="auto"/>
            </w:tcBorders>
            <w:shd w:val="clear" w:color="auto" w:fill="auto"/>
          </w:tcPr>
          <w:p w14:paraId="1D80CD60" w14:textId="049BD659" w:rsidR="00463667" w:rsidRPr="00DF1884" w:rsidRDefault="00463667" w:rsidP="00C56CA6">
            <w:pPr>
              <w:pStyle w:val="TableText"/>
            </w:pPr>
            <w:r w:rsidRPr="00DF1884">
              <w:t>Number</w:t>
            </w:r>
            <w:r w:rsidR="00DF1884" w:rsidRPr="00DF1884">
              <w:t xml:space="preserve"> </w:t>
            </w:r>
            <w:r w:rsidRPr="00DF1884">
              <w:t>of</w:t>
            </w:r>
            <w:r w:rsidR="00DF1884" w:rsidRPr="00DF1884">
              <w:t xml:space="preserve"> </w:t>
            </w:r>
            <w:r w:rsidRPr="00DF1884">
              <w:t>numerator</w:t>
            </w:r>
            <w:r w:rsidR="00DF1884" w:rsidRPr="00DF1884">
              <w:t xml:space="preserve"> </w:t>
            </w:r>
            <w:r w:rsidRPr="00DF1884">
              <w:t>events</w:t>
            </w:r>
            <w:r w:rsidR="00DF1884" w:rsidRPr="00DF1884">
              <w:t xml:space="preserve"> </w:t>
            </w:r>
            <w:r w:rsidRPr="00DF1884">
              <w:t>by</w:t>
            </w:r>
            <w:r w:rsidR="00DF1884" w:rsidRPr="00DF1884">
              <w:t xml:space="preserve"> </w:t>
            </w:r>
            <w:r w:rsidRPr="00DF1884">
              <w:t>administrative</w:t>
            </w:r>
            <w:r w:rsidR="00DF1884" w:rsidRPr="00DF1884">
              <w:t xml:space="preserve"> </w:t>
            </w:r>
            <w:r w:rsidRPr="00DF1884">
              <w:t>data</w:t>
            </w:r>
            <w:r w:rsidR="00DF1884" w:rsidRPr="00DF1884">
              <w:t xml:space="preserve"> </w:t>
            </w:r>
            <w:r w:rsidRPr="00DF1884">
              <w:t>in</w:t>
            </w:r>
            <w:r w:rsidR="00DF1884" w:rsidRPr="00DF1884">
              <w:t xml:space="preserve"> </w:t>
            </w:r>
            <w:r w:rsidRPr="00DF1884">
              <w:t>FSS</w:t>
            </w:r>
            <w:r w:rsidR="00DF1884" w:rsidRPr="00DF1884">
              <w:t xml:space="preserve"> </w:t>
            </w:r>
          </w:p>
        </w:tc>
        <w:tc>
          <w:tcPr>
            <w:tcW w:w="868" w:type="dxa"/>
            <w:tcBorders>
              <w:top w:val="single" w:sz="6" w:space="0" w:color="auto"/>
              <w:left w:val="single" w:sz="6" w:space="0" w:color="auto"/>
              <w:bottom w:val="single" w:sz="6" w:space="0" w:color="auto"/>
              <w:right w:val="single" w:sz="6" w:space="0" w:color="auto"/>
            </w:tcBorders>
            <w:shd w:val="clear" w:color="auto" w:fill="auto"/>
          </w:tcPr>
          <w:p w14:paraId="715395A4" w14:textId="77777777" w:rsidR="00463667" w:rsidRPr="00DF1884" w:rsidRDefault="00463667" w:rsidP="00C56CA6">
            <w:pPr>
              <w:pStyle w:val="TableText"/>
              <w:jc w:val="center"/>
              <w:rPr>
                <w:rFonts w:cs="Arial"/>
                <w:sz w:val="24"/>
              </w:rPr>
            </w:pPr>
          </w:p>
        </w:tc>
        <w:tc>
          <w:tcPr>
            <w:tcW w:w="810" w:type="dxa"/>
            <w:tcBorders>
              <w:top w:val="single" w:sz="6" w:space="0" w:color="auto"/>
              <w:left w:val="single" w:sz="6" w:space="0" w:color="auto"/>
              <w:bottom w:val="single" w:sz="6" w:space="0" w:color="auto"/>
              <w:right w:val="single" w:sz="6" w:space="0" w:color="auto"/>
            </w:tcBorders>
            <w:shd w:val="clear" w:color="auto" w:fill="auto"/>
          </w:tcPr>
          <w:p w14:paraId="2EA0B681"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66864B80" w14:textId="77777777" w:rsidR="00463667" w:rsidRPr="00DF1884" w:rsidRDefault="00463667" w:rsidP="00C56CA6">
            <w:pPr>
              <w:pStyle w:val="TableText"/>
              <w:jc w:val="center"/>
              <w:rPr>
                <w:rFonts w:cs="Arial"/>
                <w:sz w:val="24"/>
              </w:rPr>
            </w:pPr>
          </w:p>
        </w:tc>
        <w:tc>
          <w:tcPr>
            <w:tcW w:w="7012" w:type="dxa"/>
            <w:tcBorders>
              <w:top w:val="single" w:sz="6" w:space="0" w:color="auto"/>
              <w:left w:val="single" w:sz="6" w:space="0" w:color="auto"/>
              <w:bottom w:val="single" w:sz="6" w:space="0" w:color="auto"/>
              <w:right w:val="single" w:sz="6" w:space="0" w:color="auto"/>
            </w:tcBorders>
            <w:shd w:val="clear" w:color="auto" w:fill="auto"/>
          </w:tcPr>
          <w:p w14:paraId="490B6922" w14:textId="7964E2CE" w:rsidR="00463667" w:rsidRPr="00DF1884" w:rsidRDefault="00463667" w:rsidP="00C56CA6">
            <w:pPr>
              <w:pStyle w:val="TableText"/>
            </w:pPr>
            <w:r w:rsidRPr="00DF1884">
              <w:t>Number</w:t>
            </w:r>
            <w:r w:rsidR="00DF1884" w:rsidRPr="00DF1884">
              <w:t xml:space="preserve"> </w:t>
            </w:r>
            <w:r w:rsidRPr="00DF1884">
              <w:t>of</w:t>
            </w:r>
            <w:r w:rsidR="00DF1884" w:rsidRPr="00DF1884">
              <w:t xml:space="preserve"> </w:t>
            </w:r>
            <w:r w:rsidRPr="00DF1884">
              <w:t>members</w:t>
            </w:r>
            <w:r w:rsidR="00DF1884" w:rsidRPr="00DF1884">
              <w:t xml:space="preserve"> </w:t>
            </w:r>
            <w:r w:rsidRPr="00DF1884">
              <w:t>in</w:t>
            </w:r>
            <w:r w:rsidR="00DF1884" w:rsidRPr="00DF1884">
              <w:t xml:space="preserve"> </w:t>
            </w:r>
            <w:r w:rsidRPr="00DF1884">
              <w:t>the</w:t>
            </w:r>
            <w:r w:rsidR="00DF1884" w:rsidRPr="00DF1884">
              <w:t xml:space="preserve"> </w:t>
            </w:r>
            <w:r w:rsidRPr="00DF1884">
              <w:t>final</w:t>
            </w:r>
            <w:r w:rsidR="00DF1884" w:rsidRPr="00DF1884">
              <w:t xml:space="preserve"> </w:t>
            </w:r>
            <w:r w:rsidRPr="00DF1884">
              <w:t>sample</w:t>
            </w:r>
            <w:r w:rsidR="00DF1884" w:rsidRPr="00DF1884">
              <w:t xml:space="preserve"> </w:t>
            </w:r>
            <w:r w:rsidRPr="00DF1884">
              <w:t>size</w:t>
            </w:r>
            <w:r w:rsidR="00DF1884" w:rsidRPr="00DF1884">
              <w:t xml:space="preserve"> </w:t>
            </w:r>
            <w:r w:rsidRPr="00DF1884">
              <w:t>who</w:t>
            </w:r>
            <w:r w:rsidR="00DF1884" w:rsidRPr="00DF1884">
              <w:t xml:space="preserve"> </w:t>
            </w:r>
            <w:r w:rsidRPr="00DF1884">
              <w:t>meet</w:t>
            </w:r>
            <w:r w:rsidR="00DF1884" w:rsidRPr="00DF1884">
              <w:t xml:space="preserve"> </w:t>
            </w:r>
            <w:r w:rsidRPr="00DF1884">
              <w:t>numerator</w:t>
            </w:r>
            <w:r w:rsidR="00DF1884" w:rsidRPr="00DF1884">
              <w:t xml:space="preserve"> </w:t>
            </w:r>
            <w:r w:rsidRPr="00DF1884">
              <w:t>criteria</w:t>
            </w:r>
            <w:r w:rsidR="00DF1884" w:rsidRPr="00DF1884">
              <w:t xml:space="preserve"> </w:t>
            </w:r>
            <w:r w:rsidRPr="00DF1884">
              <w:t>through</w:t>
            </w:r>
            <w:r w:rsidR="00DF1884" w:rsidRPr="00DF1884">
              <w:t xml:space="preserve"> </w:t>
            </w:r>
            <w:r w:rsidRPr="00DF1884">
              <w:t>system/</w:t>
            </w:r>
            <w:r w:rsidR="00DF1884" w:rsidRPr="00DF1884">
              <w:t xml:space="preserve"> </w:t>
            </w:r>
            <w:r w:rsidRPr="00DF1884">
              <w:t>transactional</w:t>
            </w:r>
            <w:r w:rsidR="00DF1884" w:rsidRPr="00DF1884">
              <w:t xml:space="preserve"> </w:t>
            </w:r>
            <w:r w:rsidRPr="00DF1884">
              <w:t>data.</w:t>
            </w:r>
            <w:r w:rsidR="00DF1884" w:rsidRPr="00DF1884">
              <w:t xml:space="preserve"> </w:t>
            </w:r>
          </w:p>
        </w:tc>
      </w:tr>
      <w:tr w:rsidR="00463667" w:rsidRPr="00DF1884" w14:paraId="243BE0F6" w14:textId="77777777" w:rsidTr="00C56CA6">
        <w:tc>
          <w:tcPr>
            <w:tcW w:w="3632"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65057DF" w14:textId="6EED1FB8" w:rsidR="00463667" w:rsidRPr="00DF1884" w:rsidRDefault="00463667" w:rsidP="00C56CA6">
            <w:pPr>
              <w:pStyle w:val="TableText"/>
            </w:pPr>
            <w:r w:rsidRPr="00DF1884">
              <w:t>Administrative</w:t>
            </w:r>
            <w:r w:rsidR="00DF1884" w:rsidRPr="00DF1884">
              <w:t xml:space="preserve"> </w:t>
            </w:r>
            <w:r w:rsidRPr="00DF1884">
              <w:t>rate</w:t>
            </w:r>
            <w:r w:rsidR="00DF1884" w:rsidRPr="00DF1884">
              <w:t xml:space="preserve"> </w:t>
            </w:r>
            <w:r w:rsidRPr="00DF1884">
              <w:t>on</w:t>
            </w:r>
            <w:r w:rsidR="00DF1884" w:rsidRPr="00DF1884">
              <w:t xml:space="preserve"> </w:t>
            </w:r>
            <w:r w:rsidRPr="00DF1884">
              <w:t>FSS</w:t>
            </w:r>
          </w:p>
        </w:tc>
        <w:tc>
          <w:tcPr>
            <w:tcW w:w="8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347E3BF" w14:textId="77777777" w:rsidR="00463667" w:rsidRPr="00DF1884" w:rsidRDefault="00463667" w:rsidP="00C56CA6">
            <w:pPr>
              <w:pStyle w:val="TableText"/>
              <w:jc w:val="center"/>
              <w:rPr>
                <w:rFonts w:cs="Arial"/>
                <w:sz w:val="24"/>
              </w:rPr>
            </w:pPr>
          </w:p>
        </w:tc>
        <w:tc>
          <w:tcPr>
            <w:tcW w:w="81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7F8F925"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9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57AC35A" w14:textId="77777777" w:rsidR="00463667" w:rsidRPr="00DF1884" w:rsidRDefault="00463667" w:rsidP="00C56CA6">
            <w:pPr>
              <w:pStyle w:val="TableText"/>
              <w:jc w:val="center"/>
              <w:rPr>
                <w:rFonts w:cs="Arial"/>
                <w:sz w:val="24"/>
              </w:rPr>
            </w:pPr>
          </w:p>
        </w:tc>
        <w:tc>
          <w:tcPr>
            <w:tcW w:w="7012"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1A53567" w14:textId="40FA9567" w:rsidR="00463667" w:rsidRPr="00DF1884" w:rsidRDefault="00463667" w:rsidP="00C56CA6">
            <w:pPr>
              <w:pStyle w:val="TableText"/>
            </w:pPr>
            <w:r w:rsidRPr="00DF1884">
              <w:t>This</w:t>
            </w:r>
            <w:r w:rsidR="00DF1884" w:rsidRPr="00DF1884">
              <w:t xml:space="preserve"> </w:t>
            </w:r>
            <w:r w:rsidRPr="00DF1884">
              <w:t>is</w:t>
            </w:r>
            <w:r w:rsidR="00DF1884" w:rsidRPr="00DF1884">
              <w:t xml:space="preserve"> </w:t>
            </w:r>
            <w:r w:rsidRPr="00DF1884">
              <w:t>a</w:t>
            </w:r>
            <w:r w:rsidR="00DF1884" w:rsidRPr="00DF1884">
              <w:t xml:space="preserve"> </w:t>
            </w:r>
            <w:r w:rsidRPr="00DF1884">
              <w:t>calculated</w:t>
            </w:r>
            <w:r w:rsidR="00DF1884" w:rsidRPr="00DF1884">
              <w:t xml:space="preserve"> </w:t>
            </w:r>
            <w:r w:rsidRPr="00DF1884">
              <w:t>field</w:t>
            </w:r>
            <w:r w:rsidR="00DF1884" w:rsidRPr="00DF1884">
              <w:t xml:space="preserve"> </w:t>
            </w:r>
            <w:r w:rsidRPr="00DF1884">
              <w:t>in</w:t>
            </w:r>
            <w:r w:rsidR="00DF1884" w:rsidRPr="00DF1884">
              <w:t xml:space="preserve"> </w:t>
            </w:r>
            <w:r w:rsidRPr="00DF1884">
              <w:t>IDSS.</w:t>
            </w:r>
          </w:p>
          <w:p w14:paraId="29FE84DD" w14:textId="74AE8A82" w:rsidR="00463667" w:rsidRPr="00DF1884" w:rsidRDefault="00463667" w:rsidP="00C56CA6">
            <w:pPr>
              <w:pStyle w:val="TableText"/>
            </w:pPr>
            <w:r w:rsidRPr="00DF1884">
              <w:t>Numerator</w:t>
            </w:r>
            <w:r w:rsidR="00DF1884" w:rsidRPr="00DF1884">
              <w:t xml:space="preserve"> </w:t>
            </w:r>
            <w:r w:rsidRPr="00DF1884">
              <w:t>events</w:t>
            </w:r>
            <w:r w:rsidR="00DF1884" w:rsidRPr="00DF1884">
              <w:t xml:space="preserve"> </w:t>
            </w:r>
            <w:r w:rsidRPr="00DF1884">
              <w:t>by</w:t>
            </w:r>
            <w:r w:rsidR="00DF1884" w:rsidRPr="00DF1884">
              <w:t xml:space="preserve"> </w:t>
            </w:r>
            <w:r w:rsidRPr="00DF1884">
              <w:t>administrative</w:t>
            </w:r>
            <w:r w:rsidR="00DF1884" w:rsidRPr="00DF1884">
              <w:t xml:space="preserve"> </w:t>
            </w:r>
            <w:r w:rsidRPr="00DF1884">
              <w:t>data</w:t>
            </w:r>
            <w:r w:rsidR="00DF1884" w:rsidRPr="00DF1884">
              <w:t xml:space="preserve"> </w:t>
            </w:r>
            <w:r w:rsidRPr="00DF1884">
              <w:t>in</w:t>
            </w:r>
            <w:r w:rsidR="00DF1884" w:rsidRPr="00DF1884">
              <w:t xml:space="preserve"> </w:t>
            </w:r>
            <w:r w:rsidRPr="00DF1884">
              <w:t>the</w:t>
            </w:r>
            <w:r w:rsidR="00DF1884" w:rsidRPr="00DF1884">
              <w:t xml:space="preserve"> </w:t>
            </w:r>
            <w:r w:rsidRPr="00DF1884">
              <w:t>FSS</w:t>
            </w:r>
            <w:r w:rsidR="00DF1884" w:rsidRPr="00DF1884">
              <w:t xml:space="preserve"> </w:t>
            </w:r>
            <w:r w:rsidRPr="00DF1884">
              <w:sym w:font="Symbol" w:char="00B8"/>
            </w:r>
            <w:r w:rsidR="00DF1884" w:rsidRPr="00DF1884">
              <w:t xml:space="preserve"> </w:t>
            </w:r>
            <w:r w:rsidRPr="00DF1884">
              <w:t>FSS.</w:t>
            </w:r>
          </w:p>
        </w:tc>
      </w:tr>
      <w:tr w:rsidR="00463667" w:rsidRPr="00DF1884" w14:paraId="6F13405B" w14:textId="77777777" w:rsidTr="00C56CA6">
        <w:tc>
          <w:tcPr>
            <w:tcW w:w="3632" w:type="dxa"/>
            <w:tcBorders>
              <w:top w:val="single" w:sz="6" w:space="0" w:color="auto"/>
              <w:left w:val="single" w:sz="6" w:space="0" w:color="auto"/>
              <w:bottom w:val="single" w:sz="6" w:space="0" w:color="auto"/>
              <w:right w:val="single" w:sz="6" w:space="0" w:color="auto"/>
            </w:tcBorders>
            <w:shd w:val="clear" w:color="auto" w:fill="auto"/>
          </w:tcPr>
          <w:p w14:paraId="28320C91" w14:textId="6C828FE6" w:rsidR="00463667" w:rsidRPr="00DF1884" w:rsidRDefault="00463667" w:rsidP="00C56CA6">
            <w:pPr>
              <w:pStyle w:val="TableText"/>
            </w:pPr>
            <w:r w:rsidRPr="00DF1884">
              <w:t>Number</w:t>
            </w:r>
            <w:r w:rsidR="00DF1884" w:rsidRPr="00DF1884">
              <w:t xml:space="preserve"> </w:t>
            </w:r>
            <w:r w:rsidRPr="00DF1884">
              <w:t>of</w:t>
            </w:r>
            <w:r w:rsidR="00DF1884" w:rsidRPr="00DF1884">
              <w:t xml:space="preserve"> </w:t>
            </w:r>
            <w:r w:rsidRPr="00DF1884">
              <w:t>original</w:t>
            </w:r>
            <w:r w:rsidR="00DF1884" w:rsidRPr="00DF1884">
              <w:t xml:space="preserve"> </w:t>
            </w:r>
            <w:r w:rsidRPr="00DF1884">
              <w:t>sample</w:t>
            </w:r>
            <w:r w:rsidR="00DF1884" w:rsidRPr="00DF1884">
              <w:t xml:space="preserve"> </w:t>
            </w:r>
            <w:r w:rsidRPr="00DF1884">
              <w:t>records</w:t>
            </w:r>
            <w:r w:rsidR="00DF1884" w:rsidRPr="00DF1884">
              <w:t xml:space="preserve"> </w:t>
            </w:r>
            <w:r w:rsidRPr="00DF1884">
              <w:t>excluded</w:t>
            </w:r>
            <w:r w:rsidR="00DF1884" w:rsidRPr="00DF1884">
              <w:t xml:space="preserve"> </w:t>
            </w:r>
            <w:r w:rsidRPr="00DF1884">
              <w:t>because</w:t>
            </w:r>
            <w:r w:rsidR="00DF1884" w:rsidRPr="00DF1884">
              <w:t xml:space="preserve"> </w:t>
            </w:r>
            <w:r w:rsidRPr="00DF1884">
              <w:t>of</w:t>
            </w:r>
            <w:r w:rsidR="00DF1884" w:rsidRPr="00DF1884">
              <w:t xml:space="preserve"> </w:t>
            </w:r>
            <w:r w:rsidRPr="00DF1884">
              <w:t>valid</w:t>
            </w:r>
            <w:r w:rsidR="00DF1884" w:rsidRPr="00DF1884">
              <w:t xml:space="preserve"> </w:t>
            </w:r>
            <w:r w:rsidRPr="00DF1884">
              <w:t>data</w:t>
            </w:r>
            <w:r w:rsidR="00DF1884" w:rsidRPr="00DF1884">
              <w:t xml:space="preserve"> </w:t>
            </w:r>
            <w:r w:rsidRPr="00DF1884">
              <w:t>errors</w:t>
            </w:r>
            <w:r w:rsidR="00DF1884" w:rsidRPr="00DF1884">
              <w:t xml:space="preserve"> </w:t>
            </w:r>
          </w:p>
        </w:tc>
        <w:tc>
          <w:tcPr>
            <w:tcW w:w="868" w:type="dxa"/>
            <w:tcBorders>
              <w:top w:val="single" w:sz="6" w:space="0" w:color="auto"/>
              <w:left w:val="single" w:sz="6" w:space="0" w:color="auto"/>
              <w:bottom w:val="single" w:sz="6" w:space="0" w:color="auto"/>
              <w:right w:val="single" w:sz="6" w:space="0" w:color="auto"/>
            </w:tcBorders>
            <w:shd w:val="clear" w:color="auto" w:fill="auto"/>
          </w:tcPr>
          <w:p w14:paraId="2318F04B" w14:textId="77777777" w:rsidR="00463667" w:rsidRPr="00DF1884" w:rsidRDefault="00463667" w:rsidP="00C56CA6">
            <w:pPr>
              <w:pStyle w:val="TableText"/>
              <w:jc w:val="center"/>
              <w:rPr>
                <w:rFonts w:cs="Arial"/>
                <w:sz w:val="24"/>
              </w:rPr>
            </w:pPr>
          </w:p>
        </w:tc>
        <w:tc>
          <w:tcPr>
            <w:tcW w:w="810" w:type="dxa"/>
            <w:tcBorders>
              <w:top w:val="single" w:sz="6" w:space="0" w:color="auto"/>
              <w:left w:val="single" w:sz="6" w:space="0" w:color="auto"/>
              <w:bottom w:val="single" w:sz="6" w:space="0" w:color="auto"/>
              <w:right w:val="single" w:sz="6" w:space="0" w:color="auto"/>
            </w:tcBorders>
            <w:shd w:val="clear" w:color="auto" w:fill="auto"/>
          </w:tcPr>
          <w:p w14:paraId="0EC72A04"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09A39AD9" w14:textId="77777777" w:rsidR="00463667" w:rsidRPr="00DF1884" w:rsidRDefault="00463667" w:rsidP="00C56CA6">
            <w:pPr>
              <w:pStyle w:val="TableText"/>
              <w:jc w:val="center"/>
              <w:rPr>
                <w:rFonts w:cs="Arial"/>
                <w:sz w:val="24"/>
              </w:rPr>
            </w:pPr>
          </w:p>
        </w:tc>
        <w:tc>
          <w:tcPr>
            <w:tcW w:w="7012" w:type="dxa"/>
            <w:tcBorders>
              <w:top w:val="single" w:sz="6" w:space="0" w:color="auto"/>
              <w:left w:val="single" w:sz="6" w:space="0" w:color="auto"/>
              <w:bottom w:val="single" w:sz="6" w:space="0" w:color="auto"/>
              <w:right w:val="single" w:sz="6" w:space="0" w:color="auto"/>
            </w:tcBorders>
            <w:shd w:val="clear" w:color="auto" w:fill="auto"/>
          </w:tcPr>
          <w:p w14:paraId="64781D91" w14:textId="01EC0873" w:rsidR="00463667" w:rsidRPr="00DF1884" w:rsidRDefault="00463667" w:rsidP="00C56CA6">
            <w:pPr>
              <w:pStyle w:val="TableText"/>
            </w:pPr>
            <w:r w:rsidRPr="00DF1884">
              <w:t>If</w:t>
            </w:r>
            <w:r w:rsidR="00DF1884" w:rsidRPr="00DF1884">
              <w:t xml:space="preserve"> </w:t>
            </w:r>
            <w:r w:rsidRPr="00DF1884">
              <w:t>the</w:t>
            </w:r>
            <w:r w:rsidR="00DF1884" w:rsidRPr="00DF1884">
              <w:t xml:space="preserve"> </w:t>
            </w:r>
            <w:r w:rsidRPr="00DF1884">
              <w:t>medical</w:t>
            </w:r>
            <w:r w:rsidR="00DF1884" w:rsidRPr="00DF1884">
              <w:t xml:space="preserve"> </w:t>
            </w:r>
            <w:r w:rsidRPr="00DF1884">
              <w:t>record</w:t>
            </w:r>
            <w:r w:rsidR="00DF1884" w:rsidRPr="00DF1884">
              <w:t xml:space="preserve"> </w:t>
            </w:r>
            <w:r w:rsidRPr="00DF1884">
              <w:t>review</w:t>
            </w:r>
            <w:r w:rsidR="00DF1884" w:rsidRPr="00DF1884">
              <w:t xml:space="preserve"> </w:t>
            </w:r>
            <w:r w:rsidRPr="00DF1884">
              <w:t>shows</w:t>
            </w:r>
            <w:r w:rsidR="00DF1884" w:rsidRPr="00DF1884">
              <w:t xml:space="preserve"> </w:t>
            </w:r>
            <w:r w:rsidRPr="00DF1884">
              <w:t>that</w:t>
            </w:r>
            <w:r w:rsidR="00DF1884" w:rsidRPr="00DF1884">
              <w:t xml:space="preserve"> </w:t>
            </w:r>
            <w:r w:rsidRPr="00DF1884">
              <w:t>the</w:t>
            </w:r>
            <w:r w:rsidR="00DF1884" w:rsidRPr="00DF1884">
              <w:t xml:space="preserve"> </w:t>
            </w:r>
            <w:r w:rsidRPr="00DF1884">
              <w:t>member</w:t>
            </w:r>
            <w:r w:rsidR="00DF1884" w:rsidRPr="00DF1884">
              <w:t xml:space="preserve"> </w:t>
            </w:r>
            <w:r w:rsidRPr="00DF1884">
              <w:t>does</w:t>
            </w:r>
            <w:r w:rsidR="00DF1884" w:rsidRPr="00DF1884">
              <w:t xml:space="preserve"> </w:t>
            </w:r>
            <w:r w:rsidRPr="00DF1884">
              <w:t>not</w:t>
            </w:r>
            <w:r w:rsidR="00DF1884" w:rsidRPr="00DF1884">
              <w:t xml:space="preserve"> </w:t>
            </w:r>
            <w:r w:rsidRPr="00DF1884">
              <w:t>meet</w:t>
            </w:r>
            <w:r w:rsidR="00DF1884" w:rsidRPr="00DF1884">
              <w:t xml:space="preserve"> </w:t>
            </w:r>
            <w:r w:rsidRPr="00DF1884">
              <w:t>the</w:t>
            </w:r>
            <w:r w:rsidR="00DF1884" w:rsidRPr="00DF1884">
              <w:t xml:space="preserve"> </w:t>
            </w:r>
            <w:r w:rsidRPr="00DF1884">
              <w:t>criteria</w:t>
            </w:r>
            <w:r w:rsidR="00DF1884" w:rsidRPr="00DF1884">
              <w:t xml:space="preserve"> </w:t>
            </w:r>
            <w:r w:rsidRPr="00DF1884">
              <w:t>outlined</w:t>
            </w:r>
            <w:r w:rsidR="00DF1884" w:rsidRPr="00DF1884">
              <w:t xml:space="preserve"> </w:t>
            </w:r>
            <w:r w:rsidRPr="00DF1884">
              <w:t>in</w:t>
            </w:r>
            <w:r w:rsidR="00DF1884" w:rsidRPr="00DF1884">
              <w:t xml:space="preserve"> </w:t>
            </w:r>
            <w:r w:rsidRPr="00DF1884">
              <w:t>the</w:t>
            </w:r>
            <w:r w:rsidR="00DF1884" w:rsidRPr="00DF1884">
              <w:t xml:space="preserve"> </w:t>
            </w:r>
            <w:r w:rsidRPr="00DF1884">
              <w:t>eligible</w:t>
            </w:r>
            <w:r w:rsidR="00DF1884" w:rsidRPr="00DF1884">
              <w:t xml:space="preserve"> </w:t>
            </w:r>
            <w:r w:rsidRPr="00DF1884">
              <w:t>population,</w:t>
            </w:r>
            <w:r w:rsidR="00DF1884" w:rsidRPr="00DF1884">
              <w:t xml:space="preserve"> </w:t>
            </w:r>
            <w:r w:rsidRPr="00DF1884">
              <w:t>that</w:t>
            </w:r>
            <w:r w:rsidR="00DF1884" w:rsidRPr="00DF1884">
              <w:t xml:space="preserve"> </w:t>
            </w:r>
            <w:r w:rsidRPr="00DF1884">
              <w:t>member</w:t>
            </w:r>
            <w:r w:rsidR="00DF1884" w:rsidRPr="00DF1884">
              <w:t xml:space="preserve"> </w:t>
            </w:r>
            <w:r w:rsidRPr="00DF1884">
              <w:t>is</w:t>
            </w:r>
            <w:r w:rsidR="00DF1884" w:rsidRPr="00DF1884">
              <w:t xml:space="preserve"> </w:t>
            </w:r>
            <w:r w:rsidRPr="00DF1884">
              <w:t>considered</w:t>
            </w:r>
            <w:r w:rsidR="00DF1884" w:rsidRPr="00DF1884">
              <w:t xml:space="preserve"> </w:t>
            </w:r>
            <w:r w:rsidRPr="00DF1884">
              <w:t>a</w:t>
            </w:r>
            <w:r w:rsidR="00DF1884" w:rsidRPr="00DF1884">
              <w:t xml:space="preserve"> </w:t>
            </w:r>
            <w:r w:rsidRPr="00DF1884">
              <w:t>valid</w:t>
            </w:r>
            <w:r w:rsidR="00DF1884" w:rsidRPr="00DF1884">
              <w:t xml:space="preserve"> </w:t>
            </w:r>
            <w:r w:rsidRPr="00DF1884">
              <w:t>data</w:t>
            </w:r>
            <w:r w:rsidR="00DF1884" w:rsidRPr="00DF1884">
              <w:t xml:space="preserve"> </w:t>
            </w:r>
            <w:r w:rsidRPr="00DF1884">
              <w:t>error.</w:t>
            </w:r>
            <w:r w:rsidR="00DF1884" w:rsidRPr="00DF1884">
              <w:t xml:space="preserve"> </w:t>
            </w:r>
          </w:p>
        </w:tc>
      </w:tr>
    </w:tbl>
    <w:p w14:paraId="5098C67D" w14:textId="77777777" w:rsidR="00463667" w:rsidRPr="00DF1884" w:rsidRDefault="00463667" w:rsidP="00463667">
      <w:pPr>
        <w:sectPr w:rsidR="00463667" w:rsidRPr="00DF1884" w:rsidSect="0039781B">
          <w:headerReference w:type="even" r:id="rId97"/>
          <w:headerReference w:type="default" r:id="rId98"/>
          <w:footerReference w:type="default" r:id="rId99"/>
          <w:pgSz w:w="15840" w:h="12240" w:orient="landscape" w:code="1"/>
          <w:pgMar w:top="1080" w:right="1080" w:bottom="1080" w:left="1440" w:header="720" w:footer="720" w:gutter="0"/>
          <w:pgNumType w:start="1"/>
          <w:cols w:space="720"/>
        </w:sectPr>
      </w:pPr>
    </w:p>
    <w:tbl>
      <w:tblPr>
        <w:tblW w:w="1332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632"/>
        <w:gridCol w:w="868"/>
        <w:gridCol w:w="810"/>
        <w:gridCol w:w="990"/>
        <w:gridCol w:w="7012"/>
        <w:gridCol w:w="8"/>
      </w:tblGrid>
      <w:tr w:rsidR="00463667" w:rsidRPr="00DF1884" w14:paraId="50C31B46" w14:textId="77777777" w:rsidTr="00C56CA6">
        <w:tc>
          <w:tcPr>
            <w:tcW w:w="3632" w:type="dxa"/>
            <w:tcBorders>
              <w:top w:val="single" w:sz="6" w:space="0" w:color="auto"/>
              <w:left w:val="single" w:sz="6" w:space="0" w:color="auto"/>
              <w:bottom w:val="single" w:sz="6" w:space="0" w:color="auto"/>
              <w:right w:val="nil"/>
            </w:tcBorders>
            <w:shd w:val="clear" w:color="auto" w:fill="000000"/>
            <w:vAlign w:val="bottom"/>
          </w:tcPr>
          <w:p w14:paraId="100384C0" w14:textId="77777777" w:rsidR="00463667" w:rsidRPr="00DF1884" w:rsidRDefault="00463667" w:rsidP="00C56CA6">
            <w:pPr>
              <w:pStyle w:val="TableHead"/>
              <w:rPr>
                <w:color w:val="auto"/>
              </w:rPr>
            </w:pPr>
          </w:p>
        </w:tc>
        <w:tc>
          <w:tcPr>
            <w:tcW w:w="868" w:type="dxa"/>
            <w:tcBorders>
              <w:top w:val="single" w:sz="6" w:space="0" w:color="auto"/>
              <w:left w:val="single" w:sz="6" w:space="0" w:color="FFFFFF"/>
              <w:bottom w:val="single" w:sz="6" w:space="0" w:color="auto"/>
              <w:right w:val="single" w:sz="6" w:space="0" w:color="FFFFFF"/>
            </w:tcBorders>
            <w:shd w:val="clear" w:color="auto" w:fill="000000"/>
            <w:vAlign w:val="bottom"/>
          </w:tcPr>
          <w:p w14:paraId="72087D55" w14:textId="77777777" w:rsidR="00463667" w:rsidRPr="00DF1884" w:rsidRDefault="00463667" w:rsidP="00C56CA6">
            <w:pPr>
              <w:pStyle w:val="TableHead"/>
              <w:rPr>
                <w:color w:val="auto"/>
              </w:rPr>
            </w:pPr>
            <w:r w:rsidRPr="00DF1884">
              <w:rPr>
                <w:color w:val="auto"/>
              </w:rPr>
              <w:t>Admin</w:t>
            </w:r>
          </w:p>
        </w:tc>
        <w:tc>
          <w:tcPr>
            <w:tcW w:w="810" w:type="dxa"/>
            <w:tcBorders>
              <w:top w:val="single" w:sz="6" w:space="0" w:color="auto"/>
              <w:left w:val="nil"/>
              <w:bottom w:val="single" w:sz="6" w:space="0" w:color="auto"/>
              <w:right w:val="single" w:sz="4" w:space="0" w:color="FFFFFF"/>
            </w:tcBorders>
            <w:shd w:val="clear" w:color="auto" w:fill="000000"/>
            <w:vAlign w:val="bottom"/>
          </w:tcPr>
          <w:p w14:paraId="4ABD1FF0" w14:textId="77777777" w:rsidR="00463667" w:rsidRPr="00DF1884" w:rsidRDefault="00463667" w:rsidP="00C56CA6">
            <w:pPr>
              <w:pStyle w:val="TableHead"/>
              <w:rPr>
                <w:color w:val="auto"/>
              </w:rPr>
            </w:pPr>
            <w:r w:rsidRPr="00DF1884">
              <w:rPr>
                <w:color w:val="auto"/>
              </w:rPr>
              <w:t>Hybrid</w:t>
            </w:r>
          </w:p>
        </w:tc>
        <w:tc>
          <w:tcPr>
            <w:tcW w:w="990" w:type="dxa"/>
            <w:tcBorders>
              <w:top w:val="single" w:sz="6" w:space="0" w:color="auto"/>
              <w:left w:val="single" w:sz="4" w:space="0" w:color="FFFFFF"/>
              <w:bottom w:val="single" w:sz="6" w:space="0" w:color="auto"/>
              <w:right w:val="single" w:sz="4" w:space="0" w:color="FFFFFF"/>
            </w:tcBorders>
            <w:shd w:val="clear" w:color="auto" w:fill="000000"/>
            <w:vAlign w:val="bottom"/>
          </w:tcPr>
          <w:p w14:paraId="547F0FFB" w14:textId="77777777" w:rsidR="00463667" w:rsidRPr="00DF1884" w:rsidRDefault="00463667" w:rsidP="00C56CA6">
            <w:pPr>
              <w:pStyle w:val="TableHead"/>
              <w:rPr>
                <w:color w:val="auto"/>
              </w:rPr>
            </w:pPr>
            <w:r w:rsidRPr="00DF1884">
              <w:rPr>
                <w:color w:val="auto"/>
              </w:rPr>
              <w:t>Research</w:t>
            </w:r>
          </w:p>
        </w:tc>
        <w:tc>
          <w:tcPr>
            <w:tcW w:w="7020" w:type="dxa"/>
            <w:gridSpan w:val="2"/>
            <w:tcBorders>
              <w:top w:val="single" w:sz="6" w:space="0" w:color="auto"/>
              <w:left w:val="single" w:sz="4" w:space="0" w:color="FFFFFF"/>
              <w:bottom w:val="single" w:sz="6" w:space="0" w:color="auto"/>
              <w:right w:val="single" w:sz="6" w:space="0" w:color="auto"/>
            </w:tcBorders>
            <w:shd w:val="clear" w:color="auto" w:fill="000000"/>
            <w:vAlign w:val="bottom"/>
          </w:tcPr>
          <w:p w14:paraId="2994E933" w14:textId="77777777" w:rsidR="00463667" w:rsidRPr="00DF1884" w:rsidRDefault="00463667" w:rsidP="00C56CA6">
            <w:pPr>
              <w:pStyle w:val="TableHead"/>
              <w:rPr>
                <w:color w:val="auto"/>
              </w:rPr>
            </w:pPr>
            <w:r w:rsidRPr="00DF1884">
              <w:rPr>
                <w:color w:val="auto"/>
              </w:rPr>
              <w:t>Meaning</w:t>
            </w:r>
          </w:p>
        </w:tc>
      </w:tr>
      <w:tr w:rsidR="00463667" w:rsidRPr="00DF1884" w14:paraId="76B2CBBE" w14:textId="77777777" w:rsidTr="00C56CA6">
        <w:trPr>
          <w:gridAfter w:val="1"/>
          <w:wAfter w:w="8" w:type="dxa"/>
        </w:trPr>
        <w:tc>
          <w:tcPr>
            <w:tcW w:w="3632" w:type="dxa"/>
            <w:tcBorders>
              <w:top w:val="single" w:sz="6" w:space="0" w:color="auto"/>
              <w:left w:val="single" w:sz="6" w:space="0" w:color="auto"/>
              <w:bottom w:val="single" w:sz="6" w:space="0" w:color="auto"/>
              <w:right w:val="single" w:sz="6" w:space="0" w:color="auto"/>
            </w:tcBorders>
            <w:shd w:val="clear" w:color="auto" w:fill="FFFFFF" w:themeFill="background1"/>
          </w:tcPr>
          <w:p w14:paraId="67FA2CC9" w14:textId="597C4C1C" w:rsidR="00463667" w:rsidRPr="00DF1884" w:rsidRDefault="00463667" w:rsidP="00C56CA6">
            <w:pPr>
              <w:pStyle w:val="TableText"/>
            </w:pPr>
            <w:r w:rsidRPr="00DF1884">
              <w:t>Number</w:t>
            </w:r>
            <w:r w:rsidR="00DF1884" w:rsidRPr="00DF1884">
              <w:t xml:space="preserve"> </w:t>
            </w:r>
            <w:r w:rsidRPr="00DF1884">
              <w:t>of</w:t>
            </w:r>
            <w:r w:rsidR="00DF1884" w:rsidRPr="00DF1884">
              <w:t xml:space="preserve"> </w:t>
            </w:r>
            <w:r w:rsidRPr="00DF1884">
              <w:t>administrative</w:t>
            </w:r>
            <w:r w:rsidR="00DF1884" w:rsidRPr="00DF1884">
              <w:t xml:space="preserve"> </w:t>
            </w:r>
            <w:r w:rsidRPr="00DF1884">
              <w:t>data</w:t>
            </w:r>
            <w:r w:rsidR="00DF1884" w:rsidRPr="00DF1884">
              <w:t xml:space="preserve"> </w:t>
            </w:r>
            <w:r w:rsidRPr="00DF1884">
              <w:t>records</w:t>
            </w:r>
            <w:r w:rsidR="00DF1884" w:rsidRPr="00DF1884">
              <w:t xml:space="preserve"> </w:t>
            </w:r>
            <w:r w:rsidRPr="00DF1884">
              <w:t>excluded</w:t>
            </w:r>
          </w:p>
        </w:tc>
        <w:tc>
          <w:tcPr>
            <w:tcW w:w="868" w:type="dxa"/>
            <w:tcBorders>
              <w:top w:val="single" w:sz="6" w:space="0" w:color="auto"/>
              <w:left w:val="single" w:sz="6" w:space="0" w:color="auto"/>
              <w:bottom w:val="single" w:sz="6" w:space="0" w:color="auto"/>
              <w:right w:val="single" w:sz="6" w:space="0" w:color="auto"/>
            </w:tcBorders>
            <w:shd w:val="clear" w:color="auto" w:fill="FFFFFF" w:themeFill="background1"/>
          </w:tcPr>
          <w:p w14:paraId="03950B7E" w14:textId="77777777" w:rsidR="00463667" w:rsidRPr="00DF1884" w:rsidRDefault="00463667" w:rsidP="00C56CA6">
            <w:pPr>
              <w:pStyle w:val="TableText"/>
              <w:jc w:val="center"/>
              <w:rPr>
                <w:rFonts w:cs="Arial"/>
                <w:sz w:val="24"/>
              </w:rPr>
            </w:pPr>
          </w:p>
        </w:tc>
        <w:tc>
          <w:tcPr>
            <w:tcW w:w="810" w:type="dxa"/>
            <w:tcBorders>
              <w:top w:val="single" w:sz="6" w:space="0" w:color="auto"/>
              <w:left w:val="single" w:sz="6" w:space="0" w:color="auto"/>
              <w:bottom w:val="single" w:sz="6" w:space="0" w:color="auto"/>
              <w:right w:val="single" w:sz="6" w:space="0" w:color="auto"/>
            </w:tcBorders>
            <w:shd w:val="clear" w:color="auto" w:fill="FFFFFF" w:themeFill="background1"/>
          </w:tcPr>
          <w:p w14:paraId="07E6868B"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990" w:type="dxa"/>
            <w:tcBorders>
              <w:top w:val="single" w:sz="6" w:space="0" w:color="auto"/>
              <w:left w:val="single" w:sz="6" w:space="0" w:color="auto"/>
              <w:bottom w:val="single" w:sz="6" w:space="0" w:color="auto"/>
              <w:right w:val="single" w:sz="6" w:space="0" w:color="auto"/>
            </w:tcBorders>
            <w:shd w:val="clear" w:color="auto" w:fill="FFFFFF" w:themeFill="background1"/>
          </w:tcPr>
          <w:p w14:paraId="31C42497" w14:textId="77777777" w:rsidR="00463667" w:rsidRPr="00DF1884" w:rsidRDefault="00463667" w:rsidP="00C56CA6">
            <w:pPr>
              <w:pStyle w:val="TableText"/>
              <w:jc w:val="center"/>
              <w:rPr>
                <w:rFonts w:cs="Arial"/>
                <w:sz w:val="24"/>
              </w:rPr>
            </w:pPr>
          </w:p>
        </w:tc>
        <w:tc>
          <w:tcPr>
            <w:tcW w:w="7012" w:type="dxa"/>
            <w:tcBorders>
              <w:top w:val="single" w:sz="6" w:space="0" w:color="auto"/>
              <w:left w:val="single" w:sz="6" w:space="0" w:color="auto"/>
              <w:bottom w:val="single" w:sz="6" w:space="0" w:color="auto"/>
              <w:right w:val="single" w:sz="6" w:space="0" w:color="auto"/>
            </w:tcBorders>
            <w:shd w:val="clear" w:color="auto" w:fill="FFFFFF" w:themeFill="background1"/>
          </w:tcPr>
          <w:p w14:paraId="4CBC8122" w14:textId="30D01304" w:rsidR="00463667" w:rsidRPr="00DF1884" w:rsidRDefault="00463667" w:rsidP="00C56CA6">
            <w:pPr>
              <w:pStyle w:val="TableText"/>
            </w:pPr>
            <w:r w:rsidRPr="00DF1884">
              <w:t>Number</w:t>
            </w:r>
            <w:r w:rsidR="00DF1884" w:rsidRPr="00DF1884">
              <w:t xml:space="preserve"> </w:t>
            </w:r>
            <w:r w:rsidRPr="00DF1884">
              <w:t>of</w:t>
            </w:r>
            <w:r w:rsidR="00DF1884" w:rsidRPr="00DF1884">
              <w:t xml:space="preserve"> </w:t>
            </w:r>
            <w:r w:rsidRPr="00DF1884">
              <w:t>members</w:t>
            </w:r>
            <w:r w:rsidR="00DF1884" w:rsidRPr="00DF1884">
              <w:t xml:space="preserve"> </w:t>
            </w:r>
            <w:r w:rsidRPr="00DF1884">
              <w:t>excluded</w:t>
            </w:r>
            <w:r w:rsidR="00DF1884" w:rsidRPr="00DF1884">
              <w:t xml:space="preserve"> </w:t>
            </w:r>
            <w:r w:rsidRPr="00DF1884">
              <w:t>from</w:t>
            </w:r>
            <w:r w:rsidR="00DF1884" w:rsidRPr="00DF1884">
              <w:t xml:space="preserve"> </w:t>
            </w:r>
            <w:r w:rsidRPr="00DF1884">
              <w:t>the</w:t>
            </w:r>
            <w:r w:rsidR="00DF1884" w:rsidRPr="00DF1884">
              <w:t xml:space="preserve"> </w:t>
            </w:r>
            <w:r w:rsidRPr="00DF1884">
              <w:t>denominator</w:t>
            </w:r>
            <w:r w:rsidR="00DF1884" w:rsidRPr="00DF1884">
              <w:t xml:space="preserve"> </w:t>
            </w:r>
            <w:r w:rsidRPr="00DF1884">
              <w:t>because</w:t>
            </w:r>
            <w:r w:rsidR="00DF1884" w:rsidRPr="00DF1884">
              <w:t xml:space="preserve"> </w:t>
            </w:r>
            <w:r w:rsidRPr="00DF1884">
              <w:t>they</w:t>
            </w:r>
            <w:r w:rsidR="00DF1884" w:rsidRPr="00DF1884">
              <w:t xml:space="preserve"> </w:t>
            </w:r>
            <w:r w:rsidRPr="00DF1884">
              <w:t>did</w:t>
            </w:r>
            <w:r w:rsidR="00DF1884" w:rsidRPr="00DF1884">
              <w:t xml:space="preserve"> </w:t>
            </w:r>
            <w:r w:rsidRPr="00DF1884">
              <w:t>not</w:t>
            </w:r>
            <w:r w:rsidR="00DF1884" w:rsidRPr="00DF1884">
              <w:t xml:space="preserve"> </w:t>
            </w:r>
            <w:r w:rsidRPr="00DF1884">
              <w:t>meet</w:t>
            </w:r>
            <w:r w:rsidR="00DF1884" w:rsidRPr="00DF1884">
              <w:t xml:space="preserve"> </w:t>
            </w:r>
            <w:r w:rsidRPr="00DF1884">
              <w:t>the</w:t>
            </w:r>
            <w:r w:rsidR="00DF1884" w:rsidRPr="00DF1884">
              <w:t xml:space="preserve"> </w:t>
            </w:r>
            <w:r w:rsidRPr="00DF1884">
              <w:t>numerator</w:t>
            </w:r>
            <w:r w:rsidR="00DF1884" w:rsidRPr="00DF1884">
              <w:t xml:space="preserve"> </w:t>
            </w:r>
            <w:r w:rsidRPr="00DF1884">
              <w:t>criteria</w:t>
            </w:r>
            <w:r w:rsidR="00DF1884" w:rsidRPr="00DF1884">
              <w:t xml:space="preserve"> </w:t>
            </w:r>
            <w:r w:rsidRPr="00DF1884">
              <w:t>and</w:t>
            </w:r>
            <w:r w:rsidR="00DF1884" w:rsidRPr="00DF1884">
              <w:t xml:space="preserve"> </w:t>
            </w:r>
            <w:r w:rsidRPr="00DF1884">
              <w:t>did</w:t>
            </w:r>
            <w:r w:rsidR="00DF1884" w:rsidRPr="00DF1884">
              <w:t xml:space="preserve"> </w:t>
            </w:r>
            <w:r w:rsidRPr="00DF1884">
              <w:t>meet</w:t>
            </w:r>
            <w:r w:rsidR="00DF1884" w:rsidRPr="00DF1884">
              <w:t xml:space="preserve"> </w:t>
            </w:r>
            <w:r w:rsidRPr="00DF1884">
              <w:t>the</w:t>
            </w:r>
            <w:r w:rsidR="00DF1884" w:rsidRPr="00DF1884">
              <w:t xml:space="preserve"> </w:t>
            </w:r>
            <w:r w:rsidRPr="00DF1884">
              <w:t>exclusion</w:t>
            </w:r>
            <w:r w:rsidR="00DF1884" w:rsidRPr="00DF1884">
              <w:t xml:space="preserve"> </w:t>
            </w:r>
            <w:r w:rsidRPr="00DF1884">
              <w:t>criteria.</w:t>
            </w:r>
            <w:r w:rsidR="00DF1884" w:rsidRPr="00DF1884">
              <w:t xml:space="preserve"> </w:t>
            </w:r>
            <w:r w:rsidRPr="00DF1884">
              <w:t>In</w:t>
            </w:r>
            <w:r w:rsidR="00DF1884" w:rsidRPr="00DF1884">
              <w:t xml:space="preserve"> </w:t>
            </w:r>
            <w:r w:rsidRPr="00DF1884">
              <w:t>this</w:t>
            </w:r>
            <w:r w:rsidR="00DF1884" w:rsidRPr="00DF1884">
              <w:t xml:space="preserve"> </w:t>
            </w:r>
            <w:r w:rsidRPr="00DF1884">
              <w:t>case,</w:t>
            </w:r>
            <w:r w:rsidR="00DF1884" w:rsidRPr="00DF1884">
              <w:t xml:space="preserve"> </w:t>
            </w:r>
            <w:r w:rsidRPr="00DF1884">
              <w:t>the</w:t>
            </w:r>
            <w:r w:rsidR="00DF1884" w:rsidRPr="00DF1884">
              <w:t xml:space="preserve"> </w:t>
            </w:r>
            <w:r w:rsidRPr="00DF1884">
              <w:t>member</w:t>
            </w:r>
            <w:r w:rsidR="00DF1884" w:rsidRPr="00DF1884">
              <w:t xml:space="preserve"> </w:t>
            </w:r>
            <w:r w:rsidRPr="00DF1884">
              <w:t>met</w:t>
            </w:r>
            <w:r w:rsidR="00DF1884" w:rsidRPr="00DF1884">
              <w:t xml:space="preserve"> </w:t>
            </w:r>
            <w:r w:rsidRPr="00DF1884">
              <w:t>the</w:t>
            </w:r>
            <w:r w:rsidR="00DF1884" w:rsidRPr="00DF1884">
              <w:t xml:space="preserve"> </w:t>
            </w:r>
            <w:r w:rsidRPr="00DF1884">
              <w:t>exclusion</w:t>
            </w:r>
            <w:r w:rsidR="00DF1884" w:rsidRPr="00DF1884">
              <w:t xml:space="preserve"> </w:t>
            </w:r>
            <w:r w:rsidRPr="00DF1884">
              <w:t>criteria</w:t>
            </w:r>
            <w:r w:rsidR="00DF1884" w:rsidRPr="00DF1884">
              <w:t xml:space="preserve"> </w:t>
            </w:r>
            <w:r w:rsidRPr="00DF1884">
              <w:t>using</w:t>
            </w:r>
            <w:r w:rsidR="00DF1884" w:rsidRPr="00DF1884">
              <w:t xml:space="preserve"> </w:t>
            </w:r>
            <w:r w:rsidRPr="00DF1884">
              <w:t>system</w:t>
            </w:r>
            <w:r w:rsidR="00DF1884" w:rsidRPr="00DF1884">
              <w:t xml:space="preserve"> </w:t>
            </w:r>
            <w:r w:rsidRPr="00DF1884">
              <w:t>or</w:t>
            </w:r>
            <w:r w:rsidR="00DF1884" w:rsidRPr="00DF1884">
              <w:t xml:space="preserve"> </w:t>
            </w:r>
            <w:r w:rsidRPr="00DF1884">
              <w:t>transactional</w:t>
            </w:r>
            <w:r w:rsidR="00DF1884" w:rsidRPr="00DF1884">
              <w:t xml:space="preserve"> </w:t>
            </w:r>
            <w:r w:rsidRPr="00DF1884">
              <w:t>data.</w:t>
            </w:r>
            <w:r w:rsidR="00DF1884" w:rsidRPr="00DF1884">
              <w:t xml:space="preserve"> </w:t>
            </w:r>
          </w:p>
        </w:tc>
      </w:tr>
      <w:tr w:rsidR="00463667" w:rsidRPr="00DF1884" w14:paraId="1E5B8CEE" w14:textId="77777777" w:rsidTr="00C56CA6">
        <w:tc>
          <w:tcPr>
            <w:tcW w:w="363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43F226C" w14:textId="2832D8F1" w:rsidR="00463667" w:rsidRPr="00DF1884" w:rsidRDefault="00463667" w:rsidP="00C56CA6">
            <w:pPr>
              <w:pStyle w:val="TableText"/>
            </w:pPr>
            <w:r w:rsidRPr="00DF1884">
              <w:t>Number</w:t>
            </w:r>
            <w:r w:rsidR="00DF1884" w:rsidRPr="00DF1884">
              <w:t xml:space="preserve"> </w:t>
            </w:r>
            <w:r w:rsidRPr="00DF1884">
              <w:t>of</w:t>
            </w:r>
            <w:r w:rsidR="00DF1884" w:rsidRPr="00DF1884">
              <w:t xml:space="preserve"> </w:t>
            </w:r>
            <w:r w:rsidRPr="00DF1884">
              <w:t>records</w:t>
            </w:r>
            <w:r w:rsidR="00DF1884" w:rsidRPr="00DF1884">
              <w:t xml:space="preserve"> </w:t>
            </w:r>
            <w:r w:rsidRPr="00DF1884">
              <w:t>excluded</w:t>
            </w:r>
            <w:r w:rsidR="00DF1884" w:rsidRPr="00DF1884">
              <w:t xml:space="preserve"> </w:t>
            </w:r>
            <w:r w:rsidRPr="00DF1884">
              <w:t>because</w:t>
            </w:r>
            <w:r w:rsidR="00DF1884" w:rsidRPr="00DF1884">
              <w:t xml:space="preserve"> </w:t>
            </w:r>
            <w:r w:rsidRPr="00DF1884">
              <w:t>of</w:t>
            </w:r>
            <w:r w:rsidR="00DF1884" w:rsidRPr="00DF1884">
              <w:t xml:space="preserve"> </w:t>
            </w:r>
            <w:r w:rsidRPr="00DF1884">
              <w:t>false</w:t>
            </w:r>
            <w:r w:rsidR="00DF1884" w:rsidRPr="00DF1884">
              <w:t xml:space="preserve"> </w:t>
            </w:r>
            <w:r w:rsidRPr="00DF1884">
              <w:t>positive</w:t>
            </w:r>
            <w:r w:rsidR="00DF1884" w:rsidRPr="00DF1884">
              <w:t xml:space="preserve"> </w:t>
            </w:r>
            <w:r w:rsidRPr="00DF1884">
              <w:t>diagnoses*</w:t>
            </w:r>
          </w:p>
        </w:tc>
        <w:tc>
          <w:tcPr>
            <w:tcW w:w="8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5186060" w14:textId="77777777" w:rsidR="00463667" w:rsidRPr="00DF1884" w:rsidRDefault="00463667" w:rsidP="00C56CA6">
            <w:pPr>
              <w:pStyle w:val="TableText"/>
              <w:jc w:val="center"/>
              <w:rPr>
                <w:rFonts w:cs="Arial"/>
                <w:sz w:val="24"/>
              </w:rPr>
            </w:pPr>
          </w:p>
        </w:tc>
        <w:tc>
          <w:tcPr>
            <w:tcW w:w="81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336263B" w14:textId="77777777" w:rsidR="00463667" w:rsidRPr="00DF1884" w:rsidRDefault="00463667" w:rsidP="00C56CA6">
            <w:pPr>
              <w:pStyle w:val="TableText"/>
              <w:jc w:val="center"/>
              <w:rPr>
                <w:rFonts w:cs="Arial"/>
                <w:sz w:val="24"/>
              </w:rPr>
            </w:pPr>
          </w:p>
        </w:tc>
        <w:tc>
          <w:tcPr>
            <w:tcW w:w="9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F6579BA"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702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2FBBBAC" w14:textId="1BB27E79" w:rsidR="00463667" w:rsidRPr="00DF1884" w:rsidRDefault="00463667" w:rsidP="00C56CA6">
            <w:pPr>
              <w:pStyle w:val="TableText"/>
            </w:pPr>
            <w:r w:rsidRPr="00DF1884">
              <w:t>This</w:t>
            </w:r>
            <w:r w:rsidR="00DF1884" w:rsidRPr="00DF1884">
              <w:t xml:space="preserve"> </w:t>
            </w:r>
            <w:r w:rsidRPr="00DF1884">
              <w:t>is</w:t>
            </w:r>
            <w:r w:rsidR="00DF1884" w:rsidRPr="00DF1884">
              <w:t xml:space="preserve"> </w:t>
            </w:r>
            <w:r w:rsidRPr="00DF1884">
              <w:t>an</w:t>
            </w:r>
            <w:r w:rsidR="00DF1884" w:rsidRPr="00DF1884">
              <w:t xml:space="preserve"> </w:t>
            </w:r>
            <w:r w:rsidRPr="00DF1884">
              <w:t>optional</w:t>
            </w:r>
            <w:r w:rsidR="00DF1884" w:rsidRPr="00DF1884">
              <w:t xml:space="preserve"> </w:t>
            </w:r>
            <w:r w:rsidRPr="00DF1884">
              <w:t>data</w:t>
            </w:r>
            <w:r w:rsidR="00DF1884" w:rsidRPr="00DF1884">
              <w:t xml:space="preserve"> </w:t>
            </w:r>
            <w:r w:rsidRPr="00DF1884">
              <w:t>element</w:t>
            </w:r>
            <w:r w:rsidR="00DF1884" w:rsidRPr="00DF1884">
              <w:t xml:space="preserve"> </w:t>
            </w:r>
            <w:r w:rsidRPr="00DF1884">
              <w:t>in</w:t>
            </w:r>
            <w:r w:rsidR="00DF1884" w:rsidRPr="00DF1884">
              <w:t xml:space="preserve"> </w:t>
            </w:r>
            <w:r w:rsidRPr="00DF1884">
              <w:rPr>
                <w:i/>
              </w:rPr>
              <w:t>Controlling</w:t>
            </w:r>
            <w:r w:rsidR="00DF1884" w:rsidRPr="00DF1884">
              <w:rPr>
                <w:i/>
              </w:rPr>
              <w:t xml:space="preserve"> </w:t>
            </w:r>
            <w:r w:rsidRPr="00DF1884">
              <w:rPr>
                <w:i/>
              </w:rPr>
              <w:t>High</w:t>
            </w:r>
            <w:r w:rsidR="00DF1884" w:rsidRPr="00DF1884">
              <w:rPr>
                <w:i/>
              </w:rPr>
              <w:t xml:space="preserve"> </w:t>
            </w:r>
            <w:r w:rsidRPr="00DF1884">
              <w:rPr>
                <w:i/>
              </w:rPr>
              <w:t>Blood</w:t>
            </w:r>
            <w:r w:rsidR="00DF1884" w:rsidRPr="00DF1884">
              <w:rPr>
                <w:i/>
              </w:rPr>
              <w:t xml:space="preserve"> </w:t>
            </w:r>
            <w:r w:rsidRPr="00DF1884">
              <w:rPr>
                <w:i/>
              </w:rPr>
              <w:t>Pressure</w:t>
            </w:r>
            <w:r w:rsidRPr="00DF1884">
              <w:t>.</w:t>
            </w:r>
            <w:r w:rsidR="00DF1884" w:rsidRPr="00DF1884">
              <w:t xml:space="preserve"> </w:t>
            </w:r>
            <w:r w:rsidRPr="00DF1884">
              <w:t>NCQA</w:t>
            </w:r>
            <w:r w:rsidR="00DF1884" w:rsidRPr="00DF1884">
              <w:t xml:space="preserve"> </w:t>
            </w:r>
            <w:r w:rsidRPr="00DF1884">
              <w:t>will</w:t>
            </w:r>
            <w:r w:rsidR="00DF1884" w:rsidRPr="00DF1884">
              <w:t xml:space="preserve"> </w:t>
            </w:r>
            <w:r w:rsidRPr="00DF1884">
              <w:t>analyze</w:t>
            </w:r>
            <w:r w:rsidR="00DF1884" w:rsidRPr="00DF1884">
              <w:t xml:space="preserve"> </w:t>
            </w:r>
            <w:r w:rsidRPr="00DF1884">
              <w:t>the</w:t>
            </w:r>
            <w:r w:rsidR="00DF1884" w:rsidRPr="00DF1884">
              <w:t xml:space="preserve"> </w:t>
            </w:r>
            <w:r w:rsidRPr="00DF1884">
              <w:t>exclusion</w:t>
            </w:r>
            <w:r w:rsidR="00DF1884" w:rsidRPr="00DF1884">
              <w:t xml:space="preserve"> </w:t>
            </w:r>
            <w:r w:rsidRPr="00DF1884">
              <w:t>criteria.</w:t>
            </w:r>
            <w:r w:rsidR="00DF1884" w:rsidRPr="00DF1884">
              <w:t xml:space="preserve"> </w:t>
            </w:r>
            <w:r w:rsidRPr="00DF1884">
              <w:t>Organizations</w:t>
            </w:r>
            <w:r w:rsidR="00DF1884" w:rsidRPr="00DF1884">
              <w:t xml:space="preserve"> </w:t>
            </w:r>
            <w:r w:rsidRPr="00DF1884">
              <w:t>may</w:t>
            </w:r>
            <w:r w:rsidR="00DF1884" w:rsidRPr="00DF1884">
              <w:t xml:space="preserve"> </w:t>
            </w:r>
            <w:r w:rsidRPr="00DF1884">
              <w:t>choose</w:t>
            </w:r>
            <w:r w:rsidR="00DF1884" w:rsidRPr="00DF1884">
              <w:t xml:space="preserve"> </w:t>
            </w:r>
            <w:r w:rsidRPr="00DF1884">
              <w:t>to</w:t>
            </w:r>
            <w:r w:rsidR="00DF1884" w:rsidRPr="00DF1884">
              <w:t xml:space="preserve"> </w:t>
            </w:r>
            <w:r w:rsidRPr="00DF1884">
              <w:t>report</w:t>
            </w:r>
            <w:r w:rsidR="00DF1884" w:rsidRPr="00DF1884">
              <w:t xml:space="preserve"> </w:t>
            </w:r>
            <w:r w:rsidRPr="00DF1884">
              <w:t>their</w:t>
            </w:r>
            <w:r w:rsidR="00DF1884" w:rsidRPr="00DF1884">
              <w:t xml:space="preserve"> </w:t>
            </w:r>
            <w:r w:rsidRPr="00DF1884">
              <w:t>exclusions</w:t>
            </w:r>
            <w:r w:rsidR="00DF1884" w:rsidRPr="00DF1884">
              <w:t xml:space="preserve"> </w:t>
            </w:r>
            <w:r w:rsidRPr="00DF1884">
              <w:t>using</w:t>
            </w:r>
            <w:r w:rsidR="00DF1884" w:rsidRPr="00DF1884">
              <w:t xml:space="preserve"> </w:t>
            </w:r>
            <w:r w:rsidRPr="00DF1884">
              <w:t>this</w:t>
            </w:r>
            <w:r w:rsidR="00DF1884" w:rsidRPr="00DF1884">
              <w:t xml:space="preserve"> </w:t>
            </w:r>
            <w:r w:rsidRPr="00DF1884">
              <w:t>element,</w:t>
            </w:r>
            <w:r w:rsidR="00DF1884" w:rsidRPr="00DF1884">
              <w:t xml:space="preserve"> </w:t>
            </w:r>
            <w:r w:rsidRPr="00DF1884">
              <w:t>but</w:t>
            </w:r>
            <w:r w:rsidR="00DF1884" w:rsidRPr="00DF1884">
              <w:t xml:space="preserve"> </w:t>
            </w:r>
            <w:r w:rsidRPr="00DF1884">
              <w:t>this</w:t>
            </w:r>
            <w:r w:rsidR="00DF1884" w:rsidRPr="00DF1884">
              <w:t xml:space="preserve"> </w:t>
            </w:r>
            <w:r w:rsidRPr="00DF1884">
              <w:t>element</w:t>
            </w:r>
            <w:r w:rsidR="00DF1884" w:rsidRPr="00DF1884">
              <w:t xml:space="preserve"> </w:t>
            </w:r>
            <w:r w:rsidRPr="00DF1884">
              <w:t>will</w:t>
            </w:r>
            <w:r w:rsidR="00DF1884" w:rsidRPr="00DF1884">
              <w:t xml:space="preserve"> </w:t>
            </w:r>
            <w:r w:rsidRPr="00DF1884">
              <w:t>only</w:t>
            </w:r>
            <w:r w:rsidR="00DF1884" w:rsidRPr="00DF1884">
              <w:t xml:space="preserve"> </w:t>
            </w:r>
            <w:r w:rsidRPr="00DF1884">
              <w:t>be</w:t>
            </w:r>
            <w:r w:rsidR="00DF1884" w:rsidRPr="00DF1884">
              <w:t xml:space="preserve"> </w:t>
            </w:r>
            <w:r w:rsidRPr="00DF1884">
              <w:t>used</w:t>
            </w:r>
            <w:r w:rsidR="00DF1884" w:rsidRPr="00DF1884">
              <w:t xml:space="preserve"> </w:t>
            </w:r>
            <w:r w:rsidRPr="00DF1884">
              <w:t>for</w:t>
            </w:r>
            <w:r w:rsidR="00DF1884" w:rsidRPr="00DF1884">
              <w:t xml:space="preserve"> </w:t>
            </w:r>
            <w:r w:rsidRPr="00DF1884">
              <w:t>analysis</w:t>
            </w:r>
            <w:r w:rsidR="00DF1884" w:rsidRPr="00DF1884">
              <w:t xml:space="preserve"> </w:t>
            </w:r>
            <w:r w:rsidRPr="00DF1884">
              <w:t>and</w:t>
            </w:r>
            <w:r w:rsidR="00DF1884" w:rsidRPr="00DF1884">
              <w:t xml:space="preserve"> </w:t>
            </w:r>
            <w:r w:rsidRPr="00DF1884">
              <w:t>not</w:t>
            </w:r>
            <w:r w:rsidR="00DF1884" w:rsidRPr="00DF1884">
              <w:t xml:space="preserve"> </w:t>
            </w:r>
            <w:r w:rsidRPr="00DF1884">
              <w:t>for</w:t>
            </w:r>
            <w:r w:rsidR="00DF1884" w:rsidRPr="00DF1884">
              <w:t xml:space="preserve"> </w:t>
            </w:r>
            <w:r w:rsidRPr="00DF1884">
              <w:t>calculating</w:t>
            </w:r>
            <w:r w:rsidR="00DF1884" w:rsidRPr="00DF1884">
              <w:t xml:space="preserve"> </w:t>
            </w:r>
            <w:r w:rsidRPr="00DF1884">
              <w:t>the</w:t>
            </w:r>
            <w:r w:rsidR="00DF1884" w:rsidRPr="00DF1884">
              <w:t xml:space="preserve"> </w:t>
            </w:r>
            <w:r w:rsidRPr="00DF1884">
              <w:t>measure.</w:t>
            </w:r>
          </w:p>
        </w:tc>
      </w:tr>
      <w:tr w:rsidR="00463667" w:rsidRPr="00DF1884" w14:paraId="3EBE7269" w14:textId="77777777" w:rsidTr="00C56CA6">
        <w:tc>
          <w:tcPr>
            <w:tcW w:w="3632" w:type="dxa"/>
            <w:tcBorders>
              <w:top w:val="single" w:sz="6" w:space="0" w:color="auto"/>
              <w:left w:val="single" w:sz="6" w:space="0" w:color="auto"/>
              <w:bottom w:val="single" w:sz="6" w:space="0" w:color="auto"/>
              <w:right w:val="single" w:sz="6" w:space="0" w:color="auto"/>
            </w:tcBorders>
            <w:shd w:val="clear" w:color="auto" w:fill="FFFFFF" w:themeFill="background1"/>
          </w:tcPr>
          <w:p w14:paraId="393A38F7" w14:textId="4B4739AB" w:rsidR="00463667" w:rsidRPr="00DF1884" w:rsidRDefault="00463667" w:rsidP="00C56CA6">
            <w:pPr>
              <w:pStyle w:val="TableText"/>
            </w:pPr>
            <w:r w:rsidRPr="00DF1884">
              <w:t>Number</w:t>
            </w:r>
            <w:r w:rsidR="00DF1884" w:rsidRPr="00DF1884">
              <w:t xml:space="preserve"> </w:t>
            </w:r>
            <w:r w:rsidRPr="00DF1884">
              <w:t>of</w:t>
            </w:r>
            <w:r w:rsidR="00DF1884" w:rsidRPr="00DF1884">
              <w:t xml:space="preserve"> </w:t>
            </w:r>
            <w:r w:rsidRPr="00DF1884">
              <w:t>medical</w:t>
            </w:r>
            <w:r w:rsidR="00DF1884" w:rsidRPr="00DF1884">
              <w:t xml:space="preserve"> </w:t>
            </w:r>
            <w:r w:rsidRPr="00DF1884">
              <w:t>records</w:t>
            </w:r>
            <w:r w:rsidR="00DF1884" w:rsidRPr="00DF1884">
              <w:t xml:space="preserve"> </w:t>
            </w:r>
            <w:r w:rsidRPr="00DF1884">
              <w:t>excluded</w:t>
            </w:r>
          </w:p>
        </w:tc>
        <w:tc>
          <w:tcPr>
            <w:tcW w:w="868" w:type="dxa"/>
            <w:tcBorders>
              <w:top w:val="single" w:sz="6" w:space="0" w:color="auto"/>
              <w:left w:val="single" w:sz="6" w:space="0" w:color="auto"/>
              <w:bottom w:val="single" w:sz="6" w:space="0" w:color="auto"/>
              <w:right w:val="single" w:sz="6" w:space="0" w:color="auto"/>
            </w:tcBorders>
            <w:shd w:val="clear" w:color="auto" w:fill="FFFFFF" w:themeFill="background1"/>
          </w:tcPr>
          <w:p w14:paraId="09A81F8B" w14:textId="77777777" w:rsidR="00463667" w:rsidRPr="00DF1884" w:rsidRDefault="00463667" w:rsidP="00C56CA6">
            <w:pPr>
              <w:pStyle w:val="TableText"/>
              <w:jc w:val="center"/>
              <w:rPr>
                <w:rFonts w:cs="Arial"/>
                <w:sz w:val="24"/>
              </w:rPr>
            </w:pPr>
          </w:p>
        </w:tc>
        <w:tc>
          <w:tcPr>
            <w:tcW w:w="810" w:type="dxa"/>
            <w:tcBorders>
              <w:top w:val="single" w:sz="6" w:space="0" w:color="auto"/>
              <w:left w:val="single" w:sz="6" w:space="0" w:color="auto"/>
              <w:bottom w:val="single" w:sz="6" w:space="0" w:color="auto"/>
              <w:right w:val="single" w:sz="6" w:space="0" w:color="auto"/>
            </w:tcBorders>
            <w:shd w:val="clear" w:color="auto" w:fill="FFFFFF" w:themeFill="background1"/>
          </w:tcPr>
          <w:p w14:paraId="11CED9BC"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990" w:type="dxa"/>
            <w:tcBorders>
              <w:top w:val="single" w:sz="6" w:space="0" w:color="auto"/>
              <w:left w:val="single" w:sz="6" w:space="0" w:color="auto"/>
              <w:bottom w:val="single" w:sz="6" w:space="0" w:color="auto"/>
              <w:right w:val="single" w:sz="6" w:space="0" w:color="auto"/>
            </w:tcBorders>
            <w:shd w:val="clear" w:color="auto" w:fill="FFFFFF" w:themeFill="background1"/>
          </w:tcPr>
          <w:p w14:paraId="4783CAA7" w14:textId="77777777" w:rsidR="00463667" w:rsidRPr="00DF1884" w:rsidRDefault="00463667" w:rsidP="00C56CA6">
            <w:pPr>
              <w:pStyle w:val="TableText"/>
              <w:jc w:val="center"/>
              <w:rPr>
                <w:rFonts w:cs="Arial"/>
                <w:sz w:val="24"/>
              </w:rPr>
            </w:pPr>
          </w:p>
        </w:tc>
        <w:tc>
          <w:tcPr>
            <w:tcW w:w="702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14:paraId="26023BD7" w14:textId="02C16930" w:rsidR="00463667" w:rsidRPr="00DF1884" w:rsidRDefault="00463667" w:rsidP="00C56CA6">
            <w:pPr>
              <w:pStyle w:val="TableText"/>
            </w:pPr>
            <w:r w:rsidRPr="00DF1884">
              <w:t>Number</w:t>
            </w:r>
            <w:r w:rsidR="00DF1884" w:rsidRPr="00DF1884">
              <w:t xml:space="preserve"> </w:t>
            </w:r>
            <w:r w:rsidRPr="00DF1884">
              <w:t>of</w:t>
            </w:r>
            <w:r w:rsidR="00DF1884" w:rsidRPr="00DF1884">
              <w:t xml:space="preserve"> </w:t>
            </w:r>
            <w:r w:rsidRPr="00DF1884">
              <w:t>members</w:t>
            </w:r>
            <w:r w:rsidR="00DF1884" w:rsidRPr="00DF1884">
              <w:t xml:space="preserve"> </w:t>
            </w:r>
            <w:r w:rsidRPr="00DF1884">
              <w:t>excluded</w:t>
            </w:r>
            <w:r w:rsidR="00DF1884" w:rsidRPr="00DF1884">
              <w:t xml:space="preserve"> </w:t>
            </w:r>
            <w:r w:rsidRPr="00DF1884">
              <w:t>from</w:t>
            </w:r>
            <w:r w:rsidR="00DF1884" w:rsidRPr="00DF1884">
              <w:t xml:space="preserve"> </w:t>
            </w:r>
            <w:r w:rsidRPr="00DF1884">
              <w:t>the</w:t>
            </w:r>
            <w:r w:rsidR="00DF1884" w:rsidRPr="00DF1884">
              <w:t xml:space="preserve"> </w:t>
            </w:r>
            <w:r w:rsidRPr="00DF1884">
              <w:t>denominator</w:t>
            </w:r>
            <w:r w:rsidR="00DF1884" w:rsidRPr="00DF1884">
              <w:t xml:space="preserve"> </w:t>
            </w:r>
            <w:r w:rsidRPr="00DF1884">
              <w:t>because</w:t>
            </w:r>
            <w:r w:rsidR="00DF1884" w:rsidRPr="00DF1884">
              <w:t xml:space="preserve"> </w:t>
            </w:r>
            <w:r w:rsidRPr="00DF1884">
              <w:t>they</w:t>
            </w:r>
            <w:r w:rsidR="00DF1884" w:rsidRPr="00DF1884">
              <w:t xml:space="preserve"> </w:t>
            </w:r>
            <w:r w:rsidRPr="00DF1884">
              <w:t>did</w:t>
            </w:r>
            <w:r w:rsidR="00DF1884" w:rsidRPr="00DF1884">
              <w:t xml:space="preserve"> </w:t>
            </w:r>
            <w:r w:rsidRPr="00DF1884">
              <w:t>not</w:t>
            </w:r>
            <w:r w:rsidR="00DF1884" w:rsidRPr="00DF1884">
              <w:t xml:space="preserve"> </w:t>
            </w:r>
            <w:r w:rsidRPr="00DF1884">
              <w:t>meet</w:t>
            </w:r>
            <w:r w:rsidR="00DF1884" w:rsidRPr="00DF1884">
              <w:t xml:space="preserve"> </w:t>
            </w:r>
            <w:r w:rsidRPr="00DF1884">
              <w:t>the</w:t>
            </w:r>
            <w:r w:rsidR="00DF1884" w:rsidRPr="00DF1884">
              <w:t xml:space="preserve"> </w:t>
            </w:r>
            <w:r w:rsidRPr="00DF1884">
              <w:t>numerator</w:t>
            </w:r>
            <w:r w:rsidR="00DF1884" w:rsidRPr="00DF1884">
              <w:t xml:space="preserve"> </w:t>
            </w:r>
            <w:r w:rsidRPr="00DF1884">
              <w:t>criteria</w:t>
            </w:r>
            <w:r w:rsidR="00DF1884" w:rsidRPr="00DF1884">
              <w:t xml:space="preserve"> </w:t>
            </w:r>
            <w:r w:rsidRPr="00DF1884">
              <w:t>and</w:t>
            </w:r>
            <w:r w:rsidR="00DF1884" w:rsidRPr="00DF1884">
              <w:t xml:space="preserve"> </w:t>
            </w:r>
            <w:r w:rsidRPr="00DF1884">
              <w:t>did</w:t>
            </w:r>
            <w:r w:rsidR="00DF1884" w:rsidRPr="00DF1884">
              <w:t xml:space="preserve"> </w:t>
            </w:r>
            <w:r w:rsidRPr="00DF1884">
              <w:t>meet</w:t>
            </w:r>
            <w:r w:rsidR="00DF1884" w:rsidRPr="00DF1884">
              <w:t xml:space="preserve"> </w:t>
            </w:r>
            <w:r w:rsidRPr="00DF1884">
              <w:t>the</w:t>
            </w:r>
            <w:r w:rsidR="00DF1884" w:rsidRPr="00DF1884">
              <w:t xml:space="preserve"> </w:t>
            </w:r>
            <w:r w:rsidRPr="00DF1884">
              <w:t>exclusion</w:t>
            </w:r>
            <w:r w:rsidR="00DF1884" w:rsidRPr="00DF1884">
              <w:t xml:space="preserve"> </w:t>
            </w:r>
            <w:r w:rsidRPr="00DF1884">
              <w:t>criteria.</w:t>
            </w:r>
            <w:r w:rsidR="00DF1884" w:rsidRPr="00DF1884">
              <w:t xml:space="preserve"> </w:t>
            </w:r>
            <w:r w:rsidRPr="00DF1884">
              <w:t>In</w:t>
            </w:r>
            <w:r w:rsidR="00DF1884" w:rsidRPr="00DF1884">
              <w:t xml:space="preserve"> </w:t>
            </w:r>
            <w:r w:rsidRPr="00DF1884">
              <w:t>this</w:t>
            </w:r>
            <w:r w:rsidR="00DF1884" w:rsidRPr="00DF1884">
              <w:t xml:space="preserve"> </w:t>
            </w:r>
            <w:r w:rsidRPr="00DF1884">
              <w:t>case,</w:t>
            </w:r>
            <w:r w:rsidR="00DF1884" w:rsidRPr="00DF1884">
              <w:t xml:space="preserve"> </w:t>
            </w:r>
            <w:r w:rsidRPr="00DF1884">
              <w:t>the</w:t>
            </w:r>
            <w:r w:rsidR="00DF1884" w:rsidRPr="00DF1884">
              <w:t xml:space="preserve"> </w:t>
            </w:r>
            <w:r w:rsidRPr="00DF1884">
              <w:t>member</w:t>
            </w:r>
            <w:r w:rsidR="00DF1884" w:rsidRPr="00DF1884">
              <w:t xml:space="preserve"> </w:t>
            </w:r>
            <w:r w:rsidRPr="00DF1884">
              <w:t>met</w:t>
            </w:r>
            <w:r w:rsidR="00DF1884" w:rsidRPr="00DF1884">
              <w:t xml:space="preserve"> </w:t>
            </w:r>
            <w:r w:rsidRPr="00DF1884">
              <w:t>the</w:t>
            </w:r>
            <w:r w:rsidR="00DF1884" w:rsidRPr="00DF1884">
              <w:t xml:space="preserve"> </w:t>
            </w:r>
            <w:r w:rsidRPr="00DF1884">
              <w:t>exclusion</w:t>
            </w:r>
            <w:r w:rsidR="00DF1884" w:rsidRPr="00DF1884">
              <w:t xml:space="preserve"> </w:t>
            </w:r>
            <w:r w:rsidRPr="00DF1884">
              <w:t>criteria</w:t>
            </w:r>
            <w:r w:rsidR="00DF1884" w:rsidRPr="00DF1884">
              <w:t xml:space="preserve"> </w:t>
            </w:r>
            <w:r w:rsidRPr="00DF1884">
              <w:t>using</w:t>
            </w:r>
            <w:r w:rsidR="00DF1884" w:rsidRPr="00DF1884">
              <w:t xml:space="preserve"> </w:t>
            </w:r>
            <w:r w:rsidRPr="00DF1884">
              <w:t>medical</w:t>
            </w:r>
            <w:r w:rsidR="00DF1884" w:rsidRPr="00DF1884">
              <w:t xml:space="preserve"> </w:t>
            </w:r>
            <w:r w:rsidRPr="00DF1884">
              <w:t>record</w:t>
            </w:r>
            <w:r w:rsidR="00DF1884" w:rsidRPr="00DF1884">
              <w:t xml:space="preserve"> </w:t>
            </w:r>
            <w:r w:rsidRPr="00DF1884">
              <w:t>data.</w:t>
            </w:r>
          </w:p>
        </w:tc>
      </w:tr>
      <w:tr w:rsidR="00463667" w:rsidRPr="00DF1884" w14:paraId="2532A1EA" w14:textId="77777777" w:rsidTr="00C56CA6">
        <w:tc>
          <w:tcPr>
            <w:tcW w:w="363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B37EEAD" w14:textId="55EF40B9" w:rsidR="00463667" w:rsidRPr="00DF1884" w:rsidRDefault="00463667" w:rsidP="00C56CA6">
            <w:pPr>
              <w:pStyle w:val="TableText"/>
            </w:pPr>
            <w:r w:rsidRPr="00DF1884">
              <w:t>Number</w:t>
            </w:r>
            <w:r w:rsidR="00DF1884" w:rsidRPr="00DF1884">
              <w:t xml:space="preserve"> </w:t>
            </w:r>
            <w:r w:rsidRPr="00DF1884">
              <w:t>of</w:t>
            </w:r>
            <w:r w:rsidR="00DF1884" w:rsidRPr="00DF1884">
              <w:t xml:space="preserve"> </w:t>
            </w:r>
            <w:r w:rsidRPr="00DF1884">
              <w:t>employee/dependent</w:t>
            </w:r>
            <w:r w:rsidR="00DF1884" w:rsidRPr="00DF1884">
              <w:t xml:space="preserve"> </w:t>
            </w:r>
            <w:r w:rsidRPr="00DF1884">
              <w:t>medical</w:t>
            </w:r>
            <w:r w:rsidR="00DF1884" w:rsidRPr="00DF1884">
              <w:t xml:space="preserve"> </w:t>
            </w:r>
            <w:r w:rsidRPr="00DF1884">
              <w:t>records</w:t>
            </w:r>
            <w:r w:rsidR="00DF1884" w:rsidRPr="00DF1884">
              <w:t xml:space="preserve"> </w:t>
            </w:r>
            <w:r w:rsidRPr="00DF1884">
              <w:t>excluded</w:t>
            </w:r>
            <w:r w:rsidR="00DF1884" w:rsidRPr="00DF1884">
              <w:t xml:space="preserve"> </w:t>
            </w:r>
          </w:p>
        </w:tc>
        <w:tc>
          <w:tcPr>
            <w:tcW w:w="8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BCC3618" w14:textId="77777777" w:rsidR="00463667" w:rsidRPr="00DF1884" w:rsidRDefault="00463667" w:rsidP="00C56CA6">
            <w:pPr>
              <w:pStyle w:val="TableText"/>
              <w:jc w:val="center"/>
              <w:rPr>
                <w:rFonts w:cs="Arial"/>
                <w:sz w:val="24"/>
              </w:rPr>
            </w:pPr>
          </w:p>
        </w:tc>
        <w:tc>
          <w:tcPr>
            <w:tcW w:w="81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44408FE"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9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119BCAF" w14:textId="77777777" w:rsidR="00463667" w:rsidRPr="00DF1884" w:rsidRDefault="00463667" w:rsidP="00C56CA6">
            <w:pPr>
              <w:pStyle w:val="TableText"/>
              <w:jc w:val="center"/>
              <w:rPr>
                <w:rFonts w:cs="Arial"/>
                <w:sz w:val="24"/>
              </w:rPr>
            </w:pPr>
          </w:p>
        </w:tc>
        <w:tc>
          <w:tcPr>
            <w:tcW w:w="702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3685932" w14:textId="24038AD8" w:rsidR="00463667" w:rsidRPr="00DF1884" w:rsidRDefault="00463667" w:rsidP="00C56CA6">
            <w:pPr>
              <w:pStyle w:val="TableText"/>
            </w:pPr>
            <w:r w:rsidRPr="00DF1884">
              <w:t>Number</w:t>
            </w:r>
            <w:r w:rsidR="00DF1884" w:rsidRPr="00DF1884">
              <w:t xml:space="preserve"> </w:t>
            </w:r>
            <w:r w:rsidRPr="00DF1884">
              <w:t>of</w:t>
            </w:r>
            <w:r w:rsidR="00DF1884" w:rsidRPr="00DF1884">
              <w:t xml:space="preserve"> </w:t>
            </w:r>
            <w:r w:rsidRPr="00DF1884">
              <w:t>records</w:t>
            </w:r>
            <w:r w:rsidR="00DF1884" w:rsidRPr="00DF1884">
              <w:t xml:space="preserve"> </w:t>
            </w:r>
            <w:r w:rsidRPr="00DF1884">
              <w:t>in</w:t>
            </w:r>
            <w:r w:rsidR="00DF1884" w:rsidRPr="00DF1884">
              <w:t xml:space="preserve"> </w:t>
            </w:r>
            <w:r w:rsidRPr="00DF1884">
              <w:t>the</w:t>
            </w:r>
            <w:r w:rsidR="00DF1884" w:rsidRPr="00DF1884">
              <w:t xml:space="preserve"> </w:t>
            </w:r>
            <w:r w:rsidRPr="00DF1884">
              <w:t>sample</w:t>
            </w:r>
            <w:r w:rsidR="00DF1884" w:rsidRPr="00DF1884">
              <w:t xml:space="preserve"> </w:t>
            </w:r>
            <w:r w:rsidRPr="00DF1884">
              <w:t>excluded</w:t>
            </w:r>
            <w:r w:rsidR="00DF1884" w:rsidRPr="00DF1884">
              <w:t xml:space="preserve"> </w:t>
            </w:r>
            <w:r w:rsidRPr="00DF1884">
              <w:t>because</w:t>
            </w:r>
            <w:r w:rsidR="00DF1884" w:rsidRPr="00DF1884">
              <w:t xml:space="preserve"> </w:t>
            </w:r>
            <w:r w:rsidRPr="00DF1884">
              <w:t>the</w:t>
            </w:r>
            <w:r w:rsidR="00DF1884" w:rsidRPr="00DF1884">
              <w:t xml:space="preserve"> </w:t>
            </w:r>
            <w:r w:rsidRPr="00DF1884">
              <w:t>member</w:t>
            </w:r>
            <w:r w:rsidR="00DF1884" w:rsidRPr="00DF1884">
              <w:t xml:space="preserve"> </w:t>
            </w:r>
            <w:r w:rsidRPr="00DF1884">
              <w:t>was</w:t>
            </w:r>
            <w:r w:rsidR="00DF1884" w:rsidRPr="00DF1884">
              <w:t xml:space="preserve"> </w:t>
            </w:r>
            <w:r w:rsidRPr="00DF1884">
              <w:t>an</w:t>
            </w:r>
            <w:r w:rsidR="00DF1884" w:rsidRPr="00DF1884">
              <w:t xml:space="preserve"> </w:t>
            </w:r>
            <w:r w:rsidRPr="00DF1884">
              <w:t>organization</w:t>
            </w:r>
            <w:r w:rsidR="00DF1884" w:rsidRPr="00DF1884">
              <w:t xml:space="preserve"> </w:t>
            </w:r>
            <w:r w:rsidRPr="00DF1884">
              <w:t>employee</w:t>
            </w:r>
            <w:r w:rsidR="00DF1884" w:rsidRPr="00DF1884">
              <w:t xml:space="preserve"> </w:t>
            </w:r>
            <w:r w:rsidRPr="00DF1884">
              <w:t>or</w:t>
            </w:r>
            <w:r w:rsidR="00DF1884" w:rsidRPr="00DF1884">
              <w:t xml:space="preserve"> </w:t>
            </w:r>
            <w:r w:rsidRPr="00DF1884">
              <w:t>a</w:t>
            </w:r>
            <w:r w:rsidR="00DF1884" w:rsidRPr="00DF1884">
              <w:t xml:space="preserve"> </w:t>
            </w:r>
            <w:r w:rsidRPr="00DF1884">
              <w:t>dependent</w:t>
            </w:r>
            <w:r w:rsidR="00DF1884" w:rsidRPr="00DF1884">
              <w:t xml:space="preserve"> </w:t>
            </w:r>
            <w:r w:rsidRPr="00DF1884">
              <w:t>of</w:t>
            </w:r>
            <w:r w:rsidR="00DF1884" w:rsidRPr="00DF1884">
              <w:t xml:space="preserve"> </w:t>
            </w:r>
            <w:r w:rsidRPr="00DF1884">
              <w:t>an</w:t>
            </w:r>
            <w:r w:rsidR="00DF1884" w:rsidRPr="00DF1884">
              <w:t xml:space="preserve"> </w:t>
            </w:r>
            <w:r w:rsidRPr="00DF1884">
              <w:t>organization</w:t>
            </w:r>
            <w:r w:rsidR="00DF1884" w:rsidRPr="00DF1884">
              <w:t xml:space="preserve"> </w:t>
            </w:r>
            <w:r w:rsidRPr="00DF1884">
              <w:t>employee.</w:t>
            </w:r>
            <w:r w:rsidR="00DF1884" w:rsidRPr="00DF1884">
              <w:t xml:space="preserve"> </w:t>
            </w:r>
          </w:p>
        </w:tc>
      </w:tr>
      <w:tr w:rsidR="00463667" w:rsidRPr="00DF1884" w14:paraId="7FDCA67B" w14:textId="77777777" w:rsidTr="00C56CA6">
        <w:tc>
          <w:tcPr>
            <w:tcW w:w="3632" w:type="dxa"/>
            <w:tcBorders>
              <w:top w:val="single" w:sz="6" w:space="0" w:color="auto"/>
              <w:left w:val="single" w:sz="6" w:space="0" w:color="auto"/>
              <w:bottom w:val="single" w:sz="6" w:space="0" w:color="auto"/>
              <w:right w:val="single" w:sz="6" w:space="0" w:color="auto"/>
            </w:tcBorders>
            <w:shd w:val="clear" w:color="auto" w:fill="FFFFFF" w:themeFill="background1"/>
          </w:tcPr>
          <w:p w14:paraId="227A642D" w14:textId="77777777" w:rsidR="00463667" w:rsidRPr="00DF1884" w:rsidRDefault="00463667" w:rsidP="00C56CA6">
            <w:pPr>
              <w:pStyle w:val="TableText"/>
            </w:pPr>
            <w:r w:rsidRPr="00DF1884">
              <w:t>Exclusions</w:t>
            </w:r>
          </w:p>
        </w:tc>
        <w:tc>
          <w:tcPr>
            <w:tcW w:w="868" w:type="dxa"/>
            <w:tcBorders>
              <w:top w:val="single" w:sz="6" w:space="0" w:color="auto"/>
              <w:left w:val="single" w:sz="6" w:space="0" w:color="auto"/>
              <w:bottom w:val="single" w:sz="6" w:space="0" w:color="auto"/>
              <w:right w:val="single" w:sz="6" w:space="0" w:color="auto"/>
            </w:tcBorders>
            <w:shd w:val="clear" w:color="auto" w:fill="FFFFFF" w:themeFill="background1"/>
          </w:tcPr>
          <w:p w14:paraId="4C61E7D7" w14:textId="77777777" w:rsidR="00463667" w:rsidRPr="00DF1884" w:rsidRDefault="00463667" w:rsidP="00C56CA6">
            <w:pPr>
              <w:pStyle w:val="TableText"/>
              <w:jc w:val="center"/>
              <w:rPr>
                <w:rFonts w:cs="Arial"/>
                <w:sz w:val="24"/>
              </w:rPr>
            </w:pPr>
          </w:p>
        </w:tc>
        <w:tc>
          <w:tcPr>
            <w:tcW w:w="810" w:type="dxa"/>
            <w:tcBorders>
              <w:top w:val="single" w:sz="6" w:space="0" w:color="auto"/>
              <w:left w:val="single" w:sz="6" w:space="0" w:color="auto"/>
              <w:bottom w:val="single" w:sz="6" w:space="0" w:color="auto"/>
              <w:right w:val="single" w:sz="6" w:space="0" w:color="auto"/>
            </w:tcBorders>
            <w:shd w:val="clear" w:color="auto" w:fill="FFFFFF" w:themeFill="background1"/>
          </w:tcPr>
          <w:p w14:paraId="6308069C" w14:textId="77777777" w:rsidR="00463667" w:rsidRPr="00DF1884" w:rsidRDefault="00463667" w:rsidP="00C56CA6">
            <w:pPr>
              <w:pStyle w:val="TableText"/>
              <w:jc w:val="center"/>
              <w:rPr>
                <w:rFonts w:cs="Arial"/>
                <w:sz w:val="24"/>
                <w:szCs w:val="24"/>
              </w:rPr>
            </w:pPr>
          </w:p>
        </w:tc>
        <w:tc>
          <w:tcPr>
            <w:tcW w:w="990" w:type="dxa"/>
            <w:tcBorders>
              <w:top w:val="single" w:sz="6" w:space="0" w:color="auto"/>
              <w:left w:val="single" w:sz="6" w:space="0" w:color="auto"/>
              <w:bottom w:val="single" w:sz="6" w:space="0" w:color="auto"/>
              <w:right w:val="single" w:sz="6" w:space="0" w:color="auto"/>
            </w:tcBorders>
            <w:shd w:val="clear" w:color="auto" w:fill="FFFFFF" w:themeFill="background1"/>
          </w:tcPr>
          <w:p w14:paraId="45F270E7"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702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14:paraId="00E22CC8" w14:textId="46D35913" w:rsidR="00463667" w:rsidRPr="00DF1884" w:rsidRDefault="00463667" w:rsidP="00C56CA6">
            <w:pPr>
              <w:pStyle w:val="TableText"/>
            </w:pPr>
            <w:r w:rsidRPr="00DF1884">
              <w:t>The</w:t>
            </w:r>
            <w:r w:rsidR="00DF1884" w:rsidRPr="00DF1884">
              <w:t xml:space="preserve"> </w:t>
            </w:r>
            <w:r w:rsidRPr="00DF1884">
              <w:t>number</w:t>
            </w:r>
            <w:r w:rsidR="00DF1884" w:rsidRPr="00DF1884">
              <w:t xml:space="preserve"> </w:t>
            </w:r>
            <w:r w:rsidRPr="00DF1884">
              <w:t>of</w:t>
            </w:r>
            <w:r w:rsidR="00DF1884" w:rsidRPr="00DF1884">
              <w:t xml:space="preserve"> </w:t>
            </w:r>
            <w:r w:rsidRPr="00DF1884">
              <w:t>required/optional</w:t>
            </w:r>
            <w:r w:rsidR="00DF1884" w:rsidRPr="00DF1884">
              <w:t xml:space="preserve"> </w:t>
            </w:r>
            <w:r w:rsidRPr="00DF1884">
              <w:t>exclusions.</w:t>
            </w:r>
            <w:r w:rsidR="00DF1884" w:rsidRPr="00DF1884">
              <w:t xml:space="preserve"> </w:t>
            </w:r>
            <w:r w:rsidRPr="00DF1884">
              <w:t>NCQA</w:t>
            </w:r>
            <w:r w:rsidR="00DF1884" w:rsidRPr="00DF1884">
              <w:t xml:space="preserve"> </w:t>
            </w:r>
            <w:r w:rsidRPr="00DF1884">
              <w:t>will</w:t>
            </w:r>
            <w:r w:rsidR="00DF1884" w:rsidRPr="00DF1884">
              <w:t xml:space="preserve"> </w:t>
            </w:r>
            <w:r w:rsidRPr="00DF1884">
              <w:t>use</w:t>
            </w:r>
            <w:r w:rsidR="00DF1884" w:rsidRPr="00DF1884">
              <w:t xml:space="preserve"> </w:t>
            </w:r>
            <w:r w:rsidRPr="00DF1884">
              <w:t>this</w:t>
            </w:r>
            <w:r w:rsidR="00DF1884" w:rsidRPr="00DF1884">
              <w:t xml:space="preserve"> </w:t>
            </w:r>
            <w:r w:rsidRPr="00DF1884">
              <w:t>element</w:t>
            </w:r>
            <w:r w:rsidR="00DF1884" w:rsidRPr="00DF1884">
              <w:t xml:space="preserve"> </w:t>
            </w:r>
            <w:r w:rsidRPr="00DF1884">
              <w:t>for</w:t>
            </w:r>
            <w:r w:rsidR="00DF1884" w:rsidRPr="00DF1884">
              <w:t xml:space="preserve"> </w:t>
            </w:r>
            <w:r w:rsidRPr="00DF1884">
              <w:t>research</w:t>
            </w:r>
            <w:r w:rsidR="00DF1884" w:rsidRPr="00DF1884">
              <w:t xml:space="preserve"> </w:t>
            </w:r>
            <w:r w:rsidRPr="00DF1884">
              <w:t>and</w:t>
            </w:r>
            <w:r w:rsidR="00DF1884" w:rsidRPr="00DF1884">
              <w:t xml:space="preserve"> </w:t>
            </w:r>
            <w:r w:rsidRPr="00DF1884">
              <w:t>analysis.</w:t>
            </w:r>
            <w:r w:rsidR="00DF1884" w:rsidRPr="00DF1884">
              <w:t xml:space="preserve"> </w:t>
            </w:r>
            <w:r w:rsidRPr="00DF1884">
              <w:t>The</w:t>
            </w:r>
            <w:r w:rsidR="00DF1884" w:rsidRPr="00DF1884">
              <w:t xml:space="preserve"> </w:t>
            </w:r>
            <w:r w:rsidRPr="00DF1884">
              <w:t>element</w:t>
            </w:r>
            <w:r w:rsidR="00DF1884" w:rsidRPr="00DF1884">
              <w:t xml:space="preserve"> </w:t>
            </w:r>
            <w:r w:rsidRPr="00DF1884">
              <w:t>will</w:t>
            </w:r>
            <w:r w:rsidR="00DF1884" w:rsidRPr="00DF1884">
              <w:t xml:space="preserve"> </w:t>
            </w:r>
            <w:r w:rsidRPr="00DF1884">
              <w:t>not</w:t>
            </w:r>
            <w:r w:rsidR="00DF1884" w:rsidRPr="00DF1884">
              <w:t xml:space="preserve"> </w:t>
            </w:r>
            <w:r w:rsidRPr="00DF1884">
              <w:t>be</w:t>
            </w:r>
            <w:r w:rsidR="00DF1884" w:rsidRPr="00DF1884">
              <w:t xml:space="preserve"> </w:t>
            </w:r>
            <w:r w:rsidRPr="00DF1884">
              <w:t>used</w:t>
            </w:r>
            <w:r w:rsidR="00DF1884" w:rsidRPr="00DF1884">
              <w:t xml:space="preserve"> </w:t>
            </w:r>
            <w:r w:rsidRPr="00DF1884">
              <w:t>for</w:t>
            </w:r>
            <w:r w:rsidR="00DF1884" w:rsidRPr="00DF1884">
              <w:t xml:space="preserve"> </w:t>
            </w:r>
            <w:r w:rsidRPr="00DF1884">
              <w:t>calculating</w:t>
            </w:r>
            <w:r w:rsidR="00DF1884" w:rsidRPr="00DF1884">
              <w:t xml:space="preserve"> </w:t>
            </w:r>
            <w:r w:rsidRPr="00DF1884">
              <w:t>the</w:t>
            </w:r>
            <w:r w:rsidR="00DF1884" w:rsidRPr="00DF1884">
              <w:t xml:space="preserve"> </w:t>
            </w:r>
            <w:r w:rsidRPr="00DF1884">
              <w:t>measure.</w:t>
            </w:r>
          </w:p>
        </w:tc>
      </w:tr>
      <w:tr w:rsidR="00463667" w:rsidRPr="00DF1884" w14:paraId="4B9E1EFE" w14:textId="77777777" w:rsidTr="00C56CA6">
        <w:tc>
          <w:tcPr>
            <w:tcW w:w="363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EEBB4DF" w14:textId="26D63E4B" w:rsidR="00463667" w:rsidRPr="00DF1884" w:rsidRDefault="00463667" w:rsidP="00C56CA6">
            <w:pPr>
              <w:pStyle w:val="TableText"/>
            </w:pPr>
            <w:r w:rsidRPr="00DF1884">
              <w:t>Records</w:t>
            </w:r>
            <w:r w:rsidR="00DF1884" w:rsidRPr="00DF1884">
              <w:t xml:space="preserve"> </w:t>
            </w:r>
            <w:r w:rsidRPr="00DF1884">
              <w:t>added</w:t>
            </w:r>
            <w:r w:rsidR="00DF1884" w:rsidRPr="00DF1884">
              <w:t xml:space="preserve"> </w:t>
            </w:r>
            <w:r w:rsidRPr="00DF1884">
              <w:t>from</w:t>
            </w:r>
            <w:r w:rsidR="00DF1884" w:rsidRPr="00DF1884">
              <w:t xml:space="preserve"> </w:t>
            </w:r>
            <w:r w:rsidRPr="00DF1884">
              <w:t>the</w:t>
            </w:r>
            <w:r w:rsidR="00DF1884" w:rsidRPr="00DF1884">
              <w:t xml:space="preserve"> </w:t>
            </w:r>
            <w:r w:rsidRPr="00DF1884">
              <w:t>oversample</w:t>
            </w:r>
            <w:r w:rsidR="00DF1884" w:rsidRPr="00DF1884">
              <w:t xml:space="preserve"> </w:t>
            </w:r>
            <w:r w:rsidRPr="00DF1884">
              <w:t>list</w:t>
            </w:r>
            <w:r w:rsidR="00DF1884" w:rsidRPr="00DF1884">
              <w:t xml:space="preserve"> </w:t>
            </w:r>
          </w:p>
        </w:tc>
        <w:tc>
          <w:tcPr>
            <w:tcW w:w="8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3869B83" w14:textId="77777777" w:rsidR="00463667" w:rsidRPr="00DF1884" w:rsidRDefault="00463667" w:rsidP="00C56CA6">
            <w:pPr>
              <w:pStyle w:val="TableText"/>
              <w:jc w:val="center"/>
              <w:rPr>
                <w:rFonts w:cs="Arial"/>
                <w:sz w:val="24"/>
              </w:rPr>
            </w:pPr>
          </w:p>
        </w:tc>
        <w:tc>
          <w:tcPr>
            <w:tcW w:w="81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E08DBE4"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9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4E87180" w14:textId="77777777" w:rsidR="00463667" w:rsidRPr="00DF1884" w:rsidRDefault="00463667" w:rsidP="00C56CA6">
            <w:pPr>
              <w:pStyle w:val="TableText"/>
              <w:jc w:val="center"/>
              <w:rPr>
                <w:rFonts w:cs="Arial"/>
                <w:sz w:val="24"/>
              </w:rPr>
            </w:pPr>
          </w:p>
        </w:tc>
        <w:tc>
          <w:tcPr>
            <w:tcW w:w="702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45713C3" w14:textId="3376E35A" w:rsidR="00463667" w:rsidRPr="00DF1884" w:rsidRDefault="00463667" w:rsidP="00C56CA6">
            <w:pPr>
              <w:pStyle w:val="TableText"/>
            </w:pPr>
            <w:r w:rsidRPr="00DF1884">
              <w:t>Replacement</w:t>
            </w:r>
            <w:r w:rsidR="00DF1884" w:rsidRPr="00DF1884">
              <w:t xml:space="preserve"> </w:t>
            </w:r>
            <w:r w:rsidRPr="00DF1884">
              <w:t>records</w:t>
            </w:r>
            <w:r w:rsidR="00DF1884" w:rsidRPr="00DF1884">
              <w:t xml:space="preserve"> </w:t>
            </w:r>
            <w:r w:rsidRPr="00DF1884">
              <w:t>for</w:t>
            </w:r>
            <w:r w:rsidR="00DF1884" w:rsidRPr="00DF1884">
              <w:t xml:space="preserve"> </w:t>
            </w:r>
            <w:r w:rsidRPr="00DF1884">
              <w:t>members</w:t>
            </w:r>
            <w:r w:rsidR="00DF1884" w:rsidRPr="00DF1884">
              <w:t xml:space="preserve"> </w:t>
            </w:r>
            <w:r w:rsidRPr="00DF1884">
              <w:t>in</w:t>
            </w:r>
            <w:r w:rsidR="00DF1884" w:rsidRPr="00DF1884">
              <w:t xml:space="preserve"> </w:t>
            </w:r>
            <w:r w:rsidRPr="00DF1884">
              <w:t>the</w:t>
            </w:r>
            <w:r w:rsidR="00DF1884" w:rsidRPr="00DF1884">
              <w:t xml:space="preserve"> </w:t>
            </w:r>
            <w:r w:rsidRPr="00DF1884">
              <w:t>denominator</w:t>
            </w:r>
            <w:r w:rsidR="00DF1884" w:rsidRPr="00DF1884">
              <w:t xml:space="preserve"> </w:t>
            </w:r>
            <w:r w:rsidRPr="00DF1884">
              <w:t>who</w:t>
            </w:r>
            <w:r w:rsidR="00DF1884" w:rsidRPr="00DF1884">
              <w:t xml:space="preserve"> </w:t>
            </w:r>
            <w:r w:rsidRPr="00DF1884">
              <w:t>had</w:t>
            </w:r>
            <w:r w:rsidR="00DF1884" w:rsidRPr="00DF1884">
              <w:t xml:space="preserve"> </w:t>
            </w:r>
            <w:r w:rsidRPr="00DF1884">
              <w:t>an</w:t>
            </w:r>
            <w:r w:rsidR="00DF1884" w:rsidRPr="00DF1884">
              <w:t xml:space="preserve"> </w:t>
            </w:r>
            <w:r w:rsidRPr="00DF1884">
              <w:t>exclusion</w:t>
            </w:r>
            <w:r w:rsidR="00DF1884" w:rsidRPr="00DF1884">
              <w:t xml:space="preserve"> </w:t>
            </w:r>
            <w:r w:rsidRPr="00DF1884">
              <w:t>or</w:t>
            </w:r>
            <w:r w:rsidR="00DF1884" w:rsidRPr="00DF1884">
              <w:t xml:space="preserve"> </w:t>
            </w:r>
            <w:r w:rsidRPr="00DF1884">
              <w:t>valid</w:t>
            </w:r>
            <w:r w:rsidR="00DF1884" w:rsidRPr="00DF1884">
              <w:t xml:space="preserve"> </w:t>
            </w:r>
            <w:r w:rsidRPr="00DF1884">
              <w:t>data</w:t>
            </w:r>
            <w:r w:rsidR="00DF1884" w:rsidRPr="00DF1884">
              <w:t xml:space="preserve"> </w:t>
            </w:r>
            <w:r w:rsidRPr="00DF1884">
              <w:t>error.</w:t>
            </w:r>
            <w:r w:rsidR="00DF1884" w:rsidRPr="00DF1884">
              <w:t xml:space="preserve"> </w:t>
            </w:r>
          </w:p>
        </w:tc>
      </w:tr>
      <w:tr w:rsidR="00463667" w:rsidRPr="00DF1884" w14:paraId="7F47DA0F" w14:textId="77777777" w:rsidTr="00C56CA6">
        <w:tc>
          <w:tcPr>
            <w:tcW w:w="3632" w:type="dxa"/>
            <w:tcBorders>
              <w:top w:val="single" w:sz="6" w:space="0" w:color="auto"/>
              <w:left w:val="single" w:sz="6" w:space="0" w:color="auto"/>
              <w:bottom w:val="single" w:sz="6" w:space="0" w:color="auto"/>
              <w:right w:val="single" w:sz="6" w:space="0" w:color="auto"/>
            </w:tcBorders>
            <w:shd w:val="clear" w:color="auto" w:fill="FFFFFF" w:themeFill="background1"/>
          </w:tcPr>
          <w:p w14:paraId="0C17D98F" w14:textId="77777777" w:rsidR="00463667" w:rsidRPr="00DF1884" w:rsidRDefault="00463667" w:rsidP="00C56CA6">
            <w:pPr>
              <w:pStyle w:val="TableText"/>
            </w:pPr>
            <w:r w:rsidRPr="00DF1884">
              <w:t>Denominator</w:t>
            </w:r>
          </w:p>
        </w:tc>
        <w:tc>
          <w:tcPr>
            <w:tcW w:w="868" w:type="dxa"/>
            <w:tcBorders>
              <w:top w:val="single" w:sz="6" w:space="0" w:color="auto"/>
              <w:left w:val="single" w:sz="6" w:space="0" w:color="auto"/>
              <w:bottom w:val="single" w:sz="6" w:space="0" w:color="auto"/>
              <w:right w:val="single" w:sz="6" w:space="0" w:color="auto"/>
            </w:tcBorders>
            <w:shd w:val="clear" w:color="auto" w:fill="FFFFFF" w:themeFill="background1"/>
          </w:tcPr>
          <w:p w14:paraId="0A01E9EA" w14:textId="77777777" w:rsidR="00463667" w:rsidRPr="00DF1884" w:rsidRDefault="00463667" w:rsidP="00C56CA6">
            <w:pPr>
              <w:pStyle w:val="TableText"/>
              <w:jc w:val="center"/>
              <w:rPr>
                <w:rFonts w:cs="Arial"/>
                <w:sz w:val="24"/>
              </w:rPr>
            </w:pPr>
          </w:p>
        </w:tc>
        <w:tc>
          <w:tcPr>
            <w:tcW w:w="810" w:type="dxa"/>
            <w:tcBorders>
              <w:top w:val="single" w:sz="6" w:space="0" w:color="auto"/>
              <w:left w:val="single" w:sz="6" w:space="0" w:color="auto"/>
              <w:bottom w:val="single" w:sz="6" w:space="0" w:color="auto"/>
              <w:right w:val="single" w:sz="6" w:space="0" w:color="auto"/>
            </w:tcBorders>
            <w:shd w:val="clear" w:color="auto" w:fill="FFFFFF" w:themeFill="background1"/>
          </w:tcPr>
          <w:p w14:paraId="06777ADF"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990" w:type="dxa"/>
            <w:tcBorders>
              <w:top w:val="single" w:sz="6" w:space="0" w:color="auto"/>
              <w:left w:val="single" w:sz="6" w:space="0" w:color="auto"/>
              <w:bottom w:val="single" w:sz="6" w:space="0" w:color="auto"/>
              <w:right w:val="single" w:sz="6" w:space="0" w:color="auto"/>
            </w:tcBorders>
            <w:shd w:val="clear" w:color="auto" w:fill="FFFFFF" w:themeFill="background1"/>
          </w:tcPr>
          <w:p w14:paraId="30B16DB7" w14:textId="77777777" w:rsidR="00463667" w:rsidRPr="00DF1884" w:rsidRDefault="00463667" w:rsidP="00C56CA6">
            <w:pPr>
              <w:pStyle w:val="TableText"/>
              <w:jc w:val="center"/>
              <w:rPr>
                <w:rFonts w:cs="Arial"/>
                <w:sz w:val="24"/>
              </w:rPr>
            </w:pPr>
          </w:p>
        </w:tc>
        <w:tc>
          <w:tcPr>
            <w:tcW w:w="702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14:paraId="21CAE1DF" w14:textId="76810DE8" w:rsidR="00463667" w:rsidRPr="00DF1884" w:rsidRDefault="00463667" w:rsidP="00C56CA6">
            <w:pPr>
              <w:pStyle w:val="TableText"/>
            </w:pPr>
            <w:r w:rsidRPr="00DF1884">
              <w:t>MRSS</w:t>
            </w:r>
            <w:r w:rsidR="00DF1884" w:rsidRPr="00DF1884">
              <w:t xml:space="preserve"> </w:t>
            </w:r>
            <w:r w:rsidRPr="00DF1884">
              <w:t>–</w:t>
            </w:r>
            <w:r w:rsidR="00DF1884" w:rsidRPr="00DF1884">
              <w:t xml:space="preserve"> </w:t>
            </w:r>
            <w:r w:rsidRPr="00DF1884">
              <w:t>exclusions</w:t>
            </w:r>
            <w:r w:rsidR="00DF1884" w:rsidRPr="00DF1884">
              <w:t xml:space="preserve"> </w:t>
            </w:r>
            <w:r w:rsidRPr="00DF1884">
              <w:t>+</w:t>
            </w:r>
            <w:r w:rsidR="00DF1884" w:rsidRPr="00DF1884">
              <w:t xml:space="preserve"> </w:t>
            </w:r>
            <w:r w:rsidRPr="00DF1884">
              <w:t>members</w:t>
            </w:r>
            <w:r w:rsidR="00DF1884" w:rsidRPr="00DF1884">
              <w:t xml:space="preserve"> </w:t>
            </w:r>
            <w:r w:rsidRPr="00DF1884">
              <w:t>added</w:t>
            </w:r>
            <w:r w:rsidR="00DF1884" w:rsidRPr="00DF1884">
              <w:t xml:space="preserve"> </w:t>
            </w:r>
            <w:r w:rsidRPr="00DF1884">
              <w:t>from</w:t>
            </w:r>
            <w:r w:rsidR="00DF1884" w:rsidRPr="00DF1884">
              <w:t xml:space="preserve"> </w:t>
            </w:r>
            <w:r w:rsidRPr="00DF1884">
              <w:t>the</w:t>
            </w:r>
            <w:r w:rsidR="00DF1884" w:rsidRPr="00DF1884">
              <w:t xml:space="preserve"> </w:t>
            </w:r>
            <w:r w:rsidRPr="00DF1884">
              <w:t>auxiliary</w:t>
            </w:r>
            <w:r w:rsidR="00DF1884" w:rsidRPr="00DF1884">
              <w:t xml:space="preserve"> </w:t>
            </w:r>
            <w:r w:rsidRPr="00DF1884">
              <w:t>list.</w:t>
            </w:r>
            <w:r w:rsidR="00DF1884" w:rsidRPr="00DF1884">
              <w:t xml:space="preserve"> </w:t>
            </w:r>
            <w:r w:rsidRPr="00DF1884">
              <w:t>This</w:t>
            </w:r>
            <w:r w:rsidR="00DF1884" w:rsidRPr="00DF1884">
              <w:t xml:space="preserve"> </w:t>
            </w:r>
            <w:r w:rsidRPr="00DF1884">
              <w:t>population</w:t>
            </w:r>
            <w:r w:rsidR="00DF1884" w:rsidRPr="00DF1884">
              <w:t xml:space="preserve"> </w:t>
            </w:r>
            <w:r w:rsidRPr="00DF1884">
              <w:t>is</w:t>
            </w:r>
            <w:r w:rsidR="00DF1884" w:rsidRPr="00DF1884">
              <w:t xml:space="preserve"> </w:t>
            </w:r>
            <w:r w:rsidRPr="00DF1884">
              <w:t>the</w:t>
            </w:r>
            <w:r w:rsidR="00DF1884" w:rsidRPr="00DF1884">
              <w:t xml:space="preserve"> </w:t>
            </w:r>
            <w:r w:rsidRPr="00DF1884">
              <w:t>denominator</w:t>
            </w:r>
            <w:r w:rsidR="00DF1884" w:rsidRPr="00DF1884">
              <w:t xml:space="preserve"> </w:t>
            </w:r>
            <w:r w:rsidRPr="00DF1884">
              <w:t>used</w:t>
            </w:r>
            <w:r w:rsidR="00DF1884" w:rsidRPr="00DF1884">
              <w:t xml:space="preserve"> </w:t>
            </w:r>
            <w:r w:rsidRPr="00DF1884">
              <w:t>to</w:t>
            </w:r>
            <w:r w:rsidR="00DF1884" w:rsidRPr="00DF1884">
              <w:t xml:space="preserve"> </w:t>
            </w:r>
            <w:r w:rsidRPr="00DF1884">
              <w:t>report</w:t>
            </w:r>
            <w:r w:rsidR="00DF1884" w:rsidRPr="00DF1884">
              <w:t xml:space="preserve"> </w:t>
            </w:r>
            <w:r w:rsidRPr="00DF1884">
              <w:t>the</w:t>
            </w:r>
            <w:r w:rsidR="00DF1884" w:rsidRPr="00DF1884">
              <w:t xml:space="preserve"> </w:t>
            </w:r>
            <w:r w:rsidRPr="00DF1884">
              <w:t>measure.</w:t>
            </w:r>
            <w:r w:rsidR="00DF1884" w:rsidRPr="00DF1884">
              <w:t xml:space="preserve"> </w:t>
            </w:r>
          </w:p>
        </w:tc>
      </w:tr>
      <w:tr w:rsidR="00463667" w:rsidRPr="00DF1884" w14:paraId="42A59852" w14:textId="77777777" w:rsidTr="00C56CA6">
        <w:tc>
          <w:tcPr>
            <w:tcW w:w="363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2857E8B" w14:textId="357A2CBC" w:rsidR="00463667" w:rsidRPr="00DF1884" w:rsidRDefault="00463667" w:rsidP="00C56CA6">
            <w:pPr>
              <w:pStyle w:val="TableText"/>
            </w:pPr>
            <w:r w:rsidRPr="00DF1884">
              <w:t>Numerator</w:t>
            </w:r>
            <w:r w:rsidR="00DF1884" w:rsidRPr="00DF1884">
              <w:t xml:space="preserve"> </w:t>
            </w:r>
            <w:r w:rsidRPr="00DF1884">
              <w:t>events</w:t>
            </w:r>
            <w:r w:rsidR="00DF1884" w:rsidRPr="00DF1884">
              <w:t xml:space="preserve"> </w:t>
            </w:r>
            <w:r w:rsidRPr="00DF1884">
              <w:t>by</w:t>
            </w:r>
            <w:r w:rsidR="00DF1884" w:rsidRPr="00DF1884">
              <w:t xml:space="preserve"> </w:t>
            </w:r>
            <w:r w:rsidRPr="00DF1884">
              <w:t>administrative</w:t>
            </w:r>
            <w:r w:rsidR="00DF1884" w:rsidRPr="00DF1884">
              <w:t xml:space="preserve"> </w:t>
            </w:r>
            <w:r w:rsidRPr="00DF1884">
              <w:t>data</w:t>
            </w:r>
          </w:p>
        </w:tc>
        <w:tc>
          <w:tcPr>
            <w:tcW w:w="8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6544F2B"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81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B6E190F"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9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9C44FA2" w14:textId="77777777" w:rsidR="00463667" w:rsidRPr="00DF1884" w:rsidRDefault="00463667" w:rsidP="00C56CA6">
            <w:pPr>
              <w:pStyle w:val="TableText"/>
              <w:jc w:val="center"/>
              <w:rPr>
                <w:rFonts w:cs="Arial"/>
                <w:sz w:val="24"/>
              </w:rPr>
            </w:pPr>
          </w:p>
        </w:tc>
        <w:tc>
          <w:tcPr>
            <w:tcW w:w="702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B2FC502" w14:textId="2878CC63" w:rsidR="00463667" w:rsidRPr="00DF1884" w:rsidRDefault="00463667" w:rsidP="00C56CA6">
            <w:pPr>
              <w:pStyle w:val="TableText"/>
            </w:pPr>
            <w:r w:rsidRPr="00DF1884">
              <w:t>The</w:t>
            </w:r>
            <w:r w:rsidR="00DF1884" w:rsidRPr="00DF1884">
              <w:t xml:space="preserve"> </w:t>
            </w:r>
            <w:r w:rsidRPr="00DF1884">
              <w:t>number</w:t>
            </w:r>
            <w:r w:rsidR="00DF1884" w:rsidRPr="00DF1884">
              <w:t xml:space="preserve"> </w:t>
            </w:r>
            <w:r w:rsidRPr="00DF1884">
              <w:t>of</w:t>
            </w:r>
            <w:r w:rsidR="00DF1884" w:rsidRPr="00DF1884">
              <w:t xml:space="preserve"> </w:t>
            </w:r>
            <w:r w:rsidRPr="00DF1884">
              <w:t>members</w:t>
            </w:r>
            <w:r w:rsidR="00DF1884" w:rsidRPr="00DF1884">
              <w:t xml:space="preserve"> </w:t>
            </w:r>
            <w:r w:rsidRPr="00DF1884">
              <w:t>in</w:t>
            </w:r>
            <w:r w:rsidR="00DF1884" w:rsidRPr="00DF1884">
              <w:t xml:space="preserve"> </w:t>
            </w:r>
            <w:r w:rsidRPr="00DF1884">
              <w:t>the</w:t>
            </w:r>
            <w:r w:rsidR="00DF1884" w:rsidRPr="00DF1884">
              <w:t xml:space="preserve"> </w:t>
            </w:r>
            <w:r w:rsidRPr="00DF1884">
              <w:t>denominator</w:t>
            </w:r>
            <w:r w:rsidR="00DF1884" w:rsidRPr="00DF1884">
              <w:t xml:space="preserve"> </w:t>
            </w:r>
            <w:r w:rsidRPr="00DF1884">
              <w:t>who</w:t>
            </w:r>
            <w:r w:rsidR="00DF1884" w:rsidRPr="00DF1884">
              <w:t xml:space="preserve"> </w:t>
            </w:r>
            <w:r w:rsidRPr="00DF1884">
              <w:t>met</w:t>
            </w:r>
            <w:r w:rsidR="00DF1884" w:rsidRPr="00DF1884">
              <w:t xml:space="preserve"> </w:t>
            </w:r>
            <w:r w:rsidRPr="00DF1884">
              <w:t>numerator</w:t>
            </w:r>
            <w:r w:rsidR="00DF1884" w:rsidRPr="00DF1884">
              <w:t xml:space="preserve"> </w:t>
            </w:r>
            <w:r w:rsidRPr="00DF1884">
              <w:t>criteria</w:t>
            </w:r>
            <w:r w:rsidR="00DF1884" w:rsidRPr="00DF1884">
              <w:t xml:space="preserve"> </w:t>
            </w:r>
            <w:r w:rsidRPr="00DF1884">
              <w:t>using</w:t>
            </w:r>
            <w:r w:rsidR="00DF1884" w:rsidRPr="00DF1884">
              <w:t xml:space="preserve"> </w:t>
            </w:r>
            <w:r w:rsidRPr="00DF1884">
              <w:t>system</w:t>
            </w:r>
            <w:r w:rsidR="00DF1884" w:rsidRPr="00DF1884">
              <w:t xml:space="preserve"> </w:t>
            </w:r>
            <w:r w:rsidRPr="00DF1884">
              <w:t>or</w:t>
            </w:r>
            <w:r w:rsidR="00DF1884" w:rsidRPr="00DF1884">
              <w:t xml:space="preserve"> </w:t>
            </w:r>
            <w:r w:rsidRPr="00DF1884">
              <w:t>transactional</w:t>
            </w:r>
            <w:r w:rsidR="00DF1884" w:rsidRPr="00DF1884">
              <w:t xml:space="preserve"> </w:t>
            </w:r>
            <w:r w:rsidRPr="00DF1884">
              <w:t>data.</w:t>
            </w:r>
            <w:r w:rsidR="00DF1884" w:rsidRPr="00DF1884">
              <w:t xml:space="preserve"> </w:t>
            </w:r>
          </w:p>
        </w:tc>
      </w:tr>
      <w:tr w:rsidR="00016D40" w:rsidRPr="00DF1884" w14:paraId="127F49CB" w14:textId="77777777" w:rsidTr="00C56CA6">
        <w:tc>
          <w:tcPr>
            <w:tcW w:w="363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66C7E9D" w14:textId="3A4D26A2" w:rsidR="00016D40" w:rsidRPr="00DF1884" w:rsidRDefault="00016D40" w:rsidP="00016D40">
            <w:pPr>
              <w:pStyle w:val="TableText"/>
            </w:pPr>
            <w:r w:rsidRPr="00DF1884">
              <w:t>Numerator</w:t>
            </w:r>
            <w:r w:rsidR="00DF1884" w:rsidRPr="00DF1884">
              <w:t xml:space="preserve"> </w:t>
            </w:r>
            <w:r w:rsidRPr="00DF1884">
              <w:t>events</w:t>
            </w:r>
            <w:r w:rsidR="00DF1884" w:rsidRPr="00DF1884">
              <w:t xml:space="preserve"> </w:t>
            </w:r>
            <w:r w:rsidRPr="00DF1884">
              <w:t>by</w:t>
            </w:r>
            <w:r w:rsidR="00DF1884" w:rsidRPr="00DF1884">
              <w:t xml:space="preserve"> </w:t>
            </w:r>
            <w:r w:rsidRPr="00DF1884">
              <w:t>supplemental</w:t>
            </w:r>
            <w:r w:rsidR="00DF1884" w:rsidRPr="00DF1884">
              <w:t xml:space="preserve"> </w:t>
            </w:r>
            <w:r w:rsidRPr="00DF1884">
              <w:t>data</w:t>
            </w:r>
          </w:p>
        </w:tc>
        <w:tc>
          <w:tcPr>
            <w:tcW w:w="8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B41F3C7" w14:textId="6502F0B9" w:rsidR="00016D40" w:rsidRPr="00DF1884" w:rsidRDefault="00016D40" w:rsidP="00016D40">
            <w:pPr>
              <w:pStyle w:val="TableText"/>
              <w:jc w:val="center"/>
              <w:rPr>
                <w:rFonts w:cs="Arial"/>
                <w:sz w:val="24"/>
              </w:rPr>
            </w:pPr>
            <w:r w:rsidRPr="00DF1884">
              <w:rPr>
                <w:rFonts w:cs="Arial"/>
                <w:sz w:val="24"/>
              </w:rPr>
              <w:sym w:font="Wingdings" w:char="F0FC"/>
            </w:r>
          </w:p>
        </w:tc>
        <w:tc>
          <w:tcPr>
            <w:tcW w:w="81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C31C93E" w14:textId="3CD9D135" w:rsidR="00016D40" w:rsidRPr="00DF1884" w:rsidRDefault="00016D40" w:rsidP="00016D40">
            <w:pPr>
              <w:pStyle w:val="TableText"/>
              <w:jc w:val="center"/>
              <w:rPr>
                <w:rFonts w:cs="Arial"/>
                <w:sz w:val="24"/>
              </w:rPr>
            </w:pPr>
            <w:r w:rsidRPr="00DF1884">
              <w:rPr>
                <w:rFonts w:cs="Arial"/>
                <w:sz w:val="24"/>
              </w:rPr>
              <w:sym w:font="Wingdings" w:char="F0FC"/>
            </w:r>
          </w:p>
        </w:tc>
        <w:tc>
          <w:tcPr>
            <w:tcW w:w="9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D025952" w14:textId="77777777" w:rsidR="00016D40" w:rsidRPr="00DF1884" w:rsidRDefault="00016D40" w:rsidP="00016D40">
            <w:pPr>
              <w:pStyle w:val="TableText"/>
              <w:jc w:val="center"/>
              <w:rPr>
                <w:rFonts w:cs="Arial"/>
                <w:sz w:val="24"/>
              </w:rPr>
            </w:pPr>
          </w:p>
        </w:tc>
        <w:tc>
          <w:tcPr>
            <w:tcW w:w="702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E2953C3" w14:textId="7D9F10F2" w:rsidR="00651186" w:rsidRPr="00DF1884" w:rsidRDefault="00016D40" w:rsidP="00C571F7">
            <w:pPr>
              <w:pStyle w:val="TableText"/>
            </w:pPr>
            <w:r w:rsidRPr="00DF1884">
              <w:t>The</w:t>
            </w:r>
            <w:r w:rsidR="00DF1884" w:rsidRPr="00DF1884">
              <w:t xml:space="preserve"> </w:t>
            </w:r>
            <w:r w:rsidRPr="00DF1884">
              <w:t>number</w:t>
            </w:r>
            <w:r w:rsidR="00DF1884" w:rsidRPr="00DF1884">
              <w:t xml:space="preserve"> </w:t>
            </w:r>
            <w:r w:rsidRPr="00DF1884">
              <w:t>of</w:t>
            </w:r>
            <w:r w:rsidR="00DF1884" w:rsidRPr="00DF1884">
              <w:t xml:space="preserve"> </w:t>
            </w:r>
            <w:r w:rsidRPr="00DF1884">
              <w:t>members</w:t>
            </w:r>
            <w:r w:rsidR="00DF1884" w:rsidRPr="00DF1884">
              <w:t xml:space="preserve"> </w:t>
            </w:r>
            <w:r w:rsidRPr="00DF1884">
              <w:t>in</w:t>
            </w:r>
            <w:r w:rsidR="00DF1884" w:rsidRPr="00DF1884">
              <w:t xml:space="preserve"> </w:t>
            </w:r>
            <w:r w:rsidRPr="00DF1884">
              <w:t>the</w:t>
            </w:r>
            <w:r w:rsidR="00DF1884" w:rsidRPr="00DF1884">
              <w:t xml:space="preserve"> </w:t>
            </w:r>
            <w:r w:rsidRPr="00DF1884">
              <w:t>denominator</w:t>
            </w:r>
            <w:r w:rsidR="00DF1884" w:rsidRPr="00DF1884">
              <w:t xml:space="preserve"> </w:t>
            </w:r>
            <w:r w:rsidRPr="00DF1884">
              <w:t>who</w:t>
            </w:r>
            <w:r w:rsidR="00DF1884" w:rsidRPr="00DF1884">
              <w:t xml:space="preserve"> </w:t>
            </w:r>
            <w:r w:rsidRPr="00DF1884">
              <w:t>met</w:t>
            </w:r>
            <w:r w:rsidR="00DF1884" w:rsidRPr="00DF1884">
              <w:t xml:space="preserve"> </w:t>
            </w:r>
            <w:r w:rsidR="009513D2" w:rsidRPr="00DF1884">
              <w:t>numerator</w:t>
            </w:r>
            <w:r w:rsidR="00DF1884" w:rsidRPr="00DF1884">
              <w:t xml:space="preserve"> </w:t>
            </w:r>
            <w:r w:rsidRPr="00DF1884">
              <w:t>criteria</w:t>
            </w:r>
            <w:r w:rsidR="00DF1884" w:rsidRPr="00DF1884">
              <w:t xml:space="preserve"> </w:t>
            </w:r>
            <w:r w:rsidRPr="00DF1884">
              <w:t>using</w:t>
            </w:r>
            <w:r w:rsidR="00DF1884" w:rsidRPr="00DF1884">
              <w:t xml:space="preserve"> </w:t>
            </w:r>
            <w:r w:rsidRPr="00DF1884">
              <w:t>supplemental</w:t>
            </w:r>
            <w:r w:rsidR="00DF1884" w:rsidRPr="00DF1884">
              <w:t xml:space="preserve"> </w:t>
            </w:r>
            <w:r w:rsidRPr="00DF1884">
              <w:t>data</w:t>
            </w:r>
            <w:r w:rsidR="00DF1884" w:rsidRPr="00DF1884">
              <w:t xml:space="preserve"> </w:t>
            </w:r>
            <w:r w:rsidRPr="00DF1884">
              <w:t>(includ</w:t>
            </w:r>
            <w:r w:rsidR="002B65A7" w:rsidRPr="00DF1884">
              <w:t>es</w:t>
            </w:r>
            <w:r w:rsidR="00DF1884" w:rsidRPr="00DF1884">
              <w:t xml:space="preserve"> </w:t>
            </w:r>
            <w:r w:rsidRPr="00DF1884">
              <w:t>standard,</w:t>
            </w:r>
            <w:r w:rsidR="00DF1884" w:rsidRPr="00DF1884">
              <w:t xml:space="preserve"> </w:t>
            </w:r>
            <w:r w:rsidRPr="00DF1884">
              <w:t>nonstandard</w:t>
            </w:r>
            <w:r w:rsidR="00DF1884" w:rsidRPr="00DF1884">
              <w:t xml:space="preserve"> </w:t>
            </w:r>
            <w:r w:rsidRPr="00DF1884">
              <w:t>and</w:t>
            </w:r>
            <w:r w:rsidR="00DF1884" w:rsidRPr="00DF1884">
              <w:t xml:space="preserve"> </w:t>
            </w:r>
            <w:r w:rsidRPr="00DF1884">
              <w:t>member</w:t>
            </w:r>
            <w:r w:rsidR="00DF1884" w:rsidRPr="00DF1884">
              <w:t xml:space="preserve"> </w:t>
            </w:r>
            <w:r w:rsidRPr="00DF1884">
              <w:t>reported</w:t>
            </w:r>
            <w:r w:rsidR="00DF1884" w:rsidRPr="00DF1884">
              <w:t xml:space="preserve"> </w:t>
            </w:r>
            <w:r w:rsidRPr="00DF1884">
              <w:t>data).</w:t>
            </w:r>
            <w:r w:rsidR="00DF1884" w:rsidRPr="00DF1884">
              <w:t xml:space="preserve"> </w:t>
            </w:r>
            <w:r w:rsidR="00651186" w:rsidRPr="00DF1884">
              <w:t>This</w:t>
            </w:r>
            <w:r w:rsidR="00DF1884" w:rsidRPr="00DF1884">
              <w:t xml:space="preserve"> </w:t>
            </w:r>
            <w:r w:rsidR="00651186" w:rsidRPr="00DF1884">
              <w:t>data</w:t>
            </w:r>
            <w:r w:rsidR="00DF1884" w:rsidRPr="00DF1884">
              <w:t xml:space="preserve"> </w:t>
            </w:r>
            <w:r w:rsidR="00651186" w:rsidRPr="00DF1884">
              <w:t>element</w:t>
            </w:r>
            <w:r w:rsidR="00DF1884" w:rsidRPr="00DF1884">
              <w:t xml:space="preserve"> </w:t>
            </w:r>
            <w:r w:rsidR="00651186" w:rsidRPr="00DF1884">
              <w:t>is</w:t>
            </w:r>
            <w:r w:rsidR="00DF1884" w:rsidRPr="00DF1884">
              <w:t xml:space="preserve"> </w:t>
            </w:r>
            <w:r w:rsidR="00651186" w:rsidRPr="00DF1884">
              <w:t>collected</w:t>
            </w:r>
            <w:r w:rsidR="00DF1884" w:rsidRPr="00DF1884">
              <w:t xml:space="preserve"> </w:t>
            </w:r>
            <w:r w:rsidR="00651186" w:rsidRPr="00DF1884">
              <w:t>for</w:t>
            </w:r>
            <w:r w:rsidR="00C571F7">
              <w:t xml:space="preserve"> only</w:t>
            </w:r>
            <w:r w:rsidR="00DF1884" w:rsidRPr="00DF1884">
              <w:t xml:space="preserve"> </w:t>
            </w:r>
            <w:r w:rsidR="00651186" w:rsidRPr="00DF1884">
              <w:t>EOC</w:t>
            </w:r>
            <w:r w:rsidR="00DF1884" w:rsidRPr="00DF1884">
              <w:t xml:space="preserve"> </w:t>
            </w:r>
            <w:r w:rsidR="00651186" w:rsidRPr="00DF1884">
              <w:t>and</w:t>
            </w:r>
            <w:r w:rsidR="00DF1884" w:rsidRPr="00DF1884">
              <w:t xml:space="preserve"> </w:t>
            </w:r>
            <w:r w:rsidR="00651186" w:rsidRPr="00DF1884">
              <w:t>EOC-like</w:t>
            </w:r>
            <w:r w:rsidR="00DF1884" w:rsidRPr="00DF1884">
              <w:t xml:space="preserve"> </w:t>
            </w:r>
            <w:r w:rsidR="00651186" w:rsidRPr="00DF1884">
              <w:t>measures.</w:t>
            </w:r>
          </w:p>
        </w:tc>
      </w:tr>
      <w:tr w:rsidR="00463667" w:rsidRPr="00DF1884" w14:paraId="40AFC4FF" w14:textId="77777777" w:rsidTr="00C56CA6">
        <w:tc>
          <w:tcPr>
            <w:tcW w:w="3632" w:type="dxa"/>
            <w:tcBorders>
              <w:top w:val="single" w:sz="6" w:space="0" w:color="auto"/>
              <w:left w:val="single" w:sz="6" w:space="0" w:color="auto"/>
              <w:bottom w:val="single" w:sz="6" w:space="0" w:color="auto"/>
              <w:right w:val="single" w:sz="6" w:space="0" w:color="auto"/>
            </w:tcBorders>
            <w:shd w:val="clear" w:color="auto" w:fill="FFFFFF" w:themeFill="background1"/>
          </w:tcPr>
          <w:p w14:paraId="65D15D46" w14:textId="5F7CE4AF" w:rsidR="00463667" w:rsidRPr="00DF1884" w:rsidRDefault="00463667" w:rsidP="00C56CA6">
            <w:pPr>
              <w:pStyle w:val="TableText"/>
            </w:pPr>
            <w:r w:rsidRPr="00DF1884">
              <w:t>Numerator</w:t>
            </w:r>
            <w:r w:rsidR="00DF1884" w:rsidRPr="00DF1884">
              <w:t xml:space="preserve"> </w:t>
            </w:r>
            <w:r w:rsidRPr="00DF1884">
              <w:t>events</w:t>
            </w:r>
            <w:r w:rsidR="00DF1884" w:rsidRPr="00DF1884">
              <w:t xml:space="preserve"> </w:t>
            </w:r>
            <w:r w:rsidRPr="00DF1884">
              <w:t>by</w:t>
            </w:r>
            <w:r w:rsidR="00DF1884" w:rsidRPr="00DF1884">
              <w:t xml:space="preserve"> </w:t>
            </w:r>
            <w:r w:rsidRPr="00DF1884">
              <w:t>medical</w:t>
            </w:r>
            <w:r w:rsidR="00DF1884" w:rsidRPr="00DF1884">
              <w:t xml:space="preserve"> </w:t>
            </w:r>
            <w:r w:rsidRPr="00DF1884">
              <w:t>records</w:t>
            </w:r>
          </w:p>
        </w:tc>
        <w:tc>
          <w:tcPr>
            <w:tcW w:w="868" w:type="dxa"/>
            <w:tcBorders>
              <w:top w:val="single" w:sz="6" w:space="0" w:color="auto"/>
              <w:left w:val="single" w:sz="6" w:space="0" w:color="auto"/>
              <w:bottom w:val="single" w:sz="6" w:space="0" w:color="auto"/>
              <w:right w:val="single" w:sz="6" w:space="0" w:color="auto"/>
            </w:tcBorders>
            <w:shd w:val="clear" w:color="auto" w:fill="FFFFFF" w:themeFill="background1"/>
          </w:tcPr>
          <w:p w14:paraId="2BF43E51" w14:textId="77777777" w:rsidR="00463667" w:rsidRPr="00DF1884" w:rsidRDefault="00463667" w:rsidP="00C56CA6">
            <w:pPr>
              <w:pStyle w:val="TableText"/>
              <w:jc w:val="center"/>
              <w:rPr>
                <w:rFonts w:cs="Arial"/>
                <w:sz w:val="24"/>
              </w:rPr>
            </w:pPr>
          </w:p>
        </w:tc>
        <w:tc>
          <w:tcPr>
            <w:tcW w:w="810" w:type="dxa"/>
            <w:tcBorders>
              <w:top w:val="single" w:sz="6" w:space="0" w:color="auto"/>
              <w:left w:val="single" w:sz="6" w:space="0" w:color="auto"/>
              <w:bottom w:val="single" w:sz="6" w:space="0" w:color="auto"/>
              <w:right w:val="single" w:sz="6" w:space="0" w:color="auto"/>
            </w:tcBorders>
            <w:shd w:val="clear" w:color="auto" w:fill="FFFFFF" w:themeFill="background1"/>
          </w:tcPr>
          <w:p w14:paraId="540774E1"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990" w:type="dxa"/>
            <w:tcBorders>
              <w:top w:val="single" w:sz="6" w:space="0" w:color="auto"/>
              <w:left w:val="single" w:sz="6" w:space="0" w:color="auto"/>
              <w:bottom w:val="single" w:sz="6" w:space="0" w:color="auto"/>
              <w:right w:val="single" w:sz="6" w:space="0" w:color="auto"/>
            </w:tcBorders>
            <w:shd w:val="clear" w:color="auto" w:fill="FFFFFF" w:themeFill="background1"/>
          </w:tcPr>
          <w:p w14:paraId="3D1BB235" w14:textId="77777777" w:rsidR="00463667" w:rsidRPr="00DF1884" w:rsidRDefault="00463667" w:rsidP="00C56CA6">
            <w:pPr>
              <w:pStyle w:val="TableText"/>
              <w:jc w:val="center"/>
              <w:rPr>
                <w:rFonts w:cs="Arial"/>
                <w:sz w:val="24"/>
              </w:rPr>
            </w:pPr>
          </w:p>
        </w:tc>
        <w:tc>
          <w:tcPr>
            <w:tcW w:w="702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14:paraId="6A906641" w14:textId="20038D1D" w:rsidR="00463667" w:rsidRPr="00DF1884" w:rsidRDefault="00463667" w:rsidP="00C56CA6">
            <w:pPr>
              <w:pStyle w:val="TableText"/>
            </w:pPr>
            <w:r w:rsidRPr="00DF1884">
              <w:t>The</w:t>
            </w:r>
            <w:r w:rsidR="00DF1884" w:rsidRPr="00DF1884">
              <w:t xml:space="preserve"> </w:t>
            </w:r>
            <w:r w:rsidRPr="00DF1884">
              <w:t>number</w:t>
            </w:r>
            <w:r w:rsidR="00DF1884" w:rsidRPr="00DF1884">
              <w:t xml:space="preserve"> </w:t>
            </w:r>
            <w:r w:rsidRPr="00DF1884">
              <w:t>of</w:t>
            </w:r>
            <w:r w:rsidR="00DF1884" w:rsidRPr="00DF1884">
              <w:t xml:space="preserve"> </w:t>
            </w:r>
            <w:r w:rsidRPr="00DF1884">
              <w:t>members</w:t>
            </w:r>
            <w:r w:rsidR="00DF1884" w:rsidRPr="00DF1884">
              <w:t xml:space="preserve"> </w:t>
            </w:r>
            <w:r w:rsidRPr="00DF1884">
              <w:t>in</w:t>
            </w:r>
            <w:r w:rsidR="00DF1884" w:rsidRPr="00DF1884">
              <w:t xml:space="preserve"> </w:t>
            </w:r>
            <w:r w:rsidRPr="00DF1884">
              <w:t>the</w:t>
            </w:r>
            <w:r w:rsidR="00DF1884" w:rsidRPr="00DF1884">
              <w:t xml:space="preserve"> </w:t>
            </w:r>
            <w:r w:rsidRPr="00DF1884">
              <w:t>denominator</w:t>
            </w:r>
            <w:r w:rsidR="00DF1884" w:rsidRPr="00DF1884">
              <w:t xml:space="preserve"> </w:t>
            </w:r>
            <w:r w:rsidRPr="00DF1884">
              <w:t>who</w:t>
            </w:r>
            <w:r w:rsidR="00DF1884" w:rsidRPr="00DF1884">
              <w:t xml:space="preserve"> </w:t>
            </w:r>
            <w:r w:rsidRPr="00DF1884">
              <w:t>met</w:t>
            </w:r>
            <w:r w:rsidR="00DF1884" w:rsidRPr="00DF1884">
              <w:t xml:space="preserve"> </w:t>
            </w:r>
            <w:r w:rsidRPr="00DF1884">
              <w:t>numerator</w:t>
            </w:r>
            <w:r w:rsidR="00DF1884" w:rsidRPr="00DF1884">
              <w:t xml:space="preserve"> </w:t>
            </w:r>
            <w:r w:rsidRPr="00DF1884">
              <w:t>criteria</w:t>
            </w:r>
            <w:r w:rsidR="00DF1884" w:rsidRPr="00DF1884">
              <w:t xml:space="preserve"> </w:t>
            </w:r>
            <w:r w:rsidRPr="00DF1884">
              <w:t>using</w:t>
            </w:r>
            <w:r w:rsidR="00DF1884" w:rsidRPr="00DF1884">
              <w:t xml:space="preserve"> </w:t>
            </w:r>
            <w:r w:rsidRPr="00DF1884">
              <w:t>medical</w:t>
            </w:r>
            <w:r w:rsidR="00DF1884" w:rsidRPr="00DF1884">
              <w:t xml:space="preserve"> </w:t>
            </w:r>
            <w:r w:rsidRPr="00DF1884">
              <w:t>record</w:t>
            </w:r>
            <w:r w:rsidR="00DF1884" w:rsidRPr="00DF1884">
              <w:t xml:space="preserve"> </w:t>
            </w:r>
            <w:r w:rsidRPr="00DF1884">
              <w:t>data.</w:t>
            </w:r>
            <w:r w:rsidR="00DF1884" w:rsidRPr="00DF1884">
              <w:t xml:space="preserve"> </w:t>
            </w:r>
          </w:p>
        </w:tc>
      </w:tr>
      <w:tr w:rsidR="00463667" w:rsidRPr="00DF1884" w14:paraId="72359B43" w14:textId="77777777" w:rsidTr="00C56CA6">
        <w:tc>
          <w:tcPr>
            <w:tcW w:w="363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2254E5E" w14:textId="70CBE903" w:rsidR="00463667" w:rsidRPr="00DF1884" w:rsidRDefault="00463667" w:rsidP="00C56CA6">
            <w:pPr>
              <w:pStyle w:val="TableText"/>
            </w:pPr>
            <w:r w:rsidRPr="00DF1884">
              <w:t>Reported</w:t>
            </w:r>
            <w:r w:rsidR="00DF1884" w:rsidRPr="00DF1884">
              <w:t xml:space="preserve"> </w:t>
            </w:r>
            <w:r w:rsidRPr="00DF1884">
              <w:t>rate</w:t>
            </w:r>
          </w:p>
        </w:tc>
        <w:tc>
          <w:tcPr>
            <w:tcW w:w="8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C3C3CEB"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81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DF9FC3C"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9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A4E3CBF" w14:textId="77777777" w:rsidR="00463667" w:rsidRPr="00DF1884" w:rsidRDefault="00463667" w:rsidP="00C56CA6">
            <w:pPr>
              <w:pStyle w:val="TableText"/>
              <w:jc w:val="center"/>
              <w:rPr>
                <w:sz w:val="24"/>
                <w:szCs w:val="24"/>
              </w:rPr>
            </w:pPr>
          </w:p>
        </w:tc>
        <w:tc>
          <w:tcPr>
            <w:tcW w:w="702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67D5902" w14:textId="373505BF" w:rsidR="00463667" w:rsidRPr="00DF1884" w:rsidRDefault="00463667" w:rsidP="00C56CA6">
            <w:pPr>
              <w:pStyle w:val="TableText"/>
            </w:pPr>
            <w:r w:rsidRPr="00DF1884">
              <w:t>This</w:t>
            </w:r>
            <w:r w:rsidR="00DF1884" w:rsidRPr="00DF1884">
              <w:t xml:space="preserve"> </w:t>
            </w:r>
            <w:r w:rsidRPr="00DF1884">
              <w:t>is</w:t>
            </w:r>
            <w:r w:rsidR="00DF1884" w:rsidRPr="00DF1884">
              <w:t xml:space="preserve"> </w:t>
            </w:r>
            <w:r w:rsidRPr="00DF1884">
              <w:t>a</w:t>
            </w:r>
            <w:r w:rsidR="00DF1884" w:rsidRPr="00DF1884">
              <w:t xml:space="preserve"> </w:t>
            </w:r>
            <w:r w:rsidRPr="00DF1884">
              <w:t>calculated</w:t>
            </w:r>
            <w:r w:rsidR="00DF1884" w:rsidRPr="00DF1884">
              <w:t xml:space="preserve"> </w:t>
            </w:r>
            <w:r w:rsidRPr="00DF1884">
              <w:t>field</w:t>
            </w:r>
            <w:r w:rsidR="00DF1884" w:rsidRPr="00DF1884">
              <w:t xml:space="preserve"> </w:t>
            </w:r>
            <w:r w:rsidRPr="00DF1884">
              <w:t>in</w:t>
            </w:r>
            <w:r w:rsidR="00DF1884" w:rsidRPr="00DF1884">
              <w:t xml:space="preserve"> </w:t>
            </w:r>
            <w:r w:rsidRPr="00DF1884">
              <w:t>IDSS.</w:t>
            </w:r>
          </w:p>
          <w:p w14:paraId="01CC719B" w14:textId="0417840C" w:rsidR="00463667" w:rsidRPr="00DF1884" w:rsidRDefault="00463667" w:rsidP="00C56CA6">
            <w:pPr>
              <w:pStyle w:val="TableText"/>
            </w:pPr>
            <w:r w:rsidRPr="00DF1884">
              <w:rPr>
                <w:i/>
              </w:rPr>
              <w:t>Administrative</w:t>
            </w:r>
            <w:r w:rsidR="00DF1884" w:rsidRPr="00DF1884">
              <w:rPr>
                <w:i/>
              </w:rPr>
              <w:t xml:space="preserve"> </w:t>
            </w:r>
            <w:r w:rsidRPr="00DF1884">
              <w:rPr>
                <w:i/>
              </w:rPr>
              <w:t>Method:</w:t>
            </w:r>
            <w:r w:rsidR="00DF1884" w:rsidRPr="00DF1884">
              <w:t xml:space="preserve"> </w:t>
            </w:r>
            <w:r w:rsidRPr="00DF1884">
              <w:t>Numerator</w:t>
            </w:r>
            <w:r w:rsidR="00DF1884" w:rsidRPr="00DF1884">
              <w:t xml:space="preserve"> </w:t>
            </w:r>
            <w:r w:rsidRPr="00DF1884">
              <w:t>events</w:t>
            </w:r>
            <w:r w:rsidR="00DF1884" w:rsidRPr="00DF1884">
              <w:t xml:space="preserve"> </w:t>
            </w:r>
            <w:r w:rsidRPr="00DF1884">
              <w:t>by</w:t>
            </w:r>
            <w:r w:rsidR="00DF1884" w:rsidRPr="00DF1884">
              <w:t xml:space="preserve"> </w:t>
            </w:r>
            <w:r w:rsidRPr="00DF1884">
              <w:t>administrative</w:t>
            </w:r>
            <w:r w:rsidR="00DF1884" w:rsidRPr="00DF1884">
              <w:t xml:space="preserve"> </w:t>
            </w:r>
            <w:r w:rsidRPr="00DF1884">
              <w:t>data/</w:t>
            </w:r>
            <w:r w:rsidR="00DF1884" w:rsidRPr="00DF1884">
              <w:t xml:space="preserve"> </w:t>
            </w:r>
            <w:r w:rsidRPr="00DF1884">
              <w:t>eligible</w:t>
            </w:r>
            <w:r w:rsidR="00DF1884" w:rsidRPr="00DF1884">
              <w:t xml:space="preserve"> </w:t>
            </w:r>
            <w:r w:rsidRPr="00DF1884">
              <w:t>population</w:t>
            </w:r>
          </w:p>
          <w:p w14:paraId="1B2EEC8D" w14:textId="44C872F0" w:rsidR="00463667" w:rsidRPr="00DF1884" w:rsidRDefault="00463667" w:rsidP="00C56CA6">
            <w:pPr>
              <w:pStyle w:val="TableText"/>
            </w:pPr>
            <w:r w:rsidRPr="00DF1884">
              <w:rPr>
                <w:i/>
              </w:rPr>
              <w:t>Hybrid</w:t>
            </w:r>
            <w:r w:rsidR="00DF1884" w:rsidRPr="00DF1884">
              <w:rPr>
                <w:i/>
              </w:rPr>
              <w:t xml:space="preserve"> </w:t>
            </w:r>
            <w:r w:rsidRPr="00DF1884">
              <w:rPr>
                <w:i/>
              </w:rPr>
              <w:t>Method</w:t>
            </w:r>
            <w:r w:rsidRPr="00DF1884">
              <w:t>:</w:t>
            </w:r>
            <w:r w:rsidR="00DF1884" w:rsidRPr="00DF1884">
              <w:t xml:space="preserve"> </w:t>
            </w:r>
            <w:r w:rsidRPr="00DF1884">
              <w:t>Numerator</w:t>
            </w:r>
            <w:r w:rsidR="00DF1884" w:rsidRPr="00DF1884">
              <w:t xml:space="preserve"> </w:t>
            </w:r>
            <w:r w:rsidRPr="00DF1884">
              <w:t>events</w:t>
            </w:r>
            <w:r w:rsidR="00DF1884" w:rsidRPr="00DF1884">
              <w:t xml:space="preserve"> </w:t>
            </w:r>
            <w:r w:rsidRPr="00DF1884">
              <w:t>by</w:t>
            </w:r>
            <w:r w:rsidR="00DF1884" w:rsidRPr="00DF1884">
              <w:t xml:space="preserve"> </w:t>
            </w:r>
            <w:r w:rsidRPr="00DF1884">
              <w:t>administrative</w:t>
            </w:r>
            <w:r w:rsidR="00DF1884" w:rsidRPr="00DF1884">
              <w:t xml:space="preserve"> </w:t>
            </w:r>
            <w:r w:rsidRPr="00DF1884">
              <w:t>data</w:t>
            </w:r>
            <w:r w:rsidR="00DF1884" w:rsidRPr="00DF1884">
              <w:t xml:space="preserve"> </w:t>
            </w:r>
            <w:r w:rsidRPr="00DF1884">
              <w:t>+</w:t>
            </w:r>
            <w:r w:rsidR="00DF1884" w:rsidRPr="00DF1884">
              <w:t xml:space="preserve"> </w:t>
            </w:r>
            <w:r w:rsidRPr="00DF1884">
              <w:t>numerator</w:t>
            </w:r>
            <w:r w:rsidR="00DF1884" w:rsidRPr="00DF1884">
              <w:t xml:space="preserve"> </w:t>
            </w:r>
            <w:r w:rsidRPr="00DF1884">
              <w:t>events</w:t>
            </w:r>
            <w:r w:rsidR="00DF1884" w:rsidRPr="00DF1884">
              <w:t xml:space="preserve"> </w:t>
            </w:r>
            <w:r w:rsidRPr="00DF1884">
              <w:t>by</w:t>
            </w:r>
            <w:r w:rsidR="00DF1884" w:rsidRPr="00DF1884">
              <w:t xml:space="preserve"> </w:t>
            </w:r>
            <w:r w:rsidRPr="00DF1884">
              <w:t>medical</w:t>
            </w:r>
            <w:r w:rsidR="00DF1884" w:rsidRPr="00DF1884">
              <w:t xml:space="preserve"> </w:t>
            </w:r>
            <w:r w:rsidRPr="00DF1884">
              <w:t>records/denominator.</w:t>
            </w:r>
            <w:r w:rsidR="00DF1884" w:rsidRPr="00DF1884">
              <w:t xml:space="preserve"> </w:t>
            </w:r>
          </w:p>
        </w:tc>
      </w:tr>
      <w:tr w:rsidR="00463667" w:rsidRPr="00DF1884" w14:paraId="53F05A85" w14:textId="77777777" w:rsidTr="00C56CA6">
        <w:tc>
          <w:tcPr>
            <w:tcW w:w="3632" w:type="dxa"/>
            <w:tcBorders>
              <w:top w:val="single" w:sz="6" w:space="0" w:color="auto"/>
              <w:left w:val="single" w:sz="6" w:space="0" w:color="auto"/>
              <w:bottom w:val="single" w:sz="6" w:space="0" w:color="auto"/>
              <w:right w:val="single" w:sz="6" w:space="0" w:color="auto"/>
            </w:tcBorders>
            <w:shd w:val="clear" w:color="auto" w:fill="FFFFFF" w:themeFill="background1"/>
          </w:tcPr>
          <w:p w14:paraId="0D925978" w14:textId="3A2109B4" w:rsidR="00463667" w:rsidRPr="00DF1884" w:rsidRDefault="00463667" w:rsidP="00C56CA6">
            <w:pPr>
              <w:pStyle w:val="TableText"/>
            </w:pPr>
            <w:r w:rsidRPr="00DF1884">
              <w:t>Lower</w:t>
            </w:r>
            <w:r w:rsidR="00DF1884" w:rsidRPr="00DF1884">
              <w:t xml:space="preserve"> </w:t>
            </w:r>
            <w:r w:rsidRPr="00DF1884">
              <w:t>95%</w:t>
            </w:r>
            <w:r w:rsidR="00DF1884" w:rsidRPr="00DF1884">
              <w:t xml:space="preserve"> </w:t>
            </w:r>
            <w:r w:rsidRPr="00DF1884">
              <w:t>confidence</w:t>
            </w:r>
            <w:r w:rsidR="00DF1884" w:rsidRPr="00DF1884">
              <w:t xml:space="preserve"> </w:t>
            </w:r>
            <w:r w:rsidRPr="00DF1884">
              <w:t>interval</w:t>
            </w:r>
          </w:p>
        </w:tc>
        <w:tc>
          <w:tcPr>
            <w:tcW w:w="868" w:type="dxa"/>
            <w:tcBorders>
              <w:top w:val="single" w:sz="6" w:space="0" w:color="auto"/>
              <w:left w:val="single" w:sz="6" w:space="0" w:color="auto"/>
              <w:bottom w:val="single" w:sz="6" w:space="0" w:color="auto"/>
              <w:right w:val="single" w:sz="6" w:space="0" w:color="auto"/>
            </w:tcBorders>
            <w:shd w:val="clear" w:color="auto" w:fill="FFFFFF" w:themeFill="background1"/>
          </w:tcPr>
          <w:p w14:paraId="427F1B73"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810" w:type="dxa"/>
            <w:tcBorders>
              <w:top w:val="single" w:sz="6" w:space="0" w:color="auto"/>
              <w:left w:val="single" w:sz="6" w:space="0" w:color="auto"/>
              <w:bottom w:val="single" w:sz="6" w:space="0" w:color="auto"/>
              <w:right w:val="single" w:sz="6" w:space="0" w:color="auto"/>
            </w:tcBorders>
            <w:shd w:val="clear" w:color="auto" w:fill="FFFFFF" w:themeFill="background1"/>
          </w:tcPr>
          <w:p w14:paraId="214CCFDD"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990" w:type="dxa"/>
            <w:tcBorders>
              <w:top w:val="single" w:sz="6" w:space="0" w:color="auto"/>
              <w:left w:val="single" w:sz="6" w:space="0" w:color="auto"/>
              <w:bottom w:val="single" w:sz="6" w:space="0" w:color="auto"/>
              <w:right w:val="single" w:sz="6" w:space="0" w:color="auto"/>
            </w:tcBorders>
            <w:shd w:val="clear" w:color="auto" w:fill="FFFFFF" w:themeFill="background1"/>
          </w:tcPr>
          <w:p w14:paraId="1ACF16E5" w14:textId="77777777" w:rsidR="00463667" w:rsidRPr="00DF1884" w:rsidRDefault="00463667" w:rsidP="00C56CA6">
            <w:pPr>
              <w:pStyle w:val="TableText"/>
              <w:jc w:val="center"/>
              <w:rPr>
                <w:sz w:val="24"/>
                <w:szCs w:val="24"/>
              </w:rPr>
            </w:pPr>
          </w:p>
        </w:tc>
        <w:tc>
          <w:tcPr>
            <w:tcW w:w="702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14:paraId="15AE1F38" w14:textId="49AA1A07" w:rsidR="00463667" w:rsidRPr="00DF1884" w:rsidRDefault="00463667" w:rsidP="00C56CA6">
            <w:pPr>
              <w:pStyle w:val="TableText"/>
            </w:pPr>
            <w:r w:rsidRPr="00DF1884">
              <w:t>The</w:t>
            </w:r>
            <w:r w:rsidR="00DF1884" w:rsidRPr="00DF1884">
              <w:t xml:space="preserve"> </w:t>
            </w:r>
            <w:r w:rsidRPr="00DF1884">
              <w:t>organization</w:t>
            </w:r>
            <w:r w:rsidR="00DF1884" w:rsidRPr="00DF1884">
              <w:t xml:space="preserve"> </w:t>
            </w:r>
            <w:r w:rsidRPr="00DF1884">
              <w:t>is</w:t>
            </w:r>
            <w:r w:rsidR="00DF1884" w:rsidRPr="00DF1884">
              <w:t xml:space="preserve"> </w:t>
            </w:r>
            <w:r w:rsidRPr="00DF1884">
              <w:t>95%</w:t>
            </w:r>
            <w:r w:rsidR="00DF1884" w:rsidRPr="00DF1884">
              <w:t xml:space="preserve"> </w:t>
            </w:r>
            <w:r w:rsidRPr="00DF1884">
              <w:t>sure</w:t>
            </w:r>
            <w:r w:rsidR="00DF1884" w:rsidRPr="00DF1884">
              <w:t xml:space="preserve"> </w:t>
            </w:r>
            <w:r w:rsidRPr="00DF1884">
              <w:t>that</w:t>
            </w:r>
            <w:r w:rsidR="00DF1884" w:rsidRPr="00DF1884">
              <w:t xml:space="preserve"> </w:t>
            </w:r>
            <w:r w:rsidRPr="00DF1884">
              <w:t>the</w:t>
            </w:r>
            <w:r w:rsidR="00DF1884" w:rsidRPr="00DF1884">
              <w:t xml:space="preserve"> </w:t>
            </w:r>
            <w:r w:rsidRPr="00DF1884">
              <w:t>reported</w:t>
            </w:r>
            <w:r w:rsidR="00DF1884" w:rsidRPr="00DF1884">
              <w:t xml:space="preserve"> </w:t>
            </w:r>
            <w:r w:rsidRPr="00DF1884">
              <w:t>rate</w:t>
            </w:r>
            <w:r w:rsidR="00DF1884" w:rsidRPr="00DF1884">
              <w:t xml:space="preserve"> </w:t>
            </w:r>
            <w:r w:rsidRPr="00DF1884">
              <w:t>falls</w:t>
            </w:r>
            <w:r w:rsidR="00DF1884" w:rsidRPr="00DF1884">
              <w:t xml:space="preserve"> </w:t>
            </w:r>
            <w:r w:rsidRPr="00DF1884">
              <w:t>between</w:t>
            </w:r>
            <w:r w:rsidR="00DF1884" w:rsidRPr="00DF1884">
              <w:t xml:space="preserve"> </w:t>
            </w:r>
            <w:r w:rsidRPr="00DF1884">
              <w:t>this</w:t>
            </w:r>
            <w:r w:rsidR="00DF1884" w:rsidRPr="00DF1884">
              <w:t xml:space="preserve"> </w:t>
            </w:r>
            <w:r w:rsidRPr="00DF1884">
              <w:t>lower</w:t>
            </w:r>
            <w:r w:rsidR="00DF1884" w:rsidRPr="00DF1884">
              <w:t xml:space="preserve"> </w:t>
            </w:r>
            <w:r w:rsidRPr="00DF1884">
              <w:t>rate</w:t>
            </w:r>
            <w:r w:rsidR="00DF1884" w:rsidRPr="00DF1884">
              <w:t xml:space="preserve"> </w:t>
            </w:r>
            <w:r w:rsidRPr="00DF1884">
              <w:t>and</w:t>
            </w:r>
            <w:r w:rsidR="00DF1884" w:rsidRPr="00DF1884">
              <w:t xml:space="preserve"> </w:t>
            </w:r>
            <w:r w:rsidRPr="00DF1884">
              <w:t>the</w:t>
            </w:r>
            <w:r w:rsidR="00DF1884" w:rsidRPr="00DF1884">
              <w:t xml:space="preserve"> </w:t>
            </w:r>
            <w:r w:rsidRPr="00DF1884">
              <w:t>upper</w:t>
            </w:r>
            <w:r w:rsidR="00DF1884" w:rsidRPr="00DF1884">
              <w:t xml:space="preserve"> </w:t>
            </w:r>
            <w:r w:rsidRPr="00DF1884">
              <w:t>confidence</w:t>
            </w:r>
            <w:r w:rsidR="00DF1884" w:rsidRPr="00DF1884">
              <w:t xml:space="preserve"> </w:t>
            </w:r>
            <w:r w:rsidRPr="00DF1884">
              <w:t>interval.</w:t>
            </w:r>
            <w:r w:rsidR="00DF1884" w:rsidRPr="00DF1884">
              <w:t xml:space="preserve"> </w:t>
            </w:r>
            <w:r w:rsidRPr="00DF1884">
              <w:t>This</w:t>
            </w:r>
            <w:r w:rsidR="00DF1884" w:rsidRPr="00DF1884">
              <w:t xml:space="preserve"> </w:t>
            </w:r>
            <w:r w:rsidRPr="00DF1884">
              <w:t>is</w:t>
            </w:r>
            <w:r w:rsidR="00DF1884" w:rsidRPr="00DF1884">
              <w:t xml:space="preserve"> </w:t>
            </w:r>
            <w:r w:rsidRPr="00DF1884">
              <w:t>a</w:t>
            </w:r>
            <w:r w:rsidR="00DF1884" w:rsidRPr="00DF1884">
              <w:t xml:space="preserve"> </w:t>
            </w:r>
            <w:r w:rsidRPr="00DF1884">
              <w:t>calculated</w:t>
            </w:r>
            <w:r w:rsidR="00DF1884" w:rsidRPr="00DF1884">
              <w:t xml:space="preserve"> </w:t>
            </w:r>
            <w:r w:rsidRPr="00DF1884">
              <w:t>field</w:t>
            </w:r>
            <w:r w:rsidR="00DF1884" w:rsidRPr="00DF1884">
              <w:t xml:space="preserve"> </w:t>
            </w:r>
            <w:r w:rsidRPr="00DF1884">
              <w:t>in</w:t>
            </w:r>
            <w:r w:rsidR="00DF1884" w:rsidRPr="00DF1884">
              <w:t xml:space="preserve"> </w:t>
            </w:r>
            <w:r w:rsidRPr="00DF1884">
              <w:t>IDSS.</w:t>
            </w:r>
          </w:p>
        </w:tc>
      </w:tr>
      <w:tr w:rsidR="00463667" w:rsidRPr="00DF1884" w14:paraId="42DD8623" w14:textId="77777777" w:rsidTr="00C56CA6">
        <w:tc>
          <w:tcPr>
            <w:tcW w:w="363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6CD7C7A" w14:textId="52D91C45" w:rsidR="00463667" w:rsidRPr="00DF1884" w:rsidRDefault="00463667" w:rsidP="00C56CA6">
            <w:pPr>
              <w:pStyle w:val="TableText"/>
            </w:pPr>
            <w:r w:rsidRPr="00DF1884">
              <w:t>Upper</w:t>
            </w:r>
            <w:r w:rsidR="00DF1884" w:rsidRPr="00DF1884">
              <w:t xml:space="preserve"> </w:t>
            </w:r>
            <w:r w:rsidRPr="00DF1884">
              <w:t>95%</w:t>
            </w:r>
            <w:r w:rsidR="00DF1884" w:rsidRPr="00DF1884">
              <w:t xml:space="preserve"> </w:t>
            </w:r>
            <w:r w:rsidRPr="00DF1884">
              <w:t>confidence</w:t>
            </w:r>
            <w:r w:rsidR="00DF1884" w:rsidRPr="00DF1884">
              <w:t xml:space="preserve"> </w:t>
            </w:r>
            <w:r w:rsidRPr="00DF1884">
              <w:t>interval</w:t>
            </w:r>
          </w:p>
        </w:tc>
        <w:tc>
          <w:tcPr>
            <w:tcW w:w="8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42D3E31"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81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6B7D0E3"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9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4D594AB" w14:textId="77777777" w:rsidR="00463667" w:rsidRPr="00DF1884" w:rsidRDefault="00463667" w:rsidP="00C56CA6">
            <w:pPr>
              <w:pStyle w:val="TableText"/>
              <w:jc w:val="center"/>
              <w:rPr>
                <w:sz w:val="24"/>
                <w:szCs w:val="24"/>
              </w:rPr>
            </w:pPr>
          </w:p>
        </w:tc>
        <w:tc>
          <w:tcPr>
            <w:tcW w:w="702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0B535CC" w14:textId="5A803DFC" w:rsidR="00463667" w:rsidRPr="00DF1884" w:rsidRDefault="00463667" w:rsidP="00C56CA6">
            <w:pPr>
              <w:pStyle w:val="TableText"/>
            </w:pPr>
            <w:r w:rsidRPr="00DF1884">
              <w:t>The</w:t>
            </w:r>
            <w:r w:rsidR="00DF1884" w:rsidRPr="00DF1884">
              <w:t xml:space="preserve"> </w:t>
            </w:r>
            <w:r w:rsidRPr="00DF1884">
              <w:t>organization</w:t>
            </w:r>
            <w:r w:rsidR="00DF1884" w:rsidRPr="00DF1884">
              <w:t xml:space="preserve"> </w:t>
            </w:r>
            <w:r w:rsidRPr="00DF1884">
              <w:t>is</w:t>
            </w:r>
            <w:r w:rsidR="00DF1884" w:rsidRPr="00DF1884">
              <w:t xml:space="preserve"> </w:t>
            </w:r>
            <w:r w:rsidRPr="00DF1884">
              <w:t>95%</w:t>
            </w:r>
            <w:r w:rsidR="00DF1884" w:rsidRPr="00DF1884">
              <w:t xml:space="preserve"> </w:t>
            </w:r>
            <w:r w:rsidRPr="00DF1884">
              <w:t>sure</w:t>
            </w:r>
            <w:r w:rsidR="00DF1884" w:rsidRPr="00DF1884">
              <w:t xml:space="preserve"> </w:t>
            </w:r>
            <w:r w:rsidRPr="00DF1884">
              <w:t>that</w:t>
            </w:r>
            <w:r w:rsidR="00DF1884" w:rsidRPr="00DF1884">
              <w:t xml:space="preserve"> </w:t>
            </w:r>
            <w:r w:rsidRPr="00DF1884">
              <w:t>the</w:t>
            </w:r>
            <w:r w:rsidR="00DF1884" w:rsidRPr="00DF1884">
              <w:t xml:space="preserve"> </w:t>
            </w:r>
            <w:r w:rsidRPr="00DF1884">
              <w:t>reported</w:t>
            </w:r>
            <w:r w:rsidR="00DF1884" w:rsidRPr="00DF1884">
              <w:t xml:space="preserve"> </w:t>
            </w:r>
            <w:r w:rsidRPr="00DF1884">
              <w:t>rate</w:t>
            </w:r>
            <w:r w:rsidR="00DF1884" w:rsidRPr="00DF1884">
              <w:t xml:space="preserve"> </w:t>
            </w:r>
            <w:r w:rsidRPr="00DF1884">
              <w:t>falls</w:t>
            </w:r>
            <w:r w:rsidR="00DF1884" w:rsidRPr="00DF1884">
              <w:t xml:space="preserve"> </w:t>
            </w:r>
            <w:r w:rsidRPr="00DF1884">
              <w:t>between</w:t>
            </w:r>
            <w:r w:rsidR="00DF1884" w:rsidRPr="00DF1884">
              <w:t xml:space="preserve"> </w:t>
            </w:r>
            <w:r w:rsidRPr="00DF1884">
              <w:t>this</w:t>
            </w:r>
            <w:r w:rsidR="00DF1884" w:rsidRPr="00DF1884">
              <w:t xml:space="preserve"> </w:t>
            </w:r>
            <w:r w:rsidRPr="00DF1884">
              <w:t>higher</w:t>
            </w:r>
            <w:r w:rsidR="00DF1884" w:rsidRPr="00DF1884">
              <w:t xml:space="preserve"> </w:t>
            </w:r>
            <w:r w:rsidRPr="00DF1884">
              <w:t>rate</w:t>
            </w:r>
            <w:r w:rsidR="00DF1884" w:rsidRPr="00DF1884">
              <w:t xml:space="preserve"> </w:t>
            </w:r>
            <w:r w:rsidRPr="00DF1884">
              <w:t>and</w:t>
            </w:r>
            <w:r w:rsidR="00DF1884" w:rsidRPr="00DF1884">
              <w:t xml:space="preserve"> </w:t>
            </w:r>
            <w:r w:rsidRPr="00DF1884">
              <w:t>the</w:t>
            </w:r>
            <w:r w:rsidR="00DF1884" w:rsidRPr="00DF1884">
              <w:t xml:space="preserve"> </w:t>
            </w:r>
            <w:r w:rsidRPr="00DF1884">
              <w:t>lower</w:t>
            </w:r>
            <w:r w:rsidR="00DF1884" w:rsidRPr="00DF1884">
              <w:t xml:space="preserve"> </w:t>
            </w:r>
            <w:r w:rsidRPr="00DF1884">
              <w:t>confidence</w:t>
            </w:r>
            <w:r w:rsidR="00DF1884" w:rsidRPr="00DF1884">
              <w:t xml:space="preserve"> </w:t>
            </w:r>
            <w:r w:rsidRPr="00DF1884">
              <w:t>interval.</w:t>
            </w:r>
            <w:r w:rsidR="00DF1884" w:rsidRPr="00DF1884">
              <w:t xml:space="preserve"> </w:t>
            </w:r>
            <w:r w:rsidRPr="00DF1884">
              <w:t>This</w:t>
            </w:r>
            <w:r w:rsidR="00DF1884" w:rsidRPr="00DF1884">
              <w:t xml:space="preserve"> </w:t>
            </w:r>
            <w:r w:rsidRPr="00DF1884">
              <w:t>is</w:t>
            </w:r>
            <w:r w:rsidR="00DF1884" w:rsidRPr="00DF1884">
              <w:t xml:space="preserve"> </w:t>
            </w:r>
            <w:r w:rsidRPr="00DF1884">
              <w:t>a</w:t>
            </w:r>
            <w:r w:rsidR="00DF1884" w:rsidRPr="00DF1884">
              <w:t xml:space="preserve"> </w:t>
            </w:r>
            <w:r w:rsidRPr="00DF1884">
              <w:t>calculated</w:t>
            </w:r>
            <w:r w:rsidR="00DF1884" w:rsidRPr="00DF1884">
              <w:t xml:space="preserve"> </w:t>
            </w:r>
            <w:r w:rsidRPr="00DF1884">
              <w:t>field</w:t>
            </w:r>
            <w:r w:rsidR="00DF1884" w:rsidRPr="00DF1884">
              <w:t xml:space="preserve"> </w:t>
            </w:r>
            <w:r w:rsidRPr="00DF1884">
              <w:t>in</w:t>
            </w:r>
            <w:r w:rsidR="00DF1884" w:rsidRPr="00DF1884">
              <w:t xml:space="preserve"> </w:t>
            </w:r>
            <w:r w:rsidRPr="00DF1884">
              <w:t>IDSS.</w:t>
            </w:r>
          </w:p>
        </w:tc>
      </w:tr>
    </w:tbl>
    <w:p w14:paraId="476FBAF1" w14:textId="33FD2ED9" w:rsidR="00F47C09" w:rsidRPr="00DF1884" w:rsidRDefault="00463667" w:rsidP="00463667">
      <w:pPr>
        <w:pStyle w:val="TableText"/>
        <w:spacing w:before="120"/>
      </w:pPr>
      <w:r w:rsidRPr="00DF1884">
        <w:rPr>
          <w:b/>
        </w:rPr>
        <w:t>*</w:t>
      </w:r>
      <w:r w:rsidRPr="00DF1884">
        <w:t>Data</w:t>
      </w:r>
      <w:r w:rsidR="00DF1884" w:rsidRPr="00DF1884">
        <w:t xml:space="preserve"> </w:t>
      </w:r>
      <w:r w:rsidRPr="00DF1884">
        <w:t>element</w:t>
      </w:r>
      <w:r w:rsidR="00DF1884" w:rsidRPr="00DF1884">
        <w:t xml:space="preserve"> </w:t>
      </w:r>
      <w:r w:rsidRPr="00DF1884">
        <w:t>is</w:t>
      </w:r>
      <w:r w:rsidR="00DF1884" w:rsidRPr="00DF1884">
        <w:t xml:space="preserve"> </w:t>
      </w:r>
      <w:r w:rsidRPr="00DF1884">
        <w:t>optional.</w:t>
      </w:r>
    </w:p>
    <w:p w14:paraId="29BD7CD2" w14:textId="77777777" w:rsidR="00F47C09" w:rsidRPr="00DF1884" w:rsidRDefault="00F47C09" w:rsidP="00F47C09"/>
    <w:p w14:paraId="38DE555F" w14:textId="77777777" w:rsidR="00F47C09" w:rsidRPr="00DF1884" w:rsidRDefault="00F47C09" w:rsidP="00F47C09"/>
    <w:p w14:paraId="313BF5B6" w14:textId="7FE8EA19" w:rsidR="00F47C09" w:rsidRPr="00DF1884" w:rsidRDefault="00F47C09" w:rsidP="00F47C09">
      <w:pPr>
        <w:tabs>
          <w:tab w:val="left" w:pos="11255"/>
        </w:tabs>
      </w:pPr>
    </w:p>
    <w:p w14:paraId="225EFF2E" w14:textId="31705543" w:rsidR="00F47C09" w:rsidRPr="00DF1884" w:rsidRDefault="00F47C09" w:rsidP="00F47C09"/>
    <w:p w14:paraId="3D83C51B" w14:textId="77777777" w:rsidR="00463667" w:rsidRPr="00DF1884" w:rsidRDefault="00463667" w:rsidP="00F47C09">
      <w:pPr>
        <w:sectPr w:rsidR="00463667" w:rsidRPr="00DF1884" w:rsidSect="0039781B">
          <w:pgSz w:w="15840" w:h="12240" w:orient="landscape" w:code="1"/>
          <w:pgMar w:top="1080" w:right="1080" w:bottom="1080" w:left="1440" w:header="720" w:footer="720" w:gutter="0"/>
          <w:cols w:space="720"/>
        </w:sectPr>
      </w:pPr>
    </w:p>
    <w:p w14:paraId="246386C5" w14:textId="2464B468" w:rsidR="00463667" w:rsidRPr="00DF1884" w:rsidRDefault="00463667" w:rsidP="00463667">
      <w:pPr>
        <w:pStyle w:val="TableHeadNotCondensed"/>
        <w:spacing w:before="0"/>
      </w:pPr>
      <w:r w:rsidRPr="00DF1884">
        <w:lastRenderedPageBreak/>
        <w:t>Standard</w:t>
      </w:r>
      <w:r w:rsidR="00DF1884" w:rsidRPr="00DF1884">
        <w:t xml:space="preserve"> </w:t>
      </w:r>
      <w:r w:rsidRPr="00DF1884">
        <w:t>Administrative</w:t>
      </w:r>
      <w:r w:rsidR="00DF1884" w:rsidRPr="00DF1884">
        <w:t xml:space="preserve"> </w:t>
      </w:r>
      <w:r w:rsidRPr="00DF1884">
        <w:t>Data</w:t>
      </w:r>
      <w:r w:rsidR="00DF1884" w:rsidRPr="00DF1884">
        <w:t xml:space="preserve"> </w:t>
      </w:r>
      <w:r w:rsidRPr="00DF1884">
        <w:t>Element</w:t>
      </w:r>
      <w:r w:rsidR="00DF1884" w:rsidRPr="00DF1884">
        <w:t xml:space="preserve"> </w:t>
      </w:r>
      <w:r w:rsidRPr="00DF1884">
        <w:t>Table</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212"/>
        <w:gridCol w:w="2262"/>
      </w:tblGrid>
      <w:tr w:rsidR="00463667" w:rsidRPr="00DF1884" w14:paraId="49721375" w14:textId="77777777" w:rsidTr="00C56CA6">
        <w:tc>
          <w:tcPr>
            <w:tcW w:w="4212" w:type="dxa"/>
            <w:tcBorders>
              <w:top w:val="single" w:sz="6" w:space="0" w:color="auto"/>
              <w:left w:val="single" w:sz="6" w:space="0" w:color="auto"/>
              <w:bottom w:val="single" w:sz="6" w:space="0" w:color="auto"/>
              <w:right w:val="nil"/>
            </w:tcBorders>
            <w:shd w:val="clear" w:color="auto" w:fill="000000"/>
            <w:vAlign w:val="bottom"/>
          </w:tcPr>
          <w:p w14:paraId="1935F787" w14:textId="77777777" w:rsidR="00463667" w:rsidRPr="00DF1884" w:rsidRDefault="00463667" w:rsidP="00C56CA6">
            <w:pPr>
              <w:pStyle w:val="TableHead"/>
              <w:rPr>
                <w:color w:val="auto"/>
              </w:rPr>
            </w:pPr>
          </w:p>
        </w:tc>
        <w:tc>
          <w:tcPr>
            <w:tcW w:w="2262" w:type="dxa"/>
            <w:tcBorders>
              <w:top w:val="single" w:sz="6" w:space="0" w:color="auto"/>
              <w:left w:val="single" w:sz="6" w:space="0" w:color="FFFFFF"/>
              <w:bottom w:val="single" w:sz="6" w:space="0" w:color="auto"/>
              <w:right w:val="single" w:sz="4" w:space="0" w:color="auto"/>
            </w:tcBorders>
            <w:shd w:val="clear" w:color="auto" w:fill="000000"/>
            <w:vAlign w:val="bottom"/>
          </w:tcPr>
          <w:p w14:paraId="4665C637" w14:textId="77777777" w:rsidR="00463667" w:rsidRPr="00DF1884" w:rsidRDefault="00463667" w:rsidP="00C56CA6">
            <w:pPr>
              <w:pStyle w:val="TableHead"/>
              <w:rPr>
                <w:color w:val="auto"/>
              </w:rPr>
            </w:pPr>
            <w:r w:rsidRPr="00DF1884">
              <w:rPr>
                <w:color w:val="auto"/>
              </w:rPr>
              <w:t>Administrative</w:t>
            </w:r>
          </w:p>
        </w:tc>
      </w:tr>
      <w:tr w:rsidR="00463667" w:rsidRPr="00DF1884" w14:paraId="564A6D9B" w14:textId="77777777" w:rsidTr="00C56CA6">
        <w:tc>
          <w:tcPr>
            <w:tcW w:w="4212" w:type="dxa"/>
            <w:tcBorders>
              <w:top w:val="single" w:sz="6" w:space="0" w:color="auto"/>
              <w:left w:val="single" w:sz="6" w:space="0" w:color="auto"/>
              <w:bottom w:val="single" w:sz="6" w:space="0" w:color="auto"/>
              <w:right w:val="single" w:sz="6" w:space="0" w:color="auto"/>
            </w:tcBorders>
            <w:shd w:val="clear" w:color="auto" w:fill="auto"/>
          </w:tcPr>
          <w:p w14:paraId="3861436D" w14:textId="634A5F0E" w:rsidR="00463667" w:rsidRPr="00DF1884" w:rsidRDefault="00463667" w:rsidP="00C56CA6">
            <w:pPr>
              <w:pStyle w:val="TableText"/>
            </w:pPr>
            <w:r w:rsidRPr="00DF1884">
              <w:t>Measurement</w:t>
            </w:r>
            <w:r w:rsidR="00DF1884" w:rsidRPr="00DF1884">
              <w:t xml:space="preserve"> </w:t>
            </w:r>
            <w:r w:rsidRPr="00DF1884">
              <w:t>year</w:t>
            </w:r>
          </w:p>
        </w:tc>
        <w:tc>
          <w:tcPr>
            <w:tcW w:w="2262" w:type="dxa"/>
            <w:tcBorders>
              <w:top w:val="single" w:sz="6" w:space="0" w:color="auto"/>
              <w:left w:val="single" w:sz="6" w:space="0" w:color="auto"/>
              <w:bottom w:val="single" w:sz="6" w:space="0" w:color="auto"/>
              <w:right w:val="single" w:sz="6" w:space="0" w:color="auto"/>
            </w:tcBorders>
            <w:shd w:val="clear" w:color="auto" w:fill="auto"/>
            <w:vAlign w:val="center"/>
          </w:tcPr>
          <w:p w14:paraId="066470DC" w14:textId="77777777" w:rsidR="00463667" w:rsidRPr="00DF1884" w:rsidRDefault="00463667" w:rsidP="00C56CA6">
            <w:pPr>
              <w:pStyle w:val="TableText"/>
              <w:jc w:val="center"/>
              <w:rPr>
                <w:rFonts w:cs="Arial"/>
                <w:sz w:val="24"/>
              </w:rPr>
            </w:pPr>
            <w:r w:rsidRPr="00DF1884">
              <w:rPr>
                <w:rFonts w:cs="Arial"/>
                <w:sz w:val="24"/>
              </w:rPr>
              <w:sym w:font="Wingdings" w:char="F0FC"/>
            </w:r>
          </w:p>
        </w:tc>
      </w:tr>
      <w:tr w:rsidR="00463667" w:rsidRPr="00DF1884" w14:paraId="5B8AD5DD" w14:textId="77777777" w:rsidTr="00C56CA6">
        <w:tc>
          <w:tcPr>
            <w:tcW w:w="421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05BAA4E" w14:textId="569B5585" w:rsidR="00463667" w:rsidRPr="00DF1884" w:rsidRDefault="00463667" w:rsidP="00C56CA6">
            <w:pPr>
              <w:pStyle w:val="TableText"/>
            </w:pPr>
            <w:r w:rsidRPr="00DF1884">
              <w:t>Data</w:t>
            </w:r>
            <w:r w:rsidR="00DF1884" w:rsidRPr="00DF1884">
              <w:t xml:space="preserve"> </w:t>
            </w:r>
            <w:r w:rsidRPr="00DF1884">
              <w:t>collection</w:t>
            </w:r>
            <w:r w:rsidR="00DF1884" w:rsidRPr="00DF1884">
              <w:t xml:space="preserve"> </w:t>
            </w:r>
            <w:r w:rsidRPr="00DF1884">
              <w:t>methodology</w:t>
            </w:r>
            <w:r w:rsidR="00DF1884" w:rsidRPr="00DF1884">
              <w:t xml:space="preserve"> </w:t>
            </w:r>
            <w:r w:rsidRPr="00DF1884">
              <w:t>(Administrative)</w:t>
            </w:r>
          </w:p>
        </w:tc>
        <w:tc>
          <w:tcPr>
            <w:tcW w:w="2262"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7A12164" w14:textId="77777777" w:rsidR="00463667" w:rsidRPr="00DF1884" w:rsidRDefault="00463667" w:rsidP="00C56CA6">
            <w:pPr>
              <w:pStyle w:val="TableText"/>
              <w:jc w:val="center"/>
              <w:rPr>
                <w:rFonts w:cs="Arial"/>
                <w:sz w:val="24"/>
              </w:rPr>
            </w:pPr>
            <w:r w:rsidRPr="00DF1884">
              <w:rPr>
                <w:rFonts w:cs="Arial"/>
                <w:sz w:val="24"/>
              </w:rPr>
              <w:sym w:font="Wingdings" w:char="F0FC"/>
            </w:r>
          </w:p>
        </w:tc>
      </w:tr>
      <w:tr w:rsidR="00463667" w:rsidRPr="00DF1884" w14:paraId="50D8A5D2" w14:textId="77777777" w:rsidTr="00C56CA6">
        <w:tc>
          <w:tcPr>
            <w:tcW w:w="4212" w:type="dxa"/>
            <w:tcBorders>
              <w:top w:val="single" w:sz="6" w:space="0" w:color="auto"/>
              <w:left w:val="single" w:sz="6" w:space="0" w:color="auto"/>
              <w:bottom w:val="single" w:sz="6" w:space="0" w:color="auto"/>
              <w:right w:val="single" w:sz="6" w:space="0" w:color="auto"/>
            </w:tcBorders>
            <w:shd w:val="clear" w:color="auto" w:fill="auto"/>
          </w:tcPr>
          <w:p w14:paraId="783B7405" w14:textId="2C2D88B9" w:rsidR="00463667" w:rsidRPr="00DF1884" w:rsidRDefault="00463667" w:rsidP="00C56CA6">
            <w:pPr>
              <w:pStyle w:val="TableText"/>
            </w:pPr>
            <w:r w:rsidRPr="00DF1884">
              <w:t>Eligible</w:t>
            </w:r>
            <w:r w:rsidR="00DF1884" w:rsidRPr="00DF1884">
              <w:t xml:space="preserve"> </w:t>
            </w:r>
            <w:r w:rsidRPr="00DF1884">
              <w:t>population</w:t>
            </w:r>
            <w:r w:rsidR="00DF1884" w:rsidRPr="00DF1884">
              <w:t xml:space="preserve"> </w:t>
            </w:r>
          </w:p>
        </w:tc>
        <w:tc>
          <w:tcPr>
            <w:tcW w:w="2262" w:type="dxa"/>
            <w:tcBorders>
              <w:top w:val="single" w:sz="6" w:space="0" w:color="auto"/>
              <w:left w:val="single" w:sz="6" w:space="0" w:color="auto"/>
              <w:bottom w:val="single" w:sz="6" w:space="0" w:color="auto"/>
              <w:right w:val="single" w:sz="6" w:space="0" w:color="auto"/>
            </w:tcBorders>
            <w:shd w:val="clear" w:color="auto" w:fill="auto"/>
            <w:vAlign w:val="center"/>
          </w:tcPr>
          <w:p w14:paraId="1BDEE3DF" w14:textId="77777777" w:rsidR="00463667" w:rsidRPr="00DF1884" w:rsidRDefault="00463667" w:rsidP="00C56CA6">
            <w:pPr>
              <w:pStyle w:val="TableText"/>
              <w:jc w:val="center"/>
              <w:rPr>
                <w:rFonts w:cs="Arial"/>
                <w:sz w:val="24"/>
              </w:rPr>
            </w:pPr>
            <w:r w:rsidRPr="00DF1884">
              <w:rPr>
                <w:rFonts w:cs="Arial"/>
                <w:sz w:val="24"/>
              </w:rPr>
              <w:sym w:font="Wingdings" w:char="F0FC"/>
            </w:r>
          </w:p>
        </w:tc>
      </w:tr>
      <w:tr w:rsidR="00463667" w:rsidRPr="00DF1884" w:rsidDel="002C0E52" w14:paraId="00351B40" w14:textId="77777777" w:rsidTr="00C56CA6">
        <w:tc>
          <w:tcPr>
            <w:tcW w:w="421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25E51E4" w14:textId="6A70E498" w:rsidR="00463667" w:rsidRPr="00DF1884" w:rsidDel="002C0E52" w:rsidRDefault="00463667" w:rsidP="00C56CA6">
            <w:pPr>
              <w:pStyle w:val="TableText"/>
            </w:pPr>
            <w:r w:rsidRPr="00DF1884">
              <w:t>Number</w:t>
            </w:r>
            <w:r w:rsidR="00DF1884" w:rsidRPr="00DF1884">
              <w:t xml:space="preserve"> </w:t>
            </w:r>
            <w:r w:rsidRPr="00DF1884">
              <w:t>of</w:t>
            </w:r>
            <w:r w:rsidR="00DF1884" w:rsidRPr="00DF1884">
              <w:t xml:space="preserve"> </w:t>
            </w:r>
            <w:r w:rsidRPr="00DF1884">
              <w:t>optional</w:t>
            </w:r>
            <w:r w:rsidR="00DF1884" w:rsidRPr="00DF1884">
              <w:t xml:space="preserve"> </w:t>
            </w:r>
            <w:r w:rsidRPr="00DF1884">
              <w:t>exclusions</w:t>
            </w:r>
          </w:p>
        </w:tc>
        <w:tc>
          <w:tcPr>
            <w:tcW w:w="2262"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7786130" w14:textId="77777777" w:rsidR="00463667" w:rsidRPr="00DF1884" w:rsidDel="002C0E52" w:rsidRDefault="00463667" w:rsidP="00C56CA6">
            <w:pPr>
              <w:pStyle w:val="TableText"/>
              <w:jc w:val="center"/>
              <w:rPr>
                <w:rFonts w:cs="Arial"/>
                <w:sz w:val="24"/>
              </w:rPr>
            </w:pPr>
            <w:r w:rsidRPr="00DF1884">
              <w:rPr>
                <w:rFonts w:cs="Arial"/>
                <w:sz w:val="24"/>
              </w:rPr>
              <w:sym w:font="Wingdings" w:char="F0FC"/>
            </w:r>
          </w:p>
        </w:tc>
      </w:tr>
      <w:tr w:rsidR="00463667" w:rsidRPr="00DF1884" w:rsidDel="002C0E52" w14:paraId="200BE17E" w14:textId="77777777" w:rsidTr="00C56CA6">
        <w:tc>
          <w:tcPr>
            <w:tcW w:w="4212" w:type="dxa"/>
            <w:tcBorders>
              <w:top w:val="single" w:sz="6" w:space="0" w:color="auto"/>
              <w:left w:val="single" w:sz="6" w:space="0" w:color="auto"/>
              <w:bottom w:val="single" w:sz="6" w:space="0" w:color="auto"/>
              <w:right w:val="single" w:sz="6" w:space="0" w:color="auto"/>
            </w:tcBorders>
            <w:shd w:val="clear" w:color="auto" w:fill="auto"/>
          </w:tcPr>
          <w:p w14:paraId="10630B31" w14:textId="01905777" w:rsidR="00463667" w:rsidRPr="00DF1884" w:rsidDel="002C0E52" w:rsidRDefault="00463667" w:rsidP="00C56CA6">
            <w:pPr>
              <w:pStyle w:val="TableText"/>
            </w:pPr>
            <w:r w:rsidRPr="00DF1884">
              <w:t>Number</w:t>
            </w:r>
            <w:r w:rsidR="00DF1884" w:rsidRPr="00DF1884">
              <w:t xml:space="preserve"> </w:t>
            </w:r>
            <w:r w:rsidRPr="00DF1884">
              <w:t>of</w:t>
            </w:r>
            <w:r w:rsidR="00DF1884" w:rsidRPr="00DF1884">
              <w:t xml:space="preserve"> </w:t>
            </w:r>
            <w:r w:rsidRPr="00DF1884">
              <w:t>required</w:t>
            </w:r>
            <w:r w:rsidR="00DF1884" w:rsidRPr="00DF1884">
              <w:t xml:space="preserve"> </w:t>
            </w:r>
            <w:r w:rsidRPr="00DF1884">
              <w:t>exclusions</w:t>
            </w:r>
          </w:p>
        </w:tc>
        <w:tc>
          <w:tcPr>
            <w:tcW w:w="2262" w:type="dxa"/>
            <w:tcBorders>
              <w:top w:val="single" w:sz="6" w:space="0" w:color="auto"/>
              <w:left w:val="single" w:sz="6" w:space="0" w:color="auto"/>
              <w:bottom w:val="single" w:sz="6" w:space="0" w:color="auto"/>
              <w:right w:val="single" w:sz="6" w:space="0" w:color="auto"/>
            </w:tcBorders>
            <w:shd w:val="clear" w:color="auto" w:fill="auto"/>
            <w:vAlign w:val="center"/>
          </w:tcPr>
          <w:p w14:paraId="42B11F55" w14:textId="77777777" w:rsidR="00463667" w:rsidRPr="00DF1884" w:rsidDel="002C0E52" w:rsidRDefault="00463667" w:rsidP="00C56CA6">
            <w:pPr>
              <w:pStyle w:val="TableText"/>
              <w:jc w:val="center"/>
              <w:rPr>
                <w:rFonts w:cs="Arial"/>
                <w:sz w:val="24"/>
              </w:rPr>
            </w:pPr>
            <w:r w:rsidRPr="00DF1884">
              <w:rPr>
                <w:rFonts w:cs="Arial"/>
                <w:sz w:val="24"/>
              </w:rPr>
              <w:sym w:font="Wingdings" w:char="F0FC"/>
            </w:r>
          </w:p>
        </w:tc>
      </w:tr>
      <w:tr w:rsidR="00463667" w:rsidRPr="00DF1884" w14:paraId="1CE757B5" w14:textId="77777777" w:rsidTr="00C56CA6">
        <w:tc>
          <w:tcPr>
            <w:tcW w:w="421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2D6741F" w14:textId="4F00C3D5" w:rsidR="00463667" w:rsidRPr="00DF1884" w:rsidRDefault="00463667" w:rsidP="00C56CA6">
            <w:pPr>
              <w:pStyle w:val="TableText"/>
            </w:pPr>
            <w:r w:rsidRPr="00DF1884">
              <w:t>Numerator</w:t>
            </w:r>
            <w:r w:rsidR="00DF1884" w:rsidRPr="00DF1884">
              <w:t xml:space="preserve"> </w:t>
            </w:r>
            <w:r w:rsidRPr="00DF1884">
              <w:t>events</w:t>
            </w:r>
            <w:r w:rsidR="00DF1884" w:rsidRPr="00DF1884">
              <w:t xml:space="preserve"> </w:t>
            </w:r>
            <w:r w:rsidRPr="00DF1884">
              <w:t>by</w:t>
            </w:r>
            <w:r w:rsidR="00DF1884" w:rsidRPr="00DF1884">
              <w:t xml:space="preserve"> </w:t>
            </w:r>
            <w:r w:rsidRPr="00DF1884">
              <w:t>administrative</w:t>
            </w:r>
            <w:r w:rsidR="00DF1884" w:rsidRPr="00DF1884">
              <w:t xml:space="preserve"> </w:t>
            </w:r>
            <w:r w:rsidRPr="00DF1884">
              <w:t>data</w:t>
            </w:r>
          </w:p>
        </w:tc>
        <w:tc>
          <w:tcPr>
            <w:tcW w:w="2262"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8317877" w14:textId="77777777" w:rsidR="00463667" w:rsidRPr="00DF1884" w:rsidRDefault="00463667" w:rsidP="00C56CA6">
            <w:pPr>
              <w:pStyle w:val="TableText"/>
              <w:jc w:val="center"/>
              <w:rPr>
                <w:rFonts w:cs="Arial"/>
                <w:sz w:val="24"/>
              </w:rPr>
            </w:pPr>
            <w:r w:rsidRPr="00DF1884">
              <w:rPr>
                <w:rFonts w:cs="Arial"/>
                <w:sz w:val="24"/>
              </w:rPr>
              <w:sym w:font="Wingdings" w:char="F0FC"/>
            </w:r>
          </w:p>
        </w:tc>
      </w:tr>
      <w:tr w:rsidR="00282EAA" w:rsidRPr="00DF1884" w14:paraId="0B66BFF7" w14:textId="77777777" w:rsidTr="00C56CA6">
        <w:tc>
          <w:tcPr>
            <w:tcW w:w="421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2606CFA" w14:textId="10AAD71C" w:rsidR="00282EAA" w:rsidRPr="00DF1884" w:rsidRDefault="00282EAA" w:rsidP="00282EAA">
            <w:pPr>
              <w:pStyle w:val="TableText"/>
            </w:pPr>
            <w:r w:rsidRPr="00DF1884">
              <w:t>Numerator</w:t>
            </w:r>
            <w:r w:rsidR="00DF1884" w:rsidRPr="00DF1884">
              <w:t xml:space="preserve"> </w:t>
            </w:r>
            <w:r w:rsidRPr="00DF1884">
              <w:t>events</w:t>
            </w:r>
            <w:r w:rsidR="00DF1884" w:rsidRPr="00DF1884">
              <w:t xml:space="preserve"> </w:t>
            </w:r>
            <w:r w:rsidRPr="00DF1884">
              <w:t>by</w:t>
            </w:r>
            <w:r w:rsidR="00DF1884" w:rsidRPr="00DF1884">
              <w:t xml:space="preserve"> </w:t>
            </w:r>
            <w:r w:rsidRPr="00DF1884">
              <w:t>supplemental</w:t>
            </w:r>
            <w:r w:rsidR="00DF1884" w:rsidRPr="00DF1884">
              <w:t xml:space="preserve"> </w:t>
            </w:r>
            <w:r w:rsidRPr="00DF1884">
              <w:t>data</w:t>
            </w:r>
          </w:p>
        </w:tc>
        <w:tc>
          <w:tcPr>
            <w:tcW w:w="2262"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841B26C" w14:textId="23A99544" w:rsidR="00282EAA" w:rsidRPr="00DF1884" w:rsidRDefault="00282EAA" w:rsidP="00282EAA">
            <w:pPr>
              <w:pStyle w:val="TableText"/>
              <w:jc w:val="center"/>
              <w:rPr>
                <w:rFonts w:cs="Arial"/>
                <w:sz w:val="24"/>
              </w:rPr>
            </w:pPr>
            <w:r w:rsidRPr="00DF1884">
              <w:rPr>
                <w:rFonts w:cs="Arial"/>
                <w:sz w:val="24"/>
              </w:rPr>
              <w:sym w:font="Wingdings" w:char="F0FC"/>
            </w:r>
          </w:p>
        </w:tc>
      </w:tr>
      <w:tr w:rsidR="00282EAA" w:rsidRPr="00DF1884" w14:paraId="1CAC388D" w14:textId="77777777" w:rsidTr="00C56CA6">
        <w:tc>
          <w:tcPr>
            <w:tcW w:w="4212" w:type="dxa"/>
            <w:tcBorders>
              <w:top w:val="single" w:sz="6" w:space="0" w:color="auto"/>
              <w:left w:val="single" w:sz="6" w:space="0" w:color="auto"/>
              <w:bottom w:val="single" w:sz="6" w:space="0" w:color="auto"/>
              <w:right w:val="single" w:sz="6" w:space="0" w:color="auto"/>
            </w:tcBorders>
            <w:shd w:val="clear" w:color="auto" w:fill="auto"/>
          </w:tcPr>
          <w:p w14:paraId="721C8980" w14:textId="15ED6666" w:rsidR="00282EAA" w:rsidRPr="00DF1884" w:rsidRDefault="00282EAA" w:rsidP="00282EAA">
            <w:pPr>
              <w:pStyle w:val="TableText"/>
            </w:pPr>
            <w:r w:rsidRPr="00DF1884">
              <w:t>Reported</w:t>
            </w:r>
            <w:r w:rsidR="00DF1884" w:rsidRPr="00DF1884">
              <w:t xml:space="preserve"> </w:t>
            </w:r>
            <w:r w:rsidRPr="00DF1884">
              <w:t>rate</w:t>
            </w:r>
          </w:p>
        </w:tc>
        <w:tc>
          <w:tcPr>
            <w:tcW w:w="2262" w:type="dxa"/>
            <w:tcBorders>
              <w:top w:val="single" w:sz="6" w:space="0" w:color="auto"/>
              <w:left w:val="single" w:sz="6" w:space="0" w:color="auto"/>
              <w:bottom w:val="single" w:sz="6" w:space="0" w:color="auto"/>
              <w:right w:val="single" w:sz="6" w:space="0" w:color="auto"/>
            </w:tcBorders>
            <w:shd w:val="clear" w:color="auto" w:fill="auto"/>
            <w:vAlign w:val="center"/>
          </w:tcPr>
          <w:p w14:paraId="4BD3F008" w14:textId="77777777" w:rsidR="00282EAA" w:rsidRPr="00DF1884" w:rsidRDefault="00282EAA" w:rsidP="00282EAA">
            <w:pPr>
              <w:pStyle w:val="TableText"/>
              <w:jc w:val="center"/>
              <w:rPr>
                <w:rFonts w:cs="Arial"/>
                <w:sz w:val="24"/>
              </w:rPr>
            </w:pPr>
            <w:r w:rsidRPr="00DF1884">
              <w:rPr>
                <w:rFonts w:cs="Arial"/>
                <w:sz w:val="24"/>
              </w:rPr>
              <w:sym w:font="Wingdings" w:char="F0FC"/>
            </w:r>
          </w:p>
        </w:tc>
      </w:tr>
      <w:tr w:rsidR="00282EAA" w:rsidRPr="00DF1884" w14:paraId="41BB17FA" w14:textId="77777777" w:rsidTr="00C56CA6">
        <w:tc>
          <w:tcPr>
            <w:tcW w:w="421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602444E" w14:textId="61AD181C" w:rsidR="00282EAA" w:rsidRPr="00DF1884" w:rsidRDefault="00282EAA" w:rsidP="00282EAA">
            <w:pPr>
              <w:pStyle w:val="TableText"/>
            </w:pPr>
            <w:r w:rsidRPr="00DF1884">
              <w:t>Lower</w:t>
            </w:r>
            <w:r w:rsidR="00DF1884" w:rsidRPr="00DF1884">
              <w:t xml:space="preserve"> </w:t>
            </w:r>
            <w:r w:rsidRPr="00DF1884">
              <w:t>95%</w:t>
            </w:r>
            <w:r w:rsidR="00DF1884" w:rsidRPr="00DF1884">
              <w:t xml:space="preserve"> </w:t>
            </w:r>
            <w:r w:rsidRPr="00DF1884">
              <w:t>confidence</w:t>
            </w:r>
            <w:r w:rsidR="00DF1884" w:rsidRPr="00DF1884">
              <w:t xml:space="preserve"> </w:t>
            </w:r>
            <w:r w:rsidRPr="00DF1884">
              <w:t>interval</w:t>
            </w:r>
          </w:p>
        </w:tc>
        <w:tc>
          <w:tcPr>
            <w:tcW w:w="2262"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00317F5" w14:textId="77777777" w:rsidR="00282EAA" w:rsidRPr="00DF1884" w:rsidRDefault="00282EAA" w:rsidP="00282EAA">
            <w:pPr>
              <w:pStyle w:val="TableText"/>
              <w:jc w:val="center"/>
              <w:rPr>
                <w:rFonts w:cs="Arial"/>
                <w:sz w:val="24"/>
              </w:rPr>
            </w:pPr>
            <w:r w:rsidRPr="00DF1884">
              <w:rPr>
                <w:rFonts w:cs="Arial"/>
                <w:sz w:val="24"/>
              </w:rPr>
              <w:sym w:font="Wingdings" w:char="F0FC"/>
            </w:r>
          </w:p>
        </w:tc>
      </w:tr>
      <w:tr w:rsidR="00282EAA" w:rsidRPr="00DF1884" w14:paraId="40B11E40" w14:textId="77777777" w:rsidTr="00C56CA6">
        <w:tc>
          <w:tcPr>
            <w:tcW w:w="4212" w:type="dxa"/>
            <w:tcBorders>
              <w:top w:val="single" w:sz="6" w:space="0" w:color="auto"/>
              <w:left w:val="single" w:sz="6" w:space="0" w:color="auto"/>
              <w:bottom w:val="single" w:sz="6" w:space="0" w:color="auto"/>
              <w:right w:val="single" w:sz="6" w:space="0" w:color="auto"/>
            </w:tcBorders>
            <w:shd w:val="clear" w:color="auto" w:fill="auto"/>
          </w:tcPr>
          <w:p w14:paraId="4193A2F8" w14:textId="41AD4DB4" w:rsidR="00282EAA" w:rsidRPr="00DF1884" w:rsidRDefault="00282EAA" w:rsidP="00282EAA">
            <w:pPr>
              <w:pStyle w:val="TableText"/>
            </w:pPr>
            <w:r w:rsidRPr="00DF1884">
              <w:t>Upper</w:t>
            </w:r>
            <w:r w:rsidR="00DF1884" w:rsidRPr="00DF1884">
              <w:t xml:space="preserve"> </w:t>
            </w:r>
            <w:r w:rsidRPr="00DF1884">
              <w:t>95%</w:t>
            </w:r>
            <w:r w:rsidR="00DF1884" w:rsidRPr="00DF1884">
              <w:t xml:space="preserve"> </w:t>
            </w:r>
            <w:r w:rsidRPr="00DF1884">
              <w:t>confidence</w:t>
            </w:r>
            <w:r w:rsidR="00DF1884" w:rsidRPr="00DF1884">
              <w:t xml:space="preserve"> </w:t>
            </w:r>
            <w:r w:rsidRPr="00DF1884">
              <w:t>interval</w:t>
            </w:r>
          </w:p>
        </w:tc>
        <w:tc>
          <w:tcPr>
            <w:tcW w:w="2262" w:type="dxa"/>
            <w:tcBorders>
              <w:top w:val="single" w:sz="6" w:space="0" w:color="auto"/>
              <w:left w:val="single" w:sz="6" w:space="0" w:color="auto"/>
              <w:bottom w:val="single" w:sz="6" w:space="0" w:color="auto"/>
              <w:right w:val="single" w:sz="6" w:space="0" w:color="auto"/>
            </w:tcBorders>
            <w:shd w:val="clear" w:color="auto" w:fill="auto"/>
            <w:vAlign w:val="center"/>
          </w:tcPr>
          <w:p w14:paraId="57DFD311" w14:textId="77777777" w:rsidR="00282EAA" w:rsidRPr="00DF1884" w:rsidRDefault="00282EAA" w:rsidP="00282EAA">
            <w:pPr>
              <w:pStyle w:val="TableText"/>
              <w:jc w:val="center"/>
              <w:rPr>
                <w:rFonts w:cs="Arial"/>
                <w:sz w:val="24"/>
              </w:rPr>
            </w:pPr>
            <w:r w:rsidRPr="00DF1884">
              <w:rPr>
                <w:rFonts w:cs="Arial"/>
                <w:sz w:val="24"/>
              </w:rPr>
              <w:sym w:font="Wingdings" w:char="F0FC"/>
            </w:r>
          </w:p>
        </w:tc>
      </w:tr>
    </w:tbl>
    <w:p w14:paraId="65E24661" w14:textId="5E26462C" w:rsidR="00463667" w:rsidRPr="00DF1884" w:rsidRDefault="00463667" w:rsidP="00463667">
      <w:pPr>
        <w:pStyle w:val="TableHeadNotCondensed"/>
      </w:pPr>
      <w:r w:rsidRPr="00DF1884">
        <w:t>Standard</w:t>
      </w:r>
      <w:r w:rsidR="00DF1884" w:rsidRPr="00DF1884">
        <w:t xml:space="preserve"> </w:t>
      </w:r>
      <w:r w:rsidRPr="00DF1884">
        <w:t>Hybrid</w:t>
      </w:r>
      <w:r w:rsidR="00DF1884" w:rsidRPr="00DF1884">
        <w:t xml:space="preserve"> </w:t>
      </w:r>
      <w:r w:rsidRPr="00DF1884">
        <w:t>Data</w:t>
      </w:r>
      <w:r w:rsidR="00DF1884" w:rsidRPr="00DF1884">
        <w:t xml:space="preserve"> </w:t>
      </w:r>
      <w:r w:rsidRPr="00DF1884">
        <w:t>Element</w:t>
      </w:r>
      <w:r w:rsidR="00DF1884" w:rsidRPr="00DF1884">
        <w:t xml:space="preserve"> </w:t>
      </w:r>
      <w:r w:rsidRPr="00DF1884">
        <w:t>Table</w:t>
      </w:r>
      <w:r w:rsidR="00DF1884" w:rsidRPr="00DF1884">
        <w:t xml:space="preserve"> </w:t>
      </w:r>
    </w:p>
    <w:tbl>
      <w:tblPr>
        <w:tblW w:w="972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6750"/>
        <w:gridCol w:w="1530"/>
        <w:gridCol w:w="1440"/>
      </w:tblGrid>
      <w:tr w:rsidR="00463667" w:rsidRPr="00DF1884" w14:paraId="2F6C0E31" w14:textId="77777777" w:rsidTr="00282EAA">
        <w:tc>
          <w:tcPr>
            <w:tcW w:w="6750" w:type="dxa"/>
            <w:tcBorders>
              <w:top w:val="single" w:sz="6" w:space="0" w:color="auto"/>
              <w:left w:val="single" w:sz="6" w:space="0" w:color="auto"/>
              <w:bottom w:val="single" w:sz="6" w:space="0" w:color="auto"/>
              <w:right w:val="single" w:sz="4" w:space="0" w:color="FFFFFF"/>
            </w:tcBorders>
            <w:shd w:val="clear" w:color="auto" w:fill="000000"/>
          </w:tcPr>
          <w:p w14:paraId="34B2DBDE" w14:textId="77777777" w:rsidR="00463667" w:rsidRPr="00DF1884" w:rsidRDefault="00463667" w:rsidP="00C56CA6">
            <w:pPr>
              <w:pStyle w:val="TableHead"/>
              <w:rPr>
                <w:color w:val="auto"/>
                <w:highlight w:val="black"/>
              </w:rPr>
            </w:pPr>
          </w:p>
        </w:tc>
        <w:tc>
          <w:tcPr>
            <w:tcW w:w="1530" w:type="dxa"/>
            <w:tcBorders>
              <w:top w:val="single" w:sz="6" w:space="0" w:color="auto"/>
              <w:left w:val="single" w:sz="4" w:space="0" w:color="FFFFFF"/>
              <w:bottom w:val="single" w:sz="6" w:space="0" w:color="auto"/>
              <w:right w:val="single" w:sz="4" w:space="0" w:color="FFFFFF"/>
            </w:tcBorders>
            <w:shd w:val="clear" w:color="auto" w:fill="000000"/>
          </w:tcPr>
          <w:p w14:paraId="4CA9AB50" w14:textId="77777777" w:rsidR="00463667" w:rsidRPr="00DF1884" w:rsidRDefault="00463667" w:rsidP="00C56CA6">
            <w:pPr>
              <w:pStyle w:val="TableHead"/>
              <w:rPr>
                <w:color w:val="auto"/>
                <w:highlight w:val="black"/>
              </w:rPr>
            </w:pPr>
            <w:r w:rsidRPr="00DF1884">
              <w:rPr>
                <w:color w:val="auto"/>
                <w:highlight w:val="black"/>
              </w:rPr>
              <w:t>Administrative</w:t>
            </w:r>
          </w:p>
        </w:tc>
        <w:tc>
          <w:tcPr>
            <w:tcW w:w="1440" w:type="dxa"/>
            <w:tcBorders>
              <w:top w:val="single" w:sz="6" w:space="0" w:color="auto"/>
              <w:left w:val="single" w:sz="4" w:space="0" w:color="FFFFFF"/>
              <w:bottom w:val="single" w:sz="6" w:space="0" w:color="auto"/>
              <w:right w:val="single" w:sz="6" w:space="0" w:color="auto"/>
            </w:tcBorders>
            <w:shd w:val="clear" w:color="auto" w:fill="000000"/>
          </w:tcPr>
          <w:p w14:paraId="241E09D6" w14:textId="77777777" w:rsidR="00463667" w:rsidRPr="00DF1884" w:rsidRDefault="00463667" w:rsidP="00C56CA6">
            <w:pPr>
              <w:pStyle w:val="TableHead"/>
              <w:rPr>
                <w:color w:val="auto"/>
                <w:highlight w:val="black"/>
              </w:rPr>
            </w:pPr>
            <w:r w:rsidRPr="00DF1884">
              <w:rPr>
                <w:color w:val="auto"/>
                <w:highlight w:val="black"/>
              </w:rPr>
              <w:t>Hybrid</w:t>
            </w:r>
          </w:p>
        </w:tc>
      </w:tr>
      <w:tr w:rsidR="00463667" w:rsidRPr="00DF1884" w14:paraId="51F1C4F9" w14:textId="77777777" w:rsidTr="00282EAA">
        <w:tc>
          <w:tcPr>
            <w:tcW w:w="6750" w:type="dxa"/>
            <w:tcBorders>
              <w:top w:val="single" w:sz="6" w:space="0" w:color="auto"/>
              <w:left w:val="single" w:sz="6" w:space="0" w:color="auto"/>
              <w:bottom w:val="single" w:sz="6" w:space="0" w:color="auto"/>
              <w:right w:val="single" w:sz="6" w:space="0" w:color="auto"/>
            </w:tcBorders>
          </w:tcPr>
          <w:p w14:paraId="5F693129" w14:textId="3D21E34A" w:rsidR="00463667" w:rsidRPr="00DF1884" w:rsidRDefault="00463667" w:rsidP="00C56CA6">
            <w:pPr>
              <w:pStyle w:val="TableText"/>
            </w:pPr>
            <w:r w:rsidRPr="00DF1884">
              <w:t>Measurement</w:t>
            </w:r>
            <w:r w:rsidR="00DF1884" w:rsidRPr="00DF1884">
              <w:t xml:space="preserve"> </w:t>
            </w:r>
            <w:r w:rsidRPr="00DF1884">
              <w:t>year</w:t>
            </w:r>
          </w:p>
        </w:tc>
        <w:tc>
          <w:tcPr>
            <w:tcW w:w="1530" w:type="dxa"/>
            <w:tcBorders>
              <w:top w:val="single" w:sz="6" w:space="0" w:color="auto"/>
              <w:left w:val="single" w:sz="6" w:space="0" w:color="auto"/>
              <w:bottom w:val="single" w:sz="6" w:space="0" w:color="auto"/>
              <w:right w:val="single" w:sz="6" w:space="0" w:color="auto"/>
            </w:tcBorders>
            <w:vAlign w:val="center"/>
          </w:tcPr>
          <w:p w14:paraId="618FD70C"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440" w:type="dxa"/>
            <w:tcBorders>
              <w:top w:val="single" w:sz="6" w:space="0" w:color="auto"/>
              <w:left w:val="single" w:sz="6" w:space="0" w:color="auto"/>
              <w:bottom w:val="single" w:sz="6" w:space="0" w:color="auto"/>
              <w:right w:val="single" w:sz="6" w:space="0" w:color="auto"/>
            </w:tcBorders>
            <w:vAlign w:val="center"/>
          </w:tcPr>
          <w:p w14:paraId="6639C970" w14:textId="77777777" w:rsidR="00463667" w:rsidRPr="00DF1884" w:rsidRDefault="00463667" w:rsidP="00C56CA6">
            <w:pPr>
              <w:pStyle w:val="TableText"/>
              <w:jc w:val="center"/>
              <w:rPr>
                <w:rFonts w:cs="Arial"/>
                <w:sz w:val="24"/>
              </w:rPr>
            </w:pPr>
            <w:r w:rsidRPr="00DF1884">
              <w:rPr>
                <w:rFonts w:cs="Arial"/>
                <w:sz w:val="24"/>
              </w:rPr>
              <w:sym w:font="Wingdings" w:char="F0FC"/>
            </w:r>
          </w:p>
        </w:tc>
      </w:tr>
      <w:tr w:rsidR="00463667" w:rsidRPr="00DF1884" w14:paraId="4A5004EE" w14:textId="77777777" w:rsidTr="00282EAA">
        <w:tc>
          <w:tcPr>
            <w:tcW w:w="67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31E64E4" w14:textId="3090A224" w:rsidR="00463667" w:rsidRPr="00DF1884" w:rsidRDefault="00463667" w:rsidP="00C56CA6">
            <w:pPr>
              <w:pStyle w:val="TableText"/>
            </w:pPr>
            <w:r w:rsidRPr="00DF1884">
              <w:t>Data</w:t>
            </w:r>
            <w:r w:rsidR="00DF1884" w:rsidRPr="00DF1884">
              <w:t xml:space="preserve"> </w:t>
            </w:r>
            <w:r w:rsidRPr="00DF1884">
              <w:t>collection</w:t>
            </w:r>
            <w:r w:rsidR="00DF1884" w:rsidRPr="00DF1884">
              <w:t xml:space="preserve"> </w:t>
            </w:r>
            <w:r w:rsidRPr="00DF1884">
              <w:t>methodology</w:t>
            </w:r>
            <w:r w:rsidR="00DF1884" w:rsidRPr="00DF1884">
              <w:t xml:space="preserve"> </w:t>
            </w:r>
            <w:r w:rsidRPr="00DF1884">
              <w:t>(Administrative</w:t>
            </w:r>
            <w:r w:rsidR="00DF1884" w:rsidRPr="00DF1884">
              <w:t xml:space="preserve"> </w:t>
            </w:r>
            <w:r w:rsidRPr="00DF1884">
              <w:t>or</w:t>
            </w:r>
            <w:r w:rsidR="00DF1884" w:rsidRPr="00DF1884">
              <w:t xml:space="preserve"> </w:t>
            </w:r>
            <w:r w:rsidRPr="00DF1884">
              <w:t>Hybrid)</w:t>
            </w:r>
          </w:p>
        </w:tc>
        <w:tc>
          <w:tcPr>
            <w:tcW w:w="153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0114FE8"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44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33318ED" w14:textId="77777777" w:rsidR="00463667" w:rsidRPr="00DF1884" w:rsidRDefault="00463667" w:rsidP="00C56CA6">
            <w:pPr>
              <w:pStyle w:val="TableText"/>
              <w:jc w:val="center"/>
              <w:rPr>
                <w:rFonts w:cs="Arial"/>
                <w:sz w:val="24"/>
              </w:rPr>
            </w:pPr>
            <w:r w:rsidRPr="00DF1884">
              <w:rPr>
                <w:rFonts w:cs="Arial"/>
                <w:sz w:val="24"/>
              </w:rPr>
              <w:sym w:font="Wingdings" w:char="F0FC"/>
            </w:r>
          </w:p>
        </w:tc>
      </w:tr>
      <w:tr w:rsidR="00463667" w:rsidRPr="00DF1884" w14:paraId="322BD3C7" w14:textId="77777777" w:rsidTr="00282EAA">
        <w:tc>
          <w:tcPr>
            <w:tcW w:w="6750" w:type="dxa"/>
            <w:tcBorders>
              <w:top w:val="single" w:sz="6" w:space="0" w:color="auto"/>
              <w:left w:val="single" w:sz="6" w:space="0" w:color="auto"/>
              <w:bottom w:val="single" w:sz="6" w:space="0" w:color="auto"/>
              <w:right w:val="single" w:sz="6" w:space="0" w:color="auto"/>
            </w:tcBorders>
          </w:tcPr>
          <w:p w14:paraId="7AD9F4DA" w14:textId="1F13418E" w:rsidR="00463667" w:rsidRPr="00DF1884" w:rsidRDefault="00463667" w:rsidP="00C56CA6">
            <w:pPr>
              <w:pStyle w:val="TableText"/>
            </w:pPr>
            <w:r w:rsidRPr="00DF1884">
              <w:t>Eligible</w:t>
            </w:r>
            <w:r w:rsidR="00DF1884" w:rsidRPr="00DF1884">
              <w:t xml:space="preserve"> </w:t>
            </w:r>
            <w:r w:rsidRPr="00DF1884">
              <w:t>population</w:t>
            </w:r>
            <w:r w:rsidR="00DF1884" w:rsidRPr="00DF1884">
              <w:t xml:space="preserve"> </w:t>
            </w:r>
          </w:p>
        </w:tc>
        <w:tc>
          <w:tcPr>
            <w:tcW w:w="1530" w:type="dxa"/>
            <w:tcBorders>
              <w:top w:val="single" w:sz="6" w:space="0" w:color="auto"/>
              <w:left w:val="single" w:sz="6" w:space="0" w:color="auto"/>
              <w:bottom w:val="single" w:sz="6" w:space="0" w:color="auto"/>
              <w:right w:val="single" w:sz="6" w:space="0" w:color="auto"/>
            </w:tcBorders>
            <w:vAlign w:val="center"/>
          </w:tcPr>
          <w:p w14:paraId="16933999"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440" w:type="dxa"/>
            <w:tcBorders>
              <w:top w:val="single" w:sz="6" w:space="0" w:color="auto"/>
              <w:left w:val="single" w:sz="6" w:space="0" w:color="auto"/>
              <w:bottom w:val="single" w:sz="6" w:space="0" w:color="auto"/>
              <w:right w:val="single" w:sz="6" w:space="0" w:color="auto"/>
            </w:tcBorders>
            <w:vAlign w:val="center"/>
          </w:tcPr>
          <w:p w14:paraId="2915535D" w14:textId="77777777" w:rsidR="00463667" w:rsidRPr="00DF1884" w:rsidRDefault="00463667" w:rsidP="00C56CA6">
            <w:pPr>
              <w:pStyle w:val="TableText"/>
              <w:jc w:val="center"/>
              <w:rPr>
                <w:rFonts w:cs="Arial"/>
                <w:sz w:val="24"/>
              </w:rPr>
            </w:pPr>
            <w:r w:rsidRPr="00DF1884">
              <w:rPr>
                <w:rFonts w:cs="Arial"/>
                <w:sz w:val="24"/>
              </w:rPr>
              <w:sym w:font="Wingdings" w:char="F0FC"/>
            </w:r>
          </w:p>
        </w:tc>
      </w:tr>
      <w:tr w:rsidR="00463667" w:rsidRPr="00DF1884" w14:paraId="30203C56" w14:textId="77777777" w:rsidTr="00282EAA">
        <w:tc>
          <w:tcPr>
            <w:tcW w:w="67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6684D96" w14:textId="0EFE2728" w:rsidR="00463667" w:rsidRPr="00DF1884" w:rsidRDefault="00463667" w:rsidP="00C56CA6">
            <w:pPr>
              <w:pStyle w:val="TableText"/>
            </w:pPr>
            <w:r w:rsidRPr="00DF1884">
              <w:t>Number</w:t>
            </w:r>
            <w:r w:rsidR="00DF1884" w:rsidRPr="00DF1884">
              <w:t xml:space="preserve"> </w:t>
            </w:r>
            <w:r w:rsidRPr="00DF1884">
              <w:t>of</w:t>
            </w:r>
            <w:r w:rsidR="00DF1884" w:rsidRPr="00DF1884">
              <w:t xml:space="preserve"> </w:t>
            </w:r>
            <w:r w:rsidRPr="00DF1884">
              <w:t>numerator</w:t>
            </w:r>
            <w:r w:rsidR="00DF1884" w:rsidRPr="00DF1884">
              <w:t xml:space="preserve"> </w:t>
            </w:r>
            <w:r w:rsidRPr="00DF1884">
              <w:t>events</w:t>
            </w:r>
            <w:r w:rsidR="00DF1884" w:rsidRPr="00DF1884">
              <w:t xml:space="preserve"> </w:t>
            </w:r>
            <w:r w:rsidRPr="00DF1884">
              <w:t>by</w:t>
            </w:r>
            <w:r w:rsidR="00DF1884" w:rsidRPr="00DF1884">
              <w:t xml:space="preserve"> </w:t>
            </w:r>
            <w:r w:rsidRPr="00DF1884">
              <w:t>administrative</w:t>
            </w:r>
            <w:r w:rsidR="00DF1884" w:rsidRPr="00DF1884">
              <w:t xml:space="preserve"> </w:t>
            </w:r>
            <w:r w:rsidRPr="00DF1884">
              <w:t>data</w:t>
            </w:r>
            <w:r w:rsidR="00DF1884" w:rsidRPr="00DF1884">
              <w:t xml:space="preserve"> </w:t>
            </w:r>
            <w:r w:rsidRPr="00DF1884">
              <w:t>in</w:t>
            </w:r>
            <w:r w:rsidR="00DF1884" w:rsidRPr="00DF1884">
              <w:t xml:space="preserve"> </w:t>
            </w:r>
            <w:r w:rsidRPr="00DF1884">
              <w:t>eligible</w:t>
            </w:r>
            <w:r w:rsidR="00DF1884" w:rsidRPr="00DF1884">
              <w:t xml:space="preserve"> </w:t>
            </w:r>
            <w:r w:rsidRPr="00DF1884">
              <w:t>population</w:t>
            </w:r>
            <w:r w:rsidR="00DF1884" w:rsidRPr="00DF1884">
              <w:t xml:space="preserve"> </w:t>
            </w:r>
            <w:r w:rsidRPr="00DF1884">
              <w:t>(before</w:t>
            </w:r>
            <w:r w:rsidR="00DF1884" w:rsidRPr="00DF1884">
              <w:t xml:space="preserve"> </w:t>
            </w:r>
            <w:r w:rsidRPr="00DF1884">
              <w:t>exclusions)</w:t>
            </w:r>
          </w:p>
        </w:tc>
        <w:tc>
          <w:tcPr>
            <w:tcW w:w="153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A755A97" w14:textId="77777777" w:rsidR="00463667" w:rsidRPr="00DF1884" w:rsidRDefault="00463667" w:rsidP="00C56CA6">
            <w:pPr>
              <w:pStyle w:val="TableText"/>
              <w:jc w:val="center"/>
              <w:rPr>
                <w:rFonts w:cs="Arial"/>
                <w:sz w:val="24"/>
              </w:rPr>
            </w:pPr>
          </w:p>
        </w:tc>
        <w:tc>
          <w:tcPr>
            <w:tcW w:w="144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32150AA" w14:textId="77777777" w:rsidR="00463667" w:rsidRPr="00DF1884" w:rsidRDefault="00463667" w:rsidP="00C56CA6">
            <w:pPr>
              <w:pStyle w:val="TableText"/>
              <w:jc w:val="center"/>
              <w:rPr>
                <w:rFonts w:cs="Arial"/>
                <w:sz w:val="24"/>
              </w:rPr>
            </w:pPr>
            <w:r w:rsidRPr="00DF1884">
              <w:rPr>
                <w:rFonts w:cs="Arial"/>
                <w:sz w:val="24"/>
              </w:rPr>
              <w:sym w:font="Wingdings" w:char="F0FC"/>
            </w:r>
          </w:p>
        </w:tc>
      </w:tr>
      <w:tr w:rsidR="00463667" w:rsidRPr="00DF1884" w14:paraId="37B054B0" w14:textId="77777777" w:rsidTr="00282EAA">
        <w:tc>
          <w:tcPr>
            <w:tcW w:w="6750" w:type="dxa"/>
            <w:tcBorders>
              <w:top w:val="single" w:sz="6" w:space="0" w:color="auto"/>
              <w:left w:val="single" w:sz="6" w:space="0" w:color="auto"/>
              <w:bottom w:val="single" w:sz="6" w:space="0" w:color="auto"/>
              <w:right w:val="single" w:sz="6" w:space="0" w:color="auto"/>
            </w:tcBorders>
          </w:tcPr>
          <w:p w14:paraId="5FB77A05" w14:textId="769FF967" w:rsidR="00463667" w:rsidRPr="00DF1884" w:rsidRDefault="00463667" w:rsidP="00C56CA6">
            <w:pPr>
              <w:pStyle w:val="TableText"/>
            </w:pPr>
            <w:r w:rsidRPr="00DF1884">
              <w:t>Current</w:t>
            </w:r>
            <w:r w:rsidR="00DF1884" w:rsidRPr="00DF1884">
              <w:t xml:space="preserve"> </w:t>
            </w:r>
            <w:r w:rsidRPr="00DF1884">
              <w:t>year’s</w:t>
            </w:r>
            <w:r w:rsidR="00DF1884" w:rsidRPr="00DF1884">
              <w:t xml:space="preserve"> </w:t>
            </w:r>
            <w:r w:rsidRPr="00DF1884">
              <w:t>administrative</w:t>
            </w:r>
            <w:r w:rsidR="00DF1884" w:rsidRPr="00DF1884">
              <w:t xml:space="preserve"> </w:t>
            </w:r>
            <w:r w:rsidRPr="00DF1884">
              <w:t>rate</w:t>
            </w:r>
            <w:r w:rsidR="00DF1884" w:rsidRPr="00DF1884">
              <w:t xml:space="preserve"> </w:t>
            </w:r>
            <w:r w:rsidRPr="00DF1884">
              <w:t>(before</w:t>
            </w:r>
            <w:r w:rsidR="00DF1884" w:rsidRPr="00DF1884">
              <w:t xml:space="preserve"> </w:t>
            </w:r>
            <w:r w:rsidRPr="00DF1884">
              <w:t>exclusions)</w:t>
            </w:r>
          </w:p>
        </w:tc>
        <w:tc>
          <w:tcPr>
            <w:tcW w:w="1530" w:type="dxa"/>
            <w:tcBorders>
              <w:top w:val="single" w:sz="6" w:space="0" w:color="auto"/>
              <w:left w:val="single" w:sz="6" w:space="0" w:color="auto"/>
              <w:bottom w:val="single" w:sz="6" w:space="0" w:color="auto"/>
              <w:right w:val="single" w:sz="6" w:space="0" w:color="auto"/>
            </w:tcBorders>
            <w:vAlign w:val="center"/>
          </w:tcPr>
          <w:p w14:paraId="1CD10D4D" w14:textId="77777777" w:rsidR="00463667" w:rsidRPr="00DF1884" w:rsidRDefault="00463667" w:rsidP="00C56CA6">
            <w:pPr>
              <w:pStyle w:val="TableText"/>
              <w:jc w:val="center"/>
              <w:rPr>
                <w:rFonts w:cs="Arial"/>
                <w:sz w:val="24"/>
              </w:rPr>
            </w:pPr>
          </w:p>
        </w:tc>
        <w:tc>
          <w:tcPr>
            <w:tcW w:w="1440" w:type="dxa"/>
            <w:tcBorders>
              <w:top w:val="single" w:sz="6" w:space="0" w:color="auto"/>
              <w:left w:val="single" w:sz="6" w:space="0" w:color="auto"/>
              <w:bottom w:val="single" w:sz="6" w:space="0" w:color="auto"/>
              <w:right w:val="single" w:sz="6" w:space="0" w:color="auto"/>
            </w:tcBorders>
            <w:vAlign w:val="center"/>
          </w:tcPr>
          <w:p w14:paraId="1AF803A3" w14:textId="77777777" w:rsidR="00463667" w:rsidRPr="00DF1884" w:rsidRDefault="00463667" w:rsidP="00C56CA6">
            <w:pPr>
              <w:pStyle w:val="TableText"/>
              <w:jc w:val="center"/>
              <w:rPr>
                <w:rFonts w:cs="Arial"/>
                <w:sz w:val="24"/>
              </w:rPr>
            </w:pPr>
            <w:r w:rsidRPr="00DF1884">
              <w:rPr>
                <w:rFonts w:cs="Arial"/>
                <w:sz w:val="24"/>
              </w:rPr>
              <w:sym w:font="Wingdings" w:char="F0FC"/>
            </w:r>
          </w:p>
        </w:tc>
      </w:tr>
      <w:tr w:rsidR="00463667" w:rsidRPr="00DF1884" w14:paraId="695FA801" w14:textId="77777777" w:rsidTr="00282EAA">
        <w:tc>
          <w:tcPr>
            <w:tcW w:w="67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2ADC0ED" w14:textId="5AA0AD2A" w:rsidR="00463667" w:rsidRPr="00DF1884" w:rsidRDefault="00463667" w:rsidP="00C56CA6">
            <w:pPr>
              <w:pStyle w:val="TableText"/>
            </w:pPr>
            <w:r w:rsidRPr="00DF1884">
              <w:t>Minimum</w:t>
            </w:r>
            <w:r w:rsidR="00DF1884" w:rsidRPr="00DF1884">
              <w:t xml:space="preserve"> </w:t>
            </w:r>
            <w:r w:rsidRPr="00DF1884">
              <w:t>required</w:t>
            </w:r>
            <w:r w:rsidR="00DF1884" w:rsidRPr="00DF1884">
              <w:t xml:space="preserve"> </w:t>
            </w:r>
            <w:r w:rsidRPr="00DF1884">
              <w:t>sample</w:t>
            </w:r>
            <w:r w:rsidR="00DF1884" w:rsidRPr="00DF1884">
              <w:t xml:space="preserve"> </w:t>
            </w:r>
            <w:r w:rsidRPr="00DF1884">
              <w:t>size</w:t>
            </w:r>
            <w:r w:rsidR="00DF1884" w:rsidRPr="00DF1884">
              <w:t xml:space="preserve"> </w:t>
            </w:r>
            <w:r w:rsidRPr="00DF1884">
              <w:t>(MRSS)</w:t>
            </w:r>
            <w:r w:rsidR="00DF1884" w:rsidRPr="00DF1884">
              <w:t xml:space="preserve"> </w:t>
            </w:r>
            <w:r w:rsidRPr="00DF1884">
              <w:t>or</w:t>
            </w:r>
            <w:r w:rsidR="00DF1884" w:rsidRPr="00DF1884">
              <w:t xml:space="preserve"> </w:t>
            </w:r>
            <w:r w:rsidRPr="00DF1884">
              <w:t>other</w:t>
            </w:r>
            <w:r w:rsidR="00DF1884" w:rsidRPr="00DF1884">
              <w:t xml:space="preserve"> </w:t>
            </w:r>
            <w:r w:rsidRPr="00DF1884">
              <w:t>sample</w:t>
            </w:r>
            <w:r w:rsidR="00DF1884" w:rsidRPr="00DF1884">
              <w:t xml:space="preserve"> </w:t>
            </w:r>
            <w:r w:rsidRPr="00DF1884">
              <w:t>size</w:t>
            </w:r>
            <w:r w:rsidR="00DF1884" w:rsidRPr="00DF1884">
              <w:t xml:space="preserve"> </w:t>
            </w:r>
          </w:p>
        </w:tc>
        <w:tc>
          <w:tcPr>
            <w:tcW w:w="153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ECF0788" w14:textId="77777777" w:rsidR="00463667" w:rsidRPr="00DF1884" w:rsidRDefault="00463667" w:rsidP="00C56CA6">
            <w:pPr>
              <w:pStyle w:val="TableText"/>
              <w:jc w:val="center"/>
              <w:rPr>
                <w:rFonts w:cs="Arial"/>
                <w:sz w:val="24"/>
              </w:rPr>
            </w:pPr>
          </w:p>
        </w:tc>
        <w:tc>
          <w:tcPr>
            <w:tcW w:w="144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760D888" w14:textId="77777777" w:rsidR="00463667" w:rsidRPr="00DF1884" w:rsidRDefault="00463667" w:rsidP="00C56CA6">
            <w:pPr>
              <w:pStyle w:val="TableText"/>
              <w:jc w:val="center"/>
              <w:rPr>
                <w:rFonts w:cs="Arial"/>
                <w:sz w:val="24"/>
              </w:rPr>
            </w:pPr>
            <w:r w:rsidRPr="00DF1884">
              <w:rPr>
                <w:rFonts w:cs="Arial"/>
                <w:sz w:val="24"/>
              </w:rPr>
              <w:sym w:font="Wingdings" w:char="F0FC"/>
            </w:r>
          </w:p>
        </w:tc>
      </w:tr>
      <w:tr w:rsidR="00463667" w:rsidRPr="00DF1884" w14:paraId="35B5CCC8" w14:textId="77777777" w:rsidTr="00282EAA">
        <w:tc>
          <w:tcPr>
            <w:tcW w:w="6750" w:type="dxa"/>
            <w:tcBorders>
              <w:top w:val="single" w:sz="6" w:space="0" w:color="auto"/>
              <w:left w:val="single" w:sz="6" w:space="0" w:color="auto"/>
              <w:bottom w:val="single" w:sz="6" w:space="0" w:color="auto"/>
              <w:right w:val="single" w:sz="6" w:space="0" w:color="auto"/>
            </w:tcBorders>
          </w:tcPr>
          <w:p w14:paraId="15BD1CF6" w14:textId="252CE231" w:rsidR="00463667" w:rsidRPr="00DF1884" w:rsidRDefault="00463667" w:rsidP="00C56CA6">
            <w:pPr>
              <w:pStyle w:val="TableText"/>
            </w:pPr>
            <w:r w:rsidRPr="00DF1884">
              <w:t>Oversampling</w:t>
            </w:r>
            <w:r w:rsidR="00DF1884" w:rsidRPr="00DF1884">
              <w:t xml:space="preserve"> </w:t>
            </w:r>
            <w:r w:rsidRPr="00DF1884">
              <w:t>rate</w:t>
            </w:r>
          </w:p>
        </w:tc>
        <w:tc>
          <w:tcPr>
            <w:tcW w:w="1530" w:type="dxa"/>
            <w:tcBorders>
              <w:top w:val="single" w:sz="6" w:space="0" w:color="auto"/>
              <w:left w:val="single" w:sz="6" w:space="0" w:color="auto"/>
              <w:bottom w:val="single" w:sz="6" w:space="0" w:color="auto"/>
              <w:right w:val="single" w:sz="6" w:space="0" w:color="auto"/>
            </w:tcBorders>
            <w:vAlign w:val="center"/>
          </w:tcPr>
          <w:p w14:paraId="130CC0BE" w14:textId="77777777" w:rsidR="00463667" w:rsidRPr="00DF1884" w:rsidRDefault="00463667" w:rsidP="00C56CA6">
            <w:pPr>
              <w:pStyle w:val="TableText"/>
              <w:jc w:val="center"/>
              <w:rPr>
                <w:rFonts w:cs="Arial"/>
                <w:sz w:val="24"/>
              </w:rPr>
            </w:pPr>
          </w:p>
        </w:tc>
        <w:tc>
          <w:tcPr>
            <w:tcW w:w="1440" w:type="dxa"/>
            <w:tcBorders>
              <w:top w:val="single" w:sz="6" w:space="0" w:color="auto"/>
              <w:left w:val="single" w:sz="6" w:space="0" w:color="auto"/>
              <w:bottom w:val="single" w:sz="6" w:space="0" w:color="auto"/>
              <w:right w:val="single" w:sz="6" w:space="0" w:color="auto"/>
            </w:tcBorders>
            <w:vAlign w:val="center"/>
          </w:tcPr>
          <w:p w14:paraId="6B4AF56A" w14:textId="77777777" w:rsidR="00463667" w:rsidRPr="00DF1884" w:rsidRDefault="00463667" w:rsidP="00C56CA6">
            <w:pPr>
              <w:pStyle w:val="TableText"/>
              <w:jc w:val="center"/>
              <w:rPr>
                <w:rFonts w:cs="Arial"/>
                <w:sz w:val="24"/>
              </w:rPr>
            </w:pPr>
            <w:r w:rsidRPr="00DF1884">
              <w:rPr>
                <w:rFonts w:cs="Arial"/>
                <w:sz w:val="24"/>
              </w:rPr>
              <w:sym w:font="Wingdings" w:char="F0FC"/>
            </w:r>
          </w:p>
        </w:tc>
      </w:tr>
      <w:tr w:rsidR="00463667" w:rsidRPr="00DF1884" w14:paraId="213C51A7" w14:textId="77777777" w:rsidTr="00282EAA">
        <w:tc>
          <w:tcPr>
            <w:tcW w:w="67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A7DF671" w14:textId="6DF33E78" w:rsidR="00463667" w:rsidRPr="00DF1884" w:rsidRDefault="00463667" w:rsidP="00C56CA6">
            <w:pPr>
              <w:pStyle w:val="TableText"/>
            </w:pPr>
            <w:r w:rsidRPr="00DF1884">
              <w:t>Final</w:t>
            </w:r>
            <w:r w:rsidR="00DF1884" w:rsidRPr="00DF1884">
              <w:t xml:space="preserve"> </w:t>
            </w:r>
            <w:r w:rsidRPr="00DF1884">
              <w:t>sample</w:t>
            </w:r>
            <w:r w:rsidR="00DF1884" w:rsidRPr="00DF1884">
              <w:t xml:space="preserve"> </w:t>
            </w:r>
            <w:r w:rsidRPr="00DF1884">
              <w:t>size</w:t>
            </w:r>
            <w:r w:rsidR="00DF1884" w:rsidRPr="00DF1884">
              <w:t xml:space="preserve"> </w:t>
            </w:r>
            <w:r w:rsidRPr="00DF1884">
              <w:t>(FSS)</w:t>
            </w:r>
            <w:r w:rsidR="00DF1884" w:rsidRPr="00DF1884">
              <w:t xml:space="preserve"> </w:t>
            </w:r>
          </w:p>
        </w:tc>
        <w:tc>
          <w:tcPr>
            <w:tcW w:w="153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D640219" w14:textId="77777777" w:rsidR="00463667" w:rsidRPr="00DF1884" w:rsidRDefault="00463667" w:rsidP="00C56CA6">
            <w:pPr>
              <w:pStyle w:val="TableText"/>
              <w:jc w:val="center"/>
              <w:rPr>
                <w:rFonts w:cs="Arial"/>
                <w:sz w:val="24"/>
              </w:rPr>
            </w:pPr>
          </w:p>
        </w:tc>
        <w:tc>
          <w:tcPr>
            <w:tcW w:w="144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0B16A00" w14:textId="77777777" w:rsidR="00463667" w:rsidRPr="00DF1884" w:rsidRDefault="00463667" w:rsidP="00C56CA6">
            <w:pPr>
              <w:pStyle w:val="TableText"/>
              <w:jc w:val="center"/>
              <w:rPr>
                <w:rFonts w:cs="Arial"/>
                <w:sz w:val="24"/>
              </w:rPr>
            </w:pPr>
            <w:r w:rsidRPr="00DF1884">
              <w:rPr>
                <w:rFonts w:cs="Arial"/>
                <w:sz w:val="24"/>
              </w:rPr>
              <w:sym w:font="Wingdings" w:char="F0FC"/>
            </w:r>
          </w:p>
        </w:tc>
      </w:tr>
      <w:tr w:rsidR="00463667" w:rsidRPr="00DF1884" w14:paraId="147C600B" w14:textId="77777777" w:rsidTr="00282EAA">
        <w:tc>
          <w:tcPr>
            <w:tcW w:w="6750" w:type="dxa"/>
            <w:tcBorders>
              <w:top w:val="single" w:sz="6" w:space="0" w:color="auto"/>
              <w:left w:val="single" w:sz="6" w:space="0" w:color="auto"/>
              <w:bottom w:val="single" w:sz="6" w:space="0" w:color="auto"/>
              <w:right w:val="single" w:sz="6" w:space="0" w:color="auto"/>
            </w:tcBorders>
          </w:tcPr>
          <w:p w14:paraId="22152A5E" w14:textId="372D7F85" w:rsidR="00463667" w:rsidRPr="00DF1884" w:rsidRDefault="00463667" w:rsidP="00C56CA6">
            <w:pPr>
              <w:pStyle w:val="TableText"/>
            </w:pPr>
            <w:r w:rsidRPr="00DF1884">
              <w:t>Number</w:t>
            </w:r>
            <w:r w:rsidR="00DF1884" w:rsidRPr="00DF1884">
              <w:t xml:space="preserve"> </w:t>
            </w:r>
            <w:r w:rsidRPr="00DF1884">
              <w:t>of</w:t>
            </w:r>
            <w:r w:rsidR="00DF1884" w:rsidRPr="00DF1884">
              <w:t xml:space="preserve"> </w:t>
            </w:r>
            <w:r w:rsidRPr="00DF1884">
              <w:t>numerator</w:t>
            </w:r>
            <w:r w:rsidR="00DF1884" w:rsidRPr="00DF1884">
              <w:t xml:space="preserve"> </w:t>
            </w:r>
            <w:r w:rsidRPr="00DF1884">
              <w:t>events</w:t>
            </w:r>
            <w:r w:rsidR="00DF1884" w:rsidRPr="00DF1884">
              <w:t xml:space="preserve"> </w:t>
            </w:r>
            <w:r w:rsidRPr="00DF1884">
              <w:t>by</w:t>
            </w:r>
            <w:r w:rsidR="00DF1884" w:rsidRPr="00DF1884">
              <w:t xml:space="preserve"> </w:t>
            </w:r>
            <w:r w:rsidRPr="00DF1884">
              <w:t>administrative</w:t>
            </w:r>
            <w:r w:rsidR="00DF1884" w:rsidRPr="00DF1884">
              <w:t xml:space="preserve"> </w:t>
            </w:r>
            <w:r w:rsidRPr="00DF1884">
              <w:t>data</w:t>
            </w:r>
            <w:r w:rsidR="00DF1884" w:rsidRPr="00DF1884">
              <w:t xml:space="preserve"> </w:t>
            </w:r>
            <w:r w:rsidRPr="00DF1884">
              <w:t>in</w:t>
            </w:r>
            <w:r w:rsidR="00DF1884" w:rsidRPr="00DF1884">
              <w:t xml:space="preserve"> </w:t>
            </w:r>
            <w:r w:rsidRPr="00DF1884">
              <w:t>FSS</w:t>
            </w:r>
            <w:r w:rsidR="00DF1884" w:rsidRPr="00DF1884">
              <w:t xml:space="preserve"> </w:t>
            </w:r>
          </w:p>
        </w:tc>
        <w:tc>
          <w:tcPr>
            <w:tcW w:w="1530" w:type="dxa"/>
            <w:tcBorders>
              <w:top w:val="single" w:sz="6" w:space="0" w:color="auto"/>
              <w:left w:val="single" w:sz="6" w:space="0" w:color="auto"/>
              <w:bottom w:val="single" w:sz="6" w:space="0" w:color="auto"/>
              <w:right w:val="single" w:sz="6" w:space="0" w:color="auto"/>
            </w:tcBorders>
            <w:vAlign w:val="center"/>
          </w:tcPr>
          <w:p w14:paraId="2107228E" w14:textId="77777777" w:rsidR="00463667" w:rsidRPr="00DF1884" w:rsidRDefault="00463667" w:rsidP="00C56CA6">
            <w:pPr>
              <w:pStyle w:val="TableText"/>
              <w:jc w:val="center"/>
              <w:rPr>
                <w:rFonts w:cs="Arial"/>
                <w:sz w:val="24"/>
              </w:rPr>
            </w:pPr>
          </w:p>
        </w:tc>
        <w:tc>
          <w:tcPr>
            <w:tcW w:w="1440" w:type="dxa"/>
            <w:tcBorders>
              <w:top w:val="single" w:sz="6" w:space="0" w:color="auto"/>
              <w:left w:val="single" w:sz="6" w:space="0" w:color="auto"/>
              <w:bottom w:val="single" w:sz="6" w:space="0" w:color="auto"/>
              <w:right w:val="single" w:sz="6" w:space="0" w:color="auto"/>
            </w:tcBorders>
            <w:vAlign w:val="center"/>
          </w:tcPr>
          <w:p w14:paraId="29C5633A" w14:textId="77777777" w:rsidR="00463667" w:rsidRPr="00DF1884" w:rsidRDefault="00463667" w:rsidP="00C56CA6">
            <w:pPr>
              <w:pStyle w:val="TableText"/>
              <w:jc w:val="center"/>
              <w:rPr>
                <w:rFonts w:cs="Arial"/>
                <w:sz w:val="24"/>
              </w:rPr>
            </w:pPr>
            <w:r w:rsidRPr="00DF1884">
              <w:rPr>
                <w:rFonts w:cs="Arial"/>
                <w:sz w:val="24"/>
              </w:rPr>
              <w:sym w:font="Wingdings" w:char="F0FC"/>
            </w:r>
          </w:p>
        </w:tc>
      </w:tr>
      <w:tr w:rsidR="00463667" w:rsidRPr="00DF1884" w14:paraId="47E2F123" w14:textId="77777777" w:rsidTr="00282EAA">
        <w:tc>
          <w:tcPr>
            <w:tcW w:w="67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27D53C7" w14:textId="4CFF881F" w:rsidR="00463667" w:rsidRPr="00DF1884" w:rsidRDefault="00463667" w:rsidP="00C56CA6">
            <w:pPr>
              <w:pStyle w:val="TableText"/>
            </w:pPr>
            <w:r w:rsidRPr="00DF1884">
              <w:t>Administrative</w:t>
            </w:r>
            <w:r w:rsidR="00DF1884" w:rsidRPr="00DF1884">
              <w:t xml:space="preserve"> </w:t>
            </w:r>
            <w:r w:rsidRPr="00DF1884">
              <w:t>rate</w:t>
            </w:r>
            <w:r w:rsidR="00DF1884" w:rsidRPr="00DF1884">
              <w:t xml:space="preserve"> </w:t>
            </w:r>
            <w:r w:rsidRPr="00DF1884">
              <w:t>on</w:t>
            </w:r>
            <w:r w:rsidR="00DF1884" w:rsidRPr="00DF1884">
              <w:t xml:space="preserve"> </w:t>
            </w:r>
            <w:r w:rsidRPr="00DF1884">
              <w:t>FSS</w:t>
            </w:r>
          </w:p>
        </w:tc>
        <w:tc>
          <w:tcPr>
            <w:tcW w:w="153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D039B3D" w14:textId="77777777" w:rsidR="00463667" w:rsidRPr="00DF1884" w:rsidRDefault="00463667" w:rsidP="00C56CA6">
            <w:pPr>
              <w:pStyle w:val="TableText"/>
              <w:jc w:val="center"/>
              <w:rPr>
                <w:rFonts w:cs="Arial"/>
                <w:sz w:val="24"/>
              </w:rPr>
            </w:pPr>
          </w:p>
        </w:tc>
        <w:tc>
          <w:tcPr>
            <w:tcW w:w="144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E673181" w14:textId="77777777" w:rsidR="00463667" w:rsidRPr="00DF1884" w:rsidRDefault="00463667" w:rsidP="00C56CA6">
            <w:pPr>
              <w:pStyle w:val="TableText"/>
              <w:jc w:val="center"/>
              <w:rPr>
                <w:rFonts w:cs="Arial"/>
                <w:sz w:val="24"/>
              </w:rPr>
            </w:pPr>
            <w:r w:rsidRPr="00DF1884">
              <w:rPr>
                <w:rFonts w:cs="Arial"/>
                <w:sz w:val="24"/>
              </w:rPr>
              <w:sym w:font="Wingdings" w:char="F0FC"/>
            </w:r>
          </w:p>
        </w:tc>
      </w:tr>
      <w:tr w:rsidR="00463667" w:rsidRPr="00DF1884" w14:paraId="2DD299B3" w14:textId="77777777" w:rsidTr="00282EAA">
        <w:tc>
          <w:tcPr>
            <w:tcW w:w="6750" w:type="dxa"/>
            <w:tcBorders>
              <w:top w:val="single" w:sz="6" w:space="0" w:color="auto"/>
              <w:left w:val="single" w:sz="6" w:space="0" w:color="auto"/>
              <w:bottom w:val="single" w:sz="6" w:space="0" w:color="auto"/>
              <w:right w:val="single" w:sz="6" w:space="0" w:color="auto"/>
            </w:tcBorders>
          </w:tcPr>
          <w:p w14:paraId="6849AC4C" w14:textId="31239B73" w:rsidR="00463667" w:rsidRPr="00DF1884" w:rsidRDefault="00463667" w:rsidP="00C56CA6">
            <w:pPr>
              <w:pStyle w:val="TableText"/>
            </w:pPr>
            <w:r w:rsidRPr="00DF1884">
              <w:t>Number</w:t>
            </w:r>
            <w:r w:rsidR="00DF1884" w:rsidRPr="00DF1884">
              <w:t xml:space="preserve"> </w:t>
            </w:r>
            <w:r w:rsidRPr="00DF1884">
              <w:t>of</w:t>
            </w:r>
            <w:r w:rsidR="00DF1884" w:rsidRPr="00DF1884">
              <w:t xml:space="preserve"> </w:t>
            </w:r>
            <w:r w:rsidRPr="00DF1884">
              <w:t>original</w:t>
            </w:r>
            <w:r w:rsidR="00DF1884" w:rsidRPr="00DF1884">
              <w:t xml:space="preserve"> </w:t>
            </w:r>
            <w:r w:rsidRPr="00DF1884">
              <w:t>sample</w:t>
            </w:r>
            <w:r w:rsidR="00DF1884" w:rsidRPr="00DF1884">
              <w:t xml:space="preserve"> </w:t>
            </w:r>
            <w:r w:rsidRPr="00DF1884">
              <w:t>records</w:t>
            </w:r>
            <w:r w:rsidR="00DF1884" w:rsidRPr="00DF1884">
              <w:t xml:space="preserve"> </w:t>
            </w:r>
            <w:r w:rsidRPr="00DF1884">
              <w:t>excluded</w:t>
            </w:r>
            <w:r w:rsidR="00DF1884" w:rsidRPr="00DF1884">
              <w:t xml:space="preserve"> </w:t>
            </w:r>
            <w:r w:rsidRPr="00DF1884">
              <w:t>because</w:t>
            </w:r>
            <w:r w:rsidR="00DF1884" w:rsidRPr="00DF1884">
              <w:t xml:space="preserve"> </w:t>
            </w:r>
            <w:r w:rsidRPr="00DF1884">
              <w:t>of</w:t>
            </w:r>
            <w:r w:rsidR="00DF1884" w:rsidRPr="00DF1884">
              <w:t xml:space="preserve"> </w:t>
            </w:r>
            <w:r w:rsidRPr="00DF1884">
              <w:t>valid</w:t>
            </w:r>
            <w:r w:rsidR="00DF1884" w:rsidRPr="00DF1884">
              <w:t xml:space="preserve"> </w:t>
            </w:r>
            <w:r w:rsidRPr="00DF1884">
              <w:t>data</w:t>
            </w:r>
            <w:r w:rsidR="00DF1884" w:rsidRPr="00DF1884">
              <w:t xml:space="preserve"> </w:t>
            </w:r>
            <w:r w:rsidRPr="00DF1884">
              <w:t>errors</w:t>
            </w:r>
            <w:r w:rsidR="00DF1884" w:rsidRPr="00DF1884">
              <w:t xml:space="preserve"> </w:t>
            </w:r>
          </w:p>
        </w:tc>
        <w:tc>
          <w:tcPr>
            <w:tcW w:w="1530" w:type="dxa"/>
            <w:tcBorders>
              <w:top w:val="single" w:sz="6" w:space="0" w:color="auto"/>
              <w:left w:val="single" w:sz="6" w:space="0" w:color="auto"/>
              <w:bottom w:val="single" w:sz="6" w:space="0" w:color="auto"/>
              <w:right w:val="single" w:sz="6" w:space="0" w:color="auto"/>
            </w:tcBorders>
            <w:vAlign w:val="center"/>
          </w:tcPr>
          <w:p w14:paraId="6D63BE9E" w14:textId="77777777" w:rsidR="00463667" w:rsidRPr="00DF1884" w:rsidRDefault="00463667" w:rsidP="00C56CA6">
            <w:pPr>
              <w:pStyle w:val="TableText"/>
              <w:jc w:val="center"/>
              <w:rPr>
                <w:rFonts w:cs="Arial"/>
                <w:sz w:val="24"/>
              </w:rPr>
            </w:pPr>
          </w:p>
        </w:tc>
        <w:tc>
          <w:tcPr>
            <w:tcW w:w="1440" w:type="dxa"/>
            <w:tcBorders>
              <w:top w:val="single" w:sz="6" w:space="0" w:color="auto"/>
              <w:left w:val="single" w:sz="6" w:space="0" w:color="auto"/>
              <w:bottom w:val="single" w:sz="6" w:space="0" w:color="auto"/>
              <w:right w:val="single" w:sz="6" w:space="0" w:color="auto"/>
            </w:tcBorders>
            <w:vAlign w:val="center"/>
          </w:tcPr>
          <w:p w14:paraId="26949987" w14:textId="77777777" w:rsidR="00463667" w:rsidRPr="00DF1884" w:rsidRDefault="00463667" w:rsidP="00C56CA6">
            <w:pPr>
              <w:pStyle w:val="TableText"/>
              <w:jc w:val="center"/>
              <w:rPr>
                <w:rFonts w:cs="Arial"/>
                <w:sz w:val="24"/>
              </w:rPr>
            </w:pPr>
            <w:r w:rsidRPr="00DF1884">
              <w:rPr>
                <w:rFonts w:cs="Arial"/>
                <w:sz w:val="24"/>
              </w:rPr>
              <w:sym w:font="Wingdings" w:char="F0FC"/>
            </w:r>
          </w:p>
        </w:tc>
      </w:tr>
      <w:tr w:rsidR="00463667" w:rsidRPr="00DF1884" w14:paraId="11353681" w14:textId="77777777" w:rsidTr="00282EAA">
        <w:tc>
          <w:tcPr>
            <w:tcW w:w="67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35F30B6" w14:textId="63253F75" w:rsidR="00463667" w:rsidRPr="00DF1884" w:rsidRDefault="00463667" w:rsidP="00C56CA6">
            <w:pPr>
              <w:pStyle w:val="TableText"/>
            </w:pPr>
            <w:r w:rsidRPr="00DF1884">
              <w:t>Number</w:t>
            </w:r>
            <w:r w:rsidR="00DF1884" w:rsidRPr="00DF1884">
              <w:t xml:space="preserve"> </w:t>
            </w:r>
            <w:r w:rsidRPr="00DF1884">
              <w:t>of</w:t>
            </w:r>
            <w:r w:rsidR="00DF1884" w:rsidRPr="00DF1884">
              <w:t xml:space="preserve"> </w:t>
            </w:r>
            <w:r w:rsidRPr="00DF1884">
              <w:t>administrative</w:t>
            </w:r>
            <w:r w:rsidR="00DF1884" w:rsidRPr="00DF1884">
              <w:t xml:space="preserve"> </w:t>
            </w:r>
            <w:r w:rsidRPr="00DF1884">
              <w:t>data</w:t>
            </w:r>
            <w:r w:rsidR="00DF1884" w:rsidRPr="00DF1884">
              <w:t xml:space="preserve"> </w:t>
            </w:r>
            <w:r w:rsidRPr="00DF1884">
              <w:t>records</w:t>
            </w:r>
            <w:r w:rsidR="00DF1884" w:rsidRPr="00DF1884">
              <w:t xml:space="preserve"> </w:t>
            </w:r>
            <w:r w:rsidRPr="00DF1884">
              <w:t>excluded</w:t>
            </w:r>
          </w:p>
        </w:tc>
        <w:tc>
          <w:tcPr>
            <w:tcW w:w="153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5DC70EF" w14:textId="77777777" w:rsidR="00463667" w:rsidRPr="00DF1884" w:rsidRDefault="00463667" w:rsidP="00C56CA6">
            <w:pPr>
              <w:pStyle w:val="TableText"/>
              <w:jc w:val="center"/>
              <w:rPr>
                <w:rFonts w:cs="Arial"/>
                <w:sz w:val="24"/>
              </w:rPr>
            </w:pPr>
          </w:p>
        </w:tc>
        <w:tc>
          <w:tcPr>
            <w:tcW w:w="144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4E57138" w14:textId="77777777" w:rsidR="00463667" w:rsidRPr="00DF1884" w:rsidRDefault="00463667" w:rsidP="00C56CA6">
            <w:pPr>
              <w:pStyle w:val="TableText"/>
              <w:jc w:val="center"/>
              <w:rPr>
                <w:rFonts w:cs="Arial"/>
                <w:sz w:val="24"/>
              </w:rPr>
            </w:pPr>
            <w:r w:rsidRPr="00DF1884">
              <w:rPr>
                <w:rFonts w:cs="Arial"/>
                <w:sz w:val="24"/>
              </w:rPr>
              <w:sym w:font="Wingdings" w:char="F0FC"/>
            </w:r>
          </w:p>
        </w:tc>
      </w:tr>
      <w:tr w:rsidR="00463667" w:rsidRPr="00DF1884" w14:paraId="5E0E6739" w14:textId="77777777" w:rsidTr="00282EAA">
        <w:tc>
          <w:tcPr>
            <w:tcW w:w="6750" w:type="dxa"/>
            <w:tcBorders>
              <w:top w:val="single" w:sz="6" w:space="0" w:color="auto"/>
              <w:left w:val="single" w:sz="6" w:space="0" w:color="auto"/>
              <w:bottom w:val="single" w:sz="6" w:space="0" w:color="auto"/>
              <w:right w:val="single" w:sz="6" w:space="0" w:color="auto"/>
            </w:tcBorders>
          </w:tcPr>
          <w:p w14:paraId="4178BF71" w14:textId="4E1E4F65" w:rsidR="00463667" w:rsidRPr="00DF1884" w:rsidRDefault="00463667" w:rsidP="00C56CA6">
            <w:pPr>
              <w:pStyle w:val="TableText"/>
            </w:pPr>
            <w:r w:rsidRPr="00DF1884">
              <w:t>Number</w:t>
            </w:r>
            <w:r w:rsidR="00DF1884" w:rsidRPr="00DF1884">
              <w:t xml:space="preserve"> </w:t>
            </w:r>
            <w:r w:rsidRPr="00DF1884">
              <w:t>of</w:t>
            </w:r>
            <w:r w:rsidR="00DF1884" w:rsidRPr="00DF1884">
              <w:t xml:space="preserve"> </w:t>
            </w:r>
            <w:r w:rsidRPr="00DF1884">
              <w:t>medical</w:t>
            </w:r>
            <w:r w:rsidR="00DF1884" w:rsidRPr="00DF1884">
              <w:t xml:space="preserve"> </w:t>
            </w:r>
            <w:r w:rsidRPr="00DF1884">
              <w:t>records</w:t>
            </w:r>
            <w:r w:rsidR="00DF1884" w:rsidRPr="00DF1884">
              <w:t xml:space="preserve"> </w:t>
            </w:r>
            <w:r w:rsidRPr="00DF1884">
              <w:t>excluded</w:t>
            </w:r>
          </w:p>
        </w:tc>
        <w:tc>
          <w:tcPr>
            <w:tcW w:w="1530" w:type="dxa"/>
            <w:tcBorders>
              <w:top w:val="single" w:sz="6" w:space="0" w:color="auto"/>
              <w:left w:val="single" w:sz="6" w:space="0" w:color="auto"/>
              <w:bottom w:val="single" w:sz="6" w:space="0" w:color="auto"/>
              <w:right w:val="single" w:sz="6" w:space="0" w:color="auto"/>
            </w:tcBorders>
            <w:vAlign w:val="center"/>
          </w:tcPr>
          <w:p w14:paraId="50551DF4" w14:textId="77777777" w:rsidR="00463667" w:rsidRPr="00DF1884" w:rsidRDefault="00463667" w:rsidP="00C56CA6">
            <w:pPr>
              <w:pStyle w:val="TableText"/>
              <w:jc w:val="center"/>
              <w:rPr>
                <w:rFonts w:cs="Arial"/>
                <w:sz w:val="24"/>
              </w:rPr>
            </w:pPr>
          </w:p>
        </w:tc>
        <w:tc>
          <w:tcPr>
            <w:tcW w:w="1440" w:type="dxa"/>
            <w:tcBorders>
              <w:top w:val="single" w:sz="6" w:space="0" w:color="auto"/>
              <w:left w:val="single" w:sz="6" w:space="0" w:color="auto"/>
              <w:bottom w:val="single" w:sz="6" w:space="0" w:color="auto"/>
              <w:right w:val="single" w:sz="6" w:space="0" w:color="auto"/>
            </w:tcBorders>
            <w:vAlign w:val="center"/>
          </w:tcPr>
          <w:p w14:paraId="6C6AF38D" w14:textId="77777777" w:rsidR="00463667" w:rsidRPr="00DF1884" w:rsidRDefault="00463667" w:rsidP="00C56CA6">
            <w:pPr>
              <w:pStyle w:val="TableText"/>
              <w:jc w:val="center"/>
              <w:rPr>
                <w:rFonts w:cs="Arial"/>
                <w:sz w:val="24"/>
              </w:rPr>
            </w:pPr>
            <w:r w:rsidRPr="00DF1884">
              <w:rPr>
                <w:rFonts w:cs="Arial"/>
                <w:sz w:val="24"/>
              </w:rPr>
              <w:sym w:font="Wingdings" w:char="F0FC"/>
            </w:r>
          </w:p>
        </w:tc>
      </w:tr>
      <w:tr w:rsidR="00463667" w:rsidRPr="00DF1884" w14:paraId="4B7A450F" w14:textId="77777777" w:rsidTr="00282EAA">
        <w:tc>
          <w:tcPr>
            <w:tcW w:w="67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99AF169" w14:textId="275162C4" w:rsidR="00463667" w:rsidRPr="00DF1884" w:rsidRDefault="00463667" w:rsidP="00C56CA6">
            <w:pPr>
              <w:pStyle w:val="TableText"/>
            </w:pPr>
            <w:r w:rsidRPr="00DF1884">
              <w:t>Number</w:t>
            </w:r>
            <w:r w:rsidR="00DF1884" w:rsidRPr="00DF1884">
              <w:t xml:space="preserve"> </w:t>
            </w:r>
            <w:r w:rsidRPr="00DF1884">
              <w:t>of</w:t>
            </w:r>
            <w:r w:rsidR="00DF1884" w:rsidRPr="00DF1884">
              <w:t xml:space="preserve"> </w:t>
            </w:r>
            <w:r w:rsidRPr="00DF1884">
              <w:t>employee/dependent</w:t>
            </w:r>
            <w:r w:rsidR="00DF1884" w:rsidRPr="00DF1884">
              <w:t xml:space="preserve"> </w:t>
            </w:r>
            <w:r w:rsidRPr="00DF1884">
              <w:t>medical</w:t>
            </w:r>
            <w:r w:rsidR="00DF1884" w:rsidRPr="00DF1884">
              <w:t xml:space="preserve"> </w:t>
            </w:r>
            <w:r w:rsidRPr="00DF1884">
              <w:t>records</w:t>
            </w:r>
            <w:r w:rsidR="00DF1884" w:rsidRPr="00DF1884">
              <w:t xml:space="preserve"> </w:t>
            </w:r>
            <w:r w:rsidRPr="00DF1884">
              <w:t>excluded</w:t>
            </w:r>
            <w:r w:rsidR="00DF1884" w:rsidRPr="00DF1884">
              <w:t xml:space="preserve"> </w:t>
            </w:r>
          </w:p>
        </w:tc>
        <w:tc>
          <w:tcPr>
            <w:tcW w:w="153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82C4513" w14:textId="77777777" w:rsidR="00463667" w:rsidRPr="00DF1884" w:rsidRDefault="00463667" w:rsidP="00C56CA6">
            <w:pPr>
              <w:pStyle w:val="TableText"/>
              <w:jc w:val="center"/>
              <w:rPr>
                <w:rFonts w:cs="Arial"/>
                <w:sz w:val="24"/>
              </w:rPr>
            </w:pPr>
          </w:p>
        </w:tc>
        <w:tc>
          <w:tcPr>
            <w:tcW w:w="144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562D460" w14:textId="77777777" w:rsidR="00463667" w:rsidRPr="00DF1884" w:rsidRDefault="00463667" w:rsidP="00C56CA6">
            <w:pPr>
              <w:pStyle w:val="TableText"/>
              <w:jc w:val="center"/>
              <w:rPr>
                <w:rFonts w:cs="Arial"/>
                <w:sz w:val="24"/>
              </w:rPr>
            </w:pPr>
            <w:r w:rsidRPr="00DF1884">
              <w:rPr>
                <w:rFonts w:cs="Arial"/>
                <w:sz w:val="24"/>
              </w:rPr>
              <w:sym w:font="Wingdings" w:char="F0FC"/>
            </w:r>
          </w:p>
        </w:tc>
      </w:tr>
      <w:tr w:rsidR="00463667" w:rsidRPr="00DF1884" w14:paraId="09FD9081" w14:textId="77777777" w:rsidTr="00282EAA">
        <w:tc>
          <w:tcPr>
            <w:tcW w:w="6750" w:type="dxa"/>
            <w:tcBorders>
              <w:top w:val="single" w:sz="6" w:space="0" w:color="auto"/>
              <w:left w:val="single" w:sz="6" w:space="0" w:color="auto"/>
              <w:bottom w:val="single" w:sz="6" w:space="0" w:color="auto"/>
              <w:right w:val="single" w:sz="6" w:space="0" w:color="auto"/>
            </w:tcBorders>
          </w:tcPr>
          <w:p w14:paraId="2CB836A7" w14:textId="27296CD3" w:rsidR="00463667" w:rsidRPr="00DF1884" w:rsidRDefault="00463667" w:rsidP="00C56CA6">
            <w:pPr>
              <w:pStyle w:val="TableText"/>
            </w:pPr>
            <w:r w:rsidRPr="00DF1884">
              <w:t>Records</w:t>
            </w:r>
            <w:r w:rsidR="00DF1884" w:rsidRPr="00DF1884">
              <w:t xml:space="preserve"> </w:t>
            </w:r>
            <w:r w:rsidRPr="00DF1884">
              <w:t>added</w:t>
            </w:r>
            <w:r w:rsidR="00DF1884" w:rsidRPr="00DF1884">
              <w:t xml:space="preserve"> </w:t>
            </w:r>
            <w:r w:rsidRPr="00DF1884">
              <w:t>from</w:t>
            </w:r>
            <w:r w:rsidR="00DF1884" w:rsidRPr="00DF1884">
              <w:t xml:space="preserve"> </w:t>
            </w:r>
            <w:r w:rsidRPr="00DF1884">
              <w:t>the</w:t>
            </w:r>
            <w:r w:rsidR="00DF1884" w:rsidRPr="00DF1884">
              <w:t xml:space="preserve"> </w:t>
            </w:r>
            <w:r w:rsidRPr="00DF1884">
              <w:t>oversample</w:t>
            </w:r>
            <w:r w:rsidR="00DF1884" w:rsidRPr="00DF1884">
              <w:t xml:space="preserve"> </w:t>
            </w:r>
            <w:r w:rsidRPr="00DF1884">
              <w:t>list</w:t>
            </w:r>
            <w:r w:rsidR="00DF1884" w:rsidRPr="00DF1884">
              <w:t xml:space="preserve"> </w:t>
            </w:r>
          </w:p>
        </w:tc>
        <w:tc>
          <w:tcPr>
            <w:tcW w:w="1530" w:type="dxa"/>
            <w:tcBorders>
              <w:top w:val="single" w:sz="6" w:space="0" w:color="auto"/>
              <w:left w:val="single" w:sz="6" w:space="0" w:color="auto"/>
              <w:bottom w:val="single" w:sz="6" w:space="0" w:color="auto"/>
              <w:right w:val="single" w:sz="6" w:space="0" w:color="auto"/>
            </w:tcBorders>
            <w:vAlign w:val="center"/>
          </w:tcPr>
          <w:p w14:paraId="32157538" w14:textId="77777777" w:rsidR="00463667" w:rsidRPr="00DF1884" w:rsidRDefault="00463667" w:rsidP="00C56CA6">
            <w:pPr>
              <w:pStyle w:val="TableText"/>
              <w:jc w:val="center"/>
              <w:rPr>
                <w:rFonts w:cs="Arial"/>
                <w:sz w:val="24"/>
              </w:rPr>
            </w:pPr>
          </w:p>
        </w:tc>
        <w:tc>
          <w:tcPr>
            <w:tcW w:w="1440" w:type="dxa"/>
            <w:tcBorders>
              <w:top w:val="single" w:sz="6" w:space="0" w:color="auto"/>
              <w:left w:val="single" w:sz="6" w:space="0" w:color="auto"/>
              <w:bottom w:val="single" w:sz="6" w:space="0" w:color="auto"/>
              <w:right w:val="single" w:sz="6" w:space="0" w:color="auto"/>
            </w:tcBorders>
            <w:vAlign w:val="center"/>
          </w:tcPr>
          <w:p w14:paraId="7C3EA2EE" w14:textId="77777777" w:rsidR="00463667" w:rsidRPr="00DF1884" w:rsidRDefault="00463667" w:rsidP="00C56CA6">
            <w:pPr>
              <w:pStyle w:val="TableText"/>
              <w:jc w:val="center"/>
              <w:rPr>
                <w:rFonts w:cs="Arial"/>
                <w:sz w:val="24"/>
              </w:rPr>
            </w:pPr>
            <w:r w:rsidRPr="00DF1884">
              <w:rPr>
                <w:rFonts w:cs="Arial"/>
                <w:sz w:val="24"/>
              </w:rPr>
              <w:sym w:font="Wingdings" w:char="F0FC"/>
            </w:r>
          </w:p>
        </w:tc>
      </w:tr>
      <w:tr w:rsidR="00463667" w:rsidRPr="00DF1884" w14:paraId="3D7F3FFE" w14:textId="77777777" w:rsidTr="00282EAA">
        <w:tc>
          <w:tcPr>
            <w:tcW w:w="67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F9D6B12" w14:textId="77777777" w:rsidR="00463667" w:rsidRPr="00DF1884" w:rsidRDefault="00463667" w:rsidP="00C56CA6">
            <w:pPr>
              <w:pStyle w:val="TableText"/>
            </w:pPr>
            <w:r w:rsidRPr="00DF1884">
              <w:t>Denominator</w:t>
            </w:r>
          </w:p>
        </w:tc>
        <w:tc>
          <w:tcPr>
            <w:tcW w:w="153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52172F2" w14:textId="77777777" w:rsidR="00463667" w:rsidRPr="00DF1884" w:rsidRDefault="00463667" w:rsidP="00C56CA6">
            <w:pPr>
              <w:pStyle w:val="TableText"/>
              <w:jc w:val="center"/>
              <w:rPr>
                <w:rFonts w:cs="Arial"/>
                <w:sz w:val="24"/>
              </w:rPr>
            </w:pPr>
          </w:p>
        </w:tc>
        <w:tc>
          <w:tcPr>
            <w:tcW w:w="144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F438CD9" w14:textId="77777777" w:rsidR="00463667" w:rsidRPr="00DF1884" w:rsidRDefault="00463667" w:rsidP="00C56CA6">
            <w:pPr>
              <w:pStyle w:val="TableText"/>
              <w:jc w:val="center"/>
              <w:rPr>
                <w:rFonts w:cs="Arial"/>
                <w:sz w:val="24"/>
              </w:rPr>
            </w:pPr>
            <w:r w:rsidRPr="00DF1884">
              <w:rPr>
                <w:rFonts w:cs="Arial"/>
                <w:sz w:val="24"/>
              </w:rPr>
              <w:sym w:font="Wingdings" w:char="F0FC"/>
            </w:r>
          </w:p>
        </w:tc>
      </w:tr>
      <w:tr w:rsidR="00463667" w:rsidRPr="00DF1884" w14:paraId="27EA2452" w14:textId="77777777" w:rsidTr="00282EAA">
        <w:tc>
          <w:tcPr>
            <w:tcW w:w="6750" w:type="dxa"/>
            <w:tcBorders>
              <w:top w:val="single" w:sz="6" w:space="0" w:color="auto"/>
              <w:left w:val="single" w:sz="6" w:space="0" w:color="auto"/>
              <w:bottom w:val="single" w:sz="6" w:space="0" w:color="auto"/>
              <w:right w:val="single" w:sz="6" w:space="0" w:color="auto"/>
            </w:tcBorders>
          </w:tcPr>
          <w:p w14:paraId="55C6C0F9" w14:textId="73AD6C85" w:rsidR="00463667" w:rsidRPr="00DF1884" w:rsidRDefault="00463667" w:rsidP="00C56CA6">
            <w:pPr>
              <w:pStyle w:val="TableText"/>
            </w:pPr>
            <w:r w:rsidRPr="00DF1884">
              <w:t>Numerator</w:t>
            </w:r>
            <w:r w:rsidR="00DF1884" w:rsidRPr="00DF1884">
              <w:t xml:space="preserve"> </w:t>
            </w:r>
            <w:r w:rsidRPr="00DF1884">
              <w:t>events</w:t>
            </w:r>
            <w:r w:rsidR="00DF1884" w:rsidRPr="00DF1884">
              <w:t xml:space="preserve"> </w:t>
            </w:r>
            <w:r w:rsidRPr="00DF1884">
              <w:t>by</w:t>
            </w:r>
            <w:r w:rsidR="00DF1884" w:rsidRPr="00DF1884">
              <w:t xml:space="preserve"> </w:t>
            </w:r>
            <w:r w:rsidRPr="00DF1884">
              <w:t>administrative</w:t>
            </w:r>
            <w:r w:rsidR="00DF1884" w:rsidRPr="00DF1884">
              <w:t xml:space="preserve"> </w:t>
            </w:r>
            <w:r w:rsidRPr="00DF1884">
              <w:t>data</w:t>
            </w:r>
          </w:p>
        </w:tc>
        <w:tc>
          <w:tcPr>
            <w:tcW w:w="1530" w:type="dxa"/>
            <w:tcBorders>
              <w:top w:val="single" w:sz="6" w:space="0" w:color="auto"/>
              <w:left w:val="single" w:sz="6" w:space="0" w:color="auto"/>
              <w:bottom w:val="single" w:sz="6" w:space="0" w:color="auto"/>
              <w:right w:val="single" w:sz="6" w:space="0" w:color="auto"/>
            </w:tcBorders>
            <w:vAlign w:val="center"/>
          </w:tcPr>
          <w:p w14:paraId="44E5F828" w14:textId="77777777" w:rsidR="00463667" w:rsidRPr="00DF1884" w:rsidRDefault="00463667" w:rsidP="00C56CA6">
            <w:pPr>
              <w:pStyle w:val="TableText"/>
              <w:jc w:val="center"/>
              <w:rPr>
                <w:rFonts w:cs="Arial"/>
                <w:sz w:val="24"/>
              </w:rPr>
            </w:pPr>
            <w:r w:rsidRPr="00DF1884">
              <w:rPr>
                <w:rFonts w:cs="Arial"/>
                <w:sz w:val="24"/>
              </w:rPr>
              <w:sym w:font="Wingdings" w:char="F0FC"/>
            </w:r>
          </w:p>
        </w:tc>
        <w:tc>
          <w:tcPr>
            <w:tcW w:w="1440" w:type="dxa"/>
            <w:tcBorders>
              <w:top w:val="single" w:sz="6" w:space="0" w:color="auto"/>
              <w:left w:val="single" w:sz="6" w:space="0" w:color="auto"/>
              <w:bottom w:val="single" w:sz="6" w:space="0" w:color="auto"/>
              <w:right w:val="single" w:sz="6" w:space="0" w:color="auto"/>
            </w:tcBorders>
            <w:vAlign w:val="center"/>
          </w:tcPr>
          <w:p w14:paraId="456DFF5B" w14:textId="77777777" w:rsidR="00463667" w:rsidRPr="00DF1884" w:rsidRDefault="00463667" w:rsidP="00C56CA6">
            <w:pPr>
              <w:pStyle w:val="TableText"/>
              <w:jc w:val="center"/>
              <w:rPr>
                <w:rFonts w:cs="Arial"/>
                <w:sz w:val="24"/>
              </w:rPr>
            </w:pPr>
            <w:r w:rsidRPr="00DF1884">
              <w:rPr>
                <w:rFonts w:cs="Arial"/>
                <w:sz w:val="24"/>
              </w:rPr>
              <w:sym w:font="Wingdings" w:char="F0FC"/>
            </w:r>
          </w:p>
        </w:tc>
      </w:tr>
      <w:tr w:rsidR="00463667" w:rsidRPr="00DF1884" w14:paraId="701F863D" w14:textId="77777777" w:rsidTr="00282EAA">
        <w:tc>
          <w:tcPr>
            <w:tcW w:w="67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C802498" w14:textId="3B4DA7CD" w:rsidR="00463667" w:rsidRPr="00DF1884" w:rsidRDefault="00463667" w:rsidP="00C56CA6">
            <w:pPr>
              <w:pStyle w:val="TableText"/>
            </w:pPr>
            <w:r w:rsidRPr="00DF1884">
              <w:t>Numerator</w:t>
            </w:r>
            <w:r w:rsidR="00DF1884" w:rsidRPr="00DF1884">
              <w:t xml:space="preserve"> </w:t>
            </w:r>
            <w:r w:rsidRPr="00DF1884">
              <w:t>events</w:t>
            </w:r>
            <w:r w:rsidR="00DF1884" w:rsidRPr="00DF1884">
              <w:t xml:space="preserve"> </w:t>
            </w:r>
            <w:r w:rsidRPr="00DF1884">
              <w:t>by</w:t>
            </w:r>
            <w:r w:rsidR="00DF1884" w:rsidRPr="00DF1884">
              <w:t xml:space="preserve"> </w:t>
            </w:r>
            <w:r w:rsidRPr="00DF1884">
              <w:t>medical</w:t>
            </w:r>
            <w:r w:rsidR="00DF1884" w:rsidRPr="00DF1884">
              <w:t xml:space="preserve"> </w:t>
            </w:r>
            <w:r w:rsidRPr="00DF1884">
              <w:t>records</w:t>
            </w:r>
            <w:r w:rsidR="00DF1884" w:rsidRPr="00DF1884">
              <w:t xml:space="preserve"> </w:t>
            </w:r>
            <w:r w:rsidRPr="00DF1884">
              <w:t>or</w:t>
            </w:r>
            <w:r w:rsidR="00DF1884" w:rsidRPr="00DF1884">
              <w:t xml:space="preserve"> </w:t>
            </w:r>
            <w:r w:rsidRPr="00DF1884">
              <w:t>electronic</w:t>
            </w:r>
            <w:r w:rsidR="00DF1884" w:rsidRPr="00DF1884">
              <w:t xml:space="preserve"> </w:t>
            </w:r>
            <w:r w:rsidRPr="00DF1884">
              <w:t>medical</w:t>
            </w:r>
            <w:r w:rsidR="00DF1884" w:rsidRPr="00DF1884">
              <w:t xml:space="preserve"> </w:t>
            </w:r>
            <w:r w:rsidRPr="00DF1884">
              <w:t>records</w:t>
            </w:r>
          </w:p>
        </w:tc>
        <w:tc>
          <w:tcPr>
            <w:tcW w:w="153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B08CE02" w14:textId="77777777" w:rsidR="00463667" w:rsidRPr="00DF1884" w:rsidRDefault="00463667" w:rsidP="00C56CA6">
            <w:pPr>
              <w:pStyle w:val="TableText"/>
              <w:jc w:val="center"/>
              <w:rPr>
                <w:rFonts w:cs="Arial"/>
                <w:sz w:val="24"/>
              </w:rPr>
            </w:pPr>
          </w:p>
        </w:tc>
        <w:tc>
          <w:tcPr>
            <w:tcW w:w="144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BD4070E" w14:textId="77777777" w:rsidR="00463667" w:rsidRPr="00DF1884" w:rsidRDefault="00463667" w:rsidP="00C56CA6">
            <w:pPr>
              <w:pStyle w:val="TableText"/>
              <w:jc w:val="center"/>
              <w:rPr>
                <w:rFonts w:cs="Arial"/>
                <w:sz w:val="24"/>
              </w:rPr>
            </w:pPr>
            <w:r w:rsidRPr="00DF1884">
              <w:rPr>
                <w:rFonts w:cs="Arial"/>
                <w:sz w:val="24"/>
              </w:rPr>
              <w:sym w:font="Wingdings" w:char="F0FC"/>
            </w:r>
          </w:p>
        </w:tc>
      </w:tr>
      <w:tr w:rsidR="00282EAA" w:rsidRPr="00DF1884" w14:paraId="74FCC586" w14:textId="77777777" w:rsidTr="00282EAA">
        <w:tc>
          <w:tcPr>
            <w:tcW w:w="67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F90B7E2" w14:textId="7E427143" w:rsidR="00282EAA" w:rsidRPr="00DF1884" w:rsidRDefault="00282EAA" w:rsidP="00282EAA">
            <w:pPr>
              <w:pStyle w:val="TableText"/>
            </w:pPr>
            <w:r w:rsidRPr="00DF1884">
              <w:t>Numerator</w:t>
            </w:r>
            <w:r w:rsidR="00DF1884" w:rsidRPr="00DF1884">
              <w:t xml:space="preserve"> </w:t>
            </w:r>
            <w:r w:rsidRPr="00DF1884">
              <w:t>events</w:t>
            </w:r>
            <w:r w:rsidR="00DF1884" w:rsidRPr="00DF1884">
              <w:t xml:space="preserve"> </w:t>
            </w:r>
            <w:r w:rsidRPr="00DF1884">
              <w:t>by</w:t>
            </w:r>
            <w:r w:rsidR="00DF1884" w:rsidRPr="00DF1884">
              <w:t xml:space="preserve"> </w:t>
            </w:r>
            <w:r w:rsidRPr="00DF1884">
              <w:t>supplemental</w:t>
            </w:r>
            <w:r w:rsidR="00DF1884" w:rsidRPr="00DF1884">
              <w:t xml:space="preserve"> </w:t>
            </w:r>
            <w:r w:rsidRPr="00DF1884">
              <w:t>data</w:t>
            </w:r>
          </w:p>
        </w:tc>
        <w:tc>
          <w:tcPr>
            <w:tcW w:w="153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DEB54BC" w14:textId="3BD0198F" w:rsidR="00282EAA" w:rsidRPr="00DF1884" w:rsidRDefault="00282EAA" w:rsidP="00282EAA">
            <w:pPr>
              <w:pStyle w:val="TableText"/>
              <w:jc w:val="center"/>
              <w:rPr>
                <w:rFonts w:cs="Arial"/>
                <w:sz w:val="24"/>
              </w:rPr>
            </w:pPr>
            <w:r w:rsidRPr="00DF1884">
              <w:rPr>
                <w:rFonts w:cs="Arial"/>
                <w:sz w:val="24"/>
              </w:rPr>
              <w:sym w:font="Wingdings" w:char="F0FC"/>
            </w:r>
          </w:p>
        </w:tc>
        <w:tc>
          <w:tcPr>
            <w:tcW w:w="144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81E7F0B" w14:textId="39716435" w:rsidR="00282EAA" w:rsidRPr="00DF1884" w:rsidRDefault="00282EAA" w:rsidP="00282EAA">
            <w:pPr>
              <w:pStyle w:val="TableText"/>
              <w:jc w:val="center"/>
              <w:rPr>
                <w:rFonts w:cs="Arial"/>
                <w:sz w:val="24"/>
              </w:rPr>
            </w:pPr>
            <w:r w:rsidRPr="00DF1884">
              <w:rPr>
                <w:rFonts w:cs="Arial"/>
                <w:sz w:val="24"/>
              </w:rPr>
              <w:sym w:font="Wingdings" w:char="F0FC"/>
            </w:r>
          </w:p>
        </w:tc>
      </w:tr>
      <w:tr w:rsidR="00282EAA" w:rsidRPr="00DF1884" w14:paraId="0FD8440A" w14:textId="77777777" w:rsidTr="00282EAA">
        <w:tc>
          <w:tcPr>
            <w:tcW w:w="6750" w:type="dxa"/>
            <w:tcBorders>
              <w:top w:val="single" w:sz="6" w:space="0" w:color="auto"/>
              <w:left w:val="single" w:sz="6" w:space="0" w:color="auto"/>
              <w:bottom w:val="single" w:sz="6" w:space="0" w:color="auto"/>
              <w:right w:val="single" w:sz="6" w:space="0" w:color="auto"/>
            </w:tcBorders>
          </w:tcPr>
          <w:p w14:paraId="046DD06B" w14:textId="5977C524" w:rsidR="00282EAA" w:rsidRPr="00DF1884" w:rsidRDefault="00282EAA" w:rsidP="00282EAA">
            <w:pPr>
              <w:pStyle w:val="TableText"/>
            </w:pPr>
            <w:r w:rsidRPr="00DF1884">
              <w:t>Reported</w:t>
            </w:r>
            <w:r w:rsidR="00DF1884" w:rsidRPr="00DF1884">
              <w:t xml:space="preserve"> </w:t>
            </w:r>
            <w:r w:rsidRPr="00DF1884">
              <w:t>rate</w:t>
            </w:r>
          </w:p>
        </w:tc>
        <w:tc>
          <w:tcPr>
            <w:tcW w:w="1530" w:type="dxa"/>
            <w:tcBorders>
              <w:top w:val="single" w:sz="6" w:space="0" w:color="auto"/>
              <w:left w:val="single" w:sz="6" w:space="0" w:color="auto"/>
              <w:bottom w:val="single" w:sz="6" w:space="0" w:color="auto"/>
              <w:right w:val="single" w:sz="6" w:space="0" w:color="auto"/>
            </w:tcBorders>
            <w:vAlign w:val="center"/>
          </w:tcPr>
          <w:p w14:paraId="03E14EE6" w14:textId="77777777" w:rsidR="00282EAA" w:rsidRPr="00DF1884" w:rsidRDefault="00282EAA" w:rsidP="00282EAA">
            <w:pPr>
              <w:pStyle w:val="TableText"/>
              <w:jc w:val="center"/>
              <w:rPr>
                <w:rFonts w:cs="Arial"/>
                <w:sz w:val="24"/>
              </w:rPr>
            </w:pPr>
            <w:r w:rsidRPr="00DF1884">
              <w:rPr>
                <w:rFonts w:cs="Arial"/>
                <w:sz w:val="24"/>
              </w:rPr>
              <w:sym w:font="Wingdings" w:char="F0FC"/>
            </w:r>
          </w:p>
        </w:tc>
        <w:tc>
          <w:tcPr>
            <w:tcW w:w="1440" w:type="dxa"/>
            <w:tcBorders>
              <w:top w:val="single" w:sz="6" w:space="0" w:color="auto"/>
              <w:left w:val="single" w:sz="6" w:space="0" w:color="auto"/>
              <w:bottom w:val="single" w:sz="6" w:space="0" w:color="auto"/>
              <w:right w:val="single" w:sz="6" w:space="0" w:color="auto"/>
            </w:tcBorders>
            <w:vAlign w:val="center"/>
          </w:tcPr>
          <w:p w14:paraId="759C7F9B" w14:textId="77777777" w:rsidR="00282EAA" w:rsidRPr="00DF1884" w:rsidRDefault="00282EAA" w:rsidP="00282EAA">
            <w:pPr>
              <w:pStyle w:val="TableText"/>
              <w:jc w:val="center"/>
              <w:rPr>
                <w:rFonts w:cs="Arial"/>
                <w:sz w:val="24"/>
              </w:rPr>
            </w:pPr>
            <w:r w:rsidRPr="00DF1884">
              <w:rPr>
                <w:rFonts w:cs="Arial"/>
                <w:sz w:val="24"/>
              </w:rPr>
              <w:sym w:font="Wingdings" w:char="F0FC"/>
            </w:r>
          </w:p>
        </w:tc>
      </w:tr>
      <w:tr w:rsidR="00282EAA" w:rsidRPr="00DF1884" w14:paraId="0D2C6223" w14:textId="77777777" w:rsidTr="00282EAA">
        <w:tc>
          <w:tcPr>
            <w:tcW w:w="67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6B6E84E" w14:textId="35EC454A" w:rsidR="00282EAA" w:rsidRPr="00DF1884" w:rsidRDefault="00282EAA" w:rsidP="00282EAA">
            <w:pPr>
              <w:pStyle w:val="TableText"/>
            </w:pPr>
            <w:r w:rsidRPr="00DF1884">
              <w:t>Lower</w:t>
            </w:r>
            <w:r w:rsidR="00DF1884" w:rsidRPr="00DF1884">
              <w:t xml:space="preserve"> </w:t>
            </w:r>
            <w:r w:rsidRPr="00DF1884">
              <w:t>95%</w:t>
            </w:r>
            <w:r w:rsidR="00DF1884" w:rsidRPr="00DF1884">
              <w:t xml:space="preserve"> </w:t>
            </w:r>
            <w:r w:rsidRPr="00DF1884">
              <w:t>confidence</w:t>
            </w:r>
            <w:r w:rsidR="00DF1884" w:rsidRPr="00DF1884">
              <w:t xml:space="preserve"> </w:t>
            </w:r>
            <w:r w:rsidRPr="00DF1884">
              <w:t>interval</w:t>
            </w:r>
          </w:p>
        </w:tc>
        <w:tc>
          <w:tcPr>
            <w:tcW w:w="153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1FAECC6" w14:textId="77777777" w:rsidR="00282EAA" w:rsidRPr="00DF1884" w:rsidRDefault="00282EAA" w:rsidP="00282EAA">
            <w:pPr>
              <w:pStyle w:val="TableText"/>
              <w:jc w:val="center"/>
              <w:rPr>
                <w:rFonts w:cs="Arial"/>
                <w:sz w:val="24"/>
              </w:rPr>
            </w:pPr>
            <w:r w:rsidRPr="00DF1884">
              <w:rPr>
                <w:rFonts w:cs="Arial"/>
                <w:sz w:val="24"/>
              </w:rPr>
              <w:sym w:font="Wingdings" w:char="F0FC"/>
            </w:r>
          </w:p>
        </w:tc>
        <w:tc>
          <w:tcPr>
            <w:tcW w:w="144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25A4C42" w14:textId="77777777" w:rsidR="00282EAA" w:rsidRPr="00DF1884" w:rsidRDefault="00282EAA" w:rsidP="00282EAA">
            <w:pPr>
              <w:pStyle w:val="TableText"/>
              <w:jc w:val="center"/>
              <w:rPr>
                <w:rFonts w:cs="Arial"/>
                <w:sz w:val="24"/>
              </w:rPr>
            </w:pPr>
            <w:r w:rsidRPr="00DF1884">
              <w:rPr>
                <w:rFonts w:cs="Arial"/>
                <w:sz w:val="24"/>
              </w:rPr>
              <w:sym w:font="Wingdings" w:char="F0FC"/>
            </w:r>
          </w:p>
        </w:tc>
      </w:tr>
      <w:tr w:rsidR="00282EAA" w:rsidRPr="00DF1884" w14:paraId="5AA87B6E" w14:textId="77777777" w:rsidTr="00282EAA">
        <w:tc>
          <w:tcPr>
            <w:tcW w:w="6750" w:type="dxa"/>
            <w:tcBorders>
              <w:top w:val="single" w:sz="6" w:space="0" w:color="auto"/>
              <w:left w:val="single" w:sz="6" w:space="0" w:color="auto"/>
              <w:bottom w:val="single" w:sz="6" w:space="0" w:color="auto"/>
              <w:right w:val="single" w:sz="6" w:space="0" w:color="auto"/>
            </w:tcBorders>
          </w:tcPr>
          <w:p w14:paraId="7ABD8A64" w14:textId="3278466E" w:rsidR="00282EAA" w:rsidRPr="00DF1884" w:rsidRDefault="00282EAA" w:rsidP="00282EAA">
            <w:pPr>
              <w:pStyle w:val="TableText"/>
            </w:pPr>
            <w:r w:rsidRPr="00DF1884">
              <w:t>Upper</w:t>
            </w:r>
            <w:r w:rsidR="00DF1884" w:rsidRPr="00DF1884">
              <w:t xml:space="preserve"> </w:t>
            </w:r>
            <w:r w:rsidRPr="00DF1884">
              <w:t>95%</w:t>
            </w:r>
            <w:r w:rsidR="00DF1884" w:rsidRPr="00DF1884">
              <w:t xml:space="preserve"> </w:t>
            </w:r>
            <w:r w:rsidRPr="00DF1884">
              <w:t>confidence</w:t>
            </w:r>
            <w:r w:rsidR="00DF1884" w:rsidRPr="00DF1884">
              <w:t xml:space="preserve"> </w:t>
            </w:r>
            <w:r w:rsidRPr="00DF1884">
              <w:t>interval</w:t>
            </w:r>
          </w:p>
        </w:tc>
        <w:tc>
          <w:tcPr>
            <w:tcW w:w="1530" w:type="dxa"/>
            <w:tcBorders>
              <w:top w:val="single" w:sz="6" w:space="0" w:color="auto"/>
              <w:left w:val="single" w:sz="6" w:space="0" w:color="auto"/>
              <w:bottom w:val="single" w:sz="6" w:space="0" w:color="auto"/>
              <w:right w:val="single" w:sz="6" w:space="0" w:color="auto"/>
            </w:tcBorders>
            <w:vAlign w:val="center"/>
          </w:tcPr>
          <w:p w14:paraId="54730893" w14:textId="77777777" w:rsidR="00282EAA" w:rsidRPr="00DF1884" w:rsidRDefault="00282EAA" w:rsidP="00282EAA">
            <w:pPr>
              <w:pStyle w:val="TableText"/>
              <w:jc w:val="center"/>
              <w:rPr>
                <w:rFonts w:cs="Arial"/>
                <w:sz w:val="24"/>
              </w:rPr>
            </w:pPr>
            <w:r w:rsidRPr="00DF1884">
              <w:rPr>
                <w:rFonts w:cs="Arial"/>
                <w:sz w:val="24"/>
              </w:rPr>
              <w:sym w:font="Wingdings" w:char="F0FC"/>
            </w:r>
          </w:p>
        </w:tc>
        <w:tc>
          <w:tcPr>
            <w:tcW w:w="1440" w:type="dxa"/>
            <w:tcBorders>
              <w:top w:val="single" w:sz="6" w:space="0" w:color="auto"/>
              <w:left w:val="single" w:sz="6" w:space="0" w:color="auto"/>
              <w:bottom w:val="single" w:sz="6" w:space="0" w:color="auto"/>
              <w:right w:val="single" w:sz="6" w:space="0" w:color="auto"/>
            </w:tcBorders>
            <w:vAlign w:val="center"/>
          </w:tcPr>
          <w:p w14:paraId="5C1CDF1E" w14:textId="77777777" w:rsidR="00282EAA" w:rsidRPr="00DF1884" w:rsidRDefault="00282EAA" w:rsidP="00282EAA">
            <w:pPr>
              <w:pStyle w:val="TableText"/>
              <w:jc w:val="center"/>
              <w:rPr>
                <w:rFonts w:cs="Arial"/>
                <w:sz w:val="24"/>
              </w:rPr>
            </w:pPr>
            <w:r w:rsidRPr="00DF1884">
              <w:rPr>
                <w:rFonts w:cs="Arial"/>
                <w:sz w:val="24"/>
              </w:rPr>
              <w:sym w:font="Wingdings" w:char="F0FC"/>
            </w:r>
          </w:p>
        </w:tc>
      </w:tr>
    </w:tbl>
    <w:p w14:paraId="0C941CA1" w14:textId="77777777" w:rsidR="00463667" w:rsidRPr="00DF1884" w:rsidRDefault="00463667" w:rsidP="00463667">
      <w:pPr>
        <w:pStyle w:val="EndnoteText"/>
      </w:pPr>
    </w:p>
    <w:p w14:paraId="291B1505" w14:textId="77777777" w:rsidR="00463667" w:rsidRPr="00DF1884" w:rsidRDefault="00463667" w:rsidP="00463667">
      <w:pPr>
        <w:pStyle w:val="EndnoteText"/>
        <w:sectPr w:rsidR="00463667" w:rsidRPr="00DF1884" w:rsidSect="0039781B">
          <w:headerReference w:type="default" r:id="rId100"/>
          <w:pgSz w:w="12240" w:h="15840" w:code="1"/>
          <w:pgMar w:top="1080" w:right="1080" w:bottom="1080" w:left="1440" w:header="720" w:footer="720" w:gutter="0"/>
          <w:cols w:space="720"/>
        </w:sectPr>
      </w:pPr>
    </w:p>
    <w:p w14:paraId="0F023411" w14:textId="77777777" w:rsidR="00463667" w:rsidRPr="00DF1884" w:rsidRDefault="00463667" w:rsidP="00463667">
      <w:pPr>
        <w:sectPr w:rsidR="00463667" w:rsidRPr="00DF1884" w:rsidSect="0039781B">
          <w:headerReference w:type="even" r:id="rId101"/>
          <w:headerReference w:type="default" r:id="rId102"/>
          <w:footerReference w:type="default" r:id="rId103"/>
          <w:pgSz w:w="12240" w:h="15840" w:code="1"/>
          <w:pgMar w:top="1080" w:right="1080" w:bottom="1080" w:left="1440" w:header="720" w:footer="720" w:gutter="0"/>
          <w:cols w:space="720"/>
        </w:sectPr>
      </w:pPr>
    </w:p>
    <w:p w14:paraId="62941C15" w14:textId="77777777" w:rsidR="00463667" w:rsidRPr="00DF1884" w:rsidRDefault="00463667" w:rsidP="00463667">
      <w:pPr>
        <w:pStyle w:val="Breakpage"/>
      </w:pPr>
    </w:p>
    <w:p w14:paraId="67063C66" w14:textId="77777777" w:rsidR="00463667" w:rsidRPr="00DF1884" w:rsidRDefault="00463667" w:rsidP="00463667">
      <w:pPr>
        <w:pStyle w:val="Breakpage"/>
      </w:pPr>
    </w:p>
    <w:p w14:paraId="75480F09" w14:textId="77777777" w:rsidR="00463667" w:rsidRPr="00DF1884" w:rsidRDefault="00463667" w:rsidP="00463667">
      <w:pPr>
        <w:pStyle w:val="Breakpage"/>
      </w:pPr>
    </w:p>
    <w:p w14:paraId="6875C161" w14:textId="77777777" w:rsidR="00463667" w:rsidRPr="00DF1884" w:rsidRDefault="00463667" w:rsidP="00463667">
      <w:pPr>
        <w:pStyle w:val="Breakpage"/>
      </w:pPr>
    </w:p>
    <w:p w14:paraId="0888A2D9" w14:textId="77777777" w:rsidR="00463667" w:rsidRPr="00DF1884" w:rsidRDefault="00463667" w:rsidP="00463667">
      <w:pPr>
        <w:pStyle w:val="Breakpage"/>
      </w:pPr>
    </w:p>
    <w:p w14:paraId="7CDC14ED" w14:textId="759FA05E" w:rsidR="00463667" w:rsidRPr="00DF1884" w:rsidRDefault="00463667" w:rsidP="00463667">
      <w:pPr>
        <w:pStyle w:val="Breakpage"/>
      </w:pPr>
      <w:r w:rsidRPr="00DF1884">
        <w:t>Appendix</w:t>
      </w:r>
      <w:r w:rsidR="00DF1884" w:rsidRPr="00DF1884">
        <w:t xml:space="preserve"> </w:t>
      </w:r>
      <w:r w:rsidRPr="00DF1884">
        <w:t>5</w:t>
      </w:r>
    </w:p>
    <w:p w14:paraId="221BCDD9" w14:textId="77777777" w:rsidR="00463667" w:rsidRPr="00DF1884" w:rsidRDefault="00463667" w:rsidP="00463667">
      <w:pPr>
        <w:pStyle w:val="Breakpage"/>
      </w:pPr>
    </w:p>
    <w:p w14:paraId="1FB4BA27" w14:textId="77777777" w:rsidR="00463667" w:rsidRPr="00DF1884" w:rsidRDefault="00463667" w:rsidP="00463667">
      <w:pPr>
        <w:pStyle w:val="Breakpage"/>
      </w:pPr>
      <w:r w:rsidRPr="00DF1884">
        <w:t>Contributors</w:t>
      </w:r>
    </w:p>
    <w:p w14:paraId="7356261C" w14:textId="77777777" w:rsidR="00463667" w:rsidRPr="00DF1884" w:rsidRDefault="00463667" w:rsidP="00463667"/>
    <w:p w14:paraId="4B00E600" w14:textId="77777777" w:rsidR="00463667" w:rsidRPr="00DF1884" w:rsidRDefault="00463667" w:rsidP="00463667">
      <w:pPr>
        <w:sectPr w:rsidR="00463667" w:rsidRPr="00DF1884" w:rsidSect="0039781B">
          <w:headerReference w:type="default" r:id="rId104"/>
          <w:footerReference w:type="default" r:id="rId105"/>
          <w:pgSz w:w="12240" w:h="15840" w:code="1"/>
          <w:pgMar w:top="1080" w:right="1080" w:bottom="1080" w:left="1440" w:header="720" w:footer="720" w:gutter="0"/>
          <w:cols w:space="720"/>
        </w:sectPr>
      </w:pPr>
    </w:p>
    <w:p w14:paraId="7C846224" w14:textId="77777777" w:rsidR="00463667" w:rsidRPr="00DF1884" w:rsidRDefault="00463667" w:rsidP="00463667">
      <w:pPr>
        <w:sectPr w:rsidR="00463667" w:rsidRPr="00DF1884" w:rsidSect="0039781B">
          <w:headerReference w:type="even" r:id="rId106"/>
          <w:headerReference w:type="default" r:id="rId107"/>
          <w:footerReference w:type="even" r:id="rId108"/>
          <w:headerReference w:type="first" r:id="rId109"/>
          <w:footerReference w:type="first" r:id="rId110"/>
          <w:pgSz w:w="12240" w:h="15840" w:code="1"/>
          <w:pgMar w:top="1080" w:right="1080" w:bottom="1080" w:left="1440" w:header="720" w:footer="720" w:gutter="0"/>
          <w:pgNumType w:start="2"/>
          <w:cols w:space="720"/>
        </w:sectPr>
      </w:pPr>
    </w:p>
    <w:p w14:paraId="7DB5FE9A" w14:textId="08E417E6" w:rsidR="00463667" w:rsidRPr="00DF1884" w:rsidRDefault="00463667" w:rsidP="00202CAE">
      <w:pPr>
        <w:jc w:val="center"/>
        <w:rPr>
          <w:b/>
          <w:bCs/>
          <w:sz w:val="32"/>
          <w:szCs w:val="32"/>
        </w:rPr>
      </w:pPr>
      <w:r w:rsidRPr="00DF1884">
        <w:rPr>
          <w:b/>
          <w:sz w:val="32"/>
          <w:szCs w:val="32"/>
        </w:rPr>
        <w:t>APPENDIX</w:t>
      </w:r>
      <w:r w:rsidR="00DF1884" w:rsidRPr="00DF1884">
        <w:rPr>
          <w:b/>
          <w:sz w:val="32"/>
          <w:szCs w:val="32"/>
        </w:rPr>
        <w:t xml:space="preserve"> </w:t>
      </w:r>
      <w:r w:rsidRPr="00DF1884">
        <w:rPr>
          <w:b/>
          <w:sz w:val="32"/>
          <w:szCs w:val="32"/>
        </w:rPr>
        <w:t>5</w:t>
      </w:r>
    </w:p>
    <w:p w14:paraId="49F56024" w14:textId="517DB0CB" w:rsidR="00463667" w:rsidRPr="00DF1884" w:rsidRDefault="00463667" w:rsidP="00EF7C1A">
      <w:pPr>
        <w:spacing w:before="120"/>
        <w:jc w:val="center"/>
        <w:rPr>
          <w:b/>
          <w:sz w:val="28"/>
          <w:szCs w:val="28"/>
        </w:rPr>
      </w:pPr>
      <w:r w:rsidRPr="00DF1884">
        <w:rPr>
          <w:b/>
          <w:sz w:val="28"/>
          <w:szCs w:val="28"/>
        </w:rPr>
        <w:t>CONTRIBUTORS</w:t>
      </w:r>
    </w:p>
    <w:p w14:paraId="65762B34" w14:textId="0E34D4AF" w:rsidR="00463667" w:rsidRPr="00DF1884" w:rsidRDefault="00463667" w:rsidP="00202CAE">
      <w:pPr>
        <w:pStyle w:val="ReverseHead"/>
      </w:pPr>
      <w:r w:rsidRPr="00DF1884">
        <w:t>Adult</w:t>
      </w:r>
      <w:r w:rsidR="00DF1884" w:rsidRPr="00DF1884">
        <w:t xml:space="preserve"> </w:t>
      </w:r>
      <w:r w:rsidRPr="00DF1884">
        <w:t>Obesity</w:t>
      </w:r>
      <w:r w:rsidR="00DF1884" w:rsidRPr="00DF1884">
        <w:t xml:space="preserve"> </w:t>
      </w:r>
      <w:r w:rsidRPr="00DF1884">
        <w:t>Measurement</w:t>
      </w:r>
      <w:r w:rsidR="00DF1884" w:rsidRPr="00DF1884">
        <w:t xml:space="preserve"> </w:t>
      </w:r>
      <w:r w:rsidRPr="00DF1884">
        <w:t>Advisory</w:t>
      </w:r>
      <w:r w:rsidR="00DF1884" w:rsidRPr="00DF1884">
        <w:t xml:space="preserve"> </w:t>
      </w:r>
      <w:r w:rsidRPr="00DF1884">
        <w:t>Panel</w:t>
      </w:r>
    </w:p>
    <w:tbl>
      <w:tblPr>
        <w:tblW w:w="0" w:type="auto"/>
        <w:tblInd w:w="30" w:type="dxa"/>
        <w:tblLayout w:type="fixed"/>
        <w:tblLook w:val="0000" w:firstRow="0" w:lastRow="0" w:firstColumn="0" w:lastColumn="0" w:noHBand="0" w:noVBand="0"/>
      </w:tblPr>
      <w:tblGrid>
        <w:gridCol w:w="4938"/>
        <w:gridCol w:w="4860"/>
      </w:tblGrid>
      <w:tr w:rsidR="00463667" w:rsidRPr="00DF1884" w14:paraId="7641F0BA" w14:textId="77777777" w:rsidTr="00C56CA6">
        <w:trPr>
          <w:cantSplit/>
        </w:trPr>
        <w:tc>
          <w:tcPr>
            <w:tcW w:w="4938" w:type="dxa"/>
          </w:tcPr>
          <w:p w14:paraId="016459D6" w14:textId="38DC27C1" w:rsidR="00463667" w:rsidRPr="00DF1884" w:rsidRDefault="00463667" w:rsidP="00C56CA6">
            <w:pPr>
              <w:pStyle w:val="Body"/>
              <w:rPr>
                <w:rFonts w:cs="Arial"/>
                <w:szCs w:val="20"/>
              </w:rPr>
            </w:pPr>
            <w:r w:rsidRPr="00DF1884">
              <w:rPr>
                <w:rFonts w:cs="Arial"/>
                <w:b/>
                <w:szCs w:val="20"/>
              </w:rPr>
              <w:t>David</w:t>
            </w:r>
            <w:r w:rsidR="00DF1884" w:rsidRPr="00DF1884">
              <w:rPr>
                <w:rFonts w:cs="Arial"/>
                <w:b/>
                <w:szCs w:val="20"/>
              </w:rPr>
              <w:t xml:space="preserve"> </w:t>
            </w:r>
            <w:r w:rsidRPr="00DF1884">
              <w:rPr>
                <w:rFonts w:cs="Arial"/>
                <w:b/>
                <w:szCs w:val="20"/>
              </w:rPr>
              <w:t>Arterburn,</w:t>
            </w:r>
            <w:r w:rsidR="00DF1884" w:rsidRPr="00DF1884">
              <w:rPr>
                <w:rFonts w:cs="Arial"/>
                <w:b/>
                <w:szCs w:val="20"/>
              </w:rPr>
              <w:t xml:space="preserve"> </w:t>
            </w:r>
            <w:r w:rsidRPr="00DF1884">
              <w:rPr>
                <w:rFonts w:cs="Arial"/>
                <w:b/>
                <w:szCs w:val="20"/>
              </w:rPr>
              <w:t>MD,</w:t>
            </w:r>
            <w:r w:rsidR="00DF1884" w:rsidRPr="00DF1884">
              <w:rPr>
                <w:rFonts w:cs="Arial"/>
                <w:b/>
                <w:szCs w:val="20"/>
              </w:rPr>
              <w:t xml:space="preserve"> </w:t>
            </w:r>
            <w:r w:rsidRPr="00DF1884">
              <w:rPr>
                <w:rFonts w:cs="Arial"/>
                <w:b/>
                <w:szCs w:val="20"/>
              </w:rPr>
              <w:t>MPH</w:t>
            </w:r>
            <w:r w:rsidR="00DF1884" w:rsidRPr="00DF1884">
              <w:rPr>
                <w:rFonts w:cs="Arial"/>
                <w:b/>
                <w:szCs w:val="20"/>
              </w:rPr>
              <w:t xml:space="preserve"> </w:t>
            </w:r>
            <w:r w:rsidRPr="00DF1884">
              <w:rPr>
                <w:rFonts w:cs="Arial"/>
                <w:b/>
                <w:szCs w:val="20"/>
              </w:rPr>
              <w:t>(Chair)</w:t>
            </w:r>
            <w:r w:rsidRPr="00DF1884">
              <w:rPr>
                <w:rFonts w:cs="Arial"/>
                <w:b/>
                <w:szCs w:val="20"/>
              </w:rPr>
              <w:br/>
            </w:r>
            <w:r w:rsidRPr="00DF1884">
              <w:rPr>
                <w:rFonts w:cs="Arial"/>
                <w:szCs w:val="20"/>
              </w:rPr>
              <w:t>Group</w:t>
            </w:r>
            <w:r w:rsidR="00DF1884" w:rsidRPr="00DF1884">
              <w:rPr>
                <w:rFonts w:cs="Arial"/>
                <w:szCs w:val="20"/>
              </w:rPr>
              <w:t xml:space="preserve"> </w:t>
            </w:r>
            <w:r w:rsidRPr="00DF1884">
              <w:rPr>
                <w:rFonts w:cs="Arial"/>
                <w:szCs w:val="20"/>
              </w:rPr>
              <w:t>Health</w:t>
            </w:r>
            <w:r w:rsidR="00DF1884" w:rsidRPr="00DF1884">
              <w:rPr>
                <w:rFonts w:cs="Arial"/>
                <w:szCs w:val="20"/>
              </w:rPr>
              <w:t xml:space="preserve"> </w:t>
            </w:r>
            <w:r w:rsidRPr="00DF1884">
              <w:rPr>
                <w:rFonts w:cs="Arial"/>
                <w:szCs w:val="20"/>
              </w:rPr>
              <w:t>Cooperative</w:t>
            </w:r>
          </w:p>
          <w:p w14:paraId="01D72875" w14:textId="5128E821" w:rsidR="00463667" w:rsidRPr="00DF1884" w:rsidRDefault="00463667" w:rsidP="00C56CA6">
            <w:pPr>
              <w:pStyle w:val="Body"/>
              <w:tabs>
                <w:tab w:val="left" w:pos="3064"/>
              </w:tabs>
              <w:rPr>
                <w:rFonts w:cs="Arial"/>
                <w:szCs w:val="20"/>
              </w:rPr>
            </w:pPr>
            <w:r w:rsidRPr="00DF1884">
              <w:rPr>
                <w:rFonts w:cs="Arial"/>
                <w:b/>
                <w:szCs w:val="20"/>
              </w:rPr>
              <w:t>Lawrence</w:t>
            </w:r>
            <w:r w:rsidR="00DF1884" w:rsidRPr="00DF1884">
              <w:rPr>
                <w:rFonts w:cs="Arial"/>
                <w:b/>
                <w:szCs w:val="20"/>
              </w:rPr>
              <w:t xml:space="preserve"> </w:t>
            </w:r>
            <w:r w:rsidRPr="00DF1884">
              <w:rPr>
                <w:rFonts w:cs="Arial"/>
                <w:b/>
                <w:szCs w:val="20"/>
              </w:rPr>
              <w:t>Blonde,</w:t>
            </w:r>
            <w:r w:rsidR="00DF1884" w:rsidRPr="00DF1884">
              <w:rPr>
                <w:rFonts w:cs="Arial"/>
                <w:b/>
                <w:szCs w:val="20"/>
              </w:rPr>
              <w:t xml:space="preserve"> </w:t>
            </w:r>
            <w:r w:rsidRPr="00DF1884">
              <w:rPr>
                <w:rFonts w:cs="Arial"/>
                <w:b/>
                <w:szCs w:val="20"/>
              </w:rPr>
              <w:t>MD,</w:t>
            </w:r>
            <w:r w:rsidR="00DF1884" w:rsidRPr="00DF1884">
              <w:rPr>
                <w:rFonts w:cs="Arial"/>
                <w:b/>
                <w:szCs w:val="20"/>
              </w:rPr>
              <w:t xml:space="preserve"> </w:t>
            </w:r>
            <w:r w:rsidRPr="00DF1884">
              <w:rPr>
                <w:rFonts w:cs="Arial"/>
                <w:b/>
                <w:szCs w:val="20"/>
              </w:rPr>
              <w:t>FACP,</w:t>
            </w:r>
            <w:r w:rsidR="00DF1884" w:rsidRPr="00DF1884">
              <w:rPr>
                <w:rFonts w:cs="Arial"/>
                <w:b/>
                <w:szCs w:val="20"/>
              </w:rPr>
              <w:t xml:space="preserve"> </w:t>
            </w:r>
            <w:r w:rsidRPr="00DF1884">
              <w:rPr>
                <w:rFonts w:cs="Arial"/>
                <w:b/>
                <w:szCs w:val="20"/>
              </w:rPr>
              <w:t>FACE</w:t>
            </w:r>
            <w:r w:rsidRPr="00DF1884">
              <w:rPr>
                <w:rFonts w:cs="Arial"/>
                <w:szCs w:val="20"/>
              </w:rPr>
              <w:br/>
              <w:t>Ochsner</w:t>
            </w:r>
            <w:r w:rsidR="00DF1884" w:rsidRPr="00DF1884">
              <w:rPr>
                <w:rFonts w:cs="Arial"/>
                <w:szCs w:val="20"/>
              </w:rPr>
              <w:t xml:space="preserve"> </w:t>
            </w:r>
            <w:r w:rsidRPr="00DF1884">
              <w:rPr>
                <w:rFonts w:cs="Arial"/>
                <w:szCs w:val="20"/>
              </w:rPr>
              <w:t>Clinic</w:t>
            </w:r>
            <w:r w:rsidR="00DF1884" w:rsidRPr="00DF1884">
              <w:rPr>
                <w:rFonts w:cs="Arial"/>
                <w:szCs w:val="20"/>
              </w:rPr>
              <w:t xml:space="preserve"> </w:t>
            </w:r>
            <w:r w:rsidRPr="00DF1884">
              <w:rPr>
                <w:rFonts w:cs="Arial"/>
                <w:szCs w:val="20"/>
              </w:rPr>
              <w:t>Foundation</w:t>
            </w:r>
          </w:p>
          <w:p w14:paraId="3637CF72" w14:textId="7A5A0B79" w:rsidR="00463667" w:rsidRPr="00DF1884" w:rsidRDefault="00463667" w:rsidP="00C56CA6">
            <w:pPr>
              <w:pStyle w:val="Body"/>
              <w:tabs>
                <w:tab w:val="left" w:pos="3064"/>
              </w:tabs>
              <w:rPr>
                <w:rFonts w:cs="Arial"/>
                <w:szCs w:val="20"/>
              </w:rPr>
            </w:pPr>
            <w:r w:rsidRPr="00DF1884">
              <w:rPr>
                <w:rFonts w:cs="Arial"/>
                <w:b/>
                <w:szCs w:val="20"/>
              </w:rPr>
              <w:t>David</w:t>
            </w:r>
            <w:r w:rsidR="00DF1884" w:rsidRPr="00DF1884">
              <w:rPr>
                <w:rFonts w:cs="Arial"/>
                <w:b/>
                <w:szCs w:val="20"/>
              </w:rPr>
              <w:t xml:space="preserve"> </w:t>
            </w:r>
            <w:r w:rsidRPr="00DF1884">
              <w:rPr>
                <w:rFonts w:cs="Arial"/>
                <w:b/>
                <w:szCs w:val="20"/>
              </w:rPr>
              <w:t>Brumley,</w:t>
            </w:r>
            <w:r w:rsidR="00DF1884" w:rsidRPr="00DF1884">
              <w:rPr>
                <w:rFonts w:cs="Arial"/>
                <w:b/>
                <w:szCs w:val="20"/>
              </w:rPr>
              <w:t xml:space="preserve"> </w:t>
            </w:r>
            <w:r w:rsidRPr="00DF1884">
              <w:rPr>
                <w:rFonts w:cs="Arial"/>
                <w:b/>
                <w:szCs w:val="20"/>
              </w:rPr>
              <w:t>MD</w:t>
            </w:r>
            <w:r w:rsidRPr="00DF1884">
              <w:rPr>
                <w:rFonts w:cs="Arial"/>
                <w:szCs w:val="20"/>
              </w:rPr>
              <w:br/>
              <w:t>Blue</w:t>
            </w:r>
            <w:r w:rsidR="00DF1884" w:rsidRPr="00DF1884">
              <w:rPr>
                <w:rFonts w:cs="Arial"/>
                <w:szCs w:val="20"/>
              </w:rPr>
              <w:t xml:space="preserve"> </w:t>
            </w:r>
            <w:r w:rsidRPr="00DF1884">
              <w:rPr>
                <w:rFonts w:cs="Arial"/>
                <w:szCs w:val="20"/>
              </w:rPr>
              <w:t>Cross</w:t>
            </w:r>
            <w:r w:rsidR="00DF1884" w:rsidRPr="00DF1884">
              <w:rPr>
                <w:rFonts w:cs="Arial"/>
                <w:szCs w:val="20"/>
              </w:rPr>
              <w:t xml:space="preserve"> </w:t>
            </w:r>
            <w:r w:rsidRPr="00DF1884">
              <w:rPr>
                <w:rFonts w:cs="Arial"/>
                <w:szCs w:val="20"/>
              </w:rPr>
              <w:t>Blue</w:t>
            </w:r>
            <w:r w:rsidR="00DF1884" w:rsidRPr="00DF1884">
              <w:rPr>
                <w:rFonts w:cs="Arial"/>
                <w:szCs w:val="20"/>
              </w:rPr>
              <w:t xml:space="preserve"> </w:t>
            </w:r>
            <w:r w:rsidRPr="00DF1884">
              <w:rPr>
                <w:rFonts w:cs="Arial"/>
                <w:szCs w:val="20"/>
              </w:rPr>
              <w:t>Shield</w:t>
            </w:r>
            <w:r w:rsidR="00DF1884" w:rsidRPr="00DF1884">
              <w:rPr>
                <w:rFonts w:cs="Arial"/>
                <w:szCs w:val="20"/>
              </w:rPr>
              <w:t xml:space="preserve"> </w:t>
            </w:r>
            <w:r w:rsidRPr="00DF1884">
              <w:rPr>
                <w:rFonts w:cs="Arial"/>
                <w:szCs w:val="20"/>
              </w:rPr>
              <w:t>of</w:t>
            </w:r>
            <w:r w:rsidR="00DF1884" w:rsidRPr="00DF1884">
              <w:rPr>
                <w:rFonts w:cs="Arial"/>
                <w:szCs w:val="20"/>
              </w:rPr>
              <w:t xml:space="preserve"> </w:t>
            </w:r>
            <w:r w:rsidRPr="00DF1884">
              <w:rPr>
                <w:rFonts w:cs="Arial"/>
                <w:szCs w:val="20"/>
              </w:rPr>
              <w:t>Massachusetts</w:t>
            </w:r>
          </w:p>
          <w:p w14:paraId="161E1D92" w14:textId="0E6CD9FC" w:rsidR="00463667" w:rsidRPr="00DF1884" w:rsidRDefault="00463667" w:rsidP="00C56CA6">
            <w:pPr>
              <w:pStyle w:val="Body"/>
              <w:tabs>
                <w:tab w:val="left" w:pos="3064"/>
              </w:tabs>
              <w:rPr>
                <w:rFonts w:cs="Arial"/>
                <w:b/>
                <w:szCs w:val="20"/>
              </w:rPr>
            </w:pPr>
            <w:r w:rsidRPr="00DF1884">
              <w:rPr>
                <w:rFonts w:cs="Arial"/>
                <w:b/>
                <w:szCs w:val="20"/>
              </w:rPr>
              <w:t>Marc</w:t>
            </w:r>
            <w:r w:rsidR="00DF1884" w:rsidRPr="00DF1884">
              <w:rPr>
                <w:rFonts w:cs="Arial"/>
                <w:b/>
                <w:szCs w:val="20"/>
              </w:rPr>
              <w:t xml:space="preserve"> </w:t>
            </w:r>
            <w:r w:rsidRPr="00DF1884">
              <w:rPr>
                <w:rFonts w:cs="Arial"/>
                <w:b/>
                <w:szCs w:val="20"/>
              </w:rPr>
              <w:t>Cornier,</w:t>
            </w:r>
            <w:r w:rsidR="00DF1884" w:rsidRPr="00DF1884">
              <w:rPr>
                <w:rFonts w:cs="Arial"/>
                <w:b/>
                <w:szCs w:val="20"/>
              </w:rPr>
              <w:t xml:space="preserve"> </w:t>
            </w:r>
            <w:r w:rsidRPr="00DF1884">
              <w:rPr>
                <w:rFonts w:cs="Arial"/>
                <w:b/>
                <w:szCs w:val="20"/>
              </w:rPr>
              <w:t>MD</w:t>
            </w:r>
          </w:p>
          <w:p w14:paraId="1C612A68" w14:textId="4A07BE5D" w:rsidR="00463667" w:rsidRPr="00DF1884" w:rsidRDefault="00463667" w:rsidP="00C56CA6">
            <w:pPr>
              <w:pStyle w:val="NoSpacing"/>
              <w:rPr>
                <w:rFonts w:ascii="Arial" w:hAnsi="Arial" w:cs="Arial"/>
                <w:sz w:val="20"/>
                <w:szCs w:val="20"/>
              </w:rPr>
            </w:pPr>
            <w:r w:rsidRPr="00DF1884">
              <w:rPr>
                <w:rFonts w:ascii="Arial" w:hAnsi="Arial" w:cs="Arial"/>
                <w:sz w:val="20"/>
                <w:szCs w:val="20"/>
              </w:rPr>
              <w:t>Denver</w:t>
            </w:r>
            <w:r w:rsidR="00DF1884" w:rsidRPr="00DF1884">
              <w:rPr>
                <w:rFonts w:ascii="Arial" w:hAnsi="Arial" w:cs="Arial"/>
                <w:sz w:val="20"/>
                <w:szCs w:val="20"/>
              </w:rPr>
              <w:t xml:space="preserve"> </w:t>
            </w:r>
            <w:r w:rsidRPr="00DF1884">
              <w:rPr>
                <w:rFonts w:ascii="Arial" w:hAnsi="Arial" w:cs="Arial"/>
                <w:sz w:val="20"/>
                <w:szCs w:val="20"/>
              </w:rPr>
              <w:t>Health</w:t>
            </w:r>
            <w:r w:rsidR="00DF1884" w:rsidRPr="00DF1884">
              <w:rPr>
                <w:rFonts w:ascii="Arial" w:hAnsi="Arial" w:cs="Arial"/>
                <w:sz w:val="20"/>
                <w:szCs w:val="20"/>
              </w:rPr>
              <w:t xml:space="preserve"> </w:t>
            </w:r>
            <w:r w:rsidRPr="00DF1884">
              <w:rPr>
                <w:rFonts w:ascii="Arial" w:hAnsi="Arial" w:cs="Arial"/>
                <w:sz w:val="20"/>
                <w:szCs w:val="20"/>
              </w:rPr>
              <w:t>Medical</w:t>
            </w:r>
            <w:r w:rsidR="00DF1884" w:rsidRPr="00DF1884">
              <w:rPr>
                <w:rFonts w:ascii="Arial" w:hAnsi="Arial" w:cs="Arial"/>
                <w:sz w:val="20"/>
                <w:szCs w:val="20"/>
              </w:rPr>
              <w:t xml:space="preserve"> </w:t>
            </w:r>
            <w:r w:rsidRPr="00DF1884">
              <w:rPr>
                <w:rFonts w:ascii="Arial" w:hAnsi="Arial" w:cs="Arial"/>
                <w:sz w:val="20"/>
                <w:szCs w:val="20"/>
              </w:rPr>
              <w:t>Center</w:t>
            </w:r>
            <w:r w:rsidR="00DF1884" w:rsidRPr="00DF1884">
              <w:rPr>
                <w:rFonts w:ascii="Arial" w:hAnsi="Arial" w:cs="Arial"/>
                <w:sz w:val="20"/>
                <w:szCs w:val="20"/>
              </w:rPr>
              <w:t xml:space="preserve"> </w:t>
            </w:r>
          </w:p>
          <w:p w14:paraId="56A48C61" w14:textId="43B081DE" w:rsidR="00463667" w:rsidRPr="00DF1884" w:rsidRDefault="00463667" w:rsidP="00C56CA6">
            <w:pPr>
              <w:pStyle w:val="Body"/>
              <w:rPr>
                <w:rFonts w:cs="Arial"/>
                <w:szCs w:val="20"/>
              </w:rPr>
            </w:pPr>
            <w:r w:rsidRPr="00DF1884">
              <w:rPr>
                <w:rFonts w:cs="Arial"/>
                <w:b/>
                <w:szCs w:val="20"/>
              </w:rPr>
              <w:t>Morgan</w:t>
            </w:r>
            <w:r w:rsidR="00DF1884" w:rsidRPr="00DF1884">
              <w:rPr>
                <w:rFonts w:cs="Arial"/>
                <w:b/>
                <w:szCs w:val="20"/>
              </w:rPr>
              <w:t xml:space="preserve"> </w:t>
            </w:r>
            <w:r w:rsidRPr="00DF1884">
              <w:rPr>
                <w:rFonts w:cs="Arial"/>
                <w:b/>
                <w:szCs w:val="20"/>
              </w:rPr>
              <w:t>Downy,</w:t>
            </w:r>
            <w:r w:rsidR="00DF1884" w:rsidRPr="00DF1884">
              <w:rPr>
                <w:rFonts w:cs="Arial"/>
                <w:b/>
                <w:szCs w:val="20"/>
              </w:rPr>
              <w:t xml:space="preserve"> </w:t>
            </w:r>
            <w:r w:rsidRPr="00DF1884">
              <w:rPr>
                <w:rFonts w:cs="Arial"/>
                <w:b/>
                <w:szCs w:val="20"/>
              </w:rPr>
              <w:t>JD</w:t>
            </w:r>
            <w:r w:rsidRPr="00DF1884">
              <w:rPr>
                <w:rFonts w:cs="Arial"/>
                <w:b/>
                <w:szCs w:val="20"/>
              </w:rPr>
              <w:br/>
            </w:r>
            <w:r w:rsidR="007E75E5" w:rsidRPr="00DF1884">
              <w:rPr>
                <w:rFonts w:cs="Arial"/>
                <w:szCs w:val="20"/>
              </w:rPr>
              <w:t>The</w:t>
            </w:r>
            <w:r w:rsidR="00DF1884" w:rsidRPr="00DF1884">
              <w:rPr>
                <w:rFonts w:cs="Arial"/>
                <w:szCs w:val="20"/>
              </w:rPr>
              <w:t xml:space="preserve"> </w:t>
            </w:r>
            <w:r w:rsidR="007E75E5" w:rsidRPr="00DF1884">
              <w:rPr>
                <w:rFonts w:cs="Arial"/>
                <w:szCs w:val="20"/>
              </w:rPr>
              <w:t>Downey</w:t>
            </w:r>
            <w:r w:rsidR="00DF1884" w:rsidRPr="00DF1884">
              <w:rPr>
                <w:rFonts w:cs="Arial"/>
                <w:szCs w:val="20"/>
              </w:rPr>
              <w:t xml:space="preserve"> </w:t>
            </w:r>
            <w:r w:rsidR="007E75E5" w:rsidRPr="00DF1884">
              <w:rPr>
                <w:rFonts w:cs="Arial"/>
                <w:szCs w:val="20"/>
              </w:rPr>
              <w:t>Obesity</w:t>
            </w:r>
            <w:r w:rsidR="00DF1884" w:rsidRPr="00DF1884">
              <w:rPr>
                <w:rFonts w:cs="Arial"/>
                <w:szCs w:val="20"/>
              </w:rPr>
              <w:t xml:space="preserve"> </w:t>
            </w:r>
            <w:r w:rsidR="007E75E5" w:rsidRPr="00DF1884">
              <w:rPr>
                <w:rFonts w:cs="Arial"/>
                <w:szCs w:val="20"/>
              </w:rPr>
              <w:t>Report</w:t>
            </w:r>
          </w:p>
          <w:p w14:paraId="01AA52B6" w14:textId="6251834B" w:rsidR="00463667" w:rsidRPr="00DF1884" w:rsidRDefault="00463667" w:rsidP="00C56CA6">
            <w:pPr>
              <w:pStyle w:val="Body"/>
              <w:tabs>
                <w:tab w:val="left" w:pos="3064"/>
              </w:tabs>
              <w:rPr>
                <w:rFonts w:cs="Arial"/>
                <w:szCs w:val="20"/>
              </w:rPr>
            </w:pPr>
            <w:r w:rsidRPr="00DF1884">
              <w:rPr>
                <w:rFonts w:cs="Arial"/>
                <w:b/>
                <w:szCs w:val="20"/>
              </w:rPr>
              <w:t>Leonard</w:t>
            </w:r>
            <w:r w:rsidR="00DF1884" w:rsidRPr="00DF1884">
              <w:rPr>
                <w:rFonts w:cs="Arial"/>
                <w:b/>
                <w:szCs w:val="20"/>
              </w:rPr>
              <w:t xml:space="preserve"> </w:t>
            </w:r>
            <w:r w:rsidRPr="00DF1884">
              <w:rPr>
                <w:rFonts w:cs="Arial"/>
                <w:b/>
                <w:szCs w:val="20"/>
              </w:rPr>
              <w:t>(Len)</w:t>
            </w:r>
            <w:r w:rsidR="00DF1884" w:rsidRPr="00DF1884">
              <w:rPr>
                <w:rFonts w:cs="Arial"/>
                <w:b/>
                <w:szCs w:val="20"/>
              </w:rPr>
              <w:t xml:space="preserve"> </w:t>
            </w:r>
            <w:r w:rsidRPr="00DF1884">
              <w:rPr>
                <w:rFonts w:cs="Arial"/>
                <w:b/>
                <w:szCs w:val="20"/>
              </w:rPr>
              <w:t>Fromer,</w:t>
            </w:r>
            <w:r w:rsidR="00DF1884" w:rsidRPr="00DF1884">
              <w:rPr>
                <w:rFonts w:cs="Arial"/>
                <w:b/>
                <w:szCs w:val="20"/>
              </w:rPr>
              <w:t xml:space="preserve"> </w:t>
            </w:r>
            <w:r w:rsidRPr="00DF1884">
              <w:rPr>
                <w:rFonts w:cs="Arial"/>
                <w:b/>
                <w:szCs w:val="20"/>
              </w:rPr>
              <w:t>MD,</w:t>
            </w:r>
            <w:r w:rsidR="00DF1884" w:rsidRPr="00DF1884">
              <w:rPr>
                <w:rFonts w:cs="Arial"/>
                <w:b/>
                <w:szCs w:val="20"/>
              </w:rPr>
              <w:t xml:space="preserve"> </w:t>
            </w:r>
            <w:r w:rsidRPr="00DF1884">
              <w:rPr>
                <w:rFonts w:cs="Arial"/>
                <w:b/>
                <w:szCs w:val="20"/>
              </w:rPr>
              <w:t>FAAFP</w:t>
            </w:r>
            <w:r w:rsidRPr="00DF1884">
              <w:rPr>
                <w:rFonts w:cs="Arial"/>
                <w:szCs w:val="20"/>
              </w:rPr>
              <w:br/>
            </w:r>
            <w:r w:rsidR="007E75E5" w:rsidRPr="00DF1884">
              <w:rPr>
                <w:rFonts w:cs="Arial"/>
                <w:szCs w:val="20"/>
              </w:rPr>
              <w:t>TransforMED</w:t>
            </w:r>
          </w:p>
          <w:p w14:paraId="7E33D20D" w14:textId="3DE6FB98" w:rsidR="00463667" w:rsidRPr="00DF1884" w:rsidRDefault="00463667" w:rsidP="00C56CA6">
            <w:pPr>
              <w:pStyle w:val="Body"/>
              <w:tabs>
                <w:tab w:val="left" w:pos="3064"/>
              </w:tabs>
              <w:rPr>
                <w:rFonts w:cs="Arial"/>
                <w:szCs w:val="20"/>
              </w:rPr>
            </w:pPr>
            <w:r w:rsidRPr="00DF1884">
              <w:rPr>
                <w:rFonts w:cs="Arial"/>
                <w:b/>
                <w:szCs w:val="20"/>
              </w:rPr>
              <w:t>LuAnn</w:t>
            </w:r>
            <w:r w:rsidR="00DF1884" w:rsidRPr="00DF1884">
              <w:rPr>
                <w:rFonts w:cs="Arial"/>
                <w:b/>
                <w:szCs w:val="20"/>
              </w:rPr>
              <w:t xml:space="preserve"> </w:t>
            </w:r>
            <w:r w:rsidRPr="00DF1884">
              <w:rPr>
                <w:rFonts w:cs="Arial"/>
                <w:b/>
                <w:szCs w:val="20"/>
              </w:rPr>
              <w:t>Heinen,</w:t>
            </w:r>
            <w:r w:rsidR="00DF1884" w:rsidRPr="00DF1884">
              <w:rPr>
                <w:rFonts w:cs="Arial"/>
                <w:b/>
                <w:szCs w:val="20"/>
              </w:rPr>
              <w:t xml:space="preserve"> </w:t>
            </w:r>
            <w:r w:rsidRPr="00DF1884">
              <w:rPr>
                <w:rFonts w:cs="Arial"/>
                <w:b/>
                <w:szCs w:val="20"/>
              </w:rPr>
              <w:t>MPP</w:t>
            </w:r>
            <w:r w:rsidRPr="00DF1884">
              <w:rPr>
                <w:rFonts w:cs="Arial"/>
                <w:szCs w:val="20"/>
              </w:rPr>
              <w:br/>
              <w:t>National</w:t>
            </w:r>
            <w:r w:rsidR="00DF1884" w:rsidRPr="00DF1884">
              <w:rPr>
                <w:rFonts w:cs="Arial"/>
                <w:szCs w:val="20"/>
              </w:rPr>
              <w:t xml:space="preserve"> </w:t>
            </w:r>
            <w:r w:rsidRPr="00DF1884">
              <w:rPr>
                <w:rFonts w:cs="Arial"/>
                <w:szCs w:val="20"/>
              </w:rPr>
              <w:t>Business</w:t>
            </w:r>
            <w:r w:rsidR="00DF1884" w:rsidRPr="00DF1884">
              <w:rPr>
                <w:rFonts w:cs="Arial"/>
                <w:szCs w:val="20"/>
              </w:rPr>
              <w:t xml:space="preserve"> </w:t>
            </w:r>
            <w:r w:rsidRPr="00DF1884">
              <w:rPr>
                <w:rFonts w:cs="Arial"/>
                <w:szCs w:val="20"/>
              </w:rPr>
              <w:t>Group</w:t>
            </w:r>
            <w:r w:rsidR="00DF1884" w:rsidRPr="00DF1884">
              <w:rPr>
                <w:rFonts w:cs="Arial"/>
                <w:szCs w:val="20"/>
              </w:rPr>
              <w:t xml:space="preserve"> </w:t>
            </w:r>
            <w:r w:rsidRPr="00DF1884">
              <w:rPr>
                <w:rFonts w:cs="Arial"/>
                <w:szCs w:val="20"/>
              </w:rPr>
              <w:t>on</w:t>
            </w:r>
            <w:r w:rsidR="00DF1884" w:rsidRPr="00DF1884">
              <w:rPr>
                <w:rFonts w:cs="Arial"/>
                <w:szCs w:val="20"/>
              </w:rPr>
              <w:t xml:space="preserve"> </w:t>
            </w:r>
            <w:r w:rsidRPr="00DF1884">
              <w:rPr>
                <w:rFonts w:cs="Arial"/>
                <w:szCs w:val="20"/>
              </w:rPr>
              <w:t>Health</w:t>
            </w:r>
          </w:p>
        </w:tc>
        <w:tc>
          <w:tcPr>
            <w:tcW w:w="4860" w:type="dxa"/>
          </w:tcPr>
          <w:p w14:paraId="250E36EF" w14:textId="295BA3BC" w:rsidR="00463667" w:rsidRPr="00DF1884" w:rsidRDefault="00463667" w:rsidP="00C56CA6">
            <w:pPr>
              <w:pStyle w:val="Body"/>
              <w:rPr>
                <w:rFonts w:cs="Arial"/>
                <w:szCs w:val="20"/>
              </w:rPr>
            </w:pPr>
            <w:r w:rsidRPr="00DF1884">
              <w:rPr>
                <w:rFonts w:cs="Arial"/>
                <w:b/>
                <w:szCs w:val="20"/>
              </w:rPr>
              <w:t>Trina</w:t>
            </w:r>
            <w:r w:rsidR="00DF1884" w:rsidRPr="00DF1884">
              <w:rPr>
                <w:rFonts w:cs="Arial"/>
                <w:b/>
                <w:szCs w:val="20"/>
              </w:rPr>
              <w:t xml:space="preserve"> </w:t>
            </w:r>
            <w:r w:rsidRPr="00DF1884">
              <w:rPr>
                <w:rFonts w:cs="Arial"/>
                <w:b/>
                <w:szCs w:val="20"/>
              </w:rPr>
              <w:t>Histon,</w:t>
            </w:r>
            <w:r w:rsidR="00DF1884" w:rsidRPr="00DF1884">
              <w:rPr>
                <w:rFonts w:cs="Arial"/>
                <w:b/>
                <w:szCs w:val="20"/>
              </w:rPr>
              <w:t xml:space="preserve"> </w:t>
            </w:r>
            <w:r w:rsidRPr="00DF1884">
              <w:rPr>
                <w:rFonts w:cs="Arial"/>
                <w:b/>
                <w:szCs w:val="20"/>
              </w:rPr>
              <w:t>PhD</w:t>
            </w:r>
            <w:r w:rsidRPr="00DF1884">
              <w:rPr>
                <w:rFonts w:cs="Arial"/>
                <w:szCs w:val="20"/>
              </w:rPr>
              <w:br/>
              <w:t>Kaiser</w:t>
            </w:r>
            <w:r w:rsidR="00DF1884" w:rsidRPr="00DF1884">
              <w:rPr>
                <w:rFonts w:cs="Arial"/>
                <w:szCs w:val="20"/>
              </w:rPr>
              <w:t xml:space="preserve"> </w:t>
            </w:r>
            <w:r w:rsidRPr="00DF1884">
              <w:rPr>
                <w:rFonts w:cs="Arial"/>
                <w:szCs w:val="20"/>
              </w:rPr>
              <w:t>Permanente</w:t>
            </w:r>
            <w:r w:rsidR="00DF1884" w:rsidRPr="00DF1884">
              <w:rPr>
                <w:rFonts w:cs="Arial"/>
                <w:szCs w:val="20"/>
              </w:rPr>
              <w:t xml:space="preserve"> </w:t>
            </w:r>
          </w:p>
          <w:p w14:paraId="2D5E37BB" w14:textId="53E10883" w:rsidR="00463667" w:rsidRPr="00DF1884" w:rsidRDefault="00463667" w:rsidP="00C56CA6">
            <w:pPr>
              <w:pStyle w:val="Body"/>
              <w:rPr>
                <w:rFonts w:cs="Arial"/>
                <w:szCs w:val="20"/>
              </w:rPr>
            </w:pPr>
            <w:r w:rsidRPr="00DF1884">
              <w:rPr>
                <w:rFonts w:cs="Arial"/>
                <w:b/>
                <w:szCs w:val="20"/>
              </w:rPr>
              <w:t>Michael</w:t>
            </w:r>
            <w:r w:rsidR="00DF1884" w:rsidRPr="00DF1884">
              <w:rPr>
                <w:rFonts w:cs="Arial"/>
                <w:b/>
                <w:szCs w:val="20"/>
              </w:rPr>
              <w:t xml:space="preserve"> </w:t>
            </w:r>
            <w:r w:rsidRPr="00DF1884">
              <w:rPr>
                <w:rFonts w:cs="Arial"/>
                <w:b/>
                <w:szCs w:val="20"/>
              </w:rPr>
              <w:t>Jensen,</w:t>
            </w:r>
            <w:r w:rsidR="00DF1884" w:rsidRPr="00DF1884">
              <w:rPr>
                <w:rFonts w:cs="Arial"/>
                <w:b/>
                <w:szCs w:val="20"/>
              </w:rPr>
              <w:t xml:space="preserve"> </w:t>
            </w:r>
            <w:r w:rsidRPr="00DF1884">
              <w:rPr>
                <w:rFonts w:cs="Arial"/>
                <w:b/>
                <w:szCs w:val="20"/>
              </w:rPr>
              <w:t>MD</w:t>
            </w:r>
            <w:r w:rsidRPr="00DF1884">
              <w:rPr>
                <w:rFonts w:cs="Arial"/>
                <w:b/>
                <w:szCs w:val="20"/>
              </w:rPr>
              <w:br/>
            </w:r>
            <w:r w:rsidRPr="00DF1884">
              <w:rPr>
                <w:rFonts w:cs="Arial"/>
                <w:szCs w:val="20"/>
              </w:rPr>
              <w:t>Mayo</w:t>
            </w:r>
            <w:r w:rsidR="00DF1884" w:rsidRPr="00DF1884">
              <w:rPr>
                <w:rFonts w:cs="Arial"/>
                <w:szCs w:val="20"/>
              </w:rPr>
              <w:t xml:space="preserve"> </w:t>
            </w:r>
            <w:r w:rsidRPr="00DF1884">
              <w:rPr>
                <w:rFonts w:cs="Arial"/>
                <w:szCs w:val="20"/>
              </w:rPr>
              <w:t>Clinic</w:t>
            </w:r>
          </w:p>
          <w:p w14:paraId="128CD0A9" w14:textId="6C5BAA1A" w:rsidR="00463667" w:rsidRPr="00DF1884" w:rsidRDefault="00463667" w:rsidP="00C56CA6">
            <w:pPr>
              <w:pStyle w:val="Body"/>
              <w:rPr>
                <w:rFonts w:cs="Arial"/>
                <w:szCs w:val="20"/>
              </w:rPr>
            </w:pPr>
            <w:r w:rsidRPr="00DF1884">
              <w:rPr>
                <w:rFonts w:cs="Arial"/>
                <w:b/>
                <w:szCs w:val="20"/>
              </w:rPr>
              <w:t>Richard</w:t>
            </w:r>
            <w:r w:rsidR="00DF1884" w:rsidRPr="00DF1884">
              <w:rPr>
                <w:rFonts w:cs="Arial"/>
                <w:b/>
                <w:szCs w:val="20"/>
              </w:rPr>
              <w:t xml:space="preserve"> </w:t>
            </w:r>
            <w:r w:rsidRPr="00DF1884">
              <w:rPr>
                <w:rFonts w:cs="Arial"/>
                <w:b/>
                <w:szCs w:val="20"/>
              </w:rPr>
              <w:t>A.</w:t>
            </w:r>
            <w:r w:rsidR="00DF1884" w:rsidRPr="00DF1884">
              <w:rPr>
                <w:rFonts w:cs="Arial"/>
                <w:b/>
                <w:szCs w:val="20"/>
              </w:rPr>
              <w:t xml:space="preserve"> </w:t>
            </w:r>
            <w:r w:rsidRPr="00DF1884">
              <w:rPr>
                <w:rFonts w:cs="Arial"/>
                <w:b/>
                <w:szCs w:val="20"/>
              </w:rPr>
              <w:t>Kahn,</w:t>
            </w:r>
            <w:r w:rsidR="00DF1884" w:rsidRPr="00DF1884">
              <w:rPr>
                <w:rFonts w:cs="Arial"/>
                <w:b/>
                <w:szCs w:val="20"/>
              </w:rPr>
              <w:t xml:space="preserve"> </w:t>
            </w:r>
            <w:r w:rsidRPr="00DF1884">
              <w:rPr>
                <w:rFonts w:cs="Arial"/>
                <w:b/>
                <w:szCs w:val="20"/>
              </w:rPr>
              <w:t>PhD</w:t>
            </w:r>
          </w:p>
          <w:p w14:paraId="3F2DA110" w14:textId="41CD5605" w:rsidR="00463667" w:rsidRPr="00DF1884" w:rsidRDefault="00463667" w:rsidP="00C56CA6">
            <w:pPr>
              <w:pStyle w:val="NoSpacing"/>
              <w:rPr>
                <w:rFonts w:ascii="Arial" w:hAnsi="Arial" w:cs="Arial"/>
                <w:sz w:val="20"/>
                <w:szCs w:val="20"/>
              </w:rPr>
            </w:pPr>
            <w:r w:rsidRPr="00DF1884">
              <w:rPr>
                <w:rFonts w:ascii="Arial" w:hAnsi="Arial" w:cs="Arial"/>
                <w:sz w:val="20"/>
                <w:szCs w:val="20"/>
              </w:rPr>
              <w:t>American</w:t>
            </w:r>
            <w:r w:rsidR="00DF1884" w:rsidRPr="00DF1884">
              <w:rPr>
                <w:rFonts w:ascii="Arial" w:hAnsi="Arial" w:cs="Arial"/>
                <w:sz w:val="20"/>
                <w:szCs w:val="20"/>
              </w:rPr>
              <w:t xml:space="preserve"> </w:t>
            </w:r>
            <w:r w:rsidRPr="00DF1884">
              <w:rPr>
                <w:rFonts w:ascii="Arial" w:hAnsi="Arial" w:cs="Arial"/>
                <w:sz w:val="20"/>
                <w:szCs w:val="20"/>
              </w:rPr>
              <w:t>Diabetes</w:t>
            </w:r>
            <w:r w:rsidR="00DF1884" w:rsidRPr="00DF1884">
              <w:rPr>
                <w:rFonts w:ascii="Arial" w:hAnsi="Arial" w:cs="Arial"/>
                <w:sz w:val="20"/>
                <w:szCs w:val="20"/>
              </w:rPr>
              <w:t xml:space="preserve"> </w:t>
            </w:r>
            <w:r w:rsidRPr="00DF1884">
              <w:rPr>
                <w:rFonts w:ascii="Arial" w:hAnsi="Arial" w:cs="Arial"/>
                <w:sz w:val="20"/>
                <w:szCs w:val="20"/>
              </w:rPr>
              <w:t>Association</w:t>
            </w:r>
          </w:p>
          <w:p w14:paraId="5488A918" w14:textId="16E7A797" w:rsidR="00463667" w:rsidRPr="00DF1884" w:rsidRDefault="00463667" w:rsidP="00C56CA6">
            <w:pPr>
              <w:pStyle w:val="Body"/>
              <w:rPr>
                <w:rFonts w:cs="Arial"/>
                <w:szCs w:val="20"/>
              </w:rPr>
            </w:pPr>
            <w:r w:rsidRPr="00DF1884">
              <w:rPr>
                <w:rFonts w:cs="Arial"/>
                <w:b/>
                <w:szCs w:val="20"/>
              </w:rPr>
              <w:t>Jaan</w:t>
            </w:r>
            <w:r w:rsidR="00DF1884" w:rsidRPr="00DF1884">
              <w:rPr>
                <w:rFonts w:cs="Arial"/>
                <w:b/>
                <w:szCs w:val="20"/>
              </w:rPr>
              <w:t xml:space="preserve"> </w:t>
            </w:r>
            <w:r w:rsidRPr="00DF1884">
              <w:rPr>
                <w:rFonts w:cs="Arial"/>
                <w:b/>
                <w:szCs w:val="20"/>
              </w:rPr>
              <w:t>Sidorov,</w:t>
            </w:r>
            <w:r w:rsidR="00DF1884" w:rsidRPr="00DF1884">
              <w:rPr>
                <w:rFonts w:cs="Arial"/>
                <w:b/>
                <w:szCs w:val="20"/>
              </w:rPr>
              <w:t xml:space="preserve"> </w:t>
            </w:r>
            <w:r w:rsidRPr="00DF1884">
              <w:rPr>
                <w:rFonts w:cs="Arial"/>
                <w:b/>
                <w:szCs w:val="20"/>
              </w:rPr>
              <w:t>MD,</w:t>
            </w:r>
            <w:r w:rsidR="00DF1884" w:rsidRPr="00DF1884">
              <w:rPr>
                <w:rFonts w:cs="Arial"/>
                <w:b/>
                <w:szCs w:val="20"/>
              </w:rPr>
              <w:t xml:space="preserve"> </w:t>
            </w:r>
            <w:r w:rsidRPr="00DF1884">
              <w:rPr>
                <w:rFonts w:cs="Arial"/>
                <w:b/>
                <w:szCs w:val="20"/>
              </w:rPr>
              <w:t>MHSA</w:t>
            </w:r>
            <w:r w:rsidRPr="00DF1884">
              <w:rPr>
                <w:rFonts w:cs="Arial"/>
                <w:b/>
                <w:szCs w:val="20"/>
              </w:rPr>
              <w:br/>
            </w:r>
            <w:r w:rsidR="007E75E5" w:rsidRPr="00DF1884">
              <w:rPr>
                <w:rFonts w:cs="Arial"/>
                <w:szCs w:val="20"/>
              </w:rPr>
              <w:t>Sidorov</w:t>
            </w:r>
            <w:r w:rsidR="00DF1884" w:rsidRPr="00DF1884">
              <w:rPr>
                <w:rFonts w:cs="Arial"/>
                <w:szCs w:val="20"/>
              </w:rPr>
              <w:t xml:space="preserve"> </w:t>
            </w:r>
            <w:r w:rsidR="007E75E5" w:rsidRPr="00DF1884">
              <w:rPr>
                <w:rFonts w:cs="Arial"/>
                <w:szCs w:val="20"/>
              </w:rPr>
              <w:t>Health</w:t>
            </w:r>
            <w:r w:rsidR="00DF1884" w:rsidRPr="00DF1884">
              <w:rPr>
                <w:rFonts w:cs="Arial"/>
                <w:szCs w:val="20"/>
              </w:rPr>
              <w:t xml:space="preserve"> </w:t>
            </w:r>
            <w:r w:rsidR="007E75E5" w:rsidRPr="00DF1884">
              <w:rPr>
                <w:rFonts w:cs="Arial"/>
                <w:szCs w:val="20"/>
              </w:rPr>
              <w:t>Solutions</w:t>
            </w:r>
          </w:p>
          <w:p w14:paraId="19CBE619" w14:textId="3ABB03AD" w:rsidR="00463667" w:rsidRPr="00DF1884" w:rsidRDefault="00463667" w:rsidP="00C56CA6">
            <w:pPr>
              <w:pStyle w:val="Body"/>
              <w:tabs>
                <w:tab w:val="left" w:pos="3064"/>
              </w:tabs>
              <w:rPr>
                <w:rFonts w:cs="Arial"/>
                <w:szCs w:val="20"/>
              </w:rPr>
            </w:pPr>
            <w:r w:rsidRPr="00DF1884">
              <w:rPr>
                <w:rFonts w:cs="Arial"/>
                <w:b/>
                <w:szCs w:val="20"/>
              </w:rPr>
              <w:t>Thomas</w:t>
            </w:r>
            <w:r w:rsidR="00DF1884" w:rsidRPr="00DF1884">
              <w:rPr>
                <w:rFonts w:cs="Arial"/>
                <w:b/>
                <w:szCs w:val="20"/>
              </w:rPr>
              <w:t xml:space="preserve"> </w:t>
            </w:r>
            <w:r w:rsidRPr="00DF1884">
              <w:rPr>
                <w:rFonts w:cs="Arial"/>
                <w:b/>
                <w:szCs w:val="20"/>
              </w:rPr>
              <w:t>Stellato,</w:t>
            </w:r>
            <w:r w:rsidR="00DF1884" w:rsidRPr="00DF1884">
              <w:rPr>
                <w:rFonts w:cs="Arial"/>
                <w:b/>
                <w:szCs w:val="20"/>
              </w:rPr>
              <w:t xml:space="preserve"> </w:t>
            </w:r>
            <w:r w:rsidRPr="00DF1884">
              <w:rPr>
                <w:rFonts w:cs="Arial"/>
                <w:b/>
                <w:szCs w:val="20"/>
              </w:rPr>
              <w:t>MD</w:t>
            </w:r>
            <w:r w:rsidRPr="00DF1884">
              <w:rPr>
                <w:rFonts w:cs="Arial"/>
                <w:szCs w:val="20"/>
              </w:rPr>
              <w:br/>
              <w:t>Case</w:t>
            </w:r>
            <w:r w:rsidR="00DF1884" w:rsidRPr="00DF1884">
              <w:rPr>
                <w:rFonts w:cs="Arial"/>
                <w:szCs w:val="20"/>
              </w:rPr>
              <w:t xml:space="preserve"> </w:t>
            </w:r>
            <w:r w:rsidRPr="00DF1884">
              <w:rPr>
                <w:rFonts w:cs="Arial"/>
                <w:szCs w:val="20"/>
              </w:rPr>
              <w:t>Western</w:t>
            </w:r>
            <w:r w:rsidR="00DF1884" w:rsidRPr="00DF1884">
              <w:rPr>
                <w:rFonts w:cs="Arial"/>
                <w:szCs w:val="20"/>
              </w:rPr>
              <w:t xml:space="preserve"> </w:t>
            </w:r>
            <w:r w:rsidRPr="00DF1884">
              <w:rPr>
                <w:rFonts w:cs="Arial"/>
                <w:szCs w:val="20"/>
              </w:rPr>
              <w:t>Reserve</w:t>
            </w:r>
            <w:r w:rsidR="00DF1884" w:rsidRPr="00DF1884">
              <w:rPr>
                <w:rFonts w:cs="Arial"/>
                <w:szCs w:val="20"/>
              </w:rPr>
              <w:t xml:space="preserve"> </w:t>
            </w:r>
            <w:r w:rsidRPr="00DF1884">
              <w:rPr>
                <w:rFonts w:cs="Arial"/>
                <w:szCs w:val="20"/>
              </w:rPr>
              <w:t>University</w:t>
            </w:r>
          </w:p>
          <w:p w14:paraId="3E470188" w14:textId="74F03811" w:rsidR="00463667" w:rsidRPr="00DF1884" w:rsidRDefault="00463667" w:rsidP="00C56CA6">
            <w:pPr>
              <w:pStyle w:val="Body"/>
              <w:tabs>
                <w:tab w:val="left" w:pos="3064"/>
              </w:tabs>
              <w:rPr>
                <w:rFonts w:cs="Arial"/>
                <w:szCs w:val="20"/>
              </w:rPr>
            </w:pPr>
            <w:r w:rsidRPr="00DF1884">
              <w:rPr>
                <w:rFonts w:cs="Arial"/>
                <w:b/>
                <w:szCs w:val="20"/>
              </w:rPr>
              <w:t>Thomas</w:t>
            </w:r>
            <w:r w:rsidR="00DF1884" w:rsidRPr="00DF1884">
              <w:rPr>
                <w:rFonts w:cs="Arial"/>
                <w:b/>
                <w:szCs w:val="20"/>
              </w:rPr>
              <w:t xml:space="preserve"> </w:t>
            </w:r>
            <w:r w:rsidRPr="00DF1884">
              <w:rPr>
                <w:rFonts w:cs="Arial"/>
                <w:b/>
                <w:szCs w:val="20"/>
              </w:rPr>
              <w:t>Wadden,</w:t>
            </w:r>
            <w:r w:rsidR="00DF1884" w:rsidRPr="00DF1884">
              <w:rPr>
                <w:rFonts w:cs="Arial"/>
                <w:b/>
                <w:szCs w:val="20"/>
              </w:rPr>
              <w:t xml:space="preserve"> </w:t>
            </w:r>
            <w:r w:rsidRPr="00DF1884">
              <w:rPr>
                <w:rFonts w:cs="Arial"/>
                <w:b/>
                <w:szCs w:val="20"/>
              </w:rPr>
              <w:t>PhD</w:t>
            </w:r>
            <w:r w:rsidRPr="00DF1884">
              <w:rPr>
                <w:rFonts w:cs="Arial"/>
                <w:szCs w:val="20"/>
              </w:rPr>
              <w:br/>
              <w:t>University</w:t>
            </w:r>
            <w:r w:rsidR="00DF1884" w:rsidRPr="00DF1884">
              <w:rPr>
                <w:rFonts w:cs="Arial"/>
                <w:szCs w:val="20"/>
              </w:rPr>
              <w:t xml:space="preserve"> </w:t>
            </w:r>
            <w:r w:rsidRPr="00DF1884">
              <w:rPr>
                <w:rFonts w:cs="Arial"/>
                <w:szCs w:val="20"/>
              </w:rPr>
              <w:t>of</w:t>
            </w:r>
            <w:r w:rsidR="00DF1884" w:rsidRPr="00DF1884">
              <w:rPr>
                <w:rFonts w:cs="Arial"/>
                <w:szCs w:val="20"/>
              </w:rPr>
              <w:t xml:space="preserve"> </w:t>
            </w:r>
            <w:r w:rsidRPr="00DF1884">
              <w:rPr>
                <w:rFonts w:cs="Arial"/>
                <w:szCs w:val="20"/>
              </w:rPr>
              <w:t>Pennsylvania</w:t>
            </w:r>
            <w:r w:rsidR="00DF1884" w:rsidRPr="00DF1884">
              <w:rPr>
                <w:rFonts w:cs="Arial"/>
                <w:szCs w:val="20"/>
              </w:rPr>
              <w:t xml:space="preserve"> </w:t>
            </w:r>
            <w:r w:rsidRPr="00DF1884">
              <w:rPr>
                <w:rFonts w:cs="Arial"/>
                <w:szCs w:val="20"/>
              </w:rPr>
              <w:t>School</w:t>
            </w:r>
            <w:r w:rsidR="00DF1884" w:rsidRPr="00DF1884">
              <w:rPr>
                <w:rFonts w:cs="Arial"/>
                <w:szCs w:val="20"/>
              </w:rPr>
              <w:t xml:space="preserve"> </w:t>
            </w:r>
            <w:r w:rsidRPr="00DF1884">
              <w:rPr>
                <w:rFonts w:cs="Arial"/>
                <w:szCs w:val="20"/>
              </w:rPr>
              <w:t>of</w:t>
            </w:r>
            <w:r w:rsidR="00DF1884" w:rsidRPr="00DF1884">
              <w:rPr>
                <w:rFonts w:cs="Arial"/>
                <w:szCs w:val="20"/>
              </w:rPr>
              <w:t xml:space="preserve"> </w:t>
            </w:r>
            <w:r w:rsidRPr="00DF1884">
              <w:rPr>
                <w:rFonts w:cs="Arial"/>
                <w:szCs w:val="20"/>
              </w:rPr>
              <w:t>Medicine</w:t>
            </w:r>
          </w:p>
          <w:p w14:paraId="45129DF1" w14:textId="2D5982BC" w:rsidR="00463667" w:rsidRPr="00DF1884" w:rsidRDefault="00463667" w:rsidP="00C56CA6">
            <w:pPr>
              <w:pStyle w:val="Body"/>
              <w:tabs>
                <w:tab w:val="left" w:pos="3064"/>
              </w:tabs>
              <w:rPr>
                <w:rFonts w:cs="Arial"/>
                <w:szCs w:val="20"/>
              </w:rPr>
            </w:pPr>
            <w:r w:rsidRPr="00DF1884">
              <w:rPr>
                <w:rFonts w:cs="Arial"/>
                <w:b/>
                <w:szCs w:val="20"/>
              </w:rPr>
              <w:t>Peter</w:t>
            </w:r>
            <w:r w:rsidR="00DF1884" w:rsidRPr="00DF1884">
              <w:rPr>
                <w:rFonts w:cs="Arial"/>
                <w:b/>
                <w:szCs w:val="20"/>
              </w:rPr>
              <w:t xml:space="preserve"> </w:t>
            </w:r>
            <w:r w:rsidRPr="00DF1884">
              <w:rPr>
                <w:rFonts w:cs="Arial"/>
                <w:b/>
                <w:szCs w:val="20"/>
              </w:rPr>
              <w:t>Wald,</w:t>
            </w:r>
            <w:r w:rsidR="00DF1884" w:rsidRPr="00DF1884">
              <w:rPr>
                <w:rFonts w:cs="Arial"/>
                <w:b/>
                <w:szCs w:val="20"/>
              </w:rPr>
              <w:t xml:space="preserve"> </w:t>
            </w:r>
            <w:r w:rsidRPr="00DF1884">
              <w:rPr>
                <w:rFonts w:cs="Arial"/>
                <w:b/>
                <w:szCs w:val="20"/>
              </w:rPr>
              <w:t>MD,</w:t>
            </w:r>
            <w:r w:rsidR="00DF1884" w:rsidRPr="00DF1884">
              <w:rPr>
                <w:rFonts w:cs="Arial"/>
                <w:b/>
                <w:szCs w:val="20"/>
              </w:rPr>
              <w:t xml:space="preserve"> </w:t>
            </w:r>
            <w:r w:rsidRPr="00DF1884">
              <w:rPr>
                <w:rFonts w:cs="Arial"/>
                <w:b/>
                <w:szCs w:val="20"/>
              </w:rPr>
              <w:t>MPH</w:t>
            </w:r>
            <w:r w:rsidRPr="00DF1884">
              <w:rPr>
                <w:rFonts w:cs="Arial"/>
                <w:szCs w:val="20"/>
              </w:rPr>
              <w:br/>
              <w:t>USAA</w:t>
            </w:r>
          </w:p>
        </w:tc>
      </w:tr>
    </w:tbl>
    <w:p w14:paraId="5ABD0907" w14:textId="33165087" w:rsidR="00463667" w:rsidRPr="00DF1884" w:rsidRDefault="00463667" w:rsidP="00202CAE">
      <w:pPr>
        <w:pStyle w:val="ReverseHead"/>
      </w:pPr>
      <w:r w:rsidRPr="00DF1884">
        <w:t>Behavioral</w:t>
      </w:r>
      <w:r w:rsidR="00DF1884" w:rsidRPr="00DF1884">
        <w:t xml:space="preserve"> </w:t>
      </w:r>
      <w:r w:rsidRPr="00DF1884">
        <w:t>Health</w:t>
      </w:r>
      <w:r w:rsidR="00DF1884" w:rsidRPr="00DF1884">
        <w:t xml:space="preserve"> </w:t>
      </w:r>
      <w:r w:rsidRPr="00DF1884">
        <w:t>Measurement</w:t>
      </w:r>
      <w:r w:rsidR="00DF1884" w:rsidRPr="00DF1884">
        <w:t xml:space="preserve"> </w:t>
      </w:r>
      <w:r w:rsidRPr="00DF1884">
        <w:t>Advisory</w:t>
      </w:r>
      <w:r w:rsidR="00DF1884" w:rsidRPr="00DF1884">
        <w:t xml:space="preserve"> </w:t>
      </w:r>
      <w:r w:rsidRPr="00DF1884">
        <w:t>Panel</w:t>
      </w:r>
      <w:r w:rsidR="00DF1884" w:rsidRPr="00DF1884">
        <w:t xml:space="preserve"> </w:t>
      </w:r>
    </w:p>
    <w:tbl>
      <w:tblPr>
        <w:tblW w:w="0" w:type="auto"/>
        <w:tblInd w:w="18" w:type="dxa"/>
        <w:tblLayout w:type="fixed"/>
        <w:tblLook w:val="0000" w:firstRow="0" w:lastRow="0" w:firstColumn="0" w:lastColumn="0" w:noHBand="0" w:noVBand="0"/>
      </w:tblPr>
      <w:tblGrid>
        <w:gridCol w:w="4950"/>
        <w:gridCol w:w="4860"/>
      </w:tblGrid>
      <w:tr w:rsidR="00463667" w:rsidRPr="00DF1884" w14:paraId="29118838" w14:textId="77777777" w:rsidTr="00C56CA6">
        <w:tc>
          <w:tcPr>
            <w:tcW w:w="4950" w:type="dxa"/>
          </w:tcPr>
          <w:p w14:paraId="128768D2" w14:textId="7F843BF8" w:rsidR="00637566" w:rsidRPr="00DF1884" w:rsidRDefault="00637566" w:rsidP="00637566">
            <w:pPr>
              <w:pStyle w:val="Body"/>
              <w:rPr>
                <w:b/>
                <w:szCs w:val="20"/>
              </w:rPr>
            </w:pPr>
            <w:r w:rsidRPr="00DF1884">
              <w:rPr>
                <w:b/>
                <w:szCs w:val="20"/>
              </w:rPr>
              <w:t>Bruce</w:t>
            </w:r>
            <w:r w:rsidR="00DF1884" w:rsidRPr="00DF1884">
              <w:rPr>
                <w:b/>
                <w:szCs w:val="20"/>
              </w:rPr>
              <w:t xml:space="preserve"> </w:t>
            </w:r>
            <w:r w:rsidRPr="00DF1884">
              <w:rPr>
                <w:b/>
                <w:szCs w:val="20"/>
              </w:rPr>
              <w:t>Bobbitt,</w:t>
            </w:r>
            <w:r w:rsidR="00DF1884" w:rsidRPr="00DF1884">
              <w:rPr>
                <w:b/>
                <w:szCs w:val="20"/>
              </w:rPr>
              <w:t xml:space="preserve"> </w:t>
            </w:r>
            <w:r w:rsidRPr="00DF1884">
              <w:rPr>
                <w:b/>
                <w:szCs w:val="20"/>
              </w:rPr>
              <w:t>PhD,</w:t>
            </w:r>
            <w:r w:rsidR="00DF1884" w:rsidRPr="00DF1884">
              <w:rPr>
                <w:b/>
                <w:szCs w:val="20"/>
              </w:rPr>
              <w:t xml:space="preserve"> </w:t>
            </w:r>
            <w:r w:rsidRPr="00DF1884">
              <w:rPr>
                <w:b/>
                <w:szCs w:val="20"/>
              </w:rPr>
              <w:t>LP</w:t>
            </w:r>
            <w:r w:rsidRPr="00DF1884">
              <w:rPr>
                <w:b/>
                <w:szCs w:val="20"/>
              </w:rPr>
              <w:br/>
            </w:r>
            <w:r w:rsidR="00AA4CD6" w:rsidRPr="00DF1884">
              <w:rPr>
                <w:szCs w:val="20"/>
              </w:rPr>
              <w:t>Optum</w:t>
            </w:r>
          </w:p>
          <w:p w14:paraId="35E18D21" w14:textId="47281366" w:rsidR="00637566" w:rsidRPr="00DF1884" w:rsidRDefault="00637566" w:rsidP="00C56CA6">
            <w:pPr>
              <w:pStyle w:val="Body"/>
              <w:rPr>
                <w:b/>
                <w:szCs w:val="20"/>
              </w:rPr>
            </w:pPr>
            <w:r w:rsidRPr="00DF1884">
              <w:rPr>
                <w:b/>
                <w:szCs w:val="20"/>
              </w:rPr>
              <w:t>Peter</w:t>
            </w:r>
            <w:r w:rsidR="00DF1884" w:rsidRPr="00DF1884">
              <w:rPr>
                <w:b/>
                <w:szCs w:val="20"/>
              </w:rPr>
              <w:t xml:space="preserve"> </w:t>
            </w:r>
            <w:r w:rsidRPr="00DF1884">
              <w:rPr>
                <w:b/>
                <w:szCs w:val="20"/>
              </w:rPr>
              <w:t>Delany,</w:t>
            </w:r>
            <w:r w:rsidR="00DF1884" w:rsidRPr="00DF1884">
              <w:rPr>
                <w:b/>
                <w:szCs w:val="20"/>
              </w:rPr>
              <w:t xml:space="preserve"> </w:t>
            </w:r>
            <w:r w:rsidRPr="00DF1884">
              <w:rPr>
                <w:b/>
                <w:szCs w:val="20"/>
              </w:rPr>
              <w:t>PhD,</w:t>
            </w:r>
            <w:r w:rsidR="00DF1884" w:rsidRPr="00DF1884">
              <w:rPr>
                <w:b/>
                <w:szCs w:val="20"/>
              </w:rPr>
              <w:t xml:space="preserve"> </w:t>
            </w:r>
            <w:r w:rsidRPr="00DF1884">
              <w:rPr>
                <w:b/>
                <w:szCs w:val="20"/>
              </w:rPr>
              <w:t>LCSW-C</w:t>
            </w:r>
            <w:r w:rsidRPr="00DF1884">
              <w:rPr>
                <w:b/>
                <w:szCs w:val="20"/>
              </w:rPr>
              <w:br/>
            </w:r>
            <w:r w:rsidRPr="00DF1884">
              <w:rPr>
                <w:szCs w:val="20"/>
              </w:rPr>
              <w:t>SAMHSA</w:t>
            </w:r>
            <w:r w:rsidR="00DF1884" w:rsidRPr="00DF1884">
              <w:rPr>
                <w:b/>
                <w:szCs w:val="20"/>
              </w:rPr>
              <w:t xml:space="preserve"> </w:t>
            </w:r>
          </w:p>
          <w:p w14:paraId="21103C51" w14:textId="3CF3E031" w:rsidR="00463667" w:rsidRPr="00DF1884" w:rsidRDefault="00463667" w:rsidP="00C56CA6">
            <w:pPr>
              <w:pStyle w:val="Body"/>
              <w:rPr>
                <w:szCs w:val="20"/>
              </w:rPr>
            </w:pPr>
            <w:r w:rsidRPr="00DF1884">
              <w:rPr>
                <w:b/>
                <w:szCs w:val="20"/>
              </w:rPr>
              <w:t>Ben</w:t>
            </w:r>
            <w:r w:rsidR="00DF1884" w:rsidRPr="00DF1884">
              <w:rPr>
                <w:b/>
                <w:szCs w:val="20"/>
              </w:rPr>
              <w:t xml:space="preserve"> </w:t>
            </w:r>
            <w:r w:rsidRPr="00DF1884">
              <w:rPr>
                <w:b/>
                <w:szCs w:val="20"/>
              </w:rPr>
              <w:t>Druss,</w:t>
            </w:r>
            <w:r w:rsidR="00DF1884" w:rsidRPr="00DF1884">
              <w:rPr>
                <w:b/>
                <w:szCs w:val="20"/>
              </w:rPr>
              <w:t xml:space="preserve"> </w:t>
            </w:r>
            <w:r w:rsidRPr="00DF1884">
              <w:rPr>
                <w:b/>
                <w:szCs w:val="20"/>
              </w:rPr>
              <w:t>MD,</w:t>
            </w:r>
            <w:r w:rsidR="00DF1884" w:rsidRPr="00DF1884">
              <w:rPr>
                <w:b/>
                <w:szCs w:val="20"/>
              </w:rPr>
              <w:t xml:space="preserve"> </w:t>
            </w:r>
            <w:r w:rsidRPr="00DF1884">
              <w:rPr>
                <w:b/>
                <w:szCs w:val="20"/>
              </w:rPr>
              <w:t>MPH</w:t>
            </w:r>
            <w:r w:rsidRPr="00DF1884">
              <w:rPr>
                <w:b/>
                <w:szCs w:val="20"/>
              </w:rPr>
              <w:br/>
            </w:r>
            <w:r w:rsidRPr="00DF1884">
              <w:rPr>
                <w:szCs w:val="20"/>
              </w:rPr>
              <w:t>Emory</w:t>
            </w:r>
            <w:r w:rsidR="00DF1884" w:rsidRPr="00DF1884">
              <w:rPr>
                <w:szCs w:val="20"/>
              </w:rPr>
              <w:t xml:space="preserve"> </w:t>
            </w:r>
            <w:r w:rsidRPr="00DF1884">
              <w:rPr>
                <w:szCs w:val="20"/>
              </w:rPr>
              <w:t>University</w:t>
            </w:r>
          </w:p>
          <w:p w14:paraId="7DF8D6F3" w14:textId="5ACFADB3" w:rsidR="00D22A7F" w:rsidRPr="00DF1884" w:rsidRDefault="00463667" w:rsidP="00C56CA6">
            <w:pPr>
              <w:pStyle w:val="Body"/>
              <w:rPr>
                <w:szCs w:val="20"/>
              </w:rPr>
            </w:pPr>
            <w:r w:rsidRPr="00DF1884">
              <w:rPr>
                <w:b/>
                <w:szCs w:val="20"/>
              </w:rPr>
              <w:t>Frank</w:t>
            </w:r>
            <w:r w:rsidR="00DF1884" w:rsidRPr="00DF1884">
              <w:rPr>
                <w:b/>
                <w:szCs w:val="20"/>
              </w:rPr>
              <w:t xml:space="preserve"> </w:t>
            </w:r>
            <w:r w:rsidRPr="00DF1884">
              <w:rPr>
                <w:b/>
                <w:szCs w:val="20"/>
              </w:rPr>
              <w:t>A.</w:t>
            </w:r>
            <w:r w:rsidR="00DF1884" w:rsidRPr="00DF1884">
              <w:rPr>
                <w:b/>
                <w:szCs w:val="20"/>
              </w:rPr>
              <w:t xml:space="preserve"> </w:t>
            </w:r>
            <w:r w:rsidRPr="00DF1884">
              <w:rPr>
                <w:b/>
                <w:szCs w:val="20"/>
              </w:rPr>
              <w:t>Ghinassi,</w:t>
            </w:r>
            <w:r w:rsidR="00DF1884" w:rsidRPr="00DF1884">
              <w:rPr>
                <w:b/>
                <w:szCs w:val="20"/>
              </w:rPr>
              <w:t xml:space="preserve"> </w:t>
            </w:r>
            <w:r w:rsidRPr="00DF1884">
              <w:rPr>
                <w:b/>
                <w:szCs w:val="20"/>
              </w:rPr>
              <w:t>PhD</w:t>
            </w:r>
            <w:r w:rsidR="00DF1884" w:rsidRPr="00DF1884">
              <w:rPr>
                <w:b/>
                <w:szCs w:val="20"/>
              </w:rPr>
              <w:t xml:space="preserve"> </w:t>
            </w:r>
            <w:r w:rsidRPr="00DF1884">
              <w:rPr>
                <w:b/>
                <w:szCs w:val="20"/>
              </w:rPr>
              <w:br/>
            </w:r>
            <w:r w:rsidRPr="00DF1884">
              <w:rPr>
                <w:szCs w:val="20"/>
              </w:rPr>
              <w:t>Western</w:t>
            </w:r>
            <w:r w:rsidR="00DF1884" w:rsidRPr="00DF1884">
              <w:rPr>
                <w:szCs w:val="20"/>
              </w:rPr>
              <w:t xml:space="preserve"> </w:t>
            </w:r>
            <w:r w:rsidRPr="00DF1884">
              <w:rPr>
                <w:szCs w:val="20"/>
              </w:rPr>
              <w:t>Psychiatric</w:t>
            </w:r>
            <w:r w:rsidR="00DF1884" w:rsidRPr="00DF1884">
              <w:rPr>
                <w:szCs w:val="20"/>
              </w:rPr>
              <w:t xml:space="preserve"> </w:t>
            </w:r>
            <w:r w:rsidRPr="00DF1884">
              <w:rPr>
                <w:szCs w:val="20"/>
              </w:rPr>
              <w:t>Institute</w:t>
            </w:r>
            <w:r w:rsidR="00DF1884" w:rsidRPr="00DF1884">
              <w:rPr>
                <w:szCs w:val="20"/>
              </w:rPr>
              <w:t xml:space="preserve"> </w:t>
            </w:r>
            <w:r w:rsidRPr="00DF1884">
              <w:rPr>
                <w:szCs w:val="20"/>
              </w:rPr>
              <w:t>and</w:t>
            </w:r>
            <w:r w:rsidR="00DF1884" w:rsidRPr="00DF1884">
              <w:rPr>
                <w:szCs w:val="20"/>
              </w:rPr>
              <w:t xml:space="preserve"> </w:t>
            </w:r>
            <w:r w:rsidRPr="00DF1884">
              <w:rPr>
                <w:szCs w:val="20"/>
              </w:rPr>
              <w:t>Clinic</w:t>
            </w:r>
            <w:r w:rsidR="00DF1884" w:rsidRPr="00DF1884">
              <w:rPr>
                <w:szCs w:val="20"/>
              </w:rPr>
              <w:t xml:space="preserve"> </w:t>
            </w:r>
            <w:r w:rsidRPr="00DF1884">
              <w:rPr>
                <w:szCs w:val="20"/>
              </w:rPr>
              <w:t>and</w:t>
            </w:r>
            <w:r w:rsidR="00DF1884" w:rsidRPr="00DF1884">
              <w:rPr>
                <w:szCs w:val="20"/>
              </w:rPr>
              <w:t xml:space="preserve"> </w:t>
            </w:r>
            <w:r w:rsidRPr="00DF1884">
              <w:rPr>
                <w:szCs w:val="20"/>
              </w:rPr>
              <w:t>UPMC</w:t>
            </w:r>
            <w:r w:rsidR="00DF1884" w:rsidRPr="00DF1884">
              <w:rPr>
                <w:szCs w:val="20"/>
              </w:rPr>
              <w:t xml:space="preserve"> </w:t>
            </w:r>
            <w:r w:rsidRPr="00DF1884">
              <w:rPr>
                <w:szCs w:val="20"/>
              </w:rPr>
              <w:t>Behavioral</w:t>
            </w:r>
            <w:r w:rsidR="00DF1884" w:rsidRPr="00DF1884">
              <w:rPr>
                <w:szCs w:val="20"/>
              </w:rPr>
              <w:t xml:space="preserve"> </w:t>
            </w:r>
            <w:r w:rsidRPr="00DF1884">
              <w:rPr>
                <w:szCs w:val="20"/>
              </w:rPr>
              <w:t>Health</w:t>
            </w:r>
            <w:r w:rsidR="00DF1884" w:rsidRPr="00DF1884">
              <w:rPr>
                <w:szCs w:val="20"/>
              </w:rPr>
              <w:t xml:space="preserve"> </w:t>
            </w:r>
            <w:r w:rsidRPr="00DF1884">
              <w:rPr>
                <w:szCs w:val="20"/>
              </w:rPr>
              <w:t>Network</w:t>
            </w:r>
            <w:r w:rsidR="00601EC1">
              <w:rPr>
                <w:szCs w:val="20"/>
              </w:rPr>
              <w:br/>
            </w:r>
            <w:r w:rsidR="00D22A7F" w:rsidRPr="00DF1884">
              <w:rPr>
                <w:szCs w:val="20"/>
              </w:rPr>
              <w:t>University</w:t>
            </w:r>
            <w:r w:rsidR="00DF1884" w:rsidRPr="00DF1884">
              <w:rPr>
                <w:szCs w:val="20"/>
              </w:rPr>
              <w:t xml:space="preserve"> </w:t>
            </w:r>
            <w:r w:rsidR="00D22A7F" w:rsidRPr="00DF1884">
              <w:rPr>
                <w:szCs w:val="20"/>
              </w:rPr>
              <w:t>of</w:t>
            </w:r>
            <w:r w:rsidR="00DF1884" w:rsidRPr="00DF1884">
              <w:rPr>
                <w:szCs w:val="20"/>
              </w:rPr>
              <w:t xml:space="preserve"> </w:t>
            </w:r>
            <w:r w:rsidR="00D22A7F" w:rsidRPr="00DF1884">
              <w:rPr>
                <w:szCs w:val="20"/>
              </w:rPr>
              <w:t>Pittsburgh</w:t>
            </w:r>
            <w:r w:rsidR="00DF1884" w:rsidRPr="00DF1884">
              <w:rPr>
                <w:szCs w:val="20"/>
              </w:rPr>
              <w:t xml:space="preserve"> </w:t>
            </w:r>
            <w:r w:rsidR="00D22A7F" w:rsidRPr="00DF1884">
              <w:rPr>
                <w:szCs w:val="20"/>
              </w:rPr>
              <w:t>Medication</w:t>
            </w:r>
            <w:r w:rsidR="00DF1884" w:rsidRPr="00DF1884">
              <w:rPr>
                <w:szCs w:val="20"/>
              </w:rPr>
              <w:t xml:space="preserve"> </w:t>
            </w:r>
            <w:r w:rsidR="00D22A7F" w:rsidRPr="00DF1884">
              <w:rPr>
                <w:szCs w:val="20"/>
              </w:rPr>
              <w:t>Center</w:t>
            </w:r>
          </w:p>
          <w:p w14:paraId="0F102EF1" w14:textId="7DF4035E" w:rsidR="00637566" w:rsidRPr="00DF1884" w:rsidRDefault="00637566" w:rsidP="00637566">
            <w:pPr>
              <w:pStyle w:val="Body"/>
              <w:rPr>
                <w:szCs w:val="20"/>
              </w:rPr>
            </w:pPr>
            <w:r w:rsidRPr="00DF1884">
              <w:rPr>
                <w:b/>
                <w:szCs w:val="20"/>
              </w:rPr>
              <w:t>Rick</w:t>
            </w:r>
            <w:r w:rsidR="00DF1884" w:rsidRPr="00DF1884">
              <w:rPr>
                <w:b/>
                <w:szCs w:val="20"/>
              </w:rPr>
              <w:t xml:space="preserve"> </w:t>
            </w:r>
            <w:r w:rsidRPr="00DF1884">
              <w:rPr>
                <w:b/>
                <w:szCs w:val="20"/>
              </w:rPr>
              <w:t>Hermann,</w:t>
            </w:r>
            <w:r w:rsidR="00DF1884" w:rsidRPr="00DF1884">
              <w:rPr>
                <w:b/>
                <w:szCs w:val="20"/>
              </w:rPr>
              <w:t xml:space="preserve"> </w:t>
            </w:r>
            <w:r w:rsidRPr="00DF1884">
              <w:rPr>
                <w:b/>
                <w:szCs w:val="20"/>
              </w:rPr>
              <w:t>MD</w:t>
            </w:r>
            <w:r w:rsidR="00DF1884" w:rsidRPr="00DF1884">
              <w:rPr>
                <w:b/>
                <w:szCs w:val="20"/>
              </w:rPr>
              <w:t xml:space="preserve"> </w:t>
            </w:r>
            <w:r w:rsidRPr="00DF1884">
              <w:rPr>
                <w:b/>
                <w:szCs w:val="20"/>
              </w:rPr>
              <w:br/>
            </w:r>
            <w:r w:rsidRPr="00DF1884">
              <w:rPr>
                <w:szCs w:val="20"/>
              </w:rPr>
              <w:t>Tufts</w:t>
            </w:r>
            <w:r w:rsidR="00DF1884" w:rsidRPr="00DF1884">
              <w:rPr>
                <w:szCs w:val="20"/>
              </w:rPr>
              <w:t xml:space="preserve"> </w:t>
            </w:r>
            <w:r w:rsidRPr="00DF1884">
              <w:rPr>
                <w:szCs w:val="20"/>
              </w:rPr>
              <w:t>Medical</w:t>
            </w:r>
            <w:r w:rsidR="00DF1884" w:rsidRPr="00DF1884">
              <w:rPr>
                <w:szCs w:val="20"/>
              </w:rPr>
              <w:t xml:space="preserve"> </w:t>
            </w:r>
            <w:r w:rsidRPr="00DF1884">
              <w:rPr>
                <w:szCs w:val="20"/>
              </w:rPr>
              <w:t>Center</w:t>
            </w:r>
            <w:r w:rsidR="00DF1884" w:rsidRPr="00DF1884">
              <w:rPr>
                <w:szCs w:val="20"/>
              </w:rPr>
              <w:t xml:space="preserve"> </w:t>
            </w:r>
            <w:r w:rsidRPr="00DF1884">
              <w:rPr>
                <w:szCs w:val="20"/>
              </w:rPr>
              <w:t>and</w:t>
            </w:r>
            <w:r w:rsidR="00DF1884" w:rsidRPr="00DF1884">
              <w:rPr>
                <w:szCs w:val="20"/>
              </w:rPr>
              <w:t xml:space="preserve"> </w:t>
            </w:r>
            <w:r w:rsidRPr="00DF1884">
              <w:rPr>
                <w:szCs w:val="20"/>
              </w:rPr>
              <w:t>UpToDate,</w:t>
            </w:r>
            <w:r w:rsidR="00DF1884" w:rsidRPr="00DF1884">
              <w:rPr>
                <w:szCs w:val="20"/>
              </w:rPr>
              <w:t xml:space="preserve"> </w:t>
            </w:r>
            <w:r w:rsidRPr="00DF1884">
              <w:rPr>
                <w:szCs w:val="20"/>
              </w:rPr>
              <w:t>Inc.</w:t>
            </w:r>
          </w:p>
          <w:p w14:paraId="68BA3703" w14:textId="77777777" w:rsidR="00463667" w:rsidRDefault="00637566" w:rsidP="00601EC1">
            <w:pPr>
              <w:pStyle w:val="Body"/>
              <w:rPr>
                <w:szCs w:val="20"/>
              </w:rPr>
            </w:pPr>
            <w:r w:rsidRPr="00DF1884">
              <w:rPr>
                <w:b/>
                <w:szCs w:val="20"/>
              </w:rPr>
              <w:t>Connie</w:t>
            </w:r>
            <w:r w:rsidR="00DF1884" w:rsidRPr="00DF1884">
              <w:rPr>
                <w:b/>
                <w:szCs w:val="20"/>
              </w:rPr>
              <w:t xml:space="preserve"> </w:t>
            </w:r>
            <w:r w:rsidRPr="00DF1884">
              <w:rPr>
                <w:b/>
                <w:szCs w:val="20"/>
              </w:rPr>
              <w:t>Horgan,</w:t>
            </w:r>
            <w:r w:rsidR="00DF1884" w:rsidRPr="00DF1884">
              <w:rPr>
                <w:b/>
                <w:szCs w:val="20"/>
              </w:rPr>
              <w:t xml:space="preserve"> </w:t>
            </w:r>
            <w:r w:rsidRPr="00DF1884">
              <w:rPr>
                <w:b/>
                <w:szCs w:val="20"/>
              </w:rPr>
              <w:t>ScD</w:t>
            </w:r>
            <w:r w:rsidR="00DF1884" w:rsidRPr="00DF1884">
              <w:rPr>
                <w:b/>
                <w:szCs w:val="20"/>
              </w:rPr>
              <w:t xml:space="preserve"> </w:t>
            </w:r>
            <w:r w:rsidRPr="00DF1884">
              <w:rPr>
                <w:b/>
                <w:szCs w:val="20"/>
              </w:rPr>
              <w:br/>
            </w:r>
            <w:r w:rsidRPr="00DF1884">
              <w:rPr>
                <w:szCs w:val="20"/>
              </w:rPr>
              <w:t>Brandeis</w:t>
            </w:r>
            <w:r w:rsidR="00DF1884" w:rsidRPr="00DF1884">
              <w:rPr>
                <w:szCs w:val="20"/>
              </w:rPr>
              <w:t xml:space="preserve"> </w:t>
            </w:r>
            <w:r w:rsidRPr="00DF1884">
              <w:rPr>
                <w:szCs w:val="20"/>
              </w:rPr>
              <w:t>University</w:t>
            </w:r>
          </w:p>
          <w:p w14:paraId="22132797" w14:textId="7ACA2B88" w:rsidR="001D4FBD" w:rsidRPr="00DF1884" w:rsidRDefault="001D4FBD" w:rsidP="00601EC1">
            <w:pPr>
              <w:pStyle w:val="Body"/>
              <w:rPr>
                <w:szCs w:val="20"/>
              </w:rPr>
            </w:pPr>
            <w:r w:rsidRPr="001D4FBD">
              <w:rPr>
                <w:b/>
                <w:szCs w:val="20"/>
              </w:rPr>
              <w:t xml:space="preserve">Neil Korsen, MD, MS </w:t>
            </w:r>
            <w:r w:rsidRPr="001D4FBD">
              <w:rPr>
                <w:b/>
                <w:szCs w:val="20"/>
              </w:rPr>
              <w:br/>
            </w:r>
            <w:r w:rsidRPr="001D4FBD">
              <w:rPr>
                <w:szCs w:val="20"/>
              </w:rPr>
              <w:t>Maine Health</w:t>
            </w:r>
          </w:p>
        </w:tc>
        <w:tc>
          <w:tcPr>
            <w:tcW w:w="4860" w:type="dxa"/>
            <w:tcBorders>
              <w:bottom w:val="nil"/>
            </w:tcBorders>
          </w:tcPr>
          <w:p w14:paraId="347DA311" w14:textId="778C1B76" w:rsidR="00463667" w:rsidRPr="00DF1884" w:rsidRDefault="00463667" w:rsidP="00C56CA6">
            <w:pPr>
              <w:pStyle w:val="Body"/>
              <w:rPr>
                <w:szCs w:val="20"/>
              </w:rPr>
            </w:pPr>
            <w:r w:rsidRPr="00DF1884">
              <w:rPr>
                <w:b/>
                <w:szCs w:val="20"/>
              </w:rPr>
              <w:t>Charlotte</w:t>
            </w:r>
            <w:r w:rsidR="00DF1884" w:rsidRPr="00DF1884">
              <w:rPr>
                <w:b/>
                <w:szCs w:val="20"/>
              </w:rPr>
              <w:t xml:space="preserve"> </w:t>
            </w:r>
            <w:r w:rsidRPr="00DF1884">
              <w:rPr>
                <w:b/>
                <w:szCs w:val="20"/>
              </w:rPr>
              <w:t>Mullican,</w:t>
            </w:r>
            <w:r w:rsidR="00DF1884" w:rsidRPr="00DF1884">
              <w:rPr>
                <w:b/>
                <w:szCs w:val="20"/>
              </w:rPr>
              <w:t xml:space="preserve"> </w:t>
            </w:r>
            <w:r w:rsidRPr="00DF1884">
              <w:rPr>
                <w:b/>
                <w:szCs w:val="20"/>
              </w:rPr>
              <w:t>BSW,</w:t>
            </w:r>
            <w:r w:rsidR="00DF1884" w:rsidRPr="00DF1884">
              <w:rPr>
                <w:b/>
                <w:szCs w:val="20"/>
              </w:rPr>
              <w:t xml:space="preserve"> </w:t>
            </w:r>
            <w:r w:rsidRPr="00DF1884">
              <w:rPr>
                <w:b/>
                <w:szCs w:val="20"/>
              </w:rPr>
              <w:t>MPH</w:t>
            </w:r>
            <w:r w:rsidR="00DF1884" w:rsidRPr="00DF1884">
              <w:rPr>
                <w:b/>
                <w:szCs w:val="20"/>
              </w:rPr>
              <w:t xml:space="preserve"> </w:t>
            </w:r>
            <w:r w:rsidRPr="00DF1884">
              <w:rPr>
                <w:b/>
                <w:szCs w:val="20"/>
              </w:rPr>
              <w:br/>
            </w:r>
            <w:r w:rsidRPr="00DF1884">
              <w:rPr>
                <w:szCs w:val="20"/>
              </w:rPr>
              <w:t>AHRQ</w:t>
            </w:r>
          </w:p>
          <w:p w14:paraId="52E59B5E" w14:textId="7E0D5313" w:rsidR="00463667" w:rsidRPr="00DF1884" w:rsidRDefault="00463667" w:rsidP="00C56CA6">
            <w:pPr>
              <w:pStyle w:val="Body"/>
              <w:rPr>
                <w:szCs w:val="20"/>
              </w:rPr>
            </w:pPr>
            <w:r w:rsidRPr="00DF1884">
              <w:rPr>
                <w:b/>
                <w:szCs w:val="20"/>
              </w:rPr>
              <w:t>Harold</w:t>
            </w:r>
            <w:r w:rsidR="00DF1884" w:rsidRPr="00DF1884">
              <w:rPr>
                <w:b/>
                <w:szCs w:val="20"/>
              </w:rPr>
              <w:t xml:space="preserve"> </w:t>
            </w:r>
            <w:r w:rsidRPr="00DF1884">
              <w:rPr>
                <w:b/>
                <w:szCs w:val="20"/>
              </w:rPr>
              <w:t>Pincus,</w:t>
            </w:r>
            <w:r w:rsidR="00DF1884" w:rsidRPr="00DF1884">
              <w:rPr>
                <w:b/>
                <w:szCs w:val="20"/>
              </w:rPr>
              <w:t xml:space="preserve"> </w:t>
            </w:r>
            <w:r w:rsidRPr="00DF1884">
              <w:rPr>
                <w:b/>
                <w:szCs w:val="20"/>
              </w:rPr>
              <w:t>MD</w:t>
            </w:r>
            <w:r w:rsidR="00DF1884" w:rsidRPr="00DF1884">
              <w:rPr>
                <w:b/>
                <w:szCs w:val="20"/>
              </w:rPr>
              <w:t xml:space="preserve"> </w:t>
            </w:r>
            <w:r w:rsidRPr="00DF1884">
              <w:rPr>
                <w:b/>
                <w:szCs w:val="20"/>
              </w:rPr>
              <w:br/>
            </w:r>
            <w:r w:rsidR="00D22A7F" w:rsidRPr="00DF1884">
              <w:rPr>
                <w:szCs w:val="20"/>
              </w:rPr>
              <w:t>College</w:t>
            </w:r>
            <w:r w:rsidR="00DF1884" w:rsidRPr="00DF1884">
              <w:rPr>
                <w:szCs w:val="20"/>
              </w:rPr>
              <w:t xml:space="preserve"> </w:t>
            </w:r>
            <w:r w:rsidR="00D22A7F" w:rsidRPr="00DF1884">
              <w:rPr>
                <w:szCs w:val="20"/>
              </w:rPr>
              <w:t>of</w:t>
            </w:r>
            <w:r w:rsidR="00DF1884" w:rsidRPr="00DF1884">
              <w:rPr>
                <w:szCs w:val="20"/>
              </w:rPr>
              <w:t xml:space="preserve"> </w:t>
            </w:r>
            <w:r w:rsidR="00D22A7F" w:rsidRPr="00DF1884">
              <w:rPr>
                <w:szCs w:val="20"/>
              </w:rPr>
              <w:t>Physicians</w:t>
            </w:r>
            <w:r w:rsidR="00DF1884" w:rsidRPr="00DF1884">
              <w:rPr>
                <w:szCs w:val="20"/>
              </w:rPr>
              <w:t xml:space="preserve"> </w:t>
            </w:r>
            <w:r w:rsidR="00D22A7F" w:rsidRPr="00DF1884">
              <w:rPr>
                <w:szCs w:val="20"/>
              </w:rPr>
              <w:t>and</w:t>
            </w:r>
            <w:r w:rsidR="00DF1884" w:rsidRPr="00DF1884">
              <w:rPr>
                <w:szCs w:val="20"/>
              </w:rPr>
              <w:t xml:space="preserve"> </w:t>
            </w:r>
            <w:r w:rsidR="00D22A7F" w:rsidRPr="00DF1884">
              <w:rPr>
                <w:szCs w:val="20"/>
              </w:rPr>
              <w:t>Surgeons</w:t>
            </w:r>
            <w:r w:rsidR="00DF1884" w:rsidRPr="00DF1884">
              <w:rPr>
                <w:szCs w:val="20"/>
              </w:rPr>
              <w:t xml:space="preserve"> </w:t>
            </w:r>
            <w:r w:rsidR="00601EC1">
              <w:rPr>
                <w:szCs w:val="20"/>
              </w:rPr>
              <w:br/>
            </w:r>
            <w:r w:rsidRPr="00DF1884">
              <w:rPr>
                <w:szCs w:val="20"/>
              </w:rPr>
              <w:t>Columbia</w:t>
            </w:r>
            <w:r w:rsidR="00DF1884" w:rsidRPr="00DF1884">
              <w:rPr>
                <w:szCs w:val="20"/>
              </w:rPr>
              <w:t xml:space="preserve"> </w:t>
            </w:r>
            <w:r w:rsidRPr="00DF1884">
              <w:rPr>
                <w:szCs w:val="20"/>
              </w:rPr>
              <w:t>University</w:t>
            </w:r>
            <w:r w:rsidRPr="00DF1884">
              <w:rPr>
                <w:szCs w:val="20"/>
              </w:rPr>
              <w:br/>
              <w:t>New</w:t>
            </w:r>
            <w:r w:rsidR="00DF1884" w:rsidRPr="00DF1884">
              <w:rPr>
                <w:szCs w:val="20"/>
              </w:rPr>
              <w:t xml:space="preserve"> </w:t>
            </w:r>
            <w:r w:rsidRPr="00DF1884">
              <w:rPr>
                <w:szCs w:val="20"/>
              </w:rPr>
              <w:t>York-Presbyterian</w:t>
            </w:r>
            <w:r w:rsidR="00DF1884" w:rsidRPr="00DF1884">
              <w:rPr>
                <w:szCs w:val="20"/>
              </w:rPr>
              <w:t xml:space="preserve"> </w:t>
            </w:r>
            <w:r w:rsidRPr="00DF1884">
              <w:rPr>
                <w:szCs w:val="20"/>
              </w:rPr>
              <w:t>Hospital</w:t>
            </w:r>
            <w:r w:rsidR="00DF1884" w:rsidRPr="00DF1884">
              <w:rPr>
                <w:szCs w:val="20"/>
              </w:rPr>
              <w:t xml:space="preserve"> </w:t>
            </w:r>
            <w:r w:rsidRPr="00DF1884">
              <w:rPr>
                <w:szCs w:val="20"/>
              </w:rPr>
              <w:br/>
              <w:t>RAND</w:t>
            </w:r>
          </w:p>
          <w:p w14:paraId="3DAA3B43" w14:textId="70D15DBB" w:rsidR="00637566" w:rsidRPr="00DF1884" w:rsidRDefault="00637566" w:rsidP="00637566">
            <w:pPr>
              <w:pStyle w:val="Body"/>
              <w:rPr>
                <w:szCs w:val="20"/>
              </w:rPr>
            </w:pPr>
            <w:r w:rsidRPr="00DF1884">
              <w:rPr>
                <w:b/>
                <w:szCs w:val="20"/>
              </w:rPr>
              <w:t>Bruce</w:t>
            </w:r>
            <w:r w:rsidR="00DF1884" w:rsidRPr="00DF1884">
              <w:rPr>
                <w:b/>
                <w:szCs w:val="20"/>
              </w:rPr>
              <w:t xml:space="preserve"> </w:t>
            </w:r>
            <w:r w:rsidRPr="00DF1884">
              <w:rPr>
                <w:b/>
                <w:szCs w:val="20"/>
              </w:rPr>
              <w:t>L.</w:t>
            </w:r>
            <w:r w:rsidR="00DF1884" w:rsidRPr="00DF1884">
              <w:rPr>
                <w:b/>
                <w:szCs w:val="20"/>
              </w:rPr>
              <w:t xml:space="preserve"> </w:t>
            </w:r>
            <w:r w:rsidRPr="00DF1884">
              <w:rPr>
                <w:b/>
                <w:szCs w:val="20"/>
              </w:rPr>
              <w:t>Rollman,</w:t>
            </w:r>
            <w:r w:rsidR="00DF1884" w:rsidRPr="00DF1884">
              <w:rPr>
                <w:b/>
                <w:szCs w:val="20"/>
              </w:rPr>
              <w:t xml:space="preserve"> </w:t>
            </w:r>
            <w:r w:rsidRPr="00DF1884">
              <w:rPr>
                <w:b/>
                <w:szCs w:val="20"/>
              </w:rPr>
              <w:t>MD,</w:t>
            </w:r>
            <w:r w:rsidR="00DF1884" w:rsidRPr="00DF1884">
              <w:rPr>
                <w:b/>
                <w:szCs w:val="20"/>
              </w:rPr>
              <w:t xml:space="preserve"> </w:t>
            </w:r>
            <w:r w:rsidRPr="00DF1884">
              <w:rPr>
                <w:b/>
                <w:szCs w:val="20"/>
              </w:rPr>
              <w:t>MPH</w:t>
            </w:r>
            <w:r w:rsidR="00DF1884" w:rsidRPr="00DF1884">
              <w:rPr>
                <w:b/>
                <w:szCs w:val="20"/>
              </w:rPr>
              <w:t xml:space="preserve"> </w:t>
            </w:r>
            <w:r w:rsidRPr="00DF1884">
              <w:rPr>
                <w:b/>
                <w:szCs w:val="20"/>
              </w:rPr>
              <w:br/>
            </w:r>
            <w:r w:rsidRPr="00DF1884">
              <w:rPr>
                <w:szCs w:val="20"/>
              </w:rPr>
              <w:t>University</w:t>
            </w:r>
            <w:r w:rsidR="00DF1884" w:rsidRPr="00DF1884">
              <w:rPr>
                <w:szCs w:val="20"/>
              </w:rPr>
              <w:t xml:space="preserve"> </w:t>
            </w:r>
            <w:r w:rsidRPr="00DF1884">
              <w:rPr>
                <w:szCs w:val="20"/>
              </w:rPr>
              <w:t>of</w:t>
            </w:r>
            <w:r w:rsidR="00DF1884" w:rsidRPr="00DF1884">
              <w:rPr>
                <w:szCs w:val="20"/>
              </w:rPr>
              <w:t xml:space="preserve"> </w:t>
            </w:r>
            <w:r w:rsidRPr="00DF1884">
              <w:rPr>
                <w:szCs w:val="20"/>
              </w:rPr>
              <w:t>Pittsburgh</w:t>
            </w:r>
            <w:r w:rsidR="00DF1884" w:rsidRPr="00DF1884">
              <w:rPr>
                <w:szCs w:val="20"/>
              </w:rPr>
              <w:t xml:space="preserve"> </w:t>
            </w:r>
            <w:r w:rsidRPr="00DF1884">
              <w:rPr>
                <w:szCs w:val="20"/>
              </w:rPr>
              <w:t>School</w:t>
            </w:r>
            <w:r w:rsidR="00DF1884" w:rsidRPr="00DF1884">
              <w:rPr>
                <w:szCs w:val="20"/>
              </w:rPr>
              <w:t xml:space="preserve"> </w:t>
            </w:r>
            <w:r w:rsidRPr="00DF1884">
              <w:rPr>
                <w:szCs w:val="20"/>
              </w:rPr>
              <w:t>of</w:t>
            </w:r>
            <w:r w:rsidR="00DF1884" w:rsidRPr="00DF1884">
              <w:rPr>
                <w:szCs w:val="20"/>
              </w:rPr>
              <w:t xml:space="preserve"> </w:t>
            </w:r>
            <w:r w:rsidRPr="00DF1884">
              <w:rPr>
                <w:szCs w:val="20"/>
              </w:rPr>
              <w:t>Medicine</w:t>
            </w:r>
          </w:p>
          <w:p w14:paraId="51A11C7F" w14:textId="2A990276" w:rsidR="00637566" w:rsidRPr="00DF1884" w:rsidRDefault="00637566" w:rsidP="00637566">
            <w:pPr>
              <w:pStyle w:val="Body"/>
              <w:rPr>
                <w:szCs w:val="20"/>
              </w:rPr>
            </w:pPr>
            <w:r w:rsidRPr="00DF1884">
              <w:rPr>
                <w:b/>
                <w:szCs w:val="20"/>
              </w:rPr>
              <w:t>Michael</w:t>
            </w:r>
            <w:r w:rsidR="00DF1884" w:rsidRPr="00DF1884">
              <w:rPr>
                <w:b/>
                <w:szCs w:val="20"/>
              </w:rPr>
              <w:t xml:space="preserve"> </w:t>
            </w:r>
            <w:r w:rsidRPr="00DF1884">
              <w:rPr>
                <w:b/>
                <w:szCs w:val="20"/>
              </w:rPr>
              <w:t>Schoenbaum,</w:t>
            </w:r>
            <w:r w:rsidR="00DF1884" w:rsidRPr="00DF1884">
              <w:rPr>
                <w:b/>
                <w:szCs w:val="20"/>
              </w:rPr>
              <w:t xml:space="preserve"> </w:t>
            </w:r>
            <w:r w:rsidRPr="00DF1884">
              <w:rPr>
                <w:b/>
                <w:szCs w:val="20"/>
              </w:rPr>
              <w:t>PhD</w:t>
            </w:r>
            <w:r w:rsidR="00DF1884" w:rsidRPr="00DF1884">
              <w:rPr>
                <w:b/>
                <w:szCs w:val="20"/>
              </w:rPr>
              <w:t xml:space="preserve"> </w:t>
            </w:r>
            <w:r w:rsidRPr="00DF1884">
              <w:rPr>
                <w:b/>
                <w:szCs w:val="20"/>
              </w:rPr>
              <w:br/>
            </w:r>
            <w:r w:rsidRPr="00DF1884">
              <w:rPr>
                <w:szCs w:val="20"/>
              </w:rPr>
              <w:t>National</w:t>
            </w:r>
            <w:r w:rsidR="00DF1884" w:rsidRPr="00DF1884">
              <w:rPr>
                <w:szCs w:val="20"/>
              </w:rPr>
              <w:t xml:space="preserve"> </w:t>
            </w:r>
            <w:r w:rsidRPr="00DF1884">
              <w:rPr>
                <w:szCs w:val="20"/>
              </w:rPr>
              <w:t>Institute</w:t>
            </w:r>
            <w:r w:rsidR="00DF1884" w:rsidRPr="00DF1884">
              <w:rPr>
                <w:szCs w:val="20"/>
              </w:rPr>
              <w:t xml:space="preserve"> </w:t>
            </w:r>
            <w:r w:rsidRPr="00DF1884">
              <w:rPr>
                <w:szCs w:val="20"/>
              </w:rPr>
              <w:t>of</w:t>
            </w:r>
            <w:r w:rsidR="00DF1884" w:rsidRPr="00DF1884">
              <w:rPr>
                <w:szCs w:val="20"/>
              </w:rPr>
              <w:t xml:space="preserve"> </w:t>
            </w:r>
            <w:r w:rsidRPr="00DF1884">
              <w:rPr>
                <w:szCs w:val="20"/>
              </w:rPr>
              <w:t>Mental</w:t>
            </w:r>
            <w:r w:rsidR="00DF1884" w:rsidRPr="00DF1884">
              <w:rPr>
                <w:szCs w:val="20"/>
              </w:rPr>
              <w:t xml:space="preserve"> </w:t>
            </w:r>
            <w:r w:rsidRPr="00DF1884">
              <w:rPr>
                <w:szCs w:val="20"/>
              </w:rPr>
              <w:t>Health</w:t>
            </w:r>
          </w:p>
          <w:p w14:paraId="30F7AF6C" w14:textId="01C8B80E" w:rsidR="00463667" w:rsidRPr="00DF1884" w:rsidRDefault="00637566" w:rsidP="00601EC1">
            <w:pPr>
              <w:pStyle w:val="Body"/>
              <w:rPr>
                <w:szCs w:val="20"/>
              </w:rPr>
            </w:pPr>
            <w:r w:rsidRPr="00DF1884">
              <w:rPr>
                <w:b/>
                <w:szCs w:val="20"/>
              </w:rPr>
              <w:t>John</w:t>
            </w:r>
            <w:r w:rsidR="00DF1884" w:rsidRPr="00DF1884">
              <w:rPr>
                <w:b/>
                <w:szCs w:val="20"/>
              </w:rPr>
              <w:t xml:space="preserve"> </w:t>
            </w:r>
            <w:r w:rsidRPr="00DF1884">
              <w:rPr>
                <w:b/>
                <w:szCs w:val="20"/>
              </w:rPr>
              <w:t>Straus,</w:t>
            </w:r>
            <w:r w:rsidR="00DF1884" w:rsidRPr="00DF1884">
              <w:rPr>
                <w:b/>
                <w:szCs w:val="20"/>
              </w:rPr>
              <w:t xml:space="preserve"> </w:t>
            </w:r>
            <w:r w:rsidRPr="00DF1884">
              <w:rPr>
                <w:b/>
                <w:szCs w:val="20"/>
              </w:rPr>
              <w:t>MD</w:t>
            </w:r>
            <w:r w:rsidR="00DF1884" w:rsidRPr="00DF1884">
              <w:rPr>
                <w:b/>
                <w:szCs w:val="20"/>
              </w:rPr>
              <w:t xml:space="preserve"> </w:t>
            </w:r>
            <w:r w:rsidRPr="00DF1884">
              <w:rPr>
                <w:b/>
                <w:szCs w:val="20"/>
              </w:rPr>
              <w:br/>
            </w:r>
            <w:r w:rsidRPr="00DF1884">
              <w:rPr>
                <w:szCs w:val="20"/>
              </w:rPr>
              <w:t>Beacon</w:t>
            </w:r>
            <w:r w:rsidR="00DF1884" w:rsidRPr="00DF1884">
              <w:rPr>
                <w:szCs w:val="20"/>
              </w:rPr>
              <w:t xml:space="preserve"> </w:t>
            </w:r>
            <w:r w:rsidRPr="00DF1884">
              <w:rPr>
                <w:szCs w:val="20"/>
              </w:rPr>
              <w:t>Health</w:t>
            </w:r>
            <w:r w:rsidR="00DF1884" w:rsidRPr="00DF1884">
              <w:rPr>
                <w:szCs w:val="20"/>
              </w:rPr>
              <w:t xml:space="preserve"> </w:t>
            </w:r>
            <w:r w:rsidRPr="00DF1884">
              <w:rPr>
                <w:szCs w:val="20"/>
              </w:rPr>
              <w:t>Options</w:t>
            </w:r>
          </w:p>
        </w:tc>
      </w:tr>
    </w:tbl>
    <w:p w14:paraId="20A398D9" w14:textId="72545DC1" w:rsidR="00463667" w:rsidRPr="00DF1884" w:rsidRDefault="00463667" w:rsidP="00463667">
      <w:pPr>
        <w:sectPr w:rsidR="00463667" w:rsidRPr="00DF1884" w:rsidSect="0039781B">
          <w:headerReference w:type="even" r:id="rId111"/>
          <w:headerReference w:type="default" r:id="rId112"/>
          <w:footerReference w:type="even" r:id="rId113"/>
          <w:footerReference w:type="default" r:id="rId114"/>
          <w:pgSz w:w="12240" w:h="15840" w:code="1"/>
          <w:pgMar w:top="1080" w:right="1080" w:bottom="1080" w:left="1440" w:header="720" w:footer="720" w:gutter="0"/>
          <w:pgNumType w:start="1"/>
          <w:cols w:space="720"/>
        </w:sectPr>
      </w:pPr>
    </w:p>
    <w:p w14:paraId="3F2B81C4" w14:textId="05E1EA13" w:rsidR="00463667" w:rsidRPr="00DF1884" w:rsidRDefault="00463667" w:rsidP="00202CAE">
      <w:pPr>
        <w:pStyle w:val="ReverseHead"/>
        <w:spacing w:before="0"/>
      </w:pPr>
      <w:r w:rsidRPr="00DF1884">
        <w:t>Bone</w:t>
      </w:r>
      <w:r w:rsidR="00DF1884" w:rsidRPr="00DF1884">
        <w:t xml:space="preserve"> </w:t>
      </w:r>
      <w:r w:rsidRPr="00DF1884">
        <w:t>Joint</w:t>
      </w:r>
      <w:r w:rsidR="00DF1884" w:rsidRPr="00DF1884">
        <w:t xml:space="preserve"> </w:t>
      </w:r>
      <w:r w:rsidRPr="00DF1884">
        <w:t>Measurement</w:t>
      </w:r>
      <w:r w:rsidR="00DF1884" w:rsidRPr="00DF1884">
        <w:t xml:space="preserve"> </w:t>
      </w:r>
      <w:r w:rsidRPr="00DF1884">
        <w:t>Advisory</w:t>
      </w:r>
      <w:r w:rsidR="00DF1884" w:rsidRPr="00DF1884">
        <w:t xml:space="preserve"> </w:t>
      </w:r>
      <w:r w:rsidRPr="00DF1884">
        <w:t>Panel</w:t>
      </w:r>
    </w:p>
    <w:tbl>
      <w:tblPr>
        <w:tblW w:w="0" w:type="auto"/>
        <w:tblInd w:w="30" w:type="dxa"/>
        <w:tblLayout w:type="fixed"/>
        <w:tblLook w:val="0000" w:firstRow="0" w:lastRow="0" w:firstColumn="0" w:lastColumn="0" w:noHBand="0" w:noVBand="0"/>
      </w:tblPr>
      <w:tblGrid>
        <w:gridCol w:w="4938"/>
        <w:gridCol w:w="4860"/>
      </w:tblGrid>
      <w:tr w:rsidR="00463667" w:rsidRPr="001D4FBD" w14:paraId="79129766" w14:textId="77777777" w:rsidTr="00C56CA6">
        <w:trPr>
          <w:cantSplit/>
        </w:trPr>
        <w:tc>
          <w:tcPr>
            <w:tcW w:w="4938" w:type="dxa"/>
          </w:tcPr>
          <w:p w14:paraId="031E1A3E" w14:textId="52F8ABE4" w:rsidR="00463667" w:rsidRPr="001D4FBD" w:rsidRDefault="00463667" w:rsidP="00C56CA6">
            <w:pPr>
              <w:pStyle w:val="Body"/>
              <w:rPr>
                <w:rFonts w:cs="Arial"/>
                <w:szCs w:val="20"/>
              </w:rPr>
            </w:pPr>
            <w:r w:rsidRPr="001D4FBD">
              <w:rPr>
                <w:rFonts w:cs="Arial"/>
                <w:b/>
                <w:szCs w:val="20"/>
              </w:rPr>
              <w:t>Gunnar</w:t>
            </w:r>
            <w:r w:rsidR="00DF1884" w:rsidRPr="001D4FBD">
              <w:rPr>
                <w:rFonts w:cs="Arial"/>
                <w:b/>
                <w:szCs w:val="20"/>
              </w:rPr>
              <w:t xml:space="preserve"> </w:t>
            </w:r>
            <w:r w:rsidRPr="001D4FBD">
              <w:rPr>
                <w:rFonts w:cs="Arial"/>
                <w:b/>
                <w:szCs w:val="20"/>
              </w:rPr>
              <w:t>Andersson,</w:t>
            </w:r>
            <w:r w:rsidR="00DF1884" w:rsidRPr="001D4FBD">
              <w:rPr>
                <w:rFonts w:cs="Arial"/>
                <w:b/>
                <w:szCs w:val="20"/>
              </w:rPr>
              <w:t xml:space="preserve"> </w:t>
            </w:r>
            <w:r w:rsidRPr="001D4FBD">
              <w:rPr>
                <w:rFonts w:cs="Arial"/>
                <w:b/>
                <w:szCs w:val="20"/>
              </w:rPr>
              <w:t>MD,</w:t>
            </w:r>
            <w:r w:rsidR="00DF1884" w:rsidRPr="001D4FBD">
              <w:rPr>
                <w:rFonts w:cs="Arial"/>
                <w:b/>
                <w:szCs w:val="20"/>
              </w:rPr>
              <w:t xml:space="preserve"> </w:t>
            </w:r>
            <w:r w:rsidRPr="001D4FBD">
              <w:rPr>
                <w:rFonts w:cs="Arial"/>
                <w:b/>
                <w:szCs w:val="20"/>
              </w:rPr>
              <w:t>PhD</w:t>
            </w:r>
            <w:r w:rsidRPr="001D4FBD">
              <w:rPr>
                <w:rFonts w:cs="Arial"/>
                <w:b/>
                <w:szCs w:val="20"/>
              </w:rPr>
              <w:br/>
            </w:r>
            <w:r w:rsidRPr="001D4FBD">
              <w:rPr>
                <w:rFonts w:cs="Arial"/>
                <w:szCs w:val="20"/>
              </w:rPr>
              <w:t>Rush</w:t>
            </w:r>
            <w:r w:rsidR="00DF1884" w:rsidRPr="001D4FBD">
              <w:rPr>
                <w:rFonts w:cs="Arial"/>
                <w:szCs w:val="20"/>
              </w:rPr>
              <w:t xml:space="preserve"> </w:t>
            </w:r>
            <w:r w:rsidRPr="001D4FBD">
              <w:rPr>
                <w:rFonts w:cs="Arial"/>
                <w:szCs w:val="20"/>
              </w:rPr>
              <w:t>University</w:t>
            </w:r>
            <w:r w:rsidR="00DF1884" w:rsidRPr="001D4FBD">
              <w:rPr>
                <w:rFonts w:cs="Arial"/>
                <w:szCs w:val="20"/>
              </w:rPr>
              <w:t xml:space="preserve"> </w:t>
            </w:r>
            <w:r w:rsidRPr="001D4FBD">
              <w:rPr>
                <w:rFonts w:cs="Arial"/>
                <w:szCs w:val="20"/>
              </w:rPr>
              <w:t>Medical</w:t>
            </w:r>
            <w:r w:rsidR="00DF1884" w:rsidRPr="001D4FBD">
              <w:rPr>
                <w:rFonts w:cs="Arial"/>
                <w:szCs w:val="20"/>
              </w:rPr>
              <w:t xml:space="preserve"> </w:t>
            </w:r>
            <w:r w:rsidRPr="001D4FBD">
              <w:rPr>
                <w:rFonts w:cs="Arial"/>
                <w:szCs w:val="20"/>
              </w:rPr>
              <w:t>Center</w:t>
            </w:r>
          </w:p>
          <w:p w14:paraId="34E16E6D" w14:textId="0D12E8C2" w:rsidR="00463667" w:rsidRPr="001D4FBD" w:rsidRDefault="00463667" w:rsidP="00C56CA6">
            <w:pPr>
              <w:pStyle w:val="Body"/>
              <w:tabs>
                <w:tab w:val="left" w:pos="3064"/>
              </w:tabs>
              <w:rPr>
                <w:rFonts w:cs="Arial"/>
                <w:szCs w:val="20"/>
              </w:rPr>
            </w:pPr>
            <w:r w:rsidRPr="001D4FBD">
              <w:rPr>
                <w:rFonts w:cs="Arial"/>
                <w:b/>
                <w:szCs w:val="20"/>
              </w:rPr>
              <w:t>David</w:t>
            </w:r>
            <w:r w:rsidR="00DF1884" w:rsidRPr="001D4FBD">
              <w:rPr>
                <w:rFonts w:cs="Arial"/>
                <w:b/>
                <w:szCs w:val="20"/>
              </w:rPr>
              <w:t xml:space="preserve"> </w:t>
            </w:r>
            <w:r w:rsidRPr="001D4FBD">
              <w:rPr>
                <w:rFonts w:cs="Arial"/>
                <w:b/>
                <w:szCs w:val="20"/>
              </w:rPr>
              <w:t>Borenstein,</w:t>
            </w:r>
            <w:r w:rsidR="00DF1884" w:rsidRPr="001D4FBD">
              <w:rPr>
                <w:rFonts w:cs="Arial"/>
                <w:b/>
                <w:szCs w:val="20"/>
              </w:rPr>
              <w:t xml:space="preserve"> </w:t>
            </w:r>
            <w:r w:rsidRPr="001D4FBD">
              <w:rPr>
                <w:rFonts w:cs="Arial"/>
                <w:b/>
                <w:szCs w:val="20"/>
              </w:rPr>
              <w:t>MD,</w:t>
            </w:r>
            <w:r w:rsidR="00DF1884" w:rsidRPr="001D4FBD">
              <w:rPr>
                <w:rFonts w:cs="Arial"/>
                <w:b/>
                <w:szCs w:val="20"/>
              </w:rPr>
              <w:t xml:space="preserve"> </w:t>
            </w:r>
            <w:r w:rsidRPr="001D4FBD">
              <w:rPr>
                <w:rFonts w:cs="Arial"/>
                <w:b/>
                <w:szCs w:val="20"/>
              </w:rPr>
              <w:t>PhD</w:t>
            </w:r>
            <w:r w:rsidRPr="001D4FBD">
              <w:rPr>
                <w:rFonts w:cs="Arial"/>
                <w:szCs w:val="20"/>
              </w:rPr>
              <w:br/>
              <w:t>Arthritis</w:t>
            </w:r>
            <w:r w:rsidR="00DF1884" w:rsidRPr="001D4FBD">
              <w:rPr>
                <w:rFonts w:cs="Arial"/>
                <w:szCs w:val="20"/>
              </w:rPr>
              <w:t xml:space="preserve"> </w:t>
            </w:r>
            <w:r w:rsidRPr="001D4FBD">
              <w:rPr>
                <w:rFonts w:cs="Arial"/>
                <w:szCs w:val="20"/>
              </w:rPr>
              <w:t>and</w:t>
            </w:r>
            <w:r w:rsidR="00DF1884" w:rsidRPr="001D4FBD">
              <w:rPr>
                <w:rFonts w:cs="Arial"/>
                <w:szCs w:val="20"/>
              </w:rPr>
              <w:t xml:space="preserve"> </w:t>
            </w:r>
            <w:r w:rsidRPr="001D4FBD">
              <w:rPr>
                <w:rFonts w:cs="Arial"/>
                <w:szCs w:val="20"/>
              </w:rPr>
              <w:t>Rheumatism</w:t>
            </w:r>
            <w:r w:rsidR="00DF1884" w:rsidRPr="001D4FBD">
              <w:rPr>
                <w:rFonts w:cs="Arial"/>
                <w:szCs w:val="20"/>
              </w:rPr>
              <w:t xml:space="preserve"> </w:t>
            </w:r>
            <w:r w:rsidRPr="001D4FBD">
              <w:rPr>
                <w:rFonts w:cs="Arial"/>
                <w:szCs w:val="20"/>
              </w:rPr>
              <w:t>Associates</w:t>
            </w:r>
          </w:p>
          <w:p w14:paraId="47562464" w14:textId="2A4BB75C" w:rsidR="00463667" w:rsidRPr="001D4FBD" w:rsidRDefault="00463667" w:rsidP="00C56CA6">
            <w:pPr>
              <w:pStyle w:val="Body"/>
              <w:tabs>
                <w:tab w:val="left" w:pos="3064"/>
              </w:tabs>
              <w:rPr>
                <w:rFonts w:cs="Arial"/>
                <w:szCs w:val="20"/>
              </w:rPr>
            </w:pPr>
            <w:r w:rsidRPr="001D4FBD">
              <w:rPr>
                <w:rFonts w:cs="Arial"/>
                <w:b/>
                <w:szCs w:val="20"/>
              </w:rPr>
              <w:t>Elizabeth</w:t>
            </w:r>
            <w:r w:rsidR="00DF1884" w:rsidRPr="001D4FBD">
              <w:rPr>
                <w:rFonts w:cs="Arial"/>
                <w:b/>
                <w:szCs w:val="20"/>
              </w:rPr>
              <w:t xml:space="preserve"> </w:t>
            </w:r>
            <w:r w:rsidRPr="001D4FBD">
              <w:rPr>
                <w:rFonts w:cs="Arial"/>
                <w:b/>
                <w:szCs w:val="20"/>
              </w:rPr>
              <w:t>Kraft,</w:t>
            </w:r>
            <w:r w:rsidR="00DF1884" w:rsidRPr="001D4FBD">
              <w:rPr>
                <w:rFonts w:cs="Arial"/>
                <w:b/>
                <w:szCs w:val="20"/>
              </w:rPr>
              <w:t xml:space="preserve"> </w:t>
            </w:r>
            <w:r w:rsidRPr="001D4FBD">
              <w:rPr>
                <w:rFonts w:cs="Arial"/>
                <w:b/>
                <w:szCs w:val="20"/>
              </w:rPr>
              <w:t>MD,</w:t>
            </w:r>
            <w:r w:rsidR="00DF1884" w:rsidRPr="001D4FBD">
              <w:rPr>
                <w:rFonts w:cs="Arial"/>
                <w:b/>
                <w:szCs w:val="20"/>
              </w:rPr>
              <w:t xml:space="preserve"> </w:t>
            </w:r>
            <w:r w:rsidRPr="001D4FBD">
              <w:rPr>
                <w:rFonts w:cs="Arial"/>
                <w:b/>
                <w:szCs w:val="20"/>
              </w:rPr>
              <w:t>MHS,</w:t>
            </w:r>
            <w:r w:rsidR="00DF1884" w:rsidRPr="001D4FBD">
              <w:rPr>
                <w:rFonts w:cs="Arial"/>
                <w:b/>
                <w:szCs w:val="20"/>
              </w:rPr>
              <w:t xml:space="preserve"> </w:t>
            </w:r>
            <w:r w:rsidRPr="001D4FBD">
              <w:rPr>
                <w:rFonts w:cs="Arial"/>
                <w:b/>
                <w:szCs w:val="20"/>
              </w:rPr>
              <w:t>FAAFP</w:t>
            </w:r>
            <w:r w:rsidRPr="001D4FBD">
              <w:rPr>
                <w:rFonts w:cs="Arial"/>
                <w:szCs w:val="20"/>
              </w:rPr>
              <w:br/>
              <w:t>Anthem</w:t>
            </w:r>
            <w:r w:rsidR="00DF1884" w:rsidRPr="001D4FBD">
              <w:rPr>
                <w:rFonts w:cs="Arial"/>
                <w:szCs w:val="20"/>
              </w:rPr>
              <w:t xml:space="preserve"> </w:t>
            </w:r>
            <w:r w:rsidRPr="001D4FBD">
              <w:rPr>
                <w:rFonts w:cs="Arial"/>
                <w:szCs w:val="20"/>
              </w:rPr>
              <w:t>Blue</w:t>
            </w:r>
            <w:r w:rsidR="00DF1884" w:rsidRPr="001D4FBD">
              <w:rPr>
                <w:rFonts w:cs="Arial"/>
                <w:szCs w:val="20"/>
              </w:rPr>
              <w:t xml:space="preserve"> </w:t>
            </w:r>
            <w:r w:rsidRPr="001D4FBD">
              <w:rPr>
                <w:rFonts w:cs="Arial"/>
                <w:szCs w:val="20"/>
              </w:rPr>
              <w:t>Cross</w:t>
            </w:r>
            <w:r w:rsidR="00DF1884" w:rsidRPr="001D4FBD">
              <w:rPr>
                <w:rFonts w:cs="Arial"/>
                <w:szCs w:val="20"/>
              </w:rPr>
              <w:t xml:space="preserve"> </w:t>
            </w:r>
            <w:r w:rsidRPr="001D4FBD">
              <w:rPr>
                <w:rFonts w:cs="Arial"/>
                <w:szCs w:val="20"/>
              </w:rPr>
              <w:t>Blue</w:t>
            </w:r>
            <w:r w:rsidR="00DF1884" w:rsidRPr="001D4FBD">
              <w:rPr>
                <w:rFonts w:cs="Arial"/>
                <w:szCs w:val="20"/>
              </w:rPr>
              <w:t xml:space="preserve"> </w:t>
            </w:r>
            <w:r w:rsidRPr="001D4FBD">
              <w:rPr>
                <w:rFonts w:cs="Arial"/>
                <w:szCs w:val="20"/>
              </w:rPr>
              <w:t>Shield</w:t>
            </w:r>
            <w:r w:rsidR="00DF1884" w:rsidRPr="001D4FBD">
              <w:rPr>
                <w:rFonts w:cs="Arial"/>
                <w:szCs w:val="20"/>
              </w:rPr>
              <w:t xml:space="preserve"> </w:t>
            </w:r>
            <w:r w:rsidRPr="001D4FBD">
              <w:rPr>
                <w:rFonts w:cs="Arial"/>
                <w:szCs w:val="20"/>
              </w:rPr>
              <w:t>of</w:t>
            </w:r>
            <w:r w:rsidR="00DF1884" w:rsidRPr="001D4FBD">
              <w:rPr>
                <w:rFonts w:cs="Arial"/>
                <w:szCs w:val="20"/>
              </w:rPr>
              <w:t xml:space="preserve"> </w:t>
            </w:r>
            <w:r w:rsidRPr="001D4FBD">
              <w:rPr>
                <w:rFonts w:cs="Arial"/>
                <w:szCs w:val="20"/>
              </w:rPr>
              <w:t>Colorado/Nevada</w:t>
            </w:r>
          </w:p>
          <w:p w14:paraId="4EBEE42C" w14:textId="0556F7D6" w:rsidR="00463667" w:rsidRPr="001D4FBD" w:rsidRDefault="00463667" w:rsidP="00C56CA6">
            <w:pPr>
              <w:pStyle w:val="Body"/>
              <w:tabs>
                <w:tab w:val="left" w:pos="3064"/>
              </w:tabs>
              <w:rPr>
                <w:rFonts w:cs="Arial"/>
                <w:b/>
                <w:szCs w:val="20"/>
              </w:rPr>
            </w:pPr>
            <w:r w:rsidRPr="001D4FBD">
              <w:rPr>
                <w:rFonts w:cs="Arial"/>
                <w:b/>
                <w:szCs w:val="20"/>
              </w:rPr>
              <w:t>Tom</w:t>
            </w:r>
            <w:r w:rsidR="00DF1884" w:rsidRPr="001D4FBD">
              <w:rPr>
                <w:rFonts w:cs="Arial"/>
                <w:b/>
                <w:szCs w:val="20"/>
              </w:rPr>
              <w:t xml:space="preserve"> </w:t>
            </w:r>
            <w:r w:rsidRPr="001D4FBD">
              <w:rPr>
                <w:rFonts w:cs="Arial"/>
                <w:b/>
                <w:szCs w:val="20"/>
              </w:rPr>
              <w:t>Marr,</w:t>
            </w:r>
            <w:r w:rsidR="00DF1884" w:rsidRPr="001D4FBD">
              <w:rPr>
                <w:rFonts w:cs="Arial"/>
                <w:b/>
                <w:szCs w:val="20"/>
              </w:rPr>
              <w:t xml:space="preserve"> </w:t>
            </w:r>
            <w:r w:rsidRPr="001D4FBD">
              <w:rPr>
                <w:rFonts w:cs="Arial"/>
                <w:b/>
                <w:szCs w:val="20"/>
              </w:rPr>
              <w:t>MD</w:t>
            </w:r>
          </w:p>
          <w:p w14:paraId="0C444FA4" w14:textId="77777777" w:rsidR="00463667" w:rsidRPr="001D4FBD" w:rsidRDefault="00463667" w:rsidP="00C56CA6">
            <w:pPr>
              <w:pStyle w:val="NoSpacing"/>
              <w:rPr>
                <w:rFonts w:ascii="Arial" w:hAnsi="Arial" w:cs="Arial"/>
                <w:sz w:val="20"/>
                <w:szCs w:val="20"/>
              </w:rPr>
            </w:pPr>
            <w:r w:rsidRPr="001D4FBD">
              <w:rPr>
                <w:rFonts w:ascii="Arial" w:hAnsi="Arial" w:cs="Arial"/>
                <w:sz w:val="20"/>
                <w:szCs w:val="20"/>
              </w:rPr>
              <w:t>HealthPartners</w:t>
            </w:r>
          </w:p>
          <w:p w14:paraId="33B01062" w14:textId="591FBE33" w:rsidR="00463667" w:rsidRPr="001D4FBD" w:rsidRDefault="00463667" w:rsidP="00C56CA6">
            <w:pPr>
              <w:pStyle w:val="Body"/>
              <w:rPr>
                <w:rFonts w:cs="Arial"/>
                <w:szCs w:val="20"/>
              </w:rPr>
            </w:pPr>
            <w:r w:rsidRPr="001D4FBD">
              <w:rPr>
                <w:rFonts w:cs="Arial"/>
                <w:b/>
                <w:szCs w:val="20"/>
              </w:rPr>
              <w:t>Ted</w:t>
            </w:r>
            <w:r w:rsidR="00DF1884" w:rsidRPr="001D4FBD">
              <w:rPr>
                <w:rFonts w:cs="Arial"/>
                <w:b/>
                <w:szCs w:val="20"/>
              </w:rPr>
              <w:t xml:space="preserve"> </w:t>
            </w:r>
            <w:r w:rsidRPr="001D4FBD">
              <w:rPr>
                <w:rFonts w:cs="Arial"/>
                <w:b/>
                <w:szCs w:val="20"/>
              </w:rPr>
              <w:t>Mikuls,</w:t>
            </w:r>
            <w:r w:rsidR="00DF1884" w:rsidRPr="001D4FBD">
              <w:rPr>
                <w:rFonts w:cs="Arial"/>
                <w:b/>
                <w:szCs w:val="20"/>
              </w:rPr>
              <w:t xml:space="preserve"> </w:t>
            </w:r>
            <w:r w:rsidRPr="001D4FBD">
              <w:rPr>
                <w:rFonts w:cs="Arial"/>
                <w:b/>
                <w:szCs w:val="20"/>
              </w:rPr>
              <w:t>MD,</w:t>
            </w:r>
            <w:r w:rsidR="00DF1884" w:rsidRPr="001D4FBD">
              <w:rPr>
                <w:rFonts w:cs="Arial"/>
                <w:b/>
                <w:szCs w:val="20"/>
              </w:rPr>
              <w:t xml:space="preserve"> </w:t>
            </w:r>
            <w:r w:rsidRPr="001D4FBD">
              <w:rPr>
                <w:rFonts w:cs="Arial"/>
                <w:b/>
                <w:szCs w:val="20"/>
              </w:rPr>
              <w:t>MSPH</w:t>
            </w:r>
            <w:r w:rsidRPr="001D4FBD">
              <w:rPr>
                <w:rFonts w:cs="Arial"/>
                <w:b/>
                <w:szCs w:val="20"/>
              </w:rPr>
              <w:br/>
            </w:r>
            <w:r w:rsidRPr="001D4FBD">
              <w:rPr>
                <w:rFonts w:cs="Arial"/>
                <w:szCs w:val="20"/>
              </w:rPr>
              <w:t>University</w:t>
            </w:r>
            <w:r w:rsidR="00DF1884" w:rsidRPr="001D4FBD">
              <w:rPr>
                <w:rFonts w:cs="Arial"/>
                <w:szCs w:val="20"/>
              </w:rPr>
              <w:t xml:space="preserve"> </w:t>
            </w:r>
            <w:r w:rsidRPr="001D4FBD">
              <w:rPr>
                <w:rFonts w:cs="Arial"/>
                <w:szCs w:val="20"/>
              </w:rPr>
              <w:t>of</w:t>
            </w:r>
            <w:r w:rsidR="00DF1884" w:rsidRPr="001D4FBD">
              <w:rPr>
                <w:rFonts w:cs="Arial"/>
                <w:szCs w:val="20"/>
              </w:rPr>
              <w:t xml:space="preserve"> </w:t>
            </w:r>
            <w:r w:rsidRPr="001D4FBD">
              <w:rPr>
                <w:rFonts w:cs="Arial"/>
                <w:szCs w:val="20"/>
              </w:rPr>
              <w:t>Nebraska/</w:t>
            </w:r>
            <w:r w:rsidRPr="001D4FBD">
              <w:rPr>
                <w:rFonts w:cs="Arial"/>
                <w:szCs w:val="20"/>
              </w:rPr>
              <w:br/>
              <w:t>Omaha</w:t>
            </w:r>
            <w:r w:rsidR="00DF1884" w:rsidRPr="001D4FBD">
              <w:rPr>
                <w:rFonts w:cs="Arial"/>
                <w:szCs w:val="20"/>
              </w:rPr>
              <w:t xml:space="preserve"> </w:t>
            </w:r>
            <w:r w:rsidRPr="001D4FBD">
              <w:rPr>
                <w:rFonts w:cs="Arial"/>
                <w:szCs w:val="20"/>
              </w:rPr>
              <w:t>VAMC</w:t>
            </w:r>
          </w:p>
        </w:tc>
        <w:tc>
          <w:tcPr>
            <w:tcW w:w="4860" w:type="dxa"/>
          </w:tcPr>
          <w:p w14:paraId="04715639" w14:textId="7D7D93EA" w:rsidR="00463667" w:rsidRPr="001D4FBD" w:rsidRDefault="00463667" w:rsidP="00C56CA6">
            <w:pPr>
              <w:pStyle w:val="Body"/>
              <w:rPr>
                <w:rFonts w:cs="Arial"/>
                <w:szCs w:val="20"/>
              </w:rPr>
            </w:pPr>
            <w:r w:rsidRPr="001D4FBD">
              <w:rPr>
                <w:rFonts w:cs="Arial"/>
                <w:b/>
                <w:szCs w:val="20"/>
              </w:rPr>
              <w:t>Ken</w:t>
            </w:r>
            <w:r w:rsidR="00DF1884" w:rsidRPr="001D4FBD">
              <w:rPr>
                <w:rFonts w:cs="Arial"/>
                <w:b/>
                <w:szCs w:val="20"/>
              </w:rPr>
              <w:t xml:space="preserve"> </w:t>
            </w:r>
            <w:r w:rsidRPr="001D4FBD">
              <w:rPr>
                <w:rFonts w:cs="Arial"/>
                <w:b/>
                <w:szCs w:val="20"/>
              </w:rPr>
              <w:t>Saag,</w:t>
            </w:r>
            <w:r w:rsidR="00DF1884" w:rsidRPr="001D4FBD">
              <w:rPr>
                <w:rFonts w:cs="Arial"/>
                <w:b/>
                <w:szCs w:val="20"/>
              </w:rPr>
              <w:t xml:space="preserve"> </w:t>
            </w:r>
            <w:r w:rsidRPr="001D4FBD">
              <w:rPr>
                <w:rFonts w:cs="Arial"/>
                <w:b/>
                <w:szCs w:val="20"/>
              </w:rPr>
              <w:t>MD,</w:t>
            </w:r>
            <w:r w:rsidR="00DF1884" w:rsidRPr="001D4FBD">
              <w:rPr>
                <w:rFonts w:cs="Arial"/>
                <w:b/>
                <w:szCs w:val="20"/>
              </w:rPr>
              <w:t xml:space="preserve"> </w:t>
            </w:r>
            <w:r w:rsidRPr="001D4FBD">
              <w:rPr>
                <w:rFonts w:cs="Arial"/>
                <w:b/>
                <w:szCs w:val="20"/>
              </w:rPr>
              <w:t>MSc</w:t>
            </w:r>
            <w:r w:rsidR="00DF1884" w:rsidRPr="001D4FBD">
              <w:rPr>
                <w:rFonts w:cs="Arial"/>
                <w:b/>
                <w:szCs w:val="20"/>
              </w:rPr>
              <w:t xml:space="preserve"> </w:t>
            </w:r>
            <w:r w:rsidRPr="001D4FBD">
              <w:rPr>
                <w:rFonts w:cs="Arial"/>
                <w:b/>
                <w:szCs w:val="20"/>
              </w:rPr>
              <w:t>(Chair)</w:t>
            </w:r>
            <w:r w:rsidRPr="001D4FBD">
              <w:rPr>
                <w:rFonts w:cs="Arial"/>
                <w:szCs w:val="20"/>
              </w:rPr>
              <w:br/>
              <w:t>University</w:t>
            </w:r>
            <w:r w:rsidR="00DF1884" w:rsidRPr="001D4FBD">
              <w:rPr>
                <w:rFonts w:cs="Arial"/>
                <w:szCs w:val="20"/>
              </w:rPr>
              <w:t xml:space="preserve"> </w:t>
            </w:r>
            <w:r w:rsidRPr="001D4FBD">
              <w:rPr>
                <w:rFonts w:cs="Arial"/>
                <w:szCs w:val="20"/>
              </w:rPr>
              <w:t>of</w:t>
            </w:r>
            <w:r w:rsidR="00DF1884" w:rsidRPr="001D4FBD">
              <w:rPr>
                <w:rFonts w:cs="Arial"/>
                <w:szCs w:val="20"/>
              </w:rPr>
              <w:t xml:space="preserve"> </w:t>
            </w:r>
            <w:r w:rsidRPr="001D4FBD">
              <w:rPr>
                <w:rFonts w:cs="Arial"/>
                <w:szCs w:val="20"/>
              </w:rPr>
              <w:t>Alabama</w:t>
            </w:r>
            <w:r w:rsidR="00DF1884" w:rsidRPr="001D4FBD">
              <w:rPr>
                <w:rFonts w:cs="Arial"/>
                <w:szCs w:val="20"/>
              </w:rPr>
              <w:t xml:space="preserve"> </w:t>
            </w:r>
            <w:r w:rsidRPr="001D4FBD">
              <w:rPr>
                <w:rFonts w:cs="Arial"/>
                <w:szCs w:val="20"/>
              </w:rPr>
              <w:t>at</w:t>
            </w:r>
            <w:r w:rsidR="00DF1884" w:rsidRPr="001D4FBD">
              <w:rPr>
                <w:rFonts w:cs="Arial"/>
                <w:szCs w:val="20"/>
              </w:rPr>
              <w:t xml:space="preserve"> </w:t>
            </w:r>
            <w:r w:rsidRPr="001D4FBD">
              <w:rPr>
                <w:rFonts w:cs="Arial"/>
                <w:szCs w:val="20"/>
              </w:rPr>
              <w:t>Birmingham</w:t>
            </w:r>
          </w:p>
          <w:p w14:paraId="0B057B4A" w14:textId="6133F906" w:rsidR="00463667" w:rsidRPr="001D4FBD" w:rsidRDefault="00463667" w:rsidP="00C56CA6">
            <w:pPr>
              <w:pStyle w:val="Body"/>
              <w:rPr>
                <w:rFonts w:cs="Arial"/>
                <w:szCs w:val="20"/>
              </w:rPr>
            </w:pPr>
            <w:r w:rsidRPr="001D4FBD">
              <w:rPr>
                <w:rFonts w:cs="Arial"/>
                <w:b/>
                <w:szCs w:val="20"/>
              </w:rPr>
              <w:t>Sarah</w:t>
            </w:r>
            <w:r w:rsidR="00DF1884" w:rsidRPr="001D4FBD">
              <w:rPr>
                <w:rFonts w:cs="Arial"/>
                <w:b/>
                <w:szCs w:val="20"/>
              </w:rPr>
              <w:t xml:space="preserve"> </w:t>
            </w:r>
            <w:r w:rsidRPr="001D4FBD">
              <w:rPr>
                <w:rFonts w:cs="Arial"/>
                <w:b/>
                <w:szCs w:val="20"/>
              </w:rPr>
              <w:t>Sampsel,</w:t>
            </w:r>
            <w:r w:rsidR="00DF1884" w:rsidRPr="001D4FBD">
              <w:rPr>
                <w:rFonts w:cs="Arial"/>
                <w:b/>
                <w:szCs w:val="20"/>
              </w:rPr>
              <w:t xml:space="preserve"> </w:t>
            </w:r>
            <w:r w:rsidRPr="001D4FBD">
              <w:rPr>
                <w:rFonts w:cs="Arial"/>
                <w:b/>
                <w:szCs w:val="20"/>
              </w:rPr>
              <w:t>MPH</w:t>
            </w:r>
            <w:r w:rsidRPr="001D4FBD">
              <w:rPr>
                <w:rFonts w:cs="Arial"/>
                <w:b/>
                <w:szCs w:val="20"/>
              </w:rPr>
              <w:br/>
            </w:r>
            <w:r w:rsidRPr="001D4FBD">
              <w:rPr>
                <w:rFonts w:cs="Arial"/>
                <w:szCs w:val="20"/>
              </w:rPr>
              <w:t>New</w:t>
            </w:r>
            <w:r w:rsidR="00DF1884" w:rsidRPr="001D4FBD">
              <w:rPr>
                <w:rFonts w:cs="Arial"/>
                <w:szCs w:val="20"/>
              </w:rPr>
              <w:t xml:space="preserve"> </w:t>
            </w:r>
            <w:r w:rsidRPr="001D4FBD">
              <w:rPr>
                <w:rFonts w:cs="Arial"/>
                <w:szCs w:val="20"/>
              </w:rPr>
              <w:t>Mexico</w:t>
            </w:r>
            <w:r w:rsidR="00DF1884" w:rsidRPr="001D4FBD">
              <w:rPr>
                <w:rFonts w:cs="Arial"/>
                <w:szCs w:val="20"/>
              </w:rPr>
              <w:t xml:space="preserve"> </w:t>
            </w:r>
            <w:r w:rsidRPr="001D4FBD">
              <w:rPr>
                <w:rFonts w:cs="Arial"/>
                <w:szCs w:val="20"/>
              </w:rPr>
              <w:t>Health</w:t>
            </w:r>
            <w:r w:rsidR="00DF1884" w:rsidRPr="001D4FBD">
              <w:rPr>
                <w:rFonts w:cs="Arial"/>
                <w:szCs w:val="20"/>
              </w:rPr>
              <w:t xml:space="preserve"> </w:t>
            </w:r>
            <w:r w:rsidRPr="001D4FBD">
              <w:rPr>
                <w:rFonts w:cs="Arial"/>
                <w:szCs w:val="20"/>
              </w:rPr>
              <w:t>Connections</w:t>
            </w:r>
          </w:p>
          <w:p w14:paraId="6C576A4C" w14:textId="15AFD28D" w:rsidR="00463667" w:rsidRPr="001D4FBD" w:rsidRDefault="00463667" w:rsidP="00C56CA6">
            <w:pPr>
              <w:pStyle w:val="Body"/>
              <w:rPr>
                <w:rFonts w:cs="Arial"/>
                <w:szCs w:val="20"/>
              </w:rPr>
            </w:pPr>
            <w:r w:rsidRPr="001D4FBD">
              <w:rPr>
                <w:rFonts w:cs="Arial"/>
                <w:b/>
                <w:szCs w:val="20"/>
              </w:rPr>
              <w:t>Stephen</w:t>
            </w:r>
            <w:r w:rsidR="00DF1884" w:rsidRPr="001D4FBD">
              <w:rPr>
                <w:rFonts w:cs="Arial"/>
                <w:b/>
                <w:szCs w:val="20"/>
              </w:rPr>
              <w:t xml:space="preserve"> </w:t>
            </w:r>
            <w:r w:rsidRPr="001D4FBD">
              <w:rPr>
                <w:rFonts w:cs="Arial"/>
                <w:b/>
                <w:szCs w:val="20"/>
              </w:rPr>
              <w:t>Schoenbaum,</w:t>
            </w:r>
            <w:r w:rsidR="00DF1884" w:rsidRPr="001D4FBD">
              <w:rPr>
                <w:rFonts w:cs="Arial"/>
                <w:b/>
                <w:szCs w:val="20"/>
              </w:rPr>
              <w:t xml:space="preserve"> </w:t>
            </w:r>
            <w:r w:rsidRPr="001D4FBD">
              <w:rPr>
                <w:rFonts w:cs="Arial"/>
                <w:b/>
                <w:szCs w:val="20"/>
              </w:rPr>
              <w:t>MD,</w:t>
            </w:r>
            <w:r w:rsidR="00DF1884" w:rsidRPr="001D4FBD">
              <w:rPr>
                <w:rFonts w:cs="Arial"/>
                <w:b/>
                <w:szCs w:val="20"/>
              </w:rPr>
              <w:t xml:space="preserve"> </w:t>
            </w:r>
            <w:r w:rsidRPr="001D4FBD">
              <w:rPr>
                <w:rFonts w:cs="Arial"/>
                <w:b/>
                <w:szCs w:val="20"/>
              </w:rPr>
              <w:t>MPH</w:t>
            </w:r>
          </w:p>
          <w:p w14:paraId="7095CA16" w14:textId="011632A6" w:rsidR="00463667" w:rsidRPr="001D4FBD" w:rsidRDefault="00463667" w:rsidP="00C56CA6">
            <w:pPr>
              <w:pStyle w:val="NoSpacing"/>
              <w:rPr>
                <w:rFonts w:ascii="Arial" w:hAnsi="Arial" w:cs="Arial"/>
                <w:sz w:val="20"/>
                <w:szCs w:val="20"/>
              </w:rPr>
            </w:pPr>
            <w:r w:rsidRPr="001D4FBD">
              <w:rPr>
                <w:rFonts w:ascii="Arial" w:hAnsi="Arial" w:cs="Arial"/>
                <w:sz w:val="20"/>
                <w:szCs w:val="20"/>
              </w:rPr>
              <w:t>Macy</w:t>
            </w:r>
            <w:r w:rsidR="00DF1884" w:rsidRPr="001D4FBD">
              <w:rPr>
                <w:rFonts w:ascii="Arial" w:hAnsi="Arial" w:cs="Arial"/>
                <w:sz w:val="20"/>
                <w:szCs w:val="20"/>
              </w:rPr>
              <w:t xml:space="preserve"> </w:t>
            </w:r>
            <w:r w:rsidRPr="001D4FBD">
              <w:rPr>
                <w:rFonts w:ascii="Arial" w:hAnsi="Arial" w:cs="Arial"/>
                <w:sz w:val="20"/>
                <w:szCs w:val="20"/>
              </w:rPr>
              <w:t>Foundation</w:t>
            </w:r>
          </w:p>
          <w:p w14:paraId="3D769E29" w14:textId="162C4A79" w:rsidR="00463667" w:rsidRPr="001D4FBD" w:rsidRDefault="00463667" w:rsidP="00C56CA6">
            <w:pPr>
              <w:pStyle w:val="Body"/>
              <w:rPr>
                <w:rFonts w:cs="Arial"/>
                <w:szCs w:val="20"/>
              </w:rPr>
            </w:pPr>
            <w:r w:rsidRPr="001D4FBD">
              <w:rPr>
                <w:rFonts w:cs="Arial"/>
                <w:b/>
                <w:szCs w:val="20"/>
              </w:rPr>
              <w:t>Neil</w:t>
            </w:r>
            <w:r w:rsidR="00DF1884" w:rsidRPr="001D4FBD">
              <w:rPr>
                <w:rFonts w:cs="Arial"/>
                <w:b/>
                <w:szCs w:val="20"/>
              </w:rPr>
              <w:t xml:space="preserve"> </w:t>
            </w:r>
            <w:r w:rsidRPr="001D4FBD">
              <w:rPr>
                <w:rFonts w:cs="Arial"/>
                <w:b/>
                <w:szCs w:val="20"/>
              </w:rPr>
              <w:t>Wenger,</w:t>
            </w:r>
            <w:r w:rsidR="00DF1884" w:rsidRPr="001D4FBD">
              <w:rPr>
                <w:rFonts w:cs="Arial"/>
                <w:b/>
                <w:szCs w:val="20"/>
              </w:rPr>
              <w:t xml:space="preserve"> </w:t>
            </w:r>
            <w:r w:rsidRPr="001D4FBD">
              <w:rPr>
                <w:rFonts w:cs="Arial"/>
                <w:b/>
                <w:szCs w:val="20"/>
              </w:rPr>
              <w:t>MD</w:t>
            </w:r>
            <w:r w:rsidRPr="001D4FBD">
              <w:rPr>
                <w:rFonts w:cs="Arial"/>
                <w:b/>
                <w:szCs w:val="20"/>
              </w:rPr>
              <w:br/>
            </w:r>
            <w:r w:rsidRPr="001D4FBD">
              <w:rPr>
                <w:rFonts w:cs="Arial"/>
                <w:szCs w:val="20"/>
              </w:rPr>
              <w:t>RAND/</w:t>
            </w:r>
            <w:r w:rsidRPr="001D4FBD">
              <w:rPr>
                <w:rFonts w:cs="Arial"/>
                <w:szCs w:val="20"/>
              </w:rPr>
              <w:br/>
              <w:t>UCLA</w:t>
            </w:r>
            <w:r w:rsidR="00DF1884" w:rsidRPr="001D4FBD">
              <w:rPr>
                <w:rFonts w:cs="Arial"/>
                <w:szCs w:val="20"/>
              </w:rPr>
              <w:t xml:space="preserve"> </w:t>
            </w:r>
            <w:r w:rsidRPr="001D4FBD">
              <w:rPr>
                <w:rFonts w:cs="Arial"/>
                <w:szCs w:val="20"/>
              </w:rPr>
              <w:t>School</w:t>
            </w:r>
            <w:r w:rsidR="00DF1884" w:rsidRPr="001D4FBD">
              <w:rPr>
                <w:rFonts w:cs="Arial"/>
                <w:szCs w:val="20"/>
              </w:rPr>
              <w:t xml:space="preserve"> </w:t>
            </w:r>
            <w:r w:rsidRPr="001D4FBD">
              <w:rPr>
                <w:rFonts w:cs="Arial"/>
                <w:szCs w:val="20"/>
              </w:rPr>
              <w:t>of</w:t>
            </w:r>
            <w:r w:rsidR="00DF1884" w:rsidRPr="001D4FBD">
              <w:rPr>
                <w:rFonts w:cs="Arial"/>
                <w:szCs w:val="20"/>
              </w:rPr>
              <w:t xml:space="preserve"> </w:t>
            </w:r>
            <w:r w:rsidRPr="001D4FBD">
              <w:rPr>
                <w:rFonts w:cs="Arial"/>
                <w:szCs w:val="20"/>
              </w:rPr>
              <w:t>Medicine</w:t>
            </w:r>
          </w:p>
          <w:p w14:paraId="0A9E6197" w14:textId="215BAADB" w:rsidR="00463667" w:rsidRPr="001D4FBD" w:rsidRDefault="00463667" w:rsidP="00C56CA6">
            <w:pPr>
              <w:pStyle w:val="Body"/>
              <w:tabs>
                <w:tab w:val="left" w:pos="3064"/>
              </w:tabs>
              <w:rPr>
                <w:rFonts w:cs="Arial"/>
                <w:szCs w:val="20"/>
              </w:rPr>
            </w:pPr>
            <w:r w:rsidRPr="001D4FBD">
              <w:rPr>
                <w:rFonts w:cs="Arial"/>
                <w:b/>
                <w:szCs w:val="20"/>
              </w:rPr>
              <w:t>Patience</w:t>
            </w:r>
            <w:r w:rsidR="00DF1884" w:rsidRPr="001D4FBD">
              <w:rPr>
                <w:rFonts w:cs="Arial"/>
                <w:b/>
                <w:szCs w:val="20"/>
              </w:rPr>
              <w:t xml:space="preserve"> </w:t>
            </w:r>
            <w:r w:rsidRPr="001D4FBD">
              <w:rPr>
                <w:rFonts w:cs="Arial"/>
                <w:b/>
                <w:szCs w:val="20"/>
              </w:rPr>
              <w:t>White,</w:t>
            </w:r>
            <w:r w:rsidR="00DF1884" w:rsidRPr="001D4FBD">
              <w:rPr>
                <w:rFonts w:cs="Arial"/>
                <w:b/>
                <w:szCs w:val="20"/>
              </w:rPr>
              <w:t xml:space="preserve"> </w:t>
            </w:r>
            <w:r w:rsidRPr="001D4FBD">
              <w:rPr>
                <w:rFonts w:cs="Arial"/>
                <w:b/>
                <w:szCs w:val="20"/>
              </w:rPr>
              <w:t>MD</w:t>
            </w:r>
            <w:r w:rsidRPr="001D4FBD">
              <w:rPr>
                <w:rFonts w:cs="Arial"/>
                <w:szCs w:val="20"/>
              </w:rPr>
              <w:br/>
              <w:t>Arthritis</w:t>
            </w:r>
            <w:r w:rsidR="00DF1884" w:rsidRPr="001D4FBD">
              <w:rPr>
                <w:rFonts w:cs="Arial"/>
                <w:szCs w:val="20"/>
              </w:rPr>
              <w:t xml:space="preserve"> </w:t>
            </w:r>
            <w:r w:rsidRPr="001D4FBD">
              <w:rPr>
                <w:rFonts w:cs="Arial"/>
                <w:szCs w:val="20"/>
              </w:rPr>
              <w:t>Foundation</w:t>
            </w:r>
          </w:p>
        </w:tc>
      </w:tr>
    </w:tbl>
    <w:p w14:paraId="59471113" w14:textId="4B1B94B8" w:rsidR="00463667" w:rsidRPr="00DF1884" w:rsidRDefault="00463667" w:rsidP="00202CAE">
      <w:pPr>
        <w:pStyle w:val="ReverseHead"/>
      </w:pPr>
      <w:r w:rsidRPr="00DF1884">
        <w:t>Cardiovascular</w:t>
      </w:r>
      <w:r w:rsidR="00DF1884" w:rsidRPr="00DF1884">
        <w:t xml:space="preserve"> </w:t>
      </w:r>
      <w:r w:rsidRPr="00DF1884">
        <w:t>Measurement</w:t>
      </w:r>
      <w:r w:rsidR="00DF1884" w:rsidRPr="00DF1884">
        <w:t xml:space="preserve"> </w:t>
      </w:r>
      <w:r w:rsidRPr="00DF1884">
        <w:t>Advisory</w:t>
      </w:r>
      <w:r w:rsidR="00DF1884" w:rsidRPr="00DF1884">
        <w:t xml:space="preserve"> </w:t>
      </w:r>
      <w:r w:rsidRPr="00DF1884">
        <w:t>Panel</w:t>
      </w:r>
    </w:p>
    <w:tbl>
      <w:tblPr>
        <w:tblW w:w="0" w:type="auto"/>
        <w:tblInd w:w="18" w:type="dxa"/>
        <w:tblLayout w:type="fixed"/>
        <w:tblLook w:val="0000" w:firstRow="0" w:lastRow="0" w:firstColumn="0" w:lastColumn="0" w:noHBand="0" w:noVBand="0"/>
      </w:tblPr>
      <w:tblGrid>
        <w:gridCol w:w="4950"/>
        <w:gridCol w:w="4860"/>
      </w:tblGrid>
      <w:tr w:rsidR="00463667" w:rsidRPr="00DF1884" w14:paraId="672C66C4" w14:textId="77777777" w:rsidTr="00C56CA6">
        <w:tc>
          <w:tcPr>
            <w:tcW w:w="4950" w:type="dxa"/>
          </w:tcPr>
          <w:p w14:paraId="1666EAD5" w14:textId="03DFC602" w:rsidR="00463667" w:rsidRPr="00DF1884" w:rsidRDefault="00463667" w:rsidP="00C56CA6">
            <w:pPr>
              <w:pStyle w:val="Body"/>
            </w:pPr>
            <w:r w:rsidRPr="00DF1884">
              <w:rPr>
                <w:b/>
              </w:rPr>
              <w:t>Kathy</w:t>
            </w:r>
            <w:r w:rsidR="00DF1884" w:rsidRPr="00DF1884">
              <w:rPr>
                <w:b/>
              </w:rPr>
              <w:t xml:space="preserve"> </w:t>
            </w:r>
            <w:r w:rsidRPr="00DF1884">
              <w:rPr>
                <w:b/>
              </w:rPr>
              <w:t>Berra,</w:t>
            </w:r>
            <w:r w:rsidR="00DF1884" w:rsidRPr="00DF1884">
              <w:rPr>
                <w:b/>
              </w:rPr>
              <w:t xml:space="preserve"> </w:t>
            </w:r>
            <w:r w:rsidRPr="00DF1884">
              <w:rPr>
                <w:b/>
              </w:rPr>
              <w:t>MSN,</w:t>
            </w:r>
            <w:r w:rsidR="00DF1884" w:rsidRPr="00DF1884">
              <w:rPr>
                <w:b/>
              </w:rPr>
              <w:t xml:space="preserve"> </w:t>
            </w:r>
            <w:r w:rsidRPr="00DF1884">
              <w:rPr>
                <w:b/>
              </w:rPr>
              <w:t>ANP,</w:t>
            </w:r>
            <w:r w:rsidR="00DF1884" w:rsidRPr="00DF1884">
              <w:rPr>
                <w:b/>
              </w:rPr>
              <w:t xml:space="preserve"> </w:t>
            </w:r>
            <w:r w:rsidRPr="00DF1884">
              <w:rPr>
                <w:b/>
              </w:rPr>
              <w:t>FAAN</w:t>
            </w:r>
            <w:r w:rsidRPr="00DF1884">
              <w:rPr>
                <w:b/>
              </w:rPr>
              <w:br/>
            </w:r>
            <w:r w:rsidRPr="00DF1884">
              <w:t>Stanford</w:t>
            </w:r>
            <w:r w:rsidR="00DF1884" w:rsidRPr="00DF1884">
              <w:t xml:space="preserve"> </w:t>
            </w:r>
            <w:r w:rsidRPr="00DF1884">
              <w:t>University</w:t>
            </w:r>
          </w:p>
          <w:p w14:paraId="054BBA8F" w14:textId="5CB8810A" w:rsidR="00463667" w:rsidRPr="00DF1884" w:rsidRDefault="00463667" w:rsidP="00C56CA6">
            <w:pPr>
              <w:pStyle w:val="Body"/>
            </w:pPr>
            <w:r w:rsidRPr="00DF1884">
              <w:rPr>
                <w:b/>
              </w:rPr>
              <w:t>David</w:t>
            </w:r>
            <w:r w:rsidR="00DF1884" w:rsidRPr="00DF1884">
              <w:rPr>
                <w:b/>
              </w:rPr>
              <w:t xml:space="preserve"> </w:t>
            </w:r>
            <w:r w:rsidRPr="00DF1884">
              <w:rPr>
                <w:b/>
              </w:rPr>
              <w:t>C.</w:t>
            </w:r>
            <w:r w:rsidR="00DF1884" w:rsidRPr="00DF1884">
              <w:rPr>
                <w:b/>
              </w:rPr>
              <w:t xml:space="preserve"> </w:t>
            </w:r>
            <w:r w:rsidRPr="00DF1884">
              <w:rPr>
                <w:b/>
              </w:rPr>
              <w:t>Goff,</w:t>
            </w:r>
            <w:r w:rsidR="00DF1884" w:rsidRPr="00DF1884">
              <w:rPr>
                <w:b/>
              </w:rPr>
              <w:t xml:space="preserve"> </w:t>
            </w:r>
            <w:r w:rsidRPr="00DF1884">
              <w:rPr>
                <w:b/>
              </w:rPr>
              <w:t>Jr.,</w:t>
            </w:r>
            <w:r w:rsidR="00DF1884" w:rsidRPr="00DF1884">
              <w:rPr>
                <w:b/>
              </w:rPr>
              <w:t xml:space="preserve"> </w:t>
            </w:r>
            <w:r w:rsidRPr="00DF1884">
              <w:rPr>
                <w:b/>
              </w:rPr>
              <w:t>MD,</w:t>
            </w:r>
            <w:r w:rsidR="00DF1884" w:rsidRPr="00DF1884">
              <w:rPr>
                <w:b/>
              </w:rPr>
              <w:t xml:space="preserve"> </w:t>
            </w:r>
            <w:r w:rsidRPr="00DF1884">
              <w:rPr>
                <w:b/>
              </w:rPr>
              <w:t>PhD,</w:t>
            </w:r>
            <w:r w:rsidR="00DF1884" w:rsidRPr="00DF1884">
              <w:rPr>
                <w:b/>
              </w:rPr>
              <w:t xml:space="preserve"> </w:t>
            </w:r>
            <w:r w:rsidRPr="00DF1884">
              <w:rPr>
                <w:b/>
              </w:rPr>
              <w:t>FAHA,</w:t>
            </w:r>
            <w:r w:rsidR="00DF1884" w:rsidRPr="00DF1884">
              <w:rPr>
                <w:b/>
              </w:rPr>
              <w:t xml:space="preserve"> </w:t>
            </w:r>
            <w:r w:rsidRPr="00DF1884">
              <w:rPr>
                <w:b/>
              </w:rPr>
              <w:t>FACP</w:t>
            </w:r>
            <w:r w:rsidRPr="00DF1884">
              <w:rPr>
                <w:b/>
              </w:rPr>
              <w:br/>
            </w:r>
            <w:r w:rsidRPr="00DF1884">
              <w:t>University</w:t>
            </w:r>
            <w:r w:rsidR="00DF1884" w:rsidRPr="00DF1884">
              <w:t xml:space="preserve"> </w:t>
            </w:r>
            <w:r w:rsidRPr="00DF1884">
              <w:t>of</w:t>
            </w:r>
            <w:r w:rsidR="00DF1884" w:rsidRPr="00DF1884">
              <w:t xml:space="preserve"> </w:t>
            </w:r>
            <w:r w:rsidRPr="00DF1884">
              <w:t>Colorado—Denver</w:t>
            </w:r>
          </w:p>
          <w:p w14:paraId="4540B6DF" w14:textId="7BF19DC5" w:rsidR="00463667" w:rsidRPr="00DF1884" w:rsidRDefault="00463667" w:rsidP="00C56CA6">
            <w:pPr>
              <w:pStyle w:val="Body"/>
              <w:rPr>
                <w:b/>
              </w:rPr>
            </w:pPr>
            <w:r w:rsidRPr="00DF1884">
              <w:rPr>
                <w:b/>
              </w:rPr>
              <w:t>Corinne</w:t>
            </w:r>
            <w:r w:rsidR="00DF1884" w:rsidRPr="00DF1884">
              <w:rPr>
                <w:b/>
              </w:rPr>
              <w:t xml:space="preserve"> </w:t>
            </w:r>
            <w:r w:rsidRPr="00DF1884">
              <w:rPr>
                <w:b/>
              </w:rPr>
              <w:t>Husten,</w:t>
            </w:r>
            <w:r w:rsidR="00DF1884" w:rsidRPr="00DF1884">
              <w:rPr>
                <w:b/>
              </w:rPr>
              <w:t xml:space="preserve"> </w:t>
            </w:r>
            <w:r w:rsidRPr="00DF1884">
              <w:rPr>
                <w:b/>
              </w:rPr>
              <w:t>MD,</w:t>
            </w:r>
            <w:r w:rsidR="00DF1884" w:rsidRPr="00DF1884">
              <w:rPr>
                <w:b/>
              </w:rPr>
              <w:t xml:space="preserve"> </w:t>
            </w:r>
            <w:r w:rsidRPr="00DF1884">
              <w:rPr>
                <w:b/>
              </w:rPr>
              <w:t>MPH</w:t>
            </w:r>
            <w:r w:rsidRPr="00DF1884">
              <w:rPr>
                <w:b/>
              </w:rPr>
              <w:br/>
            </w:r>
            <w:r w:rsidRPr="00DF1884">
              <w:t>Food</w:t>
            </w:r>
            <w:r w:rsidR="00DF1884" w:rsidRPr="00DF1884">
              <w:t xml:space="preserve"> </w:t>
            </w:r>
            <w:r w:rsidRPr="00DF1884">
              <w:t>and</w:t>
            </w:r>
            <w:r w:rsidR="00DF1884" w:rsidRPr="00DF1884">
              <w:t xml:space="preserve"> </w:t>
            </w:r>
            <w:r w:rsidRPr="00DF1884">
              <w:t>Drug</w:t>
            </w:r>
            <w:r w:rsidR="00DF1884" w:rsidRPr="00DF1884">
              <w:t xml:space="preserve"> </w:t>
            </w:r>
            <w:r w:rsidRPr="00DF1884">
              <w:t>Administration</w:t>
            </w:r>
          </w:p>
          <w:p w14:paraId="5EB46852" w14:textId="30A9AECF" w:rsidR="00463667" w:rsidRPr="00DF1884" w:rsidRDefault="00463667" w:rsidP="00C56CA6">
            <w:pPr>
              <w:pStyle w:val="Body"/>
            </w:pPr>
            <w:r w:rsidRPr="00DF1884">
              <w:rPr>
                <w:b/>
              </w:rPr>
              <w:t>Tom</w:t>
            </w:r>
            <w:r w:rsidR="00DF1884" w:rsidRPr="00DF1884">
              <w:rPr>
                <w:b/>
              </w:rPr>
              <w:t xml:space="preserve"> </w:t>
            </w:r>
            <w:r w:rsidRPr="00DF1884">
              <w:rPr>
                <w:b/>
              </w:rPr>
              <w:t>Kottke,</w:t>
            </w:r>
            <w:r w:rsidR="00DF1884" w:rsidRPr="00DF1884">
              <w:rPr>
                <w:b/>
              </w:rPr>
              <w:t xml:space="preserve"> </w:t>
            </w:r>
            <w:r w:rsidRPr="00DF1884">
              <w:rPr>
                <w:b/>
              </w:rPr>
              <w:t>MD</w:t>
            </w:r>
            <w:r w:rsidR="00DF1884" w:rsidRPr="00DF1884">
              <w:rPr>
                <w:b/>
              </w:rPr>
              <w:t xml:space="preserve"> </w:t>
            </w:r>
            <w:r w:rsidRPr="00DF1884">
              <w:rPr>
                <w:b/>
              </w:rPr>
              <w:br/>
            </w:r>
            <w:r w:rsidRPr="00DF1884">
              <w:t>HealthPartners</w:t>
            </w:r>
          </w:p>
          <w:p w14:paraId="4A12ED6D" w14:textId="0FD89750" w:rsidR="00463667" w:rsidRPr="00DF1884" w:rsidRDefault="00463667" w:rsidP="00C56CA6">
            <w:pPr>
              <w:spacing w:before="180"/>
            </w:pPr>
            <w:r w:rsidRPr="00DF1884">
              <w:rPr>
                <w:b/>
              </w:rPr>
              <w:t>Eduardo</w:t>
            </w:r>
            <w:r w:rsidR="00DF1884" w:rsidRPr="00DF1884">
              <w:rPr>
                <w:b/>
              </w:rPr>
              <w:t xml:space="preserve"> </w:t>
            </w:r>
            <w:r w:rsidRPr="00DF1884">
              <w:rPr>
                <w:b/>
              </w:rPr>
              <w:t>Ortiz,</w:t>
            </w:r>
            <w:r w:rsidR="00DF1884" w:rsidRPr="00DF1884">
              <w:rPr>
                <w:b/>
              </w:rPr>
              <w:t xml:space="preserve"> </w:t>
            </w:r>
            <w:r w:rsidRPr="00DF1884">
              <w:rPr>
                <w:b/>
              </w:rPr>
              <w:t>MD,</w:t>
            </w:r>
            <w:r w:rsidR="00DF1884" w:rsidRPr="00DF1884">
              <w:rPr>
                <w:b/>
              </w:rPr>
              <w:t xml:space="preserve"> </w:t>
            </w:r>
            <w:r w:rsidRPr="00DF1884">
              <w:rPr>
                <w:b/>
              </w:rPr>
              <w:t>MPH</w:t>
            </w:r>
            <w:r w:rsidRPr="00DF1884">
              <w:rPr>
                <w:b/>
              </w:rPr>
              <w:br/>
            </w:r>
            <w:r w:rsidR="00240D1C" w:rsidRPr="00DF1884">
              <w:t>Atlas</w:t>
            </w:r>
            <w:r w:rsidR="00DF1884" w:rsidRPr="00DF1884">
              <w:t xml:space="preserve"> </w:t>
            </w:r>
            <w:r w:rsidR="00240D1C" w:rsidRPr="00DF1884">
              <w:t>Research</w:t>
            </w:r>
          </w:p>
          <w:p w14:paraId="532B4E0E" w14:textId="5B54593C" w:rsidR="00463667" w:rsidRPr="00DF1884" w:rsidRDefault="00463667" w:rsidP="00C56CA6">
            <w:pPr>
              <w:pStyle w:val="Body"/>
              <w:rPr>
                <w:b/>
              </w:rPr>
            </w:pPr>
            <w:r w:rsidRPr="00DF1884">
              <w:rPr>
                <w:b/>
              </w:rPr>
              <w:t>Stephen</w:t>
            </w:r>
            <w:r w:rsidR="00DF1884" w:rsidRPr="00DF1884">
              <w:rPr>
                <w:b/>
              </w:rPr>
              <w:t xml:space="preserve"> </w:t>
            </w:r>
            <w:r w:rsidRPr="00DF1884">
              <w:rPr>
                <w:b/>
              </w:rPr>
              <w:t>D.</w:t>
            </w:r>
            <w:r w:rsidR="00DF1884" w:rsidRPr="00DF1884">
              <w:rPr>
                <w:b/>
              </w:rPr>
              <w:t xml:space="preserve"> </w:t>
            </w:r>
            <w:r w:rsidRPr="00DF1884">
              <w:rPr>
                <w:b/>
              </w:rPr>
              <w:t>Persell,</w:t>
            </w:r>
            <w:r w:rsidR="00DF1884" w:rsidRPr="00DF1884">
              <w:rPr>
                <w:b/>
              </w:rPr>
              <w:t xml:space="preserve"> </w:t>
            </w:r>
            <w:r w:rsidRPr="00DF1884">
              <w:rPr>
                <w:b/>
              </w:rPr>
              <w:t>MD,</w:t>
            </w:r>
            <w:r w:rsidR="00DF1884" w:rsidRPr="00DF1884">
              <w:rPr>
                <w:b/>
              </w:rPr>
              <w:t xml:space="preserve"> </w:t>
            </w:r>
            <w:r w:rsidRPr="00DF1884">
              <w:rPr>
                <w:b/>
              </w:rPr>
              <w:t>MPH</w:t>
            </w:r>
            <w:r w:rsidR="00DF1884" w:rsidRPr="00DF1884">
              <w:rPr>
                <w:b/>
              </w:rPr>
              <w:t xml:space="preserve"> </w:t>
            </w:r>
            <w:r w:rsidRPr="00DF1884">
              <w:rPr>
                <w:b/>
              </w:rPr>
              <w:t>(Chair)</w:t>
            </w:r>
            <w:r w:rsidRPr="00DF1884">
              <w:rPr>
                <w:b/>
              </w:rPr>
              <w:br/>
            </w:r>
            <w:r w:rsidRPr="00DF1884">
              <w:t>Northwestern</w:t>
            </w:r>
            <w:r w:rsidR="00DF1884" w:rsidRPr="00DF1884">
              <w:t xml:space="preserve"> </w:t>
            </w:r>
            <w:r w:rsidRPr="00DF1884">
              <w:t>University</w:t>
            </w:r>
          </w:p>
        </w:tc>
        <w:tc>
          <w:tcPr>
            <w:tcW w:w="4860" w:type="dxa"/>
            <w:tcBorders>
              <w:bottom w:val="nil"/>
            </w:tcBorders>
          </w:tcPr>
          <w:p w14:paraId="3F5E58A9" w14:textId="11FE0E24" w:rsidR="00463667" w:rsidRPr="00DF1884" w:rsidRDefault="00463667" w:rsidP="00C56CA6">
            <w:pPr>
              <w:pStyle w:val="Body"/>
              <w:rPr>
                <w:b/>
              </w:rPr>
            </w:pPr>
            <w:r w:rsidRPr="00DF1884">
              <w:rPr>
                <w:b/>
              </w:rPr>
              <w:t>Michael</w:t>
            </w:r>
            <w:r w:rsidR="00DF1884" w:rsidRPr="00DF1884">
              <w:rPr>
                <w:b/>
              </w:rPr>
              <w:t xml:space="preserve"> </w:t>
            </w:r>
            <w:r w:rsidRPr="00DF1884">
              <w:rPr>
                <w:b/>
              </w:rPr>
              <w:t>Pignone,</w:t>
            </w:r>
            <w:r w:rsidR="00DF1884" w:rsidRPr="00DF1884">
              <w:rPr>
                <w:b/>
              </w:rPr>
              <w:t xml:space="preserve"> </w:t>
            </w:r>
            <w:r w:rsidRPr="00DF1884">
              <w:rPr>
                <w:b/>
              </w:rPr>
              <w:t>MD,</w:t>
            </w:r>
            <w:r w:rsidR="00DF1884" w:rsidRPr="00DF1884">
              <w:rPr>
                <w:b/>
              </w:rPr>
              <w:t xml:space="preserve"> </w:t>
            </w:r>
            <w:r w:rsidRPr="00DF1884">
              <w:rPr>
                <w:b/>
              </w:rPr>
              <w:t>MPH</w:t>
            </w:r>
            <w:r w:rsidRPr="00DF1884">
              <w:rPr>
                <w:b/>
              </w:rPr>
              <w:br/>
            </w:r>
            <w:r w:rsidRPr="00DF1884">
              <w:t>University</w:t>
            </w:r>
            <w:r w:rsidR="00DF1884" w:rsidRPr="00DF1884">
              <w:t xml:space="preserve"> </w:t>
            </w:r>
            <w:r w:rsidRPr="00DF1884">
              <w:t>of</w:t>
            </w:r>
            <w:r w:rsidR="00DF1884" w:rsidRPr="00DF1884">
              <w:t xml:space="preserve"> </w:t>
            </w:r>
            <w:r w:rsidRPr="00DF1884">
              <w:t>North</w:t>
            </w:r>
            <w:r w:rsidR="00DF1884" w:rsidRPr="00DF1884">
              <w:t xml:space="preserve"> </w:t>
            </w:r>
            <w:r w:rsidRPr="00DF1884">
              <w:t>Carolina</w:t>
            </w:r>
          </w:p>
          <w:p w14:paraId="217C229D" w14:textId="55F08B4D" w:rsidR="00463667" w:rsidRPr="00DF1884" w:rsidRDefault="00463667" w:rsidP="00C56CA6">
            <w:pPr>
              <w:pStyle w:val="Body"/>
            </w:pPr>
            <w:r w:rsidRPr="00DF1884">
              <w:rPr>
                <w:b/>
              </w:rPr>
              <w:t>Randall</w:t>
            </w:r>
            <w:r w:rsidR="00DF1884" w:rsidRPr="00DF1884">
              <w:rPr>
                <w:b/>
              </w:rPr>
              <w:t xml:space="preserve"> </w:t>
            </w:r>
            <w:r w:rsidRPr="00DF1884">
              <w:rPr>
                <w:b/>
              </w:rPr>
              <w:t>Stafford,</w:t>
            </w:r>
            <w:r w:rsidR="00DF1884" w:rsidRPr="00DF1884">
              <w:rPr>
                <w:b/>
              </w:rPr>
              <w:t xml:space="preserve"> </w:t>
            </w:r>
            <w:r w:rsidRPr="00DF1884">
              <w:rPr>
                <w:b/>
              </w:rPr>
              <w:t>MD,</w:t>
            </w:r>
            <w:r w:rsidR="00DF1884" w:rsidRPr="00DF1884">
              <w:rPr>
                <w:b/>
              </w:rPr>
              <w:t xml:space="preserve"> </w:t>
            </w:r>
            <w:r w:rsidRPr="00DF1884">
              <w:rPr>
                <w:b/>
              </w:rPr>
              <w:t>PhD</w:t>
            </w:r>
            <w:r w:rsidRPr="00DF1884">
              <w:rPr>
                <w:b/>
              </w:rPr>
              <w:br/>
            </w:r>
            <w:r w:rsidRPr="00DF1884">
              <w:t>Stanford</w:t>
            </w:r>
            <w:r w:rsidR="00DF1884" w:rsidRPr="00DF1884">
              <w:t xml:space="preserve"> </w:t>
            </w:r>
            <w:r w:rsidRPr="00DF1884">
              <w:t>University</w:t>
            </w:r>
          </w:p>
          <w:p w14:paraId="3248A4FF" w14:textId="7D391F24" w:rsidR="00463667" w:rsidRPr="00DF1884" w:rsidRDefault="00463667" w:rsidP="00C56CA6">
            <w:pPr>
              <w:pStyle w:val="Body"/>
            </w:pPr>
            <w:r w:rsidRPr="00DF1884">
              <w:rPr>
                <w:b/>
              </w:rPr>
              <w:t>Tracy</w:t>
            </w:r>
            <w:r w:rsidR="00DF1884" w:rsidRPr="00DF1884">
              <w:rPr>
                <w:b/>
              </w:rPr>
              <w:t xml:space="preserve"> </w:t>
            </w:r>
            <w:r w:rsidRPr="00DF1884">
              <w:rPr>
                <w:b/>
              </w:rPr>
              <w:t>Wolff,</w:t>
            </w:r>
            <w:r w:rsidR="00DF1884" w:rsidRPr="00DF1884">
              <w:rPr>
                <w:b/>
              </w:rPr>
              <w:t xml:space="preserve"> </w:t>
            </w:r>
            <w:r w:rsidRPr="00DF1884">
              <w:rPr>
                <w:b/>
              </w:rPr>
              <w:t>MD</w:t>
            </w:r>
            <w:r w:rsidRPr="00DF1884">
              <w:br/>
              <w:t>Agency</w:t>
            </w:r>
            <w:r w:rsidR="00DF1884" w:rsidRPr="00DF1884">
              <w:t xml:space="preserve"> </w:t>
            </w:r>
            <w:r w:rsidRPr="00DF1884">
              <w:t>for</w:t>
            </w:r>
            <w:r w:rsidR="00DF1884" w:rsidRPr="00DF1884">
              <w:t xml:space="preserve"> </w:t>
            </w:r>
            <w:r w:rsidRPr="00DF1884">
              <w:t>Healthcare</w:t>
            </w:r>
            <w:r w:rsidR="00DF1884" w:rsidRPr="00DF1884">
              <w:t xml:space="preserve"> </w:t>
            </w:r>
            <w:r w:rsidRPr="00DF1884">
              <w:t>Research</w:t>
            </w:r>
            <w:r w:rsidR="00DF1884" w:rsidRPr="00DF1884">
              <w:t xml:space="preserve"> </w:t>
            </w:r>
            <w:r w:rsidRPr="00DF1884">
              <w:t>and</w:t>
            </w:r>
            <w:r w:rsidR="00DF1884" w:rsidRPr="00DF1884">
              <w:t xml:space="preserve"> </w:t>
            </w:r>
            <w:r w:rsidRPr="00DF1884">
              <w:t>Quality</w:t>
            </w:r>
            <w:r w:rsidR="00DF1884" w:rsidRPr="00DF1884">
              <w:rPr>
                <w:b/>
              </w:rPr>
              <w:t xml:space="preserve"> </w:t>
            </w:r>
          </w:p>
          <w:p w14:paraId="27EE9AD0" w14:textId="77777777" w:rsidR="00463667" w:rsidRPr="00DF1884" w:rsidRDefault="00463667" w:rsidP="00C56CA6">
            <w:pPr>
              <w:pStyle w:val="Body"/>
              <w:rPr>
                <w:b/>
                <w:u w:val="single"/>
              </w:rPr>
            </w:pPr>
            <w:r w:rsidRPr="00DF1884">
              <w:rPr>
                <w:b/>
                <w:u w:val="single"/>
              </w:rPr>
              <w:t>Liaisons</w:t>
            </w:r>
          </w:p>
          <w:p w14:paraId="07B5DEAE" w14:textId="7311123B" w:rsidR="00463667" w:rsidRPr="00DF1884" w:rsidRDefault="00463667" w:rsidP="00C56CA6">
            <w:pPr>
              <w:pStyle w:val="Body"/>
              <w:spacing w:before="120"/>
            </w:pPr>
            <w:r w:rsidRPr="00DF1884">
              <w:rPr>
                <w:b/>
              </w:rPr>
              <w:t>Samantha</w:t>
            </w:r>
            <w:r w:rsidR="00DF1884" w:rsidRPr="00DF1884">
              <w:rPr>
                <w:b/>
              </w:rPr>
              <w:t xml:space="preserve"> </w:t>
            </w:r>
            <w:r w:rsidRPr="00DF1884">
              <w:rPr>
                <w:b/>
              </w:rPr>
              <w:t>Tierney,</w:t>
            </w:r>
            <w:r w:rsidR="00DF1884" w:rsidRPr="00DF1884">
              <w:rPr>
                <w:b/>
              </w:rPr>
              <w:t xml:space="preserve"> </w:t>
            </w:r>
            <w:r w:rsidRPr="00DF1884">
              <w:rPr>
                <w:b/>
              </w:rPr>
              <w:t>MPH</w:t>
            </w:r>
            <w:r w:rsidRPr="00DF1884">
              <w:rPr>
                <w:b/>
              </w:rPr>
              <w:br/>
            </w:r>
            <w:r w:rsidRPr="00DF1884">
              <w:t>American</w:t>
            </w:r>
            <w:r w:rsidR="00DF1884" w:rsidRPr="00DF1884">
              <w:t xml:space="preserve"> </w:t>
            </w:r>
            <w:r w:rsidRPr="00DF1884">
              <w:t>Medical</w:t>
            </w:r>
            <w:r w:rsidR="00DF1884" w:rsidRPr="00DF1884">
              <w:t xml:space="preserve"> </w:t>
            </w:r>
            <w:r w:rsidRPr="00DF1884">
              <w:t>Association</w:t>
            </w:r>
          </w:p>
        </w:tc>
      </w:tr>
    </w:tbl>
    <w:p w14:paraId="2D6F57D4" w14:textId="77777777" w:rsidR="00463667" w:rsidRPr="00DF1884" w:rsidRDefault="00463667" w:rsidP="00463667"/>
    <w:p w14:paraId="238925B3" w14:textId="77777777" w:rsidR="00463667" w:rsidRPr="00DF1884" w:rsidRDefault="00463667" w:rsidP="00463667">
      <w:pPr>
        <w:sectPr w:rsidR="00463667" w:rsidRPr="00DF1884" w:rsidSect="0039781B">
          <w:pgSz w:w="12240" w:h="15840" w:code="1"/>
          <w:pgMar w:top="1080" w:right="1080" w:bottom="1080" w:left="1440" w:header="720" w:footer="720" w:gutter="0"/>
          <w:cols w:space="720"/>
        </w:sectPr>
      </w:pPr>
    </w:p>
    <w:p w14:paraId="5F781B04" w14:textId="0A0C608A" w:rsidR="00463667" w:rsidRPr="00DF1884" w:rsidRDefault="00463667" w:rsidP="00202CAE">
      <w:pPr>
        <w:pStyle w:val="ReverseHead"/>
        <w:spacing w:before="0"/>
      </w:pPr>
      <w:r w:rsidRPr="00DF1884">
        <w:t>Child</w:t>
      </w:r>
      <w:r w:rsidR="00DF1884" w:rsidRPr="00DF1884">
        <w:t xml:space="preserve"> </w:t>
      </w:r>
      <w:r w:rsidRPr="00DF1884">
        <w:t>Health</w:t>
      </w:r>
      <w:r w:rsidR="00DF1884" w:rsidRPr="00DF1884">
        <w:t xml:space="preserve"> </w:t>
      </w:r>
      <w:r w:rsidRPr="00DF1884">
        <w:t>Measurement</w:t>
      </w:r>
      <w:r w:rsidR="00DF1884" w:rsidRPr="00DF1884">
        <w:t xml:space="preserve"> </w:t>
      </w:r>
      <w:r w:rsidRPr="00DF1884">
        <w:t>Advisory</w:t>
      </w:r>
      <w:r w:rsidR="00DF1884" w:rsidRPr="00DF1884">
        <w:t xml:space="preserve"> </w:t>
      </w:r>
      <w:r w:rsidRPr="00DF1884">
        <w:t>Panel</w:t>
      </w:r>
    </w:p>
    <w:tbl>
      <w:tblPr>
        <w:tblW w:w="0" w:type="auto"/>
        <w:tblLayout w:type="fixed"/>
        <w:tblLook w:val="0000" w:firstRow="0" w:lastRow="0" w:firstColumn="0" w:lastColumn="0" w:noHBand="0" w:noVBand="0"/>
      </w:tblPr>
      <w:tblGrid>
        <w:gridCol w:w="4944"/>
        <w:gridCol w:w="4884"/>
      </w:tblGrid>
      <w:tr w:rsidR="00463667" w:rsidRPr="00DF1884" w14:paraId="118ADDEE" w14:textId="77777777" w:rsidTr="00C56CA6">
        <w:tc>
          <w:tcPr>
            <w:tcW w:w="4944" w:type="dxa"/>
          </w:tcPr>
          <w:p w14:paraId="1DB1643D" w14:textId="584859FD" w:rsidR="00463667" w:rsidRPr="00DF1884" w:rsidRDefault="00463667" w:rsidP="00C56CA6">
            <w:pPr>
              <w:pStyle w:val="Body"/>
            </w:pPr>
            <w:r w:rsidRPr="00DF1884">
              <w:rPr>
                <w:b/>
              </w:rPr>
              <w:t>Jeanne</w:t>
            </w:r>
            <w:r w:rsidR="00DF1884" w:rsidRPr="00DF1884">
              <w:rPr>
                <w:b/>
              </w:rPr>
              <w:t xml:space="preserve"> </w:t>
            </w:r>
            <w:r w:rsidRPr="00DF1884">
              <w:rPr>
                <w:b/>
              </w:rPr>
              <w:t>Alicandro,</w:t>
            </w:r>
            <w:r w:rsidR="00DF1884" w:rsidRPr="00DF1884">
              <w:rPr>
                <w:b/>
              </w:rPr>
              <w:t xml:space="preserve"> </w:t>
            </w:r>
            <w:r w:rsidRPr="00DF1884">
              <w:rPr>
                <w:b/>
              </w:rPr>
              <w:t>MD</w:t>
            </w:r>
            <w:r w:rsidRPr="00DF1884">
              <w:rPr>
                <w:b/>
              </w:rPr>
              <w:br/>
            </w:r>
            <w:r w:rsidRPr="00DF1884">
              <w:t>IPRO</w:t>
            </w:r>
          </w:p>
          <w:p w14:paraId="395F2E56" w14:textId="01B6BC2E" w:rsidR="00463667" w:rsidRPr="00DF1884" w:rsidRDefault="00463667" w:rsidP="00C56CA6">
            <w:pPr>
              <w:pStyle w:val="Body"/>
              <w:tabs>
                <w:tab w:val="left" w:pos="3064"/>
              </w:tabs>
            </w:pPr>
            <w:r w:rsidRPr="00DF1884">
              <w:rPr>
                <w:b/>
              </w:rPr>
              <w:t>Lekisha</w:t>
            </w:r>
            <w:r w:rsidR="00DF1884" w:rsidRPr="00DF1884">
              <w:rPr>
                <w:b/>
              </w:rPr>
              <w:t xml:space="preserve"> </w:t>
            </w:r>
            <w:r w:rsidRPr="00DF1884">
              <w:rPr>
                <w:b/>
              </w:rPr>
              <w:t>Daniel-Robinson</w:t>
            </w:r>
            <w:r w:rsidRPr="00DF1884">
              <w:br/>
              <w:t>Centers</w:t>
            </w:r>
            <w:r w:rsidR="00DF1884" w:rsidRPr="00DF1884">
              <w:t xml:space="preserve"> </w:t>
            </w:r>
            <w:r w:rsidRPr="00DF1884">
              <w:t>for</w:t>
            </w:r>
            <w:r w:rsidR="00DF1884" w:rsidRPr="00DF1884">
              <w:t xml:space="preserve"> </w:t>
            </w:r>
            <w:r w:rsidRPr="00DF1884">
              <w:t>Medicare</w:t>
            </w:r>
            <w:r w:rsidR="00DF1884" w:rsidRPr="00DF1884">
              <w:t xml:space="preserve"> </w:t>
            </w:r>
            <w:r w:rsidRPr="00DF1884">
              <w:t>&amp;</w:t>
            </w:r>
            <w:r w:rsidR="00DF1884" w:rsidRPr="00DF1884">
              <w:t xml:space="preserve"> </w:t>
            </w:r>
            <w:r w:rsidRPr="00DF1884">
              <w:t>Medicaid</w:t>
            </w:r>
            <w:r w:rsidR="00DF1884" w:rsidRPr="00DF1884">
              <w:t xml:space="preserve"> </w:t>
            </w:r>
            <w:r w:rsidRPr="00DF1884">
              <w:t>Services</w:t>
            </w:r>
          </w:p>
          <w:p w14:paraId="1381593C" w14:textId="6B92AA3C" w:rsidR="00463667" w:rsidRPr="00DF1884" w:rsidRDefault="00463667" w:rsidP="00C56CA6">
            <w:pPr>
              <w:pStyle w:val="Body"/>
              <w:tabs>
                <w:tab w:val="left" w:pos="3064"/>
              </w:tabs>
            </w:pPr>
            <w:r w:rsidRPr="00DF1884">
              <w:rPr>
                <w:b/>
              </w:rPr>
              <w:t>Denise</w:t>
            </w:r>
            <w:r w:rsidR="00DF1884" w:rsidRPr="00DF1884">
              <w:rPr>
                <w:b/>
              </w:rPr>
              <w:t xml:space="preserve"> </w:t>
            </w:r>
            <w:r w:rsidRPr="00DF1884">
              <w:rPr>
                <w:b/>
              </w:rPr>
              <w:t>Dougherty,</w:t>
            </w:r>
            <w:r w:rsidR="00DF1884" w:rsidRPr="00DF1884">
              <w:rPr>
                <w:b/>
              </w:rPr>
              <w:t xml:space="preserve"> </w:t>
            </w:r>
            <w:r w:rsidRPr="00DF1884">
              <w:rPr>
                <w:b/>
              </w:rPr>
              <w:t>PhD</w:t>
            </w:r>
            <w:r w:rsidRPr="00DF1884">
              <w:br/>
              <w:t>Agency</w:t>
            </w:r>
            <w:r w:rsidR="00DF1884" w:rsidRPr="00DF1884">
              <w:t xml:space="preserve"> </w:t>
            </w:r>
            <w:r w:rsidRPr="00DF1884">
              <w:t>for</w:t>
            </w:r>
            <w:r w:rsidR="00DF1884" w:rsidRPr="00DF1884">
              <w:t xml:space="preserve"> </w:t>
            </w:r>
            <w:r w:rsidRPr="00DF1884">
              <w:t>Healthcare</w:t>
            </w:r>
            <w:r w:rsidR="00DF1884" w:rsidRPr="00DF1884">
              <w:t xml:space="preserve"> </w:t>
            </w:r>
            <w:r w:rsidRPr="00DF1884">
              <w:t>Research</w:t>
            </w:r>
            <w:r w:rsidR="00DF1884" w:rsidRPr="00DF1884">
              <w:t xml:space="preserve"> </w:t>
            </w:r>
            <w:r w:rsidRPr="00DF1884">
              <w:t>&amp;</w:t>
            </w:r>
            <w:r w:rsidR="00DF1884" w:rsidRPr="00DF1884">
              <w:t xml:space="preserve"> </w:t>
            </w:r>
            <w:r w:rsidRPr="00DF1884">
              <w:t>Quality</w:t>
            </w:r>
          </w:p>
          <w:p w14:paraId="64490AEB" w14:textId="452F5EFD" w:rsidR="00463667" w:rsidRPr="00DF1884" w:rsidRDefault="00463667" w:rsidP="00C56CA6">
            <w:pPr>
              <w:pStyle w:val="Body"/>
              <w:rPr>
                <w:b/>
              </w:rPr>
            </w:pPr>
            <w:r w:rsidRPr="00DF1884">
              <w:rPr>
                <w:b/>
              </w:rPr>
              <w:t>Theodore</w:t>
            </w:r>
            <w:r w:rsidR="00DF1884" w:rsidRPr="00DF1884">
              <w:rPr>
                <w:b/>
              </w:rPr>
              <w:t xml:space="preserve"> </w:t>
            </w:r>
            <w:r w:rsidRPr="00DF1884">
              <w:rPr>
                <w:b/>
              </w:rPr>
              <w:t>G.</w:t>
            </w:r>
            <w:r w:rsidR="00DF1884" w:rsidRPr="00DF1884">
              <w:rPr>
                <w:b/>
              </w:rPr>
              <w:t xml:space="preserve"> </w:t>
            </w:r>
            <w:r w:rsidRPr="00DF1884">
              <w:rPr>
                <w:b/>
              </w:rPr>
              <w:t>Ganiats,</w:t>
            </w:r>
            <w:r w:rsidR="00DF1884" w:rsidRPr="00DF1884">
              <w:rPr>
                <w:b/>
              </w:rPr>
              <w:t xml:space="preserve"> </w:t>
            </w:r>
            <w:r w:rsidRPr="00DF1884">
              <w:rPr>
                <w:b/>
              </w:rPr>
              <w:t>MD</w:t>
            </w:r>
            <w:r w:rsidRPr="00DF1884">
              <w:br/>
              <w:t>University</w:t>
            </w:r>
            <w:r w:rsidR="00DF1884" w:rsidRPr="00DF1884">
              <w:t xml:space="preserve"> </w:t>
            </w:r>
            <w:r w:rsidRPr="00DF1884">
              <w:t>of</w:t>
            </w:r>
            <w:r w:rsidR="00DF1884" w:rsidRPr="00DF1884">
              <w:t xml:space="preserve"> </w:t>
            </w:r>
            <w:r w:rsidRPr="00DF1884">
              <w:t>California,</w:t>
            </w:r>
            <w:r w:rsidR="00DF1884" w:rsidRPr="00DF1884">
              <w:t xml:space="preserve"> </w:t>
            </w:r>
            <w:r w:rsidRPr="00DF1884">
              <w:t>San</w:t>
            </w:r>
            <w:r w:rsidR="00DF1884" w:rsidRPr="00DF1884">
              <w:t xml:space="preserve"> </w:t>
            </w:r>
            <w:r w:rsidRPr="00DF1884">
              <w:t>Diego</w:t>
            </w:r>
            <w:r w:rsidR="00DF1884" w:rsidRPr="00DF1884">
              <w:rPr>
                <w:b/>
              </w:rPr>
              <w:t xml:space="preserve"> </w:t>
            </w:r>
          </w:p>
          <w:p w14:paraId="6134B515" w14:textId="1227F61C" w:rsidR="00463667" w:rsidRPr="00DF1884" w:rsidRDefault="00463667" w:rsidP="00C56CA6">
            <w:pPr>
              <w:pStyle w:val="Body"/>
              <w:rPr>
                <w:b/>
              </w:rPr>
            </w:pPr>
            <w:r w:rsidRPr="00DF1884">
              <w:rPr>
                <w:b/>
              </w:rPr>
              <w:t>Foster</w:t>
            </w:r>
            <w:r w:rsidR="00DF1884" w:rsidRPr="00DF1884">
              <w:rPr>
                <w:b/>
              </w:rPr>
              <w:t xml:space="preserve"> </w:t>
            </w:r>
            <w:r w:rsidRPr="00DF1884">
              <w:rPr>
                <w:b/>
              </w:rPr>
              <w:t>Gesten,</w:t>
            </w:r>
            <w:r w:rsidR="00DF1884" w:rsidRPr="00DF1884">
              <w:rPr>
                <w:b/>
              </w:rPr>
              <w:t xml:space="preserve"> </w:t>
            </w:r>
            <w:r w:rsidRPr="00DF1884">
              <w:rPr>
                <w:b/>
              </w:rPr>
              <w:t>MD</w:t>
            </w:r>
            <w:r w:rsidRPr="00DF1884">
              <w:br/>
              <w:t>New</w:t>
            </w:r>
            <w:r w:rsidR="00DF1884" w:rsidRPr="00DF1884">
              <w:t xml:space="preserve"> </w:t>
            </w:r>
            <w:r w:rsidRPr="00DF1884">
              <w:t>York</w:t>
            </w:r>
            <w:r w:rsidR="00DF1884" w:rsidRPr="00DF1884">
              <w:t xml:space="preserve"> </w:t>
            </w:r>
            <w:r w:rsidRPr="00DF1884">
              <w:t>State</w:t>
            </w:r>
            <w:r w:rsidR="00DF1884" w:rsidRPr="00DF1884">
              <w:t xml:space="preserve"> </w:t>
            </w:r>
            <w:r w:rsidRPr="00DF1884">
              <w:t>Department</w:t>
            </w:r>
            <w:r w:rsidR="00DF1884" w:rsidRPr="00DF1884">
              <w:t xml:space="preserve"> </w:t>
            </w:r>
            <w:r w:rsidRPr="00DF1884">
              <w:t>of</w:t>
            </w:r>
            <w:r w:rsidR="00DF1884" w:rsidRPr="00DF1884">
              <w:t xml:space="preserve"> </w:t>
            </w:r>
            <w:r w:rsidRPr="00DF1884">
              <w:t>Health</w:t>
            </w:r>
          </w:p>
          <w:p w14:paraId="3E13CD0E" w14:textId="41A8C877" w:rsidR="00463667" w:rsidRPr="00DF1884" w:rsidRDefault="00463667" w:rsidP="00C56CA6">
            <w:pPr>
              <w:pStyle w:val="Body"/>
            </w:pPr>
            <w:r w:rsidRPr="00DF1884">
              <w:rPr>
                <w:b/>
              </w:rPr>
              <w:t>Charles</w:t>
            </w:r>
            <w:r w:rsidR="00DF1884" w:rsidRPr="00DF1884">
              <w:rPr>
                <w:b/>
              </w:rPr>
              <w:t xml:space="preserve"> </w:t>
            </w:r>
            <w:r w:rsidRPr="00DF1884">
              <w:rPr>
                <w:b/>
              </w:rPr>
              <w:t>J.</w:t>
            </w:r>
            <w:r w:rsidR="00DF1884" w:rsidRPr="00DF1884">
              <w:rPr>
                <w:b/>
              </w:rPr>
              <w:t xml:space="preserve"> </w:t>
            </w:r>
            <w:r w:rsidRPr="00DF1884">
              <w:rPr>
                <w:b/>
              </w:rPr>
              <w:t>Homer,</w:t>
            </w:r>
            <w:r w:rsidR="00DF1884" w:rsidRPr="00DF1884">
              <w:rPr>
                <w:b/>
              </w:rPr>
              <w:t xml:space="preserve"> </w:t>
            </w:r>
            <w:r w:rsidRPr="00DF1884">
              <w:rPr>
                <w:b/>
              </w:rPr>
              <w:t>MD,</w:t>
            </w:r>
            <w:r w:rsidR="00DF1884" w:rsidRPr="00DF1884">
              <w:rPr>
                <w:b/>
              </w:rPr>
              <w:t xml:space="preserve"> </w:t>
            </w:r>
            <w:r w:rsidRPr="00DF1884">
              <w:rPr>
                <w:b/>
              </w:rPr>
              <w:t>MPH</w:t>
            </w:r>
            <w:r w:rsidRPr="00DF1884">
              <w:rPr>
                <w:b/>
              </w:rPr>
              <w:br/>
            </w:r>
            <w:r w:rsidRPr="00DF1884">
              <w:t>National</w:t>
            </w:r>
            <w:r w:rsidR="00DF1884" w:rsidRPr="00DF1884">
              <w:t xml:space="preserve"> </w:t>
            </w:r>
            <w:r w:rsidRPr="00DF1884">
              <w:t>Initiative</w:t>
            </w:r>
            <w:r w:rsidR="00DF1884" w:rsidRPr="00DF1884">
              <w:t xml:space="preserve"> </w:t>
            </w:r>
            <w:r w:rsidRPr="00DF1884">
              <w:t>for</w:t>
            </w:r>
            <w:r w:rsidR="00DF1884" w:rsidRPr="00DF1884">
              <w:t xml:space="preserve"> </w:t>
            </w:r>
            <w:r w:rsidRPr="00DF1884">
              <w:t>Children’s</w:t>
            </w:r>
            <w:r w:rsidR="00DF1884" w:rsidRPr="00DF1884">
              <w:t xml:space="preserve"> </w:t>
            </w:r>
            <w:r w:rsidRPr="00DF1884">
              <w:t>Healthcare</w:t>
            </w:r>
            <w:r w:rsidR="00DF1884" w:rsidRPr="00DF1884">
              <w:t xml:space="preserve"> </w:t>
            </w:r>
            <w:r w:rsidRPr="00DF1884">
              <w:t>Quality</w:t>
            </w:r>
          </w:p>
          <w:p w14:paraId="18AE778B" w14:textId="7DF787E3" w:rsidR="00463667" w:rsidRPr="00DF1884" w:rsidRDefault="00463667" w:rsidP="00C56CA6">
            <w:pPr>
              <w:pStyle w:val="Body"/>
              <w:tabs>
                <w:tab w:val="left" w:pos="3064"/>
              </w:tabs>
            </w:pPr>
            <w:r w:rsidRPr="00DF1884">
              <w:rPr>
                <w:b/>
              </w:rPr>
              <w:t>Elizabeth</w:t>
            </w:r>
            <w:r w:rsidR="00DF1884" w:rsidRPr="00DF1884">
              <w:rPr>
                <w:b/>
              </w:rPr>
              <w:t xml:space="preserve"> </w:t>
            </w:r>
            <w:r w:rsidRPr="00DF1884">
              <w:rPr>
                <w:b/>
              </w:rPr>
              <w:t>Siteman</w:t>
            </w:r>
            <w:r w:rsidRPr="00DF1884">
              <w:br/>
              <w:t>Bridges</w:t>
            </w:r>
            <w:r w:rsidR="00DF1884" w:rsidRPr="00DF1884">
              <w:t xml:space="preserve"> </w:t>
            </w:r>
            <w:r w:rsidRPr="00DF1884">
              <w:t>to</w:t>
            </w:r>
            <w:r w:rsidR="00DF1884" w:rsidRPr="00DF1884">
              <w:t xml:space="preserve"> </w:t>
            </w:r>
            <w:r w:rsidRPr="00DF1884">
              <w:t>Excellence</w:t>
            </w:r>
          </w:p>
        </w:tc>
        <w:tc>
          <w:tcPr>
            <w:tcW w:w="4884" w:type="dxa"/>
            <w:tcBorders>
              <w:bottom w:val="nil"/>
            </w:tcBorders>
          </w:tcPr>
          <w:p w14:paraId="782CC0B9" w14:textId="7DF0A6C9" w:rsidR="00463667" w:rsidRPr="00DF1884" w:rsidRDefault="00463667" w:rsidP="00C56CA6">
            <w:pPr>
              <w:pStyle w:val="Body"/>
              <w:tabs>
                <w:tab w:val="left" w:pos="3064"/>
              </w:tabs>
            </w:pPr>
            <w:r w:rsidRPr="00DF1884">
              <w:rPr>
                <w:b/>
              </w:rPr>
              <w:t>Mary</w:t>
            </w:r>
            <w:r w:rsidR="00DF1884" w:rsidRPr="00DF1884">
              <w:rPr>
                <w:b/>
              </w:rPr>
              <w:t xml:space="preserve"> </w:t>
            </w:r>
            <w:r w:rsidRPr="00DF1884">
              <w:rPr>
                <w:b/>
              </w:rPr>
              <w:t>McIntyre,</w:t>
            </w:r>
            <w:r w:rsidR="00DF1884" w:rsidRPr="00DF1884">
              <w:rPr>
                <w:b/>
              </w:rPr>
              <w:t xml:space="preserve"> </w:t>
            </w:r>
            <w:r w:rsidRPr="00DF1884">
              <w:rPr>
                <w:b/>
              </w:rPr>
              <w:t>MD,</w:t>
            </w:r>
            <w:r w:rsidR="00DF1884" w:rsidRPr="00DF1884">
              <w:rPr>
                <w:b/>
              </w:rPr>
              <w:t xml:space="preserve"> </w:t>
            </w:r>
            <w:r w:rsidRPr="00DF1884">
              <w:rPr>
                <w:b/>
              </w:rPr>
              <w:t>MPH</w:t>
            </w:r>
            <w:r w:rsidRPr="00DF1884">
              <w:br/>
              <w:t>Alabama</w:t>
            </w:r>
            <w:r w:rsidR="00DF1884" w:rsidRPr="00DF1884">
              <w:t xml:space="preserve"> </w:t>
            </w:r>
            <w:r w:rsidRPr="00DF1884">
              <w:t>Dept.</w:t>
            </w:r>
            <w:r w:rsidR="00DF1884" w:rsidRPr="00DF1884">
              <w:t xml:space="preserve"> </w:t>
            </w:r>
            <w:r w:rsidRPr="00DF1884">
              <w:t>of</w:t>
            </w:r>
            <w:r w:rsidR="00DF1884" w:rsidRPr="00DF1884">
              <w:t xml:space="preserve"> </w:t>
            </w:r>
            <w:r w:rsidRPr="00DF1884">
              <w:t>Public</w:t>
            </w:r>
            <w:r w:rsidR="00DF1884" w:rsidRPr="00DF1884">
              <w:t xml:space="preserve"> </w:t>
            </w:r>
            <w:r w:rsidRPr="00DF1884">
              <w:t>Health</w:t>
            </w:r>
          </w:p>
          <w:p w14:paraId="67EA6002" w14:textId="068DEE66" w:rsidR="00463667" w:rsidRPr="00DF1884" w:rsidRDefault="00463667" w:rsidP="00C56CA6">
            <w:pPr>
              <w:pStyle w:val="Body"/>
              <w:tabs>
                <w:tab w:val="left" w:pos="3064"/>
              </w:tabs>
            </w:pPr>
            <w:r w:rsidRPr="00DF1884">
              <w:rPr>
                <w:b/>
              </w:rPr>
              <w:t>Virginia</w:t>
            </w:r>
            <w:r w:rsidR="00DF1884" w:rsidRPr="00DF1884">
              <w:rPr>
                <w:b/>
              </w:rPr>
              <w:t xml:space="preserve"> </w:t>
            </w:r>
            <w:r w:rsidRPr="00DF1884">
              <w:rPr>
                <w:b/>
              </w:rPr>
              <w:t>Moyer,</w:t>
            </w:r>
            <w:r w:rsidR="00DF1884" w:rsidRPr="00DF1884">
              <w:rPr>
                <w:b/>
              </w:rPr>
              <w:t xml:space="preserve"> </w:t>
            </w:r>
            <w:r w:rsidRPr="00DF1884">
              <w:rPr>
                <w:b/>
              </w:rPr>
              <w:t>MD,</w:t>
            </w:r>
            <w:r w:rsidR="00DF1884" w:rsidRPr="00DF1884">
              <w:rPr>
                <w:b/>
              </w:rPr>
              <w:t xml:space="preserve"> </w:t>
            </w:r>
            <w:r w:rsidRPr="00DF1884">
              <w:rPr>
                <w:b/>
              </w:rPr>
              <w:t>MPH,</w:t>
            </w:r>
            <w:r w:rsidR="00DF1884" w:rsidRPr="00DF1884">
              <w:rPr>
                <w:b/>
              </w:rPr>
              <w:t xml:space="preserve"> </w:t>
            </w:r>
            <w:r w:rsidRPr="00DF1884">
              <w:rPr>
                <w:b/>
              </w:rPr>
              <w:t>FAAP</w:t>
            </w:r>
            <w:r w:rsidRPr="00DF1884">
              <w:br/>
              <w:t>American</w:t>
            </w:r>
            <w:r w:rsidR="00DF1884" w:rsidRPr="00DF1884">
              <w:t xml:space="preserve"> </w:t>
            </w:r>
            <w:r w:rsidRPr="00DF1884">
              <w:t>Board</w:t>
            </w:r>
            <w:r w:rsidR="00DF1884" w:rsidRPr="00DF1884">
              <w:t xml:space="preserve"> </w:t>
            </w:r>
            <w:r w:rsidRPr="00DF1884">
              <w:t>of</w:t>
            </w:r>
            <w:r w:rsidR="00DF1884" w:rsidRPr="00DF1884">
              <w:t xml:space="preserve"> </w:t>
            </w:r>
            <w:r w:rsidRPr="00DF1884">
              <w:t>Pediatrics</w:t>
            </w:r>
          </w:p>
          <w:p w14:paraId="25720EA9" w14:textId="595B671C" w:rsidR="00463667" w:rsidRPr="00DF1884" w:rsidRDefault="00463667" w:rsidP="00C56CA6">
            <w:pPr>
              <w:pStyle w:val="Body"/>
              <w:tabs>
                <w:tab w:val="left" w:pos="3064"/>
              </w:tabs>
            </w:pPr>
            <w:r w:rsidRPr="00DF1884">
              <w:rPr>
                <w:b/>
              </w:rPr>
              <w:t>Kevin</w:t>
            </w:r>
            <w:r w:rsidR="00DF1884" w:rsidRPr="00DF1884">
              <w:rPr>
                <w:b/>
              </w:rPr>
              <w:t xml:space="preserve"> </w:t>
            </w:r>
            <w:r w:rsidRPr="00DF1884">
              <w:rPr>
                <w:b/>
              </w:rPr>
              <w:t>Park,</w:t>
            </w:r>
            <w:r w:rsidR="00DF1884" w:rsidRPr="00DF1884">
              <w:rPr>
                <w:b/>
              </w:rPr>
              <w:t xml:space="preserve"> </w:t>
            </w:r>
            <w:r w:rsidRPr="00DF1884">
              <w:rPr>
                <w:b/>
              </w:rPr>
              <w:t>MD</w:t>
            </w:r>
            <w:r w:rsidR="00DF1884" w:rsidRPr="00DF1884">
              <w:rPr>
                <w:b/>
              </w:rPr>
              <w:t xml:space="preserve"> </w:t>
            </w:r>
            <w:r w:rsidRPr="00DF1884">
              <w:br/>
              <w:t>Molina</w:t>
            </w:r>
            <w:r w:rsidR="00DF1884" w:rsidRPr="00DF1884">
              <w:t xml:space="preserve"> </w:t>
            </w:r>
            <w:r w:rsidRPr="00DF1884">
              <w:t>Healthcare,</w:t>
            </w:r>
            <w:r w:rsidR="00DF1884" w:rsidRPr="00DF1884">
              <w:t xml:space="preserve"> </w:t>
            </w:r>
            <w:r w:rsidRPr="00DF1884">
              <w:t>Inc.</w:t>
            </w:r>
            <w:r w:rsidR="00DF1884" w:rsidRPr="00DF1884">
              <w:t xml:space="preserve"> </w:t>
            </w:r>
          </w:p>
          <w:p w14:paraId="23A92C62" w14:textId="4FBE43E8" w:rsidR="00463667" w:rsidRPr="00DF1884" w:rsidRDefault="00463667" w:rsidP="00C56CA6">
            <w:pPr>
              <w:pStyle w:val="Body"/>
              <w:tabs>
                <w:tab w:val="left" w:pos="3064"/>
              </w:tabs>
            </w:pPr>
            <w:r w:rsidRPr="00DF1884">
              <w:rPr>
                <w:b/>
              </w:rPr>
              <w:t>Edward</w:t>
            </w:r>
            <w:r w:rsidR="00DF1884" w:rsidRPr="00DF1884">
              <w:rPr>
                <w:b/>
              </w:rPr>
              <w:t xml:space="preserve"> </w:t>
            </w:r>
            <w:r w:rsidRPr="00DF1884">
              <w:rPr>
                <w:b/>
              </w:rPr>
              <w:t>L.</w:t>
            </w:r>
            <w:r w:rsidR="00DF1884" w:rsidRPr="00DF1884">
              <w:rPr>
                <w:b/>
              </w:rPr>
              <w:t xml:space="preserve"> </w:t>
            </w:r>
            <w:r w:rsidRPr="00DF1884">
              <w:rPr>
                <w:b/>
              </w:rPr>
              <w:t>Schor,</w:t>
            </w:r>
            <w:r w:rsidR="00DF1884" w:rsidRPr="00DF1884">
              <w:rPr>
                <w:b/>
              </w:rPr>
              <w:t xml:space="preserve"> </w:t>
            </w:r>
            <w:r w:rsidRPr="00DF1884">
              <w:rPr>
                <w:b/>
              </w:rPr>
              <w:t>MD</w:t>
            </w:r>
            <w:r w:rsidRPr="00DF1884">
              <w:br/>
              <w:t>The</w:t>
            </w:r>
            <w:r w:rsidR="00DF1884" w:rsidRPr="00DF1884">
              <w:t xml:space="preserve"> </w:t>
            </w:r>
            <w:r w:rsidRPr="00DF1884">
              <w:t>Commonwealth</w:t>
            </w:r>
            <w:r w:rsidR="00DF1884" w:rsidRPr="00DF1884">
              <w:t xml:space="preserve"> </w:t>
            </w:r>
            <w:r w:rsidRPr="00DF1884">
              <w:t>Fund</w:t>
            </w:r>
          </w:p>
          <w:p w14:paraId="2C186DEA" w14:textId="6D18C6F3" w:rsidR="00463667" w:rsidRPr="00DF1884" w:rsidRDefault="00463667" w:rsidP="00C56CA6">
            <w:pPr>
              <w:pStyle w:val="Body"/>
              <w:tabs>
                <w:tab w:val="left" w:pos="3064"/>
              </w:tabs>
            </w:pPr>
            <w:r w:rsidRPr="00DF1884">
              <w:rPr>
                <w:b/>
              </w:rPr>
              <w:t>Xavier</w:t>
            </w:r>
            <w:r w:rsidR="00DF1884" w:rsidRPr="00DF1884">
              <w:rPr>
                <w:b/>
              </w:rPr>
              <w:t xml:space="preserve"> </w:t>
            </w:r>
            <w:r w:rsidRPr="00DF1884">
              <w:rPr>
                <w:b/>
              </w:rPr>
              <w:t>Sevilla,</w:t>
            </w:r>
            <w:r w:rsidR="00DF1884" w:rsidRPr="00DF1884">
              <w:rPr>
                <w:b/>
              </w:rPr>
              <w:t xml:space="preserve"> </w:t>
            </w:r>
            <w:r w:rsidRPr="00DF1884">
              <w:rPr>
                <w:b/>
              </w:rPr>
              <w:t>MD,</w:t>
            </w:r>
            <w:r w:rsidR="00DF1884" w:rsidRPr="00DF1884">
              <w:rPr>
                <w:b/>
              </w:rPr>
              <w:t xml:space="preserve"> </w:t>
            </w:r>
            <w:r w:rsidRPr="00DF1884">
              <w:rPr>
                <w:b/>
              </w:rPr>
              <w:t>FAAP</w:t>
            </w:r>
            <w:r w:rsidRPr="00DF1884">
              <w:br/>
            </w:r>
            <w:r w:rsidR="007E75E5" w:rsidRPr="00DF1884">
              <w:t>Catholic</w:t>
            </w:r>
            <w:r w:rsidR="00DF1884" w:rsidRPr="00DF1884">
              <w:t xml:space="preserve"> </w:t>
            </w:r>
            <w:r w:rsidR="007E75E5" w:rsidRPr="00DF1884">
              <w:t>Health</w:t>
            </w:r>
            <w:r w:rsidR="00DF1884" w:rsidRPr="00DF1884">
              <w:t xml:space="preserve"> </w:t>
            </w:r>
            <w:r w:rsidR="007E75E5" w:rsidRPr="00DF1884">
              <w:t>Initiatives</w:t>
            </w:r>
          </w:p>
          <w:p w14:paraId="403D7A55" w14:textId="75DFF548" w:rsidR="00463667" w:rsidRPr="00DF1884" w:rsidRDefault="00463667" w:rsidP="007E75E5">
            <w:pPr>
              <w:pStyle w:val="Body"/>
              <w:tabs>
                <w:tab w:val="left" w:pos="3064"/>
              </w:tabs>
            </w:pPr>
            <w:r w:rsidRPr="00DF1884">
              <w:rPr>
                <w:b/>
              </w:rPr>
              <w:t>Janet</w:t>
            </w:r>
            <w:r w:rsidR="00DF1884" w:rsidRPr="00DF1884">
              <w:rPr>
                <w:b/>
              </w:rPr>
              <w:t xml:space="preserve"> </w:t>
            </w:r>
            <w:r w:rsidRPr="00DF1884">
              <w:rPr>
                <w:b/>
              </w:rPr>
              <w:t>Sullivan,</w:t>
            </w:r>
            <w:r w:rsidR="00DF1884" w:rsidRPr="00DF1884">
              <w:rPr>
                <w:b/>
              </w:rPr>
              <w:t xml:space="preserve"> </w:t>
            </w:r>
            <w:r w:rsidRPr="00DF1884">
              <w:rPr>
                <w:b/>
              </w:rPr>
              <w:t>MD</w:t>
            </w:r>
            <w:r w:rsidRPr="00DF1884">
              <w:br/>
            </w:r>
            <w:r w:rsidR="007E75E5" w:rsidRPr="00DF1884">
              <w:t>Westchester</w:t>
            </w:r>
            <w:r w:rsidR="00DF1884" w:rsidRPr="00DF1884">
              <w:t xml:space="preserve"> </w:t>
            </w:r>
            <w:r w:rsidR="007E75E5" w:rsidRPr="00DF1884">
              <w:t>Medical</w:t>
            </w:r>
            <w:r w:rsidR="00DF1884" w:rsidRPr="00DF1884">
              <w:t xml:space="preserve"> </w:t>
            </w:r>
            <w:r w:rsidR="007E75E5" w:rsidRPr="00DF1884">
              <w:t>Center</w:t>
            </w:r>
          </w:p>
        </w:tc>
      </w:tr>
    </w:tbl>
    <w:p w14:paraId="1770BF24" w14:textId="55F60505" w:rsidR="00463667" w:rsidRPr="00DF1884" w:rsidRDefault="00463667" w:rsidP="00202CAE">
      <w:pPr>
        <w:pStyle w:val="ReverseHead"/>
      </w:pPr>
      <w:r w:rsidRPr="00DF1884">
        <w:t>Childhood/Adolescent</w:t>
      </w:r>
      <w:r w:rsidR="00DF1884" w:rsidRPr="00DF1884">
        <w:t xml:space="preserve"> </w:t>
      </w:r>
      <w:r w:rsidRPr="00DF1884">
        <w:t>Obesity</w:t>
      </w:r>
      <w:r w:rsidR="00DF1884" w:rsidRPr="00DF1884">
        <w:t xml:space="preserve"> </w:t>
      </w:r>
      <w:r w:rsidRPr="00DF1884">
        <w:t>Measurement</w:t>
      </w:r>
      <w:r w:rsidR="00DF1884" w:rsidRPr="00DF1884">
        <w:t xml:space="preserve"> </w:t>
      </w:r>
      <w:r w:rsidRPr="00DF1884">
        <w:t>Advisory</w:t>
      </w:r>
      <w:r w:rsidR="00DF1884" w:rsidRPr="00DF1884">
        <w:t xml:space="preserve"> </w:t>
      </w:r>
      <w:r w:rsidRPr="00DF1884">
        <w:t>Panel</w:t>
      </w:r>
    </w:p>
    <w:tbl>
      <w:tblPr>
        <w:tblW w:w="0" w:type="auto"/>
        <w:tblLayout w:type="fixed"/>
        <w:tblLook w:val="0000" w:firstRow="0" w:lastRow="0" w:firstColumn="0" w:lastColumn="0" w:noHBand="0" w:noVBand="0"/>
      </w:tblPr>
      <w:tblGrid>
        <w:gridCol w:w="4944"/>
        <w:gridCol w:w="4884"/>
      </w:tblGrid>
      <w:tr w:rsidR="00463667" w:rsidRPr="00DF1884" w14:paraId="4F48D7DF" w14:textId="77777777" w:rsidTr="00C56CA6">
        <w:tc>
          <w:tcPr>
            <w:tcW w:w="4944" w:type="dxa"/>
          </w:tcPr>
          <w:p w14:paraId="5B618D16" w14:textId="299C380B" w:rsidR="00463667" w:rsidRPr="00DF1884" w:rsidRDefault="00463667" w:rsidP="00C56CA6">
            <w:pPr>
              <w:pStyle w:val="Body"/>
            </w:pPr>
            <w:r w:rsidRPr="00DF1884">
              <w:rPr>
                <w:b/>
              </w:rPr>
              <w:t>Joe</w:t>
            </w:r>
            <w:r w:rsidR="00DF1884" w:rsidRPr="00DF1884">
              <w:rPr>
                <w:b/>
              </w:rPr>
              <w:t xml:space="preserve"> </w:t>
            </w:r>
            <w:r w:rsidRPr="00DF1884">
              <w:rPr>
                <w:b/>
              </w:rPr>
              <w:t>Anarella,</w:t>
            </w:r>
            <w:r w:rsidR="00DF1884" w:rsidRPr="00DF1884">
              <w:rPr>
                <w:b/>
              </w:rPr>
              <w:t xml:space="preserve"> </w:t>
            </w:r>
            <w:r w:rsidRPr="00DF1884">
              <w:rPr>
                <w:b/>
              </w:rPr>
              <w:t>MPH</w:t>
            </w:r>
            <w:r w:rsidRPr="00DF1884">
              <w:rPr>
                <w:b/>
              </w:rPr>
              <w:br/>
            </w:r>
            <w:r w:rsidRPr="00DF1884">
              <w:t>New</w:t>
            </w:r>
            <w:r w:rsidR="00DF1884" w:rsidRPr="00DF1884">
              <w:t xml:space="preserve"> </w:t>
            </w:r>
            <w:r w:rsidRPr="00DF1884">
              <w:t>York</w:t>
            </w:r>
            <w:r w:rsidR="00DF1884" w:rsidRPr="00DF1884">
              <w:t xml:space="preserve"> </w:t>
            </w:r>
            <w:r w:rsidRPr="00DF1884">
              <w:t>State</w:t>
            </w:r>
            <w:r w:rsidR="00DF1884" w:rsidRPr="00DF1884">
              <w:t xml:space="preserve"> </w:t>
            </w:r>
            <w:r w:rsidRPr="00DF1884">
              <w:t>Department</w:t>
            </w:r>
            <w:r w:rsidR="00DF1884" w:rsidRPr="00DF1884">
              <w:t xml:space="preserve"> </w:t>
            </w:r>
            <w:r w:rsidRPr="00DF1884">
              <w:t>of</w:t>
            </w:r>
            <w:r w:rsidR="00DF1884" w:rsidRPr="00DF1884">
              <w:t xml:space="preserve"> </w:t>
            </w:r>
            <w:r w:rsidRPr="00DF1884">
              <w:t>Health</w:t>
            </w:r>
          </w:p>
          <w:p w14:paraId="486E69FF" w14:textId="1FB55770" w:rsidR="00463667" w:rsidRPr="00DF1884" w:rsidRDefault="00463667" w:rsidP="00C56CA6">
            <w:pPr>
              <w:pStyle w:val="Body"/>
            </w:pPr>
            <w:r w:rsidRPr="00DF1884">
              <w:rPr>
                <w:b/>
              </w:rPr>
              <w:t>Keith</w:t>
            </w:r>
            <w:r w:rsidR="00DF1884" w:rsidRPr="00DF1884">
              <w:rPr>
                <w:b/>
              </w:rPr>
              <w:t xml:space="preserve"> </w:t>
            </w:r>
            <w:r w:rsidRPr="00DF1884">
              <w:rPr>
                <w:b/>
              </w:rPr>
              <w:t>Bachman,</w:t>
            </w:r>
            <w:r w:rsidR="00DF1884" w:rsidRPr="00DF1884">
              <w:rPr>
                <w:b/>
              </w:rPr>
              <w:t xml:space="preserve"> </w:t>
            </w:r>
            <w:r w:rsidRPr="00DF1884">
              <w:rPr>
                <w:b/>
              </w:rPr>
              <w:t>MD</w:t>
            </w:r>
            <w:r w:rsidRPr="00DF1884">
              <w:br/>
              <w:t>Kaiser</w:t>
            </w:r>
            <w:r w:rsidR="00DF1884" w:rsidRPr="00DF1884">
              <w:t xml:space="preserve"> </w:t>
            </w:r>
            <w:r w:rsidRPr="00DF1884">
              <w:t>Permanente,</w:t>
            </w:r>
            <w:r w:rsidR="00DF1884" w:rsidRPr="00DF1884">
              <w:t xml:space="preserve"> </w:t>
            </w:r>
            <w:r w:rsidRPr="00DF1884">
              <w:t>Oakland</w:t>
            </w:r>
          </w:p>
          <w:p w14:paraId="4EE52FC8" w14:textId="71374A53" w:rsidR="00463667" w:rsidRPr="00DF1884" w:rsidRDefault="00463667" w:rsidP="00C56CA6">
            <w:pPr>
              <w:pStyle w:val="Body"/>
              <w:tabs>
                <w:tab w:val="left" w:pos="3064"/>
              </w:tabs>
            </w:pPr>
            <w:r w:rsidRPr="00DF1884">
              <w:rPr>
                <w:b/>
              </w:rPr>
              <w:t>Terry</w:t>
            </w:r>
            <w:r w:rsidR="00DF1884" w:rsidRPr="00DF1884">
              <w:rPr>
                <w:b/>
              </w:rPr>
              <w:t xml:space="preserve"> </w:t>
            </w:r>
            <w:r w:rsidRPr="00DF1884">
              <w:rPr>
                <w:b/>
              </w:rPr>
              <w:t>Bazzarre,</w:t>
            </w:r>
            <w:r w:rsidR="00DF1884" w:rsidRPr="00DF1884">
              <w:rPr>
                <w:b/>
              </w:rPr>
              <w:t xml:space="preserve"> </w:t>
            </w:r>
            <w:r w:rsidRPr="00DF1884">
              <w:rPr>
                <w:b/>
              </w:rPr>
              <w:t>PhD</w:t>
            </w:r>
            <w:r w:rsidR="007E75E5" w:rsidRPr="00DF1884">
              <w:rPr>
                <w:b/>
              </w:rPr>
              <w:t>,</w:t>
            </w:r>
            <w:r w:rsidR="00DF1884" w:rsidRPr="00DF1884">
              <w:rPr>
                <w:b/>
              </w:rPr>
              <w:t xml:space="preserve"> </w:t>
            </w:r>
            <w:r w:rsidR="007E75E5" w:rsidRPr="00DF1884">
              <w:rPr>
                <w:b/>
              </w:rPr>
              <w:t>MS</w:t>
            </w:r>
            <w:r w:rsidRPr="00DF1884">
              <w:br/>
              <w:t>The</w:t>
            </w:r>
            <w:r w:rsidR="00DF1884" w:rsidRPr="00DF1884">
              <w:t xml:space="preserve"> </w:t>
            </w:r>
            <w:r w:rsidRPr="00DF1884">
              <w:t>Robert</w:t>
            </w:r>
            <w:r w:rsidR="00DF1884" w:rsidRPr="00DF1884">
              <w:t xml:space="preserve"> </w:t>
            </w:r>
            <w:r w:rsidRPr="00DF1884">
              <w:t>Wood</w:t>
            </w:r>
            <w:r w:rsidR="00DF1884" w:rsidRPr="00DF1884">
              <w:t xml:space="preserve"> </w:t>
            </w:r>
            <w:r w:rsidRPr="00DF1884">
              <w:t>Johnson</w:t>
            </w:r>
            <w:r w:rsidR="00DF1884" w:rsidRPr="00DF1884">
              <w:t xml:space="preserve"> </w:t>
            </w:r>
            <w:r w:rsidRPr="00DF1884">
              <w:t>Foundation</w:t>
            </w:r>
          </w:p>
          <w:p w14:paraId="4966E4D2" w14:textId="0AC83D0E" w:rsidR="00463667" w:rsidRPr="00DF1884" w:rsidRDefault="00463667" w:rsidP="00C56CA6">
            <w:pPr>
              <w:pStyle w:val="Body"/>
            </w:pPr>
            <w:r w:rsidRPr="00DF1884">
              <w:rPr>
                <w:b/>
              </w:rPr>
              <w:t>Chris</w:t>
            </w:r>
            <w:r w:rsidR="00DF1884" w:rsidRPr="00DF1884">
              <w:rPr>
                <w:b/>
              </w:rPr>
              <w:t xml:space="preserve"> </w:t>
            </w:r>
            <w:r w:rsidRPr="00DF1884">
              <w:rPr>
                <w:b/>
              </w:rPr>
              <w:t>Bolling,</w:t>
            </w:r>
            <w:r w:rsidR="00DF1884" w:rsidRPr="00DF1884">
              <w:rPr>
                <w:b/>
              </w:rPr>
              <w:t xml:space="preserve"> </w:t>
            </w:r>
            <w:r w:rsidRPr="00DF1884">
              <w:rPr>
                <w:b/>
              </w:rPr>
              <w:t>MD</w:t>
            </w:r>
            <w:r w:rsidR="00DF1884" w:rsidRPr="00DF1884">
              <w:rPr>
                <w:b/>
              </w:rPr>
              <w:t xml:space="preserve"> </w:t>
            </w:r>
            <w:r w:rsidRPr="00DF1884">
              <w:rPr>
                <w:b/>
              </w:rPr>
              <w:t>(Co-Chair)</w:t>
            </w:r>
            <w:r w:rsidRPr="00DF1884">
              <w:rPr>
                <w:b/>
              </w:rPr>
              <w:br/>
            </w:r>
            <w:r w:rsidRPr="00DF1884">
              <w:t>Cincinnati</w:t>
            </w:r>
            <w:r w:rsidR="00DF1884" w:rsidRPr="00DF1884">
              <w:t xml:space="preserve"> </w:t>
            </w:r>
            <w:r w:rsidRPr="00DF1884">
              <w:t>Children’s</w:t>
            </w:r>
            <w:r w:rsidR="00DF1884" w:rsidRPr="00DF1884">
              <w:t xml:space="preserve"> </w:t>
            </w:r>
            <w:r w:rsidRPr="00DF1884">
              <w:t>Hospital</w:t>
            </w:r>
            <w:r w:rsidR="00DF1884" w:rsidRPr="00DF1884">
              <w:t xml:space="preserve"> </w:t>
            </w:r>
            <w:r w:rsidRPr="00DF1884">
              <w:t>Medical</w:t>
            </w:r>
            <w:r w:rsidR="00DF1884" w:rsidRPr="00DF1884">
              <w:t xml:space="preserve"> </w:t>
            </w:r>
            <w:r w:rsidRPr="00DF1884">
              <w:t>Center</w:t>
            </w:r>
          </w:p>
          <w:p w14:paraId="0B652BFA" w14:textId="47E775DB" w:rsidR="00463667" w:rsidRPr="00DF1884" w:rsidRDefault="00463667" w:rsidP="00C56CA6">
            <w:pPr>
              <w:pStyle w:val="Body"/>
              <w:tabs>
                <w:tab w:val="left" w:pos="3064"/>
              </w:tabs>
            </w:pPr>
            <w:r w:rsidRPr="00DF1884">
              <w:rPr>
                <w:b/>
              </w:rPr>
              <w:t>William</w:t>
            </w:r>
            <w:r w:rsidR="00DF1884" w:rsidRPr="00DF1884">
              <w:rPr>
                <w:b/>
              </w:rPr>
              <w:t xml:space="preserve"> </w:t>
            </w:r>
            <w:r w:rsidRPr="00DF1884">
              <w:rPr>
                <w:b/>
              </w:rPr>
              <w:t>Dietz,</w:t>
            </w:r>
            <w:r w:rsidR="00DF1884" w:rsidRPr="00DF1884">
              <w:rPr>
                <w:b/>
              </w:rPr>
              <w:t xml:space="preserve"> </w:t>
            </w:r>
            <w:r w:rsidRPr="00DF1884">
              <w:rPr>
                <w:b/>
              </w:rPr>
              <w:t>MD,</w:t>
            </w:r>
            <w:r w:rsidR="00DF1884" w:rsidRPr="00DF1884">
              <w:rPr>
                <w:b/>
              </w:rPr>
              <w:t xml:space="preserve"> </w:t>
            </w:r>
            <w:r w:rsidRPr="00DF1884">
              <w:rPr>
                <w:b/>
              </w:rPr>
              <w:t>PhD</w:t>
            </w:r>
            <w:r w:rsidRPr="00DF1884">
              <w:br/>
            </w:r>
            <w:r w:rsidR="007E75E5" w:rsidRPr="00DF1884">
              <w:t>STOP</w:t>
            </w:r>
            <w:r w:rsidR="00DF1884" w:rsidRPr="00DF1884">
              <w:t xml:space="preserve"> </w:t>
            </w:r>
            <w:r w:rsidR="007E75E5" w:rsidRPr="00DF1884">
              <w:t>Obesity,</w:t>
            </w:r>
            <w:r w:rsidR="00DF1884" w:rsidRPr="00DF1884">
              <w:t xml:space="preserve"> </w:t>
            </w:r>
            <w:r w:rsidR="007E75E5" w:rsidRPr="00DF1884">
              <w:t>George</w:t>
            </w:r>
            <w:r w:rsidR="00DF1884" w:rsidRPr="00DF1884">
              <w:t xml:space="preserve"> </w:t>
            </w:r>
            <w:r w:rsidR="007E75E5" w:rsidRPr="00DF1884">
              <w:t>Washington</w:t>
            </w:r>
            <w:r w:rsidR="00DF1884" w:rsidRPr="00DF1884">
              <w:t xml:space="preserve"> </w:t>
            </w:r>
            <w:r w:rsidR="007E75E5" w:rsidRPr="00DF1884">
              <w:t>University</w:t>
            </w:r>
          </w:p>
          <w:p w14:paraId="4354C793" w14:textId="55108278" w:rsidR="00463667" w:rsidRPr="00DF1884" w:rsidRDefault="00463667" w:rsidP="00C56CA6">
            <w:pPr>
              <w:pStyle w:val="Body"/>
              <w:rPr>
                <w:b/>
              </w:rPr>
            </w:pPr>
            <w:r w:rsidRPr="00DF1884">
              <w:rPr>
                <w:b/>
              </w:rPr>
              <w:t>Molly</w:t>
            </w:r>
            <w:r w:rsidR="00DF1884" w:rsidRPr="00DF1884">
              <w:rPr>
                <w:b/>
              </w:rPr>
              <w:t xml:space="preserve"> </w:t>
            </w:r>
            <w:r w:rsidRPr="00DF1884">
              <w:rPr>
                <w:b/>
              </w:rPr>
              <w:t>Gee,</w:t>
            </w:r>
            <w:r w:rsidR="00DF1884" w:rsidRPr="00DF1884">
              <w:rPr>
                <w:b/>
              </w:rPr>
              <w:t xml:space="preserve"> </w:t>
            </w:r>
            <w:r w:rsidRPr="00DF1884">
              <w:rPr>
                <w:b/>
              </w:rPr>
              <w:t>MEd,</w:t>
            </w:r>
            <w:r w:rsidR="00DF1884" w:rsidRPr="00DF1884">
              <w:rPr>
                <w:b/>
              </w:rPr>
              <w:t xml:space="preserve"> </w:t>
            </w:r>
            <w:r w:rsidRPr="00DF1884">
              <w:rPr>
                <w:b/>
              </w:rPr>
              <w:t>LD,</w:t>
            </w:r>
            <w:r w:rsidR="00DF1884" w:rsidRPr="00DF1884">
              <w:rPr>
                <w:b/>
              </w:rPr>
              <w:t xml:space="preserve"> </w:t>
            </w:r>
            <w:r w:rsidRPr="00DF1884">
              <w:rPr>
                <w:b/>
              </w:rPr>
              <w:t>RD</w:t>
            </w:r>
            <w:r w:rsidRPr="00DF1884">
              <w:br/>
              <w:t>Baylor</w:t>
            </w:r>
            <w:r w:rsidR="00DF1884" w:rsidRPr="00DF1884">
              <w:t xml:space="preserve"> </w:t>
            </w:r>
            <w:r w:rsidRPr="00DF1884">
              <w:t>College</w:t>
            </w:r>
            <w:r w:rsidR="00DF1884" w:rsidRPr="00DF1884">
              <w:t xml:space="preserve"> </w:t>
            </w:r>
            <w:r w:rsidRPr="00DF1884">
              <w:t>of</w:t>
            </w:r>
            <w:r w:rsidR="00DF1884" w:rsidRPr="00DF1884">
              <w:t xml:space="preserve"> </w:t>
            </w:r>
            <w:r w:rsidRPr="00DF1884">
              <w:t>Medicine</w:t>
            </w:r>
          </w:p>
          <w:p w14:paraId="26791D42" w14:textId="7C163E9D" w:rsidR="00463667" w:rsidRPr="00DF1884" w:rsidRDefault="00463667" w:rsidP="007E75E5">
            <w:pPr>
              <w:pStyle w:val="Body"/>
              <w:tabs>
                <w:tab w:val="left" w:pos="3064"/>
              </w:tabs>
              <w:rPr>
                <w:b/>
              </w:rPr>
            </w:pPr>
            <w:r w:rsidRPr="00DF1884">
              <w:rPr>
                <w:b/>
              </w:rPr>
              <w:t>Sandra</w:t>
            </w:r>
            <w:r w:rsidR="00DF1884" w:rsidRPr="00DF1884">
              <w:rPr>
                <w:b/>
              </w:rPr>
              <w:t xml:space="preserve"> </w:t>
            </w:r>
            <w:r w:rsidRPr="00DF1884">
              <w:rPr>
                <w:b/>
              </w:rPr>
              <w:t>Hassink,</w:t>
            </w:r>
            <w:r w:rsidR="00DF1884" w:rsidRPr="00DF1884">
              <w:rPr>
                <w:b/>
              </w:rPr>
              <w:t xml:space="preserve"> </w:t>
            </w:r>
            <w:r w:rsidRPr="00DF1884">
              <w:rPr>
                <w:b/>
              </w:rPr>
              <w:t>MD,</w:t>
            </w:r>
            <w:r w:rsidR="00DF1884" w:rsidRPr="00DF1884">
              <w:rPr>
                <w:b/>
              </w:rPr>
              <w:t xml:space="preserve"> </w:t>
            </w:r>
            <w:r w:rsidRPr="00DF1884">
              <w:rPr>
                <w:b/>
              </w:rPr>
              <w:t>FAAP</w:t>
            </w:r>
            <w:r w:rsidRPr="00DF1884">
              <w:rPr>
                <w:b/>
              </w:rPr>
              <w:br/>
            </w:r>
            <w:r w:rsidR="007E75E5" w:rsidRPr="00DF1884">
              <w:t>American</w:t>
            </w:r>
            <w:r w:rsidR="00DF1884" w:rsidRPr="00DF1884">
              <w:t xml:space="preserve"> </w:t>
            </w:r>
            <w:r w:rsidR="007E75E5" w:rsidRPr="00DF1884">
              <w:t>Academy</w:t>
            </w:r>
            <w:r w:rsidR="00DF1884" w:rsidRPr="00DF1884">
              <w:t xml:space="preserve"> </w:t>
            </w:r>
            <w:r w:rsidR="007E75E5" w:rsidRPr="00DF1884">
              <w:t>of</w:t>
            </w:r>
            <w:r w:rsidR="00DF1884" w:rsidRPr="00DF1884">
              <w:t xml:space="preserve"> </w:t>
            </w:r>
            <w:r w:rsidR="007E75E5" w:rsidRPr="00DF1884">
              <w:t>Pediatrics</w:t>
            </w:r>
            <w:r w:rsidR="00DF1884" w:rsidRPr="00DF1884">
              <w:t xml:space="preserve"> </w:t>
            </w:r>
          </w:p>
        </w:tc>
        <w:tc>
          <w:tcPr>
            <w:tcW w:w="4884" w:type="dxa"/>
            <w:tcBorders>
              <w:bottom w:val="nil"/>
            </w:tcBorders>
          </w:tcPr>
          <w:p w14:paraId="0F643210" w14:textId="25B2D75B" w:rsidR="00463667" w:rsidRPr="00DF1884" w:rsidRDefault="00463667" w:rsidP="00C56CA6">
            <w:pPr>
              <w:pStyle w:val="Body"/>
            </w:pPr>
            <w:r w:rsidRPr="00DF1884">
              <w:rPr>
                <w:b/>
              </w:rPr>
              <w:t>Francine</w:t>
            </w:r>
            <w:r w:rsidR="00DF1884" w:rsidRPr="00DF1884">
              <w:rPr>
                <w:b/>
              </w:rPr>
              <w:t xml:space="preserve"> </w:t>
            </w:r>
            <w:r w:rsidRPr="00DF1884">
              <w:rPr>
                <w:b/>
              </w:rPr>
              <w:t>Kaufman,</w:t>
            </w:r>
            <w:r w:rsidR="00DF1884" w:rsidRPr="00DF1884">
              <w:rPr>
                <w:b/>
              </w:rPr>
              <w:t xml:space="preserve"> </w:t>
            </w:r>
            <w:r w:rsidRPr="00DF1884">
              <w:rPr>
                <w:b/>
              </w:rPr>
              <w:t>MD</w:t>
            </w:r>
            <w:r w:rsidRPr="00DF1884">
              <w:rPr>
                <w:b/>
              </w:rPr>
              <w:br/>
            </w:r>
            <w:r w:rsidR="007E75E5" w:rsidRPr="00DF1884">
              <w:t>Children’s</w:t>
            </w:r>
            <w:r w:rsidR="00DF1884" w:rsidRPr="00DF1884">
              <w:t xml:space="preserve"> </w:t>
            </w:r>
            <w:r w:rsidR="007E75E5" w:rsidRPr="00DF1884">
              <w:t>Hospital</w:t>
            </w:r>
            <w:r w:rsidR="00DF1884" w:rsidRPr="00DF1884">
              <w:t xml:space="preserve"> </w:t>
            </w:r>
            <w:r w:rsidR="007E75E5" w:rsidRPr="00DF1884">
              <w:t>Los</w:t>
            </w:r>
            <w:r w:rsidR="00DF1884" w:rsidRPr="00DF1884">
              <w:t xml:space="preserve"> </w:t>
            </w:r>
            <w:r w:rsidR="007E75E5" w:rsidRPr="00DF1884">
              <w:t>Angeles</w:t>
            </w:r>
          </w:p>
          <w:p w14:paraId="11E1556D" w14:textId="68290A02" w:rsidR="00463667" w:rsidRPr="00DF1884" w:rsidRDefault="00463667" w:rsidP="00C56CA6">
            <w:pPr>
              <w:pStyle w:val="Body"/>
            </w:pPr>
            <w:r w:rsidRPr="00DF1884">
              <w:rPr>
                <w:b/>
              </w:rPr>
              <w:t>Jonathan</w:t>
            </w:r>
            <w:r w:rsidR="00DF1884" w:rsidRPr="00DF1884">
              <w:rPr>
                <w:b/>
              </w:rPr>
              <w:t xml:space="preserve"> </w:t>
            </w:r>
            <w:r w:rsidRPr="00DF1884">
              <w:rPr>
                <w:b/>
              </w:rPr>
              <w:t>Klein,</w:t>
            </w:r>
            <w:r w:rsidR="00DF1884" w:rsidRPr="00DF1884">
              <w:rPr>
                <w:b/>
              </w:rPr>
              <w:t xml:space="preserve"> </w:t>
            </w:r>
            <w:r w:rsidRPr="00DF1884">
              <w:rPr>
                <w:b/>
              </w:rPr>
              <w:t>MD,</w:t>
            </w:r>
            <w:r w:rsidR="00DF1884" w:rsidRPr="00DF1884">
              <w:rPr>
                <w:b/>
              </w:rPr>
              <w:t xml:space="preserve"> </w:t>
            </w:r>
            <w:r w:rsidRPr="00DF1884">
              <w:rPr>
                <w:b/>
              </w:rPr>
              <w:t>MPH</w:t>
            </w:r>
            <w:r w:rsidR="00DF1884" w:rsidRPr="00DF1884">
              <w:rPr>
                <w:b/>
              </w:rPr>
              <w:t xml:space="preserve"> </w:t>
            </w:r>
            <w:r w:rsidRPr="00DF1884">
              <w:rPr>
                <w:b/>
              </w:rPr>
              <w:t>(Co-Chair)</w:t>
            </w:r>
            <w:r w:rsidRPr="00DF1884">
              <w:rPr>
                <w:b/>
              </w:rPr>
              <w:br/>
            </w:r>
            <w:r w:rsidR="007E75E5" w:rsidRPr="00DF1884">
              <w:t>American</w:t>
            </w:r>
            <w:r w:rsidR="00DF1884" w:rsidRPr="00DF1884">
              <w:t xml:space="preserve"> </w:t>
            </w:r>
            <w:r w:rsidR="007E75E5" w:rsidRPr="00DF1884">
              <w:t>Academy</w:t>
            </w:r>
            <w:r w:rsidR="00DF1884" w:rsidRPr="00DF1884">
              <w:t xml:space="preserve"> </w:t>
            </w:r>
            <w:r w:rsidR="007E75E5" w:rsidRPr="00DF1884">
              <w:t>of</w:t>
            </w:r>
            <w:r w:rsidR="00DF1884" w:rsidRPr="00DF1884">
              <w:t xml:space="preserve"> </w:t>
            </w:r>
            <w:r w:rsidR="007E75E5" w:rsidRPr="00DF1884">
              <w:t>Pediatrics</w:t>
            </w:r>
          </w:p>
          <w:p w14:paraId="0C96E043" w14:textId="67A7CE23" w:rsidR="00463667" w:rsidRPr="00DF1884" w:rsidRDefault="00463667" w:rsidP="00C56CA6">
            <w:pPr>
              <w:pStyle w:val="Body"/>
              <w:tabs>
                <w:tab w:val="left" w:pos="3064"/>
              </w:tabs>
            </w:pPr>
            <w:r w:rsidRPr="00DF1884">
              <w:rPr>
                <w:b/>
              </w:rPr>
              <w:t>Nancy</w:t>
            </w:r>
            <w:r w:rsidR="00DF1884" w:rsidRPr="00DF1884">
              <w:rPr>
                <w:b/>
              </w:rPr>
              <w:t xml:space="preserve"> </w:t>
            </w:r>
            <w:r w:rsidRPr="00DF1884">
              <w:rPr>
                <w:b/>
              </w:rPr>
              <w:t>F.</w:t>
            </w:r>
            <w:r w:rsidR="00DF1884" w:rsidRPr="00DF1884">
              <w:rPr>
                <w:b/>
              </w:rPr>
              <w:t xml:space="preserve"> </w:t>
            </w:r>
            <w:r w:rsidRPr="00DF1884">
              <w:rPr>
                <w:b/>
              </w:rPr>
              <w:t>Krebs,</w:t>
            </w:r>
            <w:r w:rsidR="00DF1884" w:rsidRPr="00DF1884">
              <w:rPr>
                <w:b/>
              </w:rPr>
              <w:t xml:space="preserve"> </w:t>
            </w:r>
            <w:r w:rsidRPr="00DF1884">
              <w:rPr>
                <w:b/>
              </w:rPr>
              <w:t>MD</w:t>
            </w:r>
            <w:r w:rsidRPr="00DF1884">
              <w:br/>
              <w:t>University</w:t>
            </w:r>
            <w:r w:rsidR="00DF1884" w:rsidRPr="00DF1884">
              <w:t xml:space="preserve"> </w:t>
            </w:r>
            <w:r w:rsidRPr="00DF1884">
              <w:t>of</w:t>
            </w:r>
            <w:r w:rsidR="00DF1884" w:rsidRPr="00DF1884">
              <w:t xml:space="preserve"> </w:t>
            </w:r>
            <w:r w:rsidRPr="00DF1884">
              <w:t>Colorado</w:t>
            </w:r>
            <w:r w:rsidR="00DF1884" w:rsidRPr="00DF1884">
              <w:t xml:space="preserve"> </w:t>
            </w:r>
            <w:r w:rsidR="007E75E5" w:rsidRPr="00DF1884">
              <w:t>-</w:t>
            </w:r>
            <w:r w:rsidR="00DF1884" w:rsidRPr="00DF1884">
              <w:t xml:space="preserve"> </w:t>
            </w:r>
            <w:r w:rsidR="007E75E5" w:rsidRPr="00DF1884">
              <w:t>Denver</w:t>
            </w:r>
          </w:p>
          <w:p w14:paraId="13261D85" w14:textId="35E526CF" w:rsidR="00463667" w:rsidRPr="00DF1884" w:rsidRDefault="00463667" w:rsidP="00C56CA6">
            <w:pPr>
              <w:pStyle w:val="Body"/>
              <w:tabs>
                <w:tab w:val="left" w:pos="3064"/>
              </w:tabs>
            </w:pPr>
            <w:r w:rsidRPr="00DF1884">
              <w:rPr>
                <w:b/>
              </w:rPr>
              <w:t>Catherine</w:t>
            </w:r>
            <w:r w:rsidR="00DF1884" w:rsidRPr="00DF1884">
              <w:rPr>
                <w:b/>
              </w:rPr>
              <w:t xml:space="preserve"> </w:t>
            </w:r>
            <w:r w:rsidRPr="00DF1884">
              <w:rPr>
                <w:b/>
              </w:rPr>
              <w:t>MacLean,</w:t>
            </w:r>
            <w:r w:rsidR="00DF1884" w:rsidRPr="00DF1884">
              <w:rPr>
                <w:b/>
              </w:rPr>
              <w:t xml:space="preserve"> </w:t>
            </w:r>
            <w:r w:rsidRPr="00DF1884">
              <w:rPr>
                <w:b/>
              </w:rPr>
              <w:t>MD,</w:t>
            </w:r>
            <w:r w:rsidR="00DF1884" w:rsidRPr="00DF1884">
              <w:rPr>
                <w:b/>
              </w:rPr>
              <w:t xml:space="preserve"> </w:t>
            </w:r>
            <w:r w:rsidRPr="00DF1884">
              <w:rPr>
                <w:b/>
              </w:rPr>
              <w:t>PhD</w:t>
            </w:r>
            <w:r w:rsidRPr="00DF1884">
              <w:br/>
            </w:r>
            <w:r w:rsidR="007E75E5" w:rsidRPr="00DF1884">
              <w:t>VA</w:t>
            </w:r>
            <w:r w:rsidR="00DF1884" w:rsidRPr="00DF1884">
              <w:t xml:space="preserve"> </w:t>
            </w:r>
            <w:r w:rsidR="007E75E5" w:rsidRPr="00DF1884">
              <w:t>Greater</w:t>
            </w:r>
            <w:r w:rsidR="00DF1884" w:rsidRPr="00DF1884">
              <w:t xml:space="preserve"> </w:t>
            </w:r>
            <w:r w:rsidR="007E75E5" w:rsidRPr="00DF1884">
              <w:t>Los</w:t>
            </w:r>
            <w:r w:rsidR="00DF1884" w:rsidRPr="00DF1884">
              <w:t xml:space="preserve"> </w:t>
            </w:r>
            <w:r w:rsidR="007E75E5" w:rsidRPr="00DF1884">
              <w:t>Angeles</w:t>
            </w:r>
            <w:r w:rsidR="00DF1884" w:rsidRPr="00DF1884">
              <w:t xml:space="preserve"> </w:t>
            </w:r>
            <w:r w:rsidR="007E75E5" w:rsidRPr="00DF1884">
              <w:t>Healthcare</w:t>
            </w:r>
            <w:r w:rsidR="00DF1884" w:rsidRPr="00DF1884">
              <w:t xml:space="preserve"> </w:t>
            </w:r>
            <w:r w:rsidR="007E75E5" w:rsidRPr="00DF1884">
              <w:t>System</w:t>
            </w:r>
          </w:p>
          <w:p w14:paraId="38472D1E" w14:textId="16FCFC0C" w:rsidR="00463667" w:rsidRPr="00DF1884" w:rsidRDefault="00463667" w:rsidP="00C56CA6">
            <w:pPr>
              <w:pStyle w:val="Body"/>
              <w:tabs>
                <w:tab w:val="left" w:pos="3064"/>
              </w:tabs>
            </w:pPr>
            <w:r w:rsidRPr="00DF1884">
              <w:rPr>
                <w:b/>
              </w:rPr>
              <w:t>Joe</w:t>
            </w:r>
            <w:r w:rsidR="00DF1884" w:rsidRPr="00DF1884">
              <w:rPr>
                <w:b/>
              </w:rPr>
              <w:t xml:space="preserve"> </w:t>
            </w:r>
            <w:r w:rsidRPr="00DF1884">
              <w:rPr>
                <w:b/>
              </w:rPr>
              <w:t>Thompson,</w:t>
            </w:r>
            <w:r w:rsidR="00DF1884" w:rsidRPr="00DF1884">
              <w:rPr>
                <w:b/>
              </w:rPr>
              <w:t xml:space="preserve"> </w:t>
            </w:r>
            <w:r w:rsidRPr="00DF1884">
              <w:rPr>
                <w:b/>
              </w:rPr>
              <w:t>MD,</w:t>
            </w:r>
            <w:r w:rsidR="00DF1884" w:rsidRPr="00DF1884">
              <w:rPr>
                <w:b/>
              </w:rPr>
              <w:t xml:space="preserve"> </w:t>
            </w:r>
            <w:r w:rsidRPr="00DF1884">
              <w:rPr>
                <w:b/>
              </w:rPr>
              <w:t>MPH</w:t>
            </w:r>
            <w:r w:rsidRPr="00DF1884">
              <w:br/>
              <w:t>Arkansas</w:t>
            </w:r>
            <w:r w:rsidR="00DF1884" w:rsidRPr="00DF1884">
              <w:t xml:space="preserve"> </w:t>
            </w:r>
            <w:r w:rsidRPr="00DF1884">
              <w:t>Center</w:t>
            </w:r>
            <w:r w:rsidR="00DF1884" w:rsidRPr="00DF1884">
              <w:t xml:space="preserve"> </w:t>
            </w:r>
            <w:r w:rsidRPr="00DF1884">
              <w:t>for</w:t>
            </w:r>
            <w:r w:rsidR="00DF1884" w:rsidRPr="00DF1884">
              <w:t xml:space="preserve"> </w:t>
            </w:r>
            <w:r w:rsidRPr="00DF1884">
              <w:t>Health</w:t>
            </w:r>
            <w:r w:rsidR="00DF1884" w:rsidRPr="00DF1884">
              <w:t xml:space="preserve"> </w:t>
            </w:r>
            <w:r w:rsidRPr="00DF1884">
              <w:t>Improvement</w:t>
            </w:r>
          </w:p>
          <w:p w14:paraId="1D9A9B69" w14:textId="390AB4B3" w:rsidR="00463667" w:rsidRPr="00DF1884" w:rsidRDefault="00463667" w:rsidP="007E75E5">
            <w:pPr>
              <w:pStyle w:val="Body"/>
              <w:tabs>
                <w:tab w:val="left" w:pos="3064"/>
              </w:tabs>
            </w:pPr>
            <w:r w:rsidRPr="00DF1884">
              <w:rPr>
                <w:b/>
              </w:rPr>
              <w:t>Reginald</w:t>
            </w:r>
            <w:r w:rsidR="00DF1884" w:rsidRPr="00DF1884">
              <w:rPr>
                <w:b/>
              </w:rPr>
              <w:t xml:space="preserve"> </w:t>
            </w:r>
            <w:r w:rsidRPr="00DF1884">
              <w:rPr>
                <w:b/>
              </w:rPr>
              <w:t>L.</w:t>
            </w:r>
            <w:r w:rsidR="00DF1884" w:rsidRPr="00DF1884">
              <w:rPr>
                <w:b/>
              </w:rPr>
              <w:t xml:space="preserve"> </w:t>
            </w:r>
            <w:r w:rsidRPr="00DF1884">
              <w:rPr>
                <w:b/>
              </w:rPr>
              <w:t>Washington,</w:t>
            </w:r>
            <w:r w:rsidR="00DF1884" w:rsidRPr="00DF1884">
              <w:rPr>
                <w:b/>
              </w:rPr>
              <w:t xml:space="preserve"> </w:t>
            </w:r>
            <w:r w:rsidRPr="00DF1884">
              <w:rPr>
                <w:b/>
              </w:rPr>
              <w:t>MD,</w:t>
            </w:r>
            <w:r w:rsidR="00DF1884" w:rsidRPr="00DF1884">
              <w:rPr>
                <w:b/>
              </w:rPr>
              <w:t xml:space="preserve"> </w:t>
            </w:r>
            <w:r w:rsidRPr="00DF1884">
              <w:rPr>
                <w:b/>
              </w:rPr>
              <w:t>FAAP,</w:t>
            </w:r>
            <w:r w:rsidR="00DF1884" w:rsidRPr="00DF1884">
              <w:rPr>
                <w:b/>
              </w:rPr>
              <w:t xml:space="preserve"> </w:t>
            </w:r>
            <w:r w:rsidRPr="00DF1884">
              <w:rPr>
                <w:b/>
              </w:rPr>
              <w:t>FACC,</w:t>
            </w:r>
            <w:r w:rsidR="00DF1884" w:rsidRPr="00DF1884">
              <w:rPr>
                <w:b/>
              </w:rPr>
              <w:t xml:space="preserve"> </w:t>
            </w:r>
            <w:r w:rsidRPr="00DF1884">
              <w:rPr>
                <w:b/>
              </w:rPr>
              <w:t>FAHA</w:t>
            </w:r>
            <w:r w:rsidRPr="00DF1884">
              <w:br/>
              <w:t>University</w:t>
            </w:r>
            <w:r w:rsidR="00DF1884" w:rsidRPr="00DF1884">
              <w:t xml:space="preserve"> </w:t>
            </w:r>
            <w:r w:rsidRPr="00DF1884">
              <w:t>of</w:t>
            </w:r>
            <w:r w:rsidR="00DF1884" w:rsidRPr="00DF1884">
              <w:t xml:space="preserve"> </w:t>
            </w:r>
            <w:r w:rsidRPr="00DF1884">
              <w:t>Colorado</w:t>
            </w:r>
            <w:r w:rsidR="00DF1884" w:rsidRPr="00DF1884">
              <w:t xml:space="preserve"> </w:t>
            </w:r>
            <w:r w:rsidR="007E75E5" w:rsidRPr="00DF1884">
              <w:t>Health</w:t>
            </w:r>
            <w:r w:rsidR="00DF1884" w:rsidRPr="00DF1884">
              <w:t xml:space="preserve"> </w:t>
            </w:r>
            <w:r w:rsidR="007E75E5" w:rsidRPr="00DF1884">
              <w:t>Sciences</w:t>
            </w:r>
            <w:r w:rsidR="00DF1884" w:rsidRPr="00DF1884">
              <w:t xml:space="preserve"> </w:t>
            </w:r>
            <w:r w:rsidRPr="00DF1884">
              <w:t>Center</w:t>
            </w:r>
          </w:p>
        </w:tc>
      </w:tr>
    </w:tbl>
    <w:p w14:paraId="388E5FDA" w14:textId="77777777" w:rsidR="00463667" w:rsidRPr="00DF1884" w:rsidRDefault="00463667" w:rsidP="00463667">
      <w:pPr>
        <w:sectPr w:rsidR="00463667" w:rsidRPr="00DF1884" w:rsidSect="0039781B">
          <w:pgSz w:w="12240" w:h="15840" w:code="1"/>
          <w:pgMar w:top="1080" w:right="1080" w:bottom="1080" w:left="1440" w:header="720" w:footer="720" w:gutter="0"/>
          <w:cols w:space="720"/>
        </w:sectPr>
      </w:pPr>
    </w:p>
    <w:p w14:paraId="48FFFFDE" w14:textId="00144CC6" w:rsidR="00463667" w:rsidRPr="00DF1884" w:rsidRDefault="00463667" w:rsidP="00202CAE">
      <w:pPr>
        <w:pStyle w:val="ReverseHead"/>
        <w:spacing w:before="0"/>
      </w:pPr>
      <w:r w:rsidRPr="00DF1884">
        <w:t>Culturally</w:t>
      </w:r>
      <w:r w:rsidR="00DF1884" w:rsidRPr="00DF1884">
        <w:t xml:space="preserve"> </w:t>
      </w:r>
      <w:r w:rsidRPr="00DF1884">
        <w:t>and</w:t>
      </w:r>
      <w:r w:rsidR="00DF1884" w:rsidRPr="00DF1884">
        <w:t xml:space="preserve"> </w:t>
      </w:r>
      <w:r w:rsidRPr="00DF1884">
        <w:t>Linguistically</w:t>
      </w:r>
      <w:r w:rsidR="00DF1884" w:rsidRPr="00DF1884">
        <w:t xml:space="preserve"> </w:t>
      </w:r>
      <w:r w:rsidRPr="00DF1884">
        <w:t>Appropriate</w:t>
      </w:r>
      <w:r w:rsidR="00DF1884" w:rsidRPr="00DF1884">
        <w:t xml:space="preserve"> </w:t>
      </w:r>
      <w:r w:rsidRPr="00DF1884">
        <w:t>Services</w:t>
      </w:r>
      <w:r w:rsidR="00DF1884" w:rsidRPr="00DF1884">
        <w:t xml:space="preserve"> </w:t>
      </w:r>
      <w:r w:rsidRPr="00DF1884">
        <w:t>Workgroup</w:t>
      </w:r>
      <w:r w:rsidR="00DF1884" w:rsidRPr="00DF1884">
        <w:t xml:space="preserve"> </w:t>
      </w:r>
    </w:p>
    <w:tbl>
      <w:tblPr>
        <w:tblW w:w="0" w:type="auto"/>
        <w:tblLayout w:type="fixed"/>
        <w:tblLook w:val="0000" w:firstRow="0" w:lastRow="0" w:firstColumn="0" w:lastColumn="0" w:noHBand="0" w:noVBand="0"/>
      </w:tblPr>
      <w:tblGrid>
        <w:gridCol w:w="4878"/>
        <w:gridCol w:w="4950"/>
      </w:tblGrid>
      <w:tr w:rsidR="00463667" w:rsidRPr="00DF1884" w14:paraId="63DD84AF" w14:textId="77777777" w:rsidTr="00C56CA6">
        <w:trPr>
          <w:cantSplit/>
        </w:trPr>
        <w:tc>
          <w:tcPr>
            <w:tcW w:w="4878" w:type="dxa"/>
            <w:tcBorders>
              <w:bottom w:val="nil"/>
            </w:tcBorders>
          </w:tcPr>
          <w:p w14:paraId="2007C10A" w14:textId="122EF5EB" w:rsidR="00463667" w:rsidRPr="00DF1884" w:rsidRDefault="00463667" w:rsidP="00C56CA6">
            <w:pPr>
              <w:pStyle w:val="Body"/>
              <w:rPr>
                <w:bCs/>
              </w:rPr>
            </w:pPr>
            <w:r w:rsidRPr="00DF1884">
              <w:rPr>
                <w:b/>
              </w:rPr>
              <w:t>Kathryn</w:t>
            </w:r>
            <w:r w:rsidR="00DF1884" w:rsidRPr="00DF1884">
              <w:rPr>
                <w:b/>
              </w:rPr>
              <w:t xml:space="preserve"> </w:t>
            </w:r>
            <w:r w:rsidRPr="00DF1884">
              <w:rPr>
                <w:b/>
              </w:rPr>
              <w:t>Coltin,</w:t>
            </w:r>
            <w:r w:rsidR="00DF1884" w:rsidRPr="00DF1884">
              <w:rPr>
                <w:b/>
              </w:rPr>
              <w:t xml:space="preserve"> </w:t>
            </w:r>
            <w:r w:rsidRPr="00DF1884">
              <w:rPr>
                <w:b/>
              </w:rPr>
              <w:t>MA</w:t>
            </w:r>
            <w:r w:rsidRPr="00DF1884">
              <w:rPr>
                <w:b/>
              </w:rPr>
              <w:br/>
            </w:r>
            <w:r w:rsidR="007E75E5" w:rsidRPr="00DF1884">
              <w:rPr>
                <w:bCs/>
              </w:rPr>
              <w:t>Independent</w:t>
            </w:r>
            <w:r w:rsidR="00DF1884" w:rsidRPr="00DF1884">
              <w:rPr>
                <w:bCs/>
              </w:rPr>
              <w:t xml:space="preserve"> </w:t>
            </w:r>
            <w:r w:rsidR="007E75E5" w:rsidRPr="00DF1884">
              <w:rPr>
                <w:bCs/>
              </w:rPr>
              <w:t>Consultant</w:t>
            </w:r>
            <w:r w:rsidR="00DF1884" w:rsidRPr="00DF1884">
              <w:rPr>
                <w:bCs/>
              </w:rPr>
              <w:t xml:space="preserve"> </w:t>
            </w:r>
          </w:p>
          <w:p w14:paraId="64856ADB" w14:textId="5F3D75E8" w:rsidR="00463667" w:rsidRPr="00DF1884" w:rsidRDefault="00463667" w:rsidP="00C56CA6">
            <w:pPr>
              <w:pStyle w:val="Body"/>
            </w:pPr>
            <w:r w:rsidRPr="00DF1884">
              <w:rPr>
                <w:b/>
              </w:rPr>
              <w:t>David</w:t>
            </w:r>
            <w:r w:rsidR="00DF1884" w:rsidRPr="00DF1884">
              <w:rPr>
                <w:b/>
              </w:rPr>
              <w:t xml:space="preserve"> </w:t>
            </w:r>
            <w:r w:rsidRPr="00DF1884">
              <w:rPr>
                <w:b/>
              </w:rPr>
              <w:t>Nerenz,</w:t>
            </w:r>
            <w:r w:rsidR="00DF1884" w:rsidRPr="00DF1884">
              <w:rPr>
                <w:b/>
              </w:rPr>
              <w:t xml:space="preserve"> </w:t>
            </w:r>
            <w:r w:rsidRPr="00DF1884">
              <w:rPr>
                <w:b/>
              </w:rPr>
              <w:t>PhD</w:t>
            </w:r>
            <w:r w:rsidRPr="00DF1884">
              <w:br/>
              <w:t>Henry</w:t>
            </w:r>
            <w:r w:rsidR="00DF1884" w:rsidRPr="00DF1884">
              <w:t xml:space="preserve"> </w:t>
            </w:r>
            <w:r w:rsidRPr="00DF1884">
              <w:t>Ford</w:t>
            </w:r>
            <w:r w:rsidR="00DF1884" w:rsidRPr="00DF1884">
              <w:t xml:space="preserve"> </w:t>
            </w:r>
            <w:r w:rsidRPr="00DF1884">
              <w:t>Health</w:t>
            </w:r>
            <w:r w:rsidR="00DF1884" w:rsidRPr="00DF1884">
              <w:t xml:space="preserve"> </w:t>
            </w:r>
            <w:r w:rsidRPr="00DF1884">
              <w:t>System</w:t>
            </w:r>
          </w:p>
        </w:tc>
        <w:tc>
          <w:tcPr>
            <w:tcW w:w="4950" w:type="dxa"/>
            <w:tcBorders>
              <w:bottom w:val="nil"/>
            </w:tcBorders>
          </w:tcPr>
          <w:p w14:paraId="6D6145AC" w14:textId="38A4C2D3" w:rsidR="00463667" w:rsidRPr="00DF1884" w:rsidRDefault="00463667" w:rsidP="00C56CA6">
            <w:pPr>
              <w:pStyle w:val="Body"/>
            </w:pPr>
            <w:r w:rsidRPr="00DF1884">
              <w:rPr>
                <w:b/>
              </w:rPr>
              <w:t>Romana</w:t>
            </w:r>
            <w:r w:rsidR="00DF1884" w:rsidRPr="00DF1884">
              <w:rPr>
                <w:b/>
              </w:rPr>
              <w:t xml:space="preserve"> </w:t>
            </w:r>
            <w:r w:rsidRPr="00DF1884">
              <w:rPr>
                <w:b/>
              </w:rPr>
              <w:t>Hasn</w:t>
            </w:r>
            <w:r w:rsidR="007E75E5" w:rsidRPr="00DF1884">
              <w:rPr>
                <w:b/>
              </w:rPr>
              <w:t>ai</w:t>
            </w:r>
            <w:r w:rsidRPr="00DF1884">
              <w:rPr>
                <w:b/>
              </w:rPr>
              <w:t>n-Wynia,</w:t>
            </w:r>
            <w:r w:rsidR="00DF1884" w:rsidRPr="00DF1884">
              <w:rPr>
                <w:b/>
              </w:rPr>
              <w:t xml:space="preserve"> </w:t>
            </w:r>
            <w:r w:rsidRPr="00DF1884">
              <w:rPr>
                <w:b/>
              </w:rPr>
              <w:t>PhD</w:t>
            </w:r>
            <w:r w:rsidRPr="00DF1884">
              <w:br/>
            </w:r>
            <w:r w:rsidR="00C95F91" w:rsidRPr="00DF1884">
              <w:t>Patient-Centered</w:t>
            </w:r>
            <w:r w:rsidR="00DF1884" w:rsidRPr="00DF1884">
              <w:t xml:space="preserve"> </w:t>
            </w:r>
            <w:r w:rsidR="00C95F91" w:rsidRPr="00DF1884">
              <w:t>Outcomes</w:t>
            </w:r>
            <w:r w:rsidR="00DF1884" w:rsidRPr="00DF1884">
              <w:t xml:space="preserve"> </w:t>
            </w:r>
            <w:r w:rsidR="00C95F91" w:rsidRPr="00DF1884">
              <w:t>Research</w:t>
            </w:r>
            <w:r w:rsidR="00DF1884" w:rsidRPr="00DF1884">
              <w:t xml:space="preserve"> </w:t>
            </w:r>
            <w:r w:rsidR="00C95F91" w:rsidRPr="00DF1884">
              <w:t>Institute</w:t>
            </w:r>
            <w:r w:rsidR="00DF1884" w:rsidRPr="00DF1884">
              <w:t xml:space="preserve"> </w:t>
            </w:r>
          </w:p>
          <w:p w14:paraId="47BAC9D3" w14:textId="152D6021" w:rsidR="00463667" w:rsidRPr="00DF1884" w:rsidRDefault="00463667" w:rsidP="00C56CA6">
            <w:pPr>
              <w:pStyle w:val="Body"/>
            </w:pPr>
            <w:r w:rsidRPr="00DF1884">
              <w:rPr>
                <w:b/>
              </w:rPr>
              <w:t>Mara</w:t>
            </w:r>
            <w:r w:rsidR="00DF1884" w:rsidRPr="00DF1884">
              <w:rPr>
                <w:b/>
              </w:rPr>
              <w:t xml:space="preserve"> </w:t>
            </w:r>
            <w:r w:rsidRPr="00DF1884">
              <w:rPr>
                <w:b/>
              </w:rPr>
              <w:t>Youdelman,</w:t>
            </w:r>
            <w:r w:rsidR="00DF1884" w:rsidRPr="00DF1884">
              <w:rPr>
                <w:b/>
              </w:rPr>
              <w:t xml:space="preserve"> </w:t>
            </w:r>
            <w:r w:rsidRPr="00DF1884">
              <w:rPr>
                <w:b/>
              </w:rPr>
              <w:t>JD,</w:t>
            </w:r>
            <w:r w:rsidR="00DF1884" w:rsidRPr="00DF1884">
              <w:rPr>
                <w:b/>
              </w:rPr>
              <w:t xml:space="preserve"> </w:t>
            </w:r>
            <w:r w:rsidRPr="00DF1884">
              <w:rPr>
                <w:b/>
              </w:rPr>
              <w:t>LLM</w:t>
            </w:r>
            <w:r w:rsidR="00DF1884" w:rsidRPr="00DF1884">
              <w:rPr>
                <w:b/>
              </w:rPr>
              <w:t xml:space="preserve"> </w:t>
            </w:r>
            <w:r w:rsidRPr="00DF1884">
              <w:rPr>
                <w:b/>
              </w:rPr>
              <w:br/>
            </w:r>
            <w:r w:rsidRPr="00DF1884">
              <w:t>National</w:t>
            </w:r>
            <w:r w:rsidR="00DF1884" w:rsidRPr="00DF1884">
              <w:t xml:space="preserve"> </w:t>
            </w:r>
            <w:r w:rsidRPr="00DF1884">
              <w:t>Health</w:t>
            </w:r>
            <w:r w:rsidR="00DF1884" w:rsidRPr="00DF1884">
              <w:t xml:space="preserve"> </w:t>
            </w:r>
            <w:r w:rsidRPr="00DF1884">
              <w:t>Law</w:t>
            </w:r>
            <w:r w:rsidR="00DF1884" w:rsidRPr="00DF1884">
              <w:t xml:space="preserve"> </w:t>
            </w:r>
            <w:r w:rsidRPr="00DF1884">
              <w:t>Program</w:t>
            </w:r>
          </w:p>
        </w:tc>
      </w:tr>
    </w:tbl>
    <w:p w14:paraId="44381008" w14:textId="0CBA2DD5" w:rsidR="00463667" w:rsidRPr="00DF1884" w:rsidRDefault="00463667" w:rsidP="00202CAE">
      <w:pPr>
        <w:pStyle w:val="ReverseHead"/>
      </w:pPr>
      <w:r w:rsidRPr="00DF1884">
        <w:t>Diabetes</w:t>
      </w:r>
      <w:r w:rsidR="00DF1884" w:rsidRPr="00DF1884">
        <w:t xml:space="preserve"> </w:t>
      </w:r>
      <w:r w:rsidR="00240D1C" w:rsidRPr="00DF1884">
        <w:t>Measurement</w:t>
      </w:r>
      <w:r w:rsidR="00DF1884" w:rsidRPr="00DF1884">
        <w:t xml:space="preserve"> </w:t>
      </w:r>
      <w:r w:rsidR="00240D1C" w:rsidRPr="00DF1884">
        <w:t>Advisory</w:t>
      </w:r>
      <w:r w:rsidR="00DF1884" w:rsidRPr="00DF1884">
        <w:t xml:space="preserve"> </w:t>
      </w:r>
      <w:r w:rsidRPr="00DF1884">
        <w:t>Panel</w:t>
      </w:r>
    </w:p>
    <w:tbl>
      <w:tblPr>
        <w:tblW w:w="0" w:type="auto"/>
        <w:tblLayout w:type="fixed"/>
        <w:tblLook w:val="0000" w:firstRow="0" w:lastRow="0" w:firstColumn="0" w:lastColumn="0" w:noHBand="0" w:noVBand="0"/>
      </w:tblPr>
      <w:tblGrid>
        <w:gridCol w:w="4878"/>
        <w:gridCol w:w="4950"/>
      </w:tblGrid>
      <w:tr w:rsidR="00463667" w:rsidRPr="00DF1884" w14:paraId="07993F75" w14:textId="77777777" w:rsidTr="00C56CA6">
        <w:tc>
          <w:tcPr>
            <w:tcW w:w="4878" w:type="dxa"/>
          </w:tcPr>
          <w:p w14:paraId="35CBD04F" w14:textId="369BB9A9" w:rsidR="00463667" w:rsidRPr="00DF1884" w:rsidRDefault="00463667" w:rsidP="00C56CA6">
            <w:pPr>
              <w:pStyle w:val="Body"/>
            </w:pPr>
            <w:r w:rsidRPr="00DF1884">
              <w:rPr>
                <w:b/>
              </w:rPr>
              <w:t>David</w:t>
            </w:r>
            <w:r w:rsidR="00DF1884" w:rsidRPr="00DF1884">
              <w:rPr>
                <w:b/>
              </w:rPr>
              <w:t xml:space="preserve"> </w:t>
            </w:r>
            <w:r w:rsidRPr="00DF1884">
              <w:rPr>
                <w:b/>
              </w:rPr>
              <w:t>Aron,</w:t>
            </w:r>
            <w:r w:rsidR="00DF1884" w:rsidRPr="00DF1884">
              <w:rPr>
                <w:b/>
              </w:rPr>
              <w:t xml:space="preserve"> </w:t>
            </w:r>
            <w:r w:rsidRPr="00DF1884">
              <w:rPr>
                <w:b/>
              </w:rPr>
              <w:t>MD,</w:t>
            </w:r>
            <w:r w:rsidR="00DF1884" w:rsidRPr="00DF1884">
              <w:rPr>
                <w:b/>
              </w:rPr>
              <w:t xml:space="preserve"> </w:t>
            </w:r>
            <w:r w:rsidRPr="00DF1884">
              <w:rPr>
                <w:b/>
              </w:rPr>
              <w:t>MS</w:t>
            </w:r>
            <w:r w:rsidR="00DF1884" w:rsidRPr="00DF1884">
              <w:rPr>
                <w:b/>
              </w:rPr>
              <w:t xml:space="preserve"> </w:t>
            </w:r>
            <w:r w:rsidRPr="00DF1884">
              <w:br/>
              <w:t>Department</w:t>
            </w:r>
            <w:r w:rsidR="00DF1884" w:rsidRPr="00DF1884">
              <w:t xml:space="preserve"> </w:t>
            </w:r>
            <w:r w:rsidRPr="00DF1884">
              <w:t>of</w:t>
            </w:r>
            <w:r w:rsidR="00DF1884" w:rsidRPr="00DF1884">
              <w:t xml:space="preserve"> </w:t>
            </w:r>
            <w:r w:rsidRPr="00DF1884">
              <w:t>Veterans</w:t>
            </w:r>
            <w:r w:rsidR="00DF1884" w:rsidRPr="00DF1884">
              <w:t xml:space="preserve"> </w:t>
            </w:r>
            <w:r w:rsidRPr="00DF1884">
              <w:t>Affairs</w:t>
            </w:r>
          </w:p>
          <w:p w14:paraId="67033286" w14:textId="75FE9E1C" w:rsidR="00463667" w:rsidRPr="00DF1884" w:rsidRDefault="00463667" w:rsidP="00C56CA6">
            <w:pPr>
              <w:pStyle w:val="Body"/>
            </w:pPr>
            <w:r w:rsidRPr="00DF1884">
              <w:rPr>
                <w:b/>
              </w:rPr>
              <w:t>Amanda</w:t>
            </w:r>
            <w:r w:rsidR="00DF1884" w:rsidRPr="00DF1884">
              <w:rPr>
                <w:b/>
              </w:rPr>
              <w:t xml:space="preserve"> </w:t>
            </w:r>
            <w:r w:rsidRPr="00DF1884">
              <w:rPr>
                <w:b/>
              </w:rPr>
              <w:t>Bartelme</w:t>
            </w:r>
            <w:r w:rsidRPr="00DF1884">
              <w:rPr>
                <w:b/>
              </w:rPr>
              <w:br/>
            </w:r>
            <w:r w:rsidRPr="00DF1884">
              <w:t>Avalere</w:t>
            </w:r>
            <w:r w:rsidR="00DF1884" w:rsidRPr="00DF1884">
              <w:t xml:space="preserve"> </w:t>
            </w:r>
            <w:r w:rsidRPr="00DF1884">
              <w:t>Health,</w:t>
            </w:r>
            <w:r w:rsidR="00DF1884" w:rsidRPr="00DF1884">
              <w:t xml:space="preserve"> </w:t>
            </w:r>
            <w:r w:rsidRPr="00DF1884">
              <w:t>LLC</w:t>
            </w:r>
          </w:p>
          <w:p w14:paraId="00B637FE" w14:textId="739A68E5" w:rsidR="00463667" w:rsidRPr="00DF1884" w:rsidRDefault="00463667" w:rsidP="00C56CA6">
            <w:pPr>
              <w:pStyle w:val="Body"/>
            </w:pPr>
            <w:r w:rsidRPr="00DF1884">
              <w:rPr>
                <w:b/>
              </w:rPr>
              <w:t>Rebecca</w:t>
            </w:r>
            <w:r w:rsidR="00DF1884" w:rsidRPr="00DF1884">
              <w:rPr>
                <w:b/>
              </w:rPr>
              <w:t xml:space="preserve"> </w:t>
            </w:r>
            <w:r w:rsidRPr="00DF1884">
              <w:rPr>
                <w:b/>
              </w:rPr>
              <w:t>Burkholder,</w:t>
            </w:r>
            <w:r w:rsidR="00DF1884" w:rsidRPr="00DF1884">
              <w:rPr>
                <w:b/>
              </w:rPr>
              <w:t xml:space="preserve"> </w:t>
            </w:r>
            <w:r w:rsidRPr="00DF1884">
              <w:rPr>
                <w:b/>
              </w:rPr>
              <w:t>JD</w:t>
            </w:r>
            <w:r w:rsidRPr="00DF1884">
              <w:rPr>
                <w:b/>
              </w:rPr>
              <w:br/>
            </w:r>
            <w:r w:rsidRPr="00DF1884">
              <w:t>National</w:t>
            </w:r>
            <w:r w:rsidR="00DF1884" w:rsidRPr="00DF1884">
              <w:t xml:space="preserve"> </w:t>
            </w:r>
            <w:r w:rsidRPr="00DF1884">
              <w:t>Consumers</w:t>
            </w:r>
            <w:r w:rsidR="00DF1884" w:rsidRPr="00DF1884">
              <w:t xml:space="preserve"> </w:t>
            </w:r>
            <w:r w:rsidRPr="00DF1884">
              <w:t>League</w:t>
            </w:r>
          </w:p>
          <w:p w14:paraId="698EC1AB" w14:textId="2171D052" w:rsidR="00463667" w:rsidRPr="00DF1884" w:rsidRDefault="00463667" w:rsidP="00C56CA6">
            <w:pPr>
              <w:pStyle w:val="Body"/>
            </w:pPr>
            <w:r w:rsidRPr="00DF1884">
              <w:rPr>
                <w:b/>
              </w:rPr>
              <w:t>Jerry</w:t>
            </w:r>
            <w:r w:rsidR="00DF1884" w:rsidRPr="00DF1884">
              <w:rPr>
                <w:b/>
              </w:rPr>
              <w:t xml:space="preserve"> </w:t>
            </w:r>
            <w:r w:rsidRPr="00DF1884">
              <w:rPr>
                <w:b/>
              </w:rPr>
              <w:t>Cavallerano,</w:t>
            </w:r>
            <w:r w:rsidR="00DF1884" w:rsidRPr="00DF1884">
              <w:rPr>
                <w:b/>
              </w:rPr>
              <w:t xml:space="preserve"> </w:t>
            </w:r>
            <w:r w:rsidRPr="00DF1884">
              <w:rPr>
                <w:b/>
              </w:rPr>
              <w:t>OD,</w:t>
            </w:r>
            <w:r w:rsidR="00DF1884" w:rsidRPr="00DF1884">
              <w:rPr>
                <w:b/>
              </w:rPr>
              <w:t xml:space="preserve"> </w:t>
            </w:r>
            <w:r w:rsidRPr="00DF1884">
              <w:rPr>
                <w:b/>
              </w:rPr>
              <w:t>PhD</w:t>
            </w:r>
            <w:r w:rsidR="00DF1884" w:rsidRPr="00DF1884">
              <w:rPr>
                <w:b/>
              </w:rPr>
              <w:t xml:space="preserve"> </w:t>
            </w:r>
            <w:r w:rsidRPr="00DF1884">
              <w:rPr>
                <w:b/>
              </w:rPr>
              <w:br/>
            </w:r>
            <w:r w:rsidRPr="00DF1884">
              <w:t>Beetham</w:t>
            </w:r>
            <w:r w:rsidR="00DF1884" w:rsidRPr="00DF1884">
              <w:t xml:space="preserve"> </w:t>
            </w:r>
            <w:r w:rsidRPr="00DF1884">
              <w:t>Eye</w:t>
            </w:r>
            <w:r w:rsidR="00DF1884" w:rsidRPr="00DF1884">
              <w:t xml:space="preserve"> </w:t>
            </w:r>
            <w:r w:rsidRPr="00DF1884">
              <w:t>Institute</w:t>
            </w:r>
            <w:r w:rsidRPr="00DF1884">
              <w:br/>
              <w:t>Joslin</w:t>
            </w:r>
            <w:r w:rsidR="00DF1884" w:rsidRPr="00DF1884">
              <w:t xml:space="preserve"> </w:t>
            </w:r>
            <w:r w:rsidRPr="00DF1884">
              <w:t>Diabetes</w:t>
            </w:r>
            <w:r w:rsidR="00DF1884" w:rsidRPr="00DF1884">
              <w:t xml:space="preserve"> </w:t>
            </w:r>
            <w:r w:rsidRPr="00DF1884">
              <w:t>Center</w:t>
            </w:r>
          </w:p>
          <w:p w14:paraId="24A8B862" w14:textId="198B1FDF" w:rsidR="00463667" w:rsidRPr="00DF1884" w:rsidRDefault="00463667" w:rsidP="00C56CA6">
            <w:pPr>
              <w:pStyle w:val="Body"/>
            </w:pPr>
            <w:r w:rsidRPr="00DF1884">
              <w:rPr>
                <w:b/>
              </w:rPr>
              <w:t>Mark</w:t>
            </w:r>
            <w:r w:rsidR="00DF1884" w:rsidRPr="00DF1884">
              <w:rPr>
                <w:b/>
              </w:rPr>
              <w:t xml:space="preserve"> </w:t>
            </w:r>
            <w:r w:rsidRPr="00DF1884">
              <w:rPr>
                <w:b/>
              </w:rPr>
              <w:t>Cziraky,</w:t>
            </w:r>
            <w:r w:rsidR="00DF1884" w:rsidRPr="00DF1884">
              <w:rPr>
                <w:b/>
              </w:rPr>
              <w:t xml:space="preserve"> </w:t>
            </w:r>
            <w:r w:rsidRPr="00DF1884">
              <w:rPr>
                <w:b/>
              </w:rPr>
              <w:t>PharmD,</w:t>
            </w:r>
            <w:r w:rsidR="00DF1884" w:rsidRPr="00DF1884">
              <w:rPr>
                <w:b/>
              </w:rPr>
              <w:t xml:space="preserve"> </w:t>
            </w:r>
            <w:r w:rsidRPr="00DF1884">
              <w:rPr>
                <w:b/>
              </w:rPr>
              <w:t>CLS,</w:t>
            </w:r>
            <w:r w:rsidR="00DF1884" w:rsidRPr="00DF1884">
              <w:rPr>
                <w:b/>
              </w:rPr>
              <w:t xml:space="preserve"> </w:t>
            </w:r>
            <w:r w:rsidRPr="00DF1884">
              <w:rPr>
                <w:b/>
              </w:rPr>
              <w:t>FAHA,</w:t>
            </w:r>
            <w:r w:rsidR="00DF1884" w:rsidRPr="00DF1884">
              <w:rPr>
                <w:b/>
              </w:rPr>
              <w:t xml:space="preserve"> </w:t>
            </w:r>
            <w:r w:rsidRPr="00DF1884">
              <w:rPr>
                <w:b/>
              </w:rPr>
              <w:t>FNLA</w:t>
            </w:r>
            <w:r w:rsidR="00DF1884" w:rsidRPr="00DF1884">
              <w:rPr>
                <w:b/>
              </w:rPr>
              <w:t xml:space="preserve"> </w:t>
            </w:r>
            <w:r w:rsidRPr="00DF1884">
              <w:rPr>
                <w:b/>
              </w:rPr>
              <w:br/>
            </w:r>
            <w:r w:rsidRPr="00DF1884">
              <w:t>Healthcore,</w:t>
            </w:r>
            <w:r w:rsidR="00DF1884" w:rsidRPr="00DF1884">
              <w:t xml:space="preserve"> </w:t>
            </w:r>
            <w:r w:rsidRPr="00DF1884">
              <w:t>Inc.</w:t>
            </w:r>
          </w:p>
          <w:p w14:paraId="77B63ED2" w14:textId="6C2E88EF" w:rsidR="00463667" w:rsidRPr="00DF1884" w:rsidRDefault="00463667" w:rsidP="00C56CA6">
            <w:pPr>
              <w:pStyle w:val="Body"/>
            </w:pPr>
            <w:r w:rsidRPr="00DF1884">
              <w:rPr>
                <w:b/>
              </w:rPr>
              <w:t>Samuel</w:t>
            </w:r>
            <w:r w:rsidR="00DF1884" w:rsidRPr="00DF1884">
              <w:rPr>
                <w:b/>
              </w:rPr>
              <w:t xml:space="preserve"> </w:t>
            </w:r>
            <w:r w:rsidRPr="00DF1884">
              <w:rPr>
                <w:b/>
              </w:rPr>
              <w:t>C.</w:t>
            </w:r>
            <w:r w:rsidR="00DF1884" w:rsidRPr="00DF1884">
              <w:rPr>
                <w:b/>
              </w:rPr>
              <w:t xml:space="preserve"> </w:t>
            </w:r>
            <w:r w:rsidRPr="00DF1884">
              <w:rPr>
                <w:b/>
              </w:rPr>
              <w:t>Durso,</w:t>
            </w:r>
            <w:r w:rsidR="00DF1884" w:rsidRPr="00DF1884">
              <w:rPr>
                <w:b/>
              </w:rPr>
              <w:t xml:space="preserve"> </w:t>
            </w:r>
            <w:r w:rsidRPr="00DF1884">
              <w:rPr>
                <w:b/>
              </w:rPr>
              <w:t>MD,</w:t>
            </w:r>
            <w:r w:rsidR="00DF1884" w:rsidRPr="00DF1884">
              <w:rPr>
                <w:b/>
              </w:rPr>
              <w:t xml:space="preserve"> </w:t>
            </w:r>
            <w:r w:rsidRPr="00DF1884">
              <w:rPr>
                <w:b/>
              </w:rPr>
              <w:t>MBA</w:t>
            </w:r>
            <w:r w:rsidRPr="00DF1884">
              <w:rPr>
                <w:b/>
              </w:rPr>
              <w:br/>
            </w:r>
            <w:r w:rsidRPr="00DF1884">
              <w:t>Johns</w:t>
            </w:r>
            <w:r w:rsidR="00DF1884" w:rsidRPr="00DF1884">
              <w:t xml:space="preserve"> </w:t>
            </w:r>
            <w:r w:rsidRPr="00DF1884">
              <w:t>Hopkins</w:t>
            </w:r>
            <w:r w:rsidR="00DF1884" w:rsidRPr="00DF1884">
              <w:t xml:space="preserve"> </w:t>
            </w:r>
            <w:r w:rsidRPr="00DF1884">
              <w:t>University</w:t>
            </w:r>
            <w:r w:rsidR="00DF1884" w:rsidRPr="00DF1884">
              <w:t xml:space="preserve"> </w:t>
            </w:r>
            <w:r w:rsidRPr="00DF1884">
              <w:t>School</w:t>
            </w:r>
            <w:r w:rsidR="00DF1884" w:rsidRPr="00DF1884">
              <w:t xml:space="preserve"> </w:t>
            </w:r>
            <w:r w:rsidRPr="00DF1884">
              <w:t>of</w:t>
            </w:r>
            <w:r w:rsidR="00DF1884" w:rsidRPr="00DF1884">
              <w:t xml:space="preserve"> </w:t>
            </w:r>
            <w:r w:rsidRPr="00DF1884">
              <w:t>Medicine</w:t>
            </w:r>
          </w:p>
          <w:p w14:paraId="2594F979" w14:textId="4E384925" w:rsidR="00463667" w:rsidRPr="00DF1884" w:rsidRDefault="00463667" w:rsidP="00C56CA6">
            <w:pPr>
              <w:pStyle w:val="Body"/>
            </w:pPr>
            <w:r w:rsidRPr="00DF1884">
              <w:rPr>
                <w:b/>
              </w:rPr>
              <w:t>Stephen</w:t>
            </w:r>
            <w:r w:rsidR="00DF1884" w:rsidRPr="00DF1884">
              <w:rPr>
                <w:b/>
              </w:rPr>
              <w:t xml:space="preserve"> </w:t>
            </w:r>
            <w:r w:rsidRPr="00DF1884">
              <w:rPr>
                <w:b/>
              </w:rPr>
              <w:t>Z.</w:t>
            </w:r>
            <w:r w:rsidR="00DF1884" w:rsidRPr="00DF1884">
              <w:rPr>
                <w:b/>
              </w:rPr>
              <w:t xml:space="preserve"> </w:t>
            </w:r>
            <w:r w:rsidRPr="00DF1884">
              <w:rPr>
                <w:b/>
              </w:rPr>
              <w:t>Fadem,</w:t>
            </w:r>
            <w:r w:rsidR="00DF1884" w:rsidRPr="00DF1884">
              <w:rPr>
                <w:b/>
              </w:rPr>
              <w:t xml:space="preserve"> </w:t>
            </w:r>
            <w:r w:rsidRPr="00DF1884">
              <w:rPr>
                <w:b/>
              </w:rPr>
              <w:t>MD,</w:t>
            </w:r>
            <w:r w:rsidR="00DF1884" w:rsidRPr="00DF1884">
              <w:rPr>
                <w:b/>
              </w:rPr>
              <w:t xml:space="preserve"> </w:t>
            </w:r>
            <w:r w:rsidRPr="00DF1884">
              <w:rPr>
                <w:b/>
              </w:rPr>
              <w:t>FACP,</w:t>
            </w:r>
            <w:r w:rsidR="00DF1884" w:rsidRPr="00DF1884">
              <w:rPr>
                <w:b/>
              </w:rPr>
              <w:t xml:space="preserve"> </w:t>
            </w:r>
            <w:r w:rsidRPr="00DF1884">
              <w:rPr>
                <w:b/>
              </w:rPr>
              <w:t>FASN</w:t>
            </w:r>
            <w:r w:rsidRPr="00DF1884">
              <w:rPr>
                <w:b/>
              </w:rPr>
              <w:br/>
            </w:r>
            <w:r w:rsidRPr="00DF1884">
              <w:t>Baylor</w:t>
            </w:r>
            <w:r w:rsidR="00DF1884" w:rsidRPr="00DF1884">
              <w:t xml:space="preserve"> </w:t>
            </w:r>
            <w:r w:rsidRPr="00DF1884">
              <w:t>College</w:t>
            </w:r>
            <w:r w:rsidR="00DF1884" w:rsidRPr="00DF1884">
              <w:t xml:space="preserve"> </w:t>
            </w:r>
            <w:r w:rsidRPr="00DF1884">
              <w:t>of</w:t>
            </w:r>
            <w:r w:rsidR="00DF1884" w:rsidRPr="00DF1884">
              <w:t xml:space="preserve"> </w:t>
            </w:r>
            <w:r w:rsidRPr="00DF1884">
              <w:t>Medicine</w:t>
            </w:r>
          </w:p>
          <w:p w14:paraId="5F33621C" w14:textId="6655392E" w:rsidR="00463667" w:rsidRPr="00DF1884" w:rsidRDefault="00463667" w:rsidP="00C56CA6">
            <w:pPr>
              <w:pStyle w:val="Body"/>
              <w:spacing w:before="0"/>
            </w:pPr>
            <w:r w:rsidRPr="00DF1884">
              <w:t>Kidney</w:t>
            </w:r>
            <w:r w:rsidR="00DF1884" w:rsidRPr="00DF1884">
              <w:t xml:space="preserve"> </w:t>
            </w:r>
            <w:r w:rsidRPr="00DF1884">
              <w:t>Associates,</w:t>
            </w:r>
            <w:r w:rsidR="00DF1884" w:rsidRPr="00DF1884">
              <w:t xml:space="preserve"> </w:t>
            </w:r>
            <w:r w:rsidRPr="00DF1884">
              <w:t>PLLC</w:t>
            </w:r>
          </w:p>
          <w:p w14:paraId="5147AD21" w14:textId="524DACE4" w:rsidR="00463667" w:rsidRPr="00DF1884" w:rsidRDefault="00463667" w:rsidP="00C56CA6">
            <w:pPr>
              <w:pStyle w:val="Body"/>
            </w:pPr>
            <w:r w:rsidRPr="00DF1884">
              <w:rPr>
                <w:b/>
              </w:rPr>
              <w:t>James</w:t>
            </w:r>
            <w:r w:rsidR="00DF1884" w:rsidRPr="00DF1884">
              <w:rPr>
                <w:b/>
              </w:rPr>
              <w:t xml:space="preserve"> </w:t>
            </w:r>
            <w:r w:rsidRPr="00DF1884">
              <w:rPr>
                <w:b/>
              </w:rPr>
              <w:t>Fain,</w:t>
            </w:r>
            <w:r w:rsidR="00DF1884" w:rsidRPr="00DF1884">
              <w:rPr>
                <w:b/>
              </w:rPr>
              <w:t xml:space="preserve"> </w:t>
            </w:r>
            <w:r w:rsidRPr="00DF1884">
              <w:rPr>
                <w:b/>
              </w:rPr>
              <w:t>PhD,</w:t>
            </w:r>
            <w:r w:rsidR="00DF1884" w:rsidRPr="00DF1884">
              <w:rPr>
                <w:b/>
              </w:rPr>
              <w:t xml:space="preserve"> </w:t>
            </w:r>
            <w:r w:rsidRPr="00DF1884">
              <w:rPr>
                <w:b/>
              </w:rPr>
              <w:t>RN,</w:t>
            </w:r>
            <w:r w:rsidR="00DF1884" w:rsidRPr="00DF1884">
              <w:rPr>
                <w:b/>
              </w:rPr>
              <w:t xml:space="preserve"> </w:t>
            </w:r>
            <w:r w:rsidRPr="00DF1884">
              <w:rPr>
                <w:b/>
              </w:rPr>
              <w:t>BC-ADM,</w:t>
            </w:r>
            <w:r w:rsidR="00DF1884" w:rsidRPr="00DF1884">
              <w:rPr>
                <w:b/>
              </w:rPr>
              <w:t xml:space="preserve"> </w:t>
            </w:r>
            <w:r w:rsidRPr="00DF1884">
              <w:rPr>
                <w:b/>
              </w:rPr>
              <w:t>FAAN</w:t>
            </w:r>
            <w:r w:rsidRPr="00DF1884">
              <w:rPr>
                <w:b/>
              </w:rPr>
              <w:br/>
            </w:r>
            <w:r w:rsidRPr="00DF1884">
              <w:t>University</w:t>
            </w:r>
            <w:r w:rsidR="00DF1884" w:rsidRPr="00DF1884">
              <w:t xml:space="preserve"> </w:t>
            </w:r>
            <w:r w:rsidRPr="00DF1884">
              <w:t>of</w:t>
            </w:r>
            <w:r w:rsidR="00DF1884" w:rsidRPr="00DF1884">
              <w:t xml:space="preserve"> </w:t>
            </w:r>
            <w:r w:rsidRPr="00DF1884">
              <w:t>Massachusetts</w:t>
            </w:r>
            <w:r w:rsidRPr="00DF1884">
              <w:br/>
              <w:t>Dartmouth</w:t>
            </w:r>
            <w:r w:rsidR="00DF1884" w:rsidRPr="00DF1884">
              <w:t xml:space="preserve"> </w:t>
            </w:r>
            <w:r w:rsidRPr="00DF1884">
              <w:t>College</w:t>
            </w:r>
            <w:r w:rsidR="00DF1884" w:rsidRPr="00DF1884">
              <w:t xml:space="preserve"> </w:t>
            </w:r>
            <w:r w:rsidRPr="00DF1884">
              <w:t>of</w:t>
            </w:r>
            <w:r w:rsidR="00DF1884" w:rsidRPr="00DF1884">
              <w:t xml:space="preserve"> </w:t>
            </w:r>
            <w:r w:rsidRPr="00DF1884">
              <w:t>Nursing</w:t>
            </w:r>
          </w:p>
          <w:p w14:paraId="45C9A67A" w14:textId="45E498F8" w:rsidR="00463667" w:rsidRPr="00DF1884" w:rsidRDefault="00463667" w:rsidP="00C56CA6">
            <w:pPr>
              <w:pStyle w:val="Body"/>
            </w:pPr>
            <w:r w:rsidRPr="00DF1884">
              <w:rPr>
                <w:b/>
              </w:rPr>
              <w:t>Judith</w:t>
            </w:r>
            <w:r w:rsidR="00DF1884" w:rsidRPr="00DF1884">
              <w:rPr>
                <w:b/>
              </w:rPr>
              <w:t xml:space="preserve"> </w:t>
            </w:r>
            <w:r w:rsidRPr="00DF1884">
              <w:rPr>
                <w:b/>
              </w:rPr>
              <w:t>Fradkin,</w:t>
            </w:r>
            <w:r w:rsidR="00DF1884" w:rsidRPr="00DF1884">
              <w:rPr>
                <w:b/>
              </w:rPr>
              <w:t xml:space="preserve"> </w:t>
            </w:r>
            <w:r w:rsidRPr="00DF1884">
              <w:rPr>
                <w:b/>
              </w:rPr>
              <w:t>MD</w:t>
            </w:r>
            <w:r w:rsidRPr="00DF1884">
              <w:br/>
              <w:t>National</w:t>
            </w:r>
            <w:r w:rsidR="00DF1884" w:rsidRPr="00DF1884">
              <w:t xml:space="preserve"> </w:t>
            </w:r>
            <w:r w:rsidRPr="00DF1884">
              <w:t>Institute</w:t>
            </w:r>
            <w:r w:rsidR="00DF1884" w:rsidRPr="00DF1884">
              <w:t xml:space="preserve"> </w:t>
            </w:r>
            <w:r w:rsidRPr="00DF1884">
              <w:t>of</w:t>
            </w:r>
            <w:r w:rsidR="00DF1884" w:rsidRPr="00DF1884">
              <w:t xml:space="preserve"> </w:t>
            </w:r>
            <w:r w:rsidRPr="00DF1884">
              <w:t>Diabetes</w:t>
            </w:r>
            <w:r w:rsidR="00DF1884" w:rsidRPr="00DF1884">
              <w:t xml:space="preserve"> </w:t>
            </w:r>
            <w:r w:rsidRPr="00DF1884">
              <w:t>and</w:t>
            </w:r>
            <w:r w:rsidR="00DF1884" w:rsidRPr="00DF1884">
              <w:t xml:space="preserve"> </w:t>
            </w:r>
            <w:r w:rsidRPr="00DF1884">
              <w:t>Digestive</w:t>
            </w:r>
            <w:r w:rsidR="00DF1884" w:rsidRPr="00DF1884">
              <w:t xml:space="preserve"> </w:t>
            </w:r>
            <w:r w:rsidRPr="00DF1884">
              <w:t>and</w:t>
            </w:r>
            <w:r w:rsidR="00DF1884" w:rsidRPr="00DF1884">
              <w:t xml:space="preserve"> </w:t>
            </w:r>
            <w:r w:rsidRPr="00DF1884">
              <w:t>Kidney</w:t>
            </w:r>
            <w:r w:rsidR="00DF1884" w:rsidRPr="00DF1884">
              <w:t xml:space="preserve"> </w:t>
            </w:r>
            <w:r w:rsidRPr="00DF1884">
              <w:t>Diseases,</w:t>
            </w:r>
            <w:r w:rsidR="00DF1884" w:rsidRPr="00DF1884">
              <w:t xml:space="preserve"> </w:t>
            </w:r>
            <w:r w:rsidRPr="00DF1884">
              <w:t>National</w:t>
            </w:r>
            <w:r w:rsidR="00DF1884" w:rsidRPr="00DF1884">
              <w:t xml:space="preserve"> </w:t>
            </w:r>
            <w:r w:rsidRPr="00DF1884">
              <w:t>Institutes</w:t>
            </w:r>
            <w:r w:rsidR="00DF1884" w:rsidRPr="00DF1884">
              <w:t xml:space="preserve"> </w:t>
            </w:r>
            <w:r w:rsidRPr="00DF1884">
              <w:t>of</w:t>
            </w:r>
            <w:r w:rsidR="00DF1884" w:rsidRPr="00DF1884">
              <w:t xml:space="preserve"> </w:t>
            </w:r>
            <w:r w:rsidRPr="00DF1884">
              <w:t>Health</w:t>
            </w:r>
          </w:p>
        </w:tc>
        <w:tc>
          <w:tcPr>
            <w:tcW w:w="4950" w:type="dxa"/>
            <w:tcBorders>
              <w:bottom w:val="nil"/>
            </w:tcBorders>
          </w:tcPr>
          <w:p w14:paraId="640467D7" w14:textId="7EDF6F13" w:rsidR="00463667" w:rsidRPr="00DF1884" w:rsidRDefault="00463667" w:rsidP="00C56CA6">
            <w:pPr>
              <w:pStyle w:val="Body"/>
            </w:pPr>
            <w:r w:rsidRPr="00DF1884">
              <w:rPr>
                <w:b/>
              </w:rPr>
              <w:t>Theodore</w:t>
            </w:r>
            <w:r w:rsidR="00DF1884" w:rsidRPr="00DF1884">
              <w:rPr>
                <w:b/>
              </w:rPr>
              <w:t xml:space="preserve"> </w:t>
            </w:r>
            <w:r w:rsidRPr="00DF1884">
              <w:rPr>
                <w:b/>
              </w:rPr>
              <w:t>G.</w:t>
            </w:r>
            <w:r w:rsidR="00DF1884" w:rsidRPr="00DF1884">
              <w:rPr>
                <w:b/>
              </w:rPr>
              <w:t xml:space="preserve"> </w:t>
            </w:r>
            <w:r w:rsidRPr="00DF1884">
              <w:rPr>
                <w:b/>
              </w:rPr>
              <w:t>Ganiats,</w:t>
            </w:r>
            <w:r w:rsidR="00DF1884" w:rsidRPr="00DF1884">
              <w:rPr>
                <w:b/>
              </w:rPr>
              <w:t xml:space="preserve"> </w:t>
            </w:r>
            <w:r w:rsidRPr="00DF1884">
              <w:rPr>
                <w:b/>
              </w:rPr>
              <w:t>MD</w:t>
            </w:r>
            <w:r w:rsidRPr="00DF1884">
              <w:br/>
              <w:t>University</w:t>
            </w:r>
            <w:r w:rsidR="00DF1884" w:rsidRPr="00DF1884">
              <w:t xml:space="preserve"> </w:t>
            </w:r>
            <w:r w:rsidRPr="00DF1884">
              <w:t>of</w:t>
            </w:r>
            <w:r w:rsidR="00DF1884" w:rsidRPr="00DF1884">
              <w:t xml:space="preserve"> </w:t>
            </w:r>
            <w:r w:rsidRPr="00DF1884">
              <w:t>California,</w:t>
            </w:r>
            <w:r w:rsidR="00DF1884" w:rsidRPr="00DF1884">
              <w:t xml:space="preserve"> </w:t>
            </w:r>
            <w:r w:rsidRPr="00DF1884">
              <w:t>San</w:t>
            </w:r>
            <w:r w:rsidR="00DF1884" w:rsidRPr="00DF1884">
              <w:t xml:space="preserve"> </w:t>
            </w:r>
            <w:r w:rsidRPr="00DF1884">
              <w:t>Diego</w:t>
            </w:r>
          </w:p>
          <w:p w14:paraId="181094ED" w14:textId="6B2FCFF0" w:rsidR="00463667" w:rsidRPr="00DF1884" w:rsidRDefault="00463667" w:rsidP="00C56CA6">
            <w:pPr>
              <w:pStyle w:val="Body"/>
              <w:rPr>
                <w:b/>
              </w:rPr>
            </w:pPr>
            <w:r w:rsidRPr="00DF1884">
              <w:rPr>
                <w:b/>
              </w:rPr>
              <w:t>Richard</w:t>
            </w:r>
            <w:r w:rsidR="00DF1884" w:rsidRPr="00DF1884">
              <w:rPr>
                <w:b/>
              </w:rPr>
              <w:t xml:space="preserve"> </w:t>
            </w:r>
            <w:r w:rsidRPr="00DF1884">
              <w:rPr>
                <w:b/>
              </w:rPr>
              <w:t>Hellman,</w:t>
            </w:r>
            <w:r w:rsidR="00DF1884" w:rsidRPr="00DF1884">
              <w:rPr>
                <w:b/>
              </w:rPr>
              <w:t xml:space="preserve"> </w:t>
            </w:r>
            <w:r w:rsidRPr="00DF1884">
              <w:rPr>
                <w:b/>
              </w:rPr>
              <w:t>MD,</w:t>
            </w:r>
            <w:r w:rsidR="00DF1884" w:rsidRPr="00DF1884">
              <w:rPr>
                <w:b/>
              </w:rPr>
              <w:t xml:space="preserve"> </w:t>
            </w:r>
            <w:r w:rsidRPr="00DF1884">
              <w:rPr>
                <w:b/>
              </w:rPr>
              <w:t>FACP,</w:t>
            </w:r>
            <w:r w:rsidR="00DF1884" w:rsidRPr="00DF1884">
              <w:rPr>
                <w:b/>
              </w:rPr>
              <w:t xml:space="preserve"> </w:t>
            </w:r>
            <w:r w:rsidRPr="00DF1884">
              <w:rPr>
                <w:b/>
              </w:rPr>
              <w:t>FACE</w:t>
            </w:r>
            <w:r w:rsidR="00DF1884" w:rsidRPr="00DF1884">
              <w:rPr>
                <w:b/>
              </w:rPr>
              <w:t xml:space="preserve"> </w:t>
            </w:r>
            <w:r w:rsidRPr="00DF1884">
              <w:br/>
              <w:t>Private</w:t>
            </w:r>
            <w:r w:rsidR="00DF1884" w:rsidRPr="00DF1884">
              <w:t xml:space="preserve"> </w:t>
            </w:r>
            <w:r w:rsidRPr="00DF1884">
              <w:t>Practice,</w:t>
            </w:r>
            <w:r w:rsidR="00DF1884" w:rsidRPr="00DF1884">
              <w:t xml:space="preserve"> </w:t>
            </w:r>
            <w:r w:rsidRPr="00DF1884">
              <w:t>Diabetes</w:t>
            </w:r>
            <w:r w:rsidR="00DF1884" w:rsidRPr="00DF1884">
              <w:t xml:space="preserve"> </w:t>
            </w:r>
            <w:r w:rsidRPr="00DF1884">
              <w:t>&amp;</w:t>
            </w:r>
            <w:r w:rsidR="00DF1884" w:rsidRPr="00DF1884">
              <w:t xml:space="preserve"> </w:t>
            </w:r>
            <w:r w:rsidRPr="00DF1884">
              <w:t>Endocrinology</w:t>
            </w:r>
            <w:r w:rsidR="00DF1884" w:rsidRPr="00DF1884">
              <w:rPr>
                <w:b/>
              </w:rPr>
              <w:t xml:space="preserve"> </w:t>
            </w:r>
          </w:p>
          <w:p w14:paraId="4F2DF833" w14:textId="2B3D0958" w:rsidR="00463667" w:rsidRPr="00DF1884" w:rsidRDefault="00463667" w:rsidP="00C56CA6">
            <w:pPr>
              <w:pStyle w:val="Body"/>
            </w:pPr>
            <w:r w:rsidRPr="00DF1884">
              <w:rPr>
                <w:b/>
              </w:rPr>
              <w:t>William</w:t>
            </w:r>
            <w:r w:rsidR="00DF1884" w:rsidRPr="00DF1884">
              <w:rPr>
                <w:b/>
              </w:rPr>
              <w:t xml:space="preserve"> </w:t>
            </w:r>
            <w:r w:rsidRPr="00DF1884">
              <w:rPr>
                <w:b/>
              </w:rPr>
              <w:t>H.</w:t>
            </w:r>
            <w:r w:rsidR="00DF1884" w:rsidRPr="00DF1884">
              <w:rPr>
                <w:b/>
              </w:rPr>
              <w:t xml:space="preserve"> </w:t>
            </w:r>
            <w:r w:rsidRPr="00DF1884">
              <w:rPr>
                <w:b/>
              </w:rPr>
              <w:t>Herman,</w:t>
            </w:r>
            <w:r w:rsidR="00DF1884" w:rsidRPr="00DF1884">
              <w:rPr>
                <w:b/>
              </w:rPr>
              <w:t xml:space="preserve"> </w:t>
            </w:r>
            <w:r w:rsidRPr="00DF1884">
              <w:rPr>
                <w:b/>
              </w:rPr>
              <w:t>MD,</w:t>
            </w:r>
            <w:r w:rsidR="00DF1884" w:rsidRPr="00DF1884">
              <w:rPr>
                <w:b/>
              </w:rPr>
              <w:t xml:space="preserve"> </w:t>
            </w:r>
            <w:r w:rsidRPr="00DF1884">
              <w:rPr>
                <w:b/>
              </w:rPr>
              <w:t>MPH</w:t>
            </w:r>
            <w:r w:rsidR="00DF1884" w:rsidRPr="00DF1884">
              <w:rPr>
                <w:b/>
              </w:rPr>
              <w:t xml:space="preserve"> </w:t>
            </w:r>
            <w:r w:rsidRPr="00DF1884">
              <w:rPr>
                <w:b/>
              </w:rPr>
              <w:t>(Chair)</w:t>
            </w:r>
            <w:r w:rsidRPr="00DF1884">
              <w:rPr>
                <w:b/>
              </w:rPr>
              <w:br/>
            </w:r>
            <w:r w:rsidRPr="00DF1884">
              <w:t>University</w:t>
            </w:r>
            <w:r w:rsidR="00DF1884" w:rsidRPr="00DF1884">
              <w:t xml:space="preserve"> </w:t>
            </w:r>
            <w:r w:rsidRPr="00DF1884">
              <w:t>of</w:t>
            </w:r>
            <w:r w:rsidR="00DF1884" w:rsidRPr="00DF1884">
              <w:t xml:space="preserve"> </w:t>
            </w:r>
            <w:r w:rsidRPr="00DF1884">
              <w:t>Michigan</w:t>
            </w:r>
            <w:r w:rsidR="00DF1884" w:rsidRPr="00DF1884">
              <w:t xml:space="preserve"> </w:t>
            </w:r>
            <w:r w:rsidRPr="00DF1884">
              <w:t>Health</w:t>
            </w:r>
            <w:r w:rsidR="00DF1884" w:rsidRPr="00DF1884">
              <w:t xml:space="preserve"> </w:t>
            </w:r>
            <w:r w:rsidRPr="00DF1884">
              <w:t>System</w:t>
            </w:r>
          </w:p>
          <w:p w14:paraId="3197ADE5" w14:textId="0655CF58" w:rsidR="00463667" w:rsidRPr="00DF1884" w:rsidRDefault="00463667" w:rsidP="00C56CA6">
            <w:pPr>
              <w:pStyle w:val="Body"/>
            </w:pPr>
            <w:r w:rsidRPr="00DF1884">
              <w:rPr>
                <w:b/>
              </w:rPr>
              <w:t>Linda</w:t>
            </w:r>
            <w:r w:rsidR="00DF1884" w:rsidRPr="00DF1884">
              <w:rPr>
                <w:b/>
              </w:rPr>
              <w:t xml:space="preserve"> </w:t>
            </w:r>
            <w:r w:rsidRPr="00DF1884">
              <w:rPr>
                <w:b/>
              </w:rPr>
              <w:t>Humphrey,</w:t>
            </w:r>
            <w:r w:rsidR="00DF1884" w:rsidRPr="00DF1884">
              <w:rPr>
                <w:b/>
              </w:rPr>
              <w:t xml:space="preserve"> </w:t>
            </w:r>
            <w:r w:rsidRPr="00DF1884">
              <w:rPr>
                <w:b/>
              </w:rPr>
              <w:t>MD,</w:t>
            </w:r>
            <w:r w:rsidR="00DF1884" w:rsidRPr="00DF1884">
              <w:rPr>
                <w:b/>
              </w:rPr>
              <w:t xml:space="preserve"> </w:t>
            </w:r>
            <w:r w:rsidRPr="00DF1884">
              <w:rPr>
                <w:b/>
              </w:rPr>
              <w:t>MPH,</w:t>
            </w:r>
            <w:r w:rsidR="00DF1884" w:rsidRPr="00DF1884">
              <w:rPr>
                <w:b/>
              </w:rPr>
              <w:t xml:space="preserve"> </w:t>
            </w:r>
            <w:r w:rsidRPr="00DF1884">
              <w:rPr>
                <w:b/>
              </w:rPr>
              <w:t>FACP</w:t>
            </w:r>
            <w:r w:rsidR="00DF1884" w:rsidRPr="00DF1884">
              <w:rPr>
                <w:b/>
              </w:rPr>
              <w:t xml:space="preserve"> </w:t>
            </w:r>
            <w:r w:rsidRPr="00DF1884">
              <w:rPr>
                <w:b/>
              </w:rPr>
              <w:br/>
            </w:r>
            <w:r w:rsidRPr="00DF1884">
              <w:t>Oregon</w:t>
            </w:r>
            <w:r w:rsidR="00DF1884" w:rsidRPr="00DF1884">
              <w:t xml:space="preserve"> </w:t>
            </w:r>
            <w:r w:rsidRPr="00DF1884">
              <w:t>Health</w:t>
            </w:r>
            <w:r w:rsidR="00DF1884" w:rsidRPr="00DF1884">
              <w:t xml:space="preserve"> </w:t>
            </w:r>
            <w:r w:rsidRPr="00DF1884">
              <w:t>and</w:t>
            </w:r>
            <w:r w:rsidR="00DF1884" w:rsidRPr="00DF1884">
              <w:t xml:space="preserve"> </w:t>
            </w:r>
            <w:r w:rsidRPr="00DF1884">
              <w:t>Sciences</w:t>
            </w:r>
            <w:r w:rsidR="00DF1884" w:rsidRPr="00DF1884">
              <w:t xml:space="preserve"> </w:t>
            </w:r>
            <w:r w:rsidRPr="00DF1884">
              <w:t>University</w:t>
            </w:r>
          </w:p>
          <w:p w14:paraId="22F6FD37" w14:textId="1AEA722A" w:rsidR="00463667" w:rsidRPr="00DF1884" w:rsidRDefault="00463667" w:rsidP="00C56CA6">
            <w:pPr>
              <w:pStyle w:val="Body"/>
              <w:spacing w:before="0"/>
            </w:pPr>
            <w:r w:rsidRPr="00DF1884">
              <w:t>American</w:t>
            </w:r>
            <w:r w:rsidR="00DF1884" w:rsidRPr="00DF1884">
              <w:t xml:space="preserve"> </w:t>
            </w:r>
            <w:r w:rsidRPr="00DF1884">
              <w:t>College</w:t>
            </w:r>
            <w:r w:rsidR="00DF1884" w:rsidRPr="00DF1884">
              <w:t xml:space="preserve"> </w:t>
            </w:r>
            <w:r w:rsidRPr="00DF1884">
              <w:t>of</w:t>
            </w:r>
            <w:r w:rsidR="00DF1884" w:rsidRPr="00DF1884">
              <w:t xml:space="preserve"> </w:t>
            </w:r>
            <w:r w:rsidRPr="00DF1884">
              <w:t>Physicians</w:t>
            </w:r>
          </w:p>
          <w:p w14:paraId="785CE458" w14:textId="2E363764" w:rsidR="00463667" w:rsidRPr="00DF1884" w:rsidRDefault="00463667" w:rsidP="00C56CA6">
            <w:pPr>
              <w:pStyle w:val="Body"/>
            </w:pPr>
            <w:r w:rsidRPr="00DF1884">
              <w:rPr>
                <w:b/>
              </w:rPr>
              <w:t>Mikhail</w:t>
            </w:r>
            <w:r w:rsidR="00DF1884" w:rsidRPr="00DF1884">
              <w:rPr>
                <w:b/>
              </w:rPr>
              <w:t xml:space="preserve"> </w:t>
            </w:r>
            <w:r w:rsidRPr="00DF1884">
              <w:rPr>
                <w:b/>
              </w:rPr>
              <w:t>Kosiborod,</w:t>
            </w:r>
            <w:r w:rsidR="00DF1884" w:rsidRPr="00DF1884">
              <w:rPr>
                <w:b/>
              </w:rPr>
              <w:t xml:space="preserve"> </w:t>
            </w:r>
            <w:r w:rsidRPr="00DF1884">
              <w:rPr>
                <w:b/>
              </w:rPr>
              <w:t>MD,</w:t>
            </w:r>
            <w:r w:rsidR="00DF1884" w:rsidRPr="00DF1884">
              <w:rPr>
                <w:b/>
              </w:rPr>
              <w:t xml:space="preserve"> </w:t>
            </w:r>
            <w:r w:rsidRPr="00DF1884">
              <w:rPr>
                <w:b/>
              </w:rPr>
              <w:t>FACC</w:t>
            </w:r>
            <w:r w:rsidRPr="00DF1884">
              <w:rPr>
                <w:b/>
              </w:rPr>
              <w:br/>
            </w:r>
            <w:r w:rsidRPr="00DF1884">
              <w:t>Saint</w:t>
            </w:r>
            <w:r w:rsidR="00DF1884" w:rsidRPr="00DF1884">
              <w:t xml:space="preserve"> </w:t>
            </w:r>
            <w:r w:rsidRPr="00DF1884">
              <w:t>Luke’s</w:t>
            </w:r>
            <w:r w:rsidR="00DF1884" w:rsidRPr="00DF1884">
              <w:t xml:space="preserve"> </w:t>
            </w:r>
            <w:r w:rsidRPr="00DF1884">
              <w:t>Mid</w:t>
            </w:r>
            <w:r w:rsidR="00DF1884" w:rsidRPr="00DF1884">
              <w:t xml:space="preserve"> </w:t>
            </w:r>
            <w:r w:rsidRPr="00DF1884">
              <w:t>America</w:t>
            </w:r>
            <w:r w:rsidR="00DF1884" w:rsidRPr="00DF1884">
              <w:t xml:space="preserve"> </w:t>
            </w:r>
            <w:r w:rsidRPr="00DF1884">
              <w:t>Heart</w:t>
            </w:r>
            <w:r w:rsidR="00DF1884" w:rsidRPr="00DF1884">
              <w:t xml:space="preserve"> </w:t>
            </w:r>
            <w:r w:rsidRPr="00DF1884">
              <w:t>Institute</w:t>
            </w:r>
          </w:p>
          <w:p w14:paraId="1EB0FB1B" w14:textId="297AD4BA" w:rsidR="00463667" w:rsidRPr="00DF1884" w:rsidRDefault="00463667" w:rsidP="00C56CA6">
            <w:pPr>
              <w:pStyle w:val="Body"/>
            </w:pPr>
            <w:r w:rsidRPr="00DF1884">
              <w:rPr>
                <w:b/>
              </w:rPr>
              <w:t>Lynne</w:t>
            </w:r>
            <w:r w:rsidR="00DF1884" w:rsidRPr="00DF1884">
              <w:rPr>
                <w:b/>
              </w:rPr>
              <w:t xml:space="preserve"> </w:t>
            </w:r>
            <w:r w:rsidRPr="00DF1884">
              <w:rPr>
                <w:b/>
              </w:rPr>
              <w:t>Levitsky,</w:t>
            </w:r>
            <w:r w:rsidR="00DF1884" w:rsidRPr="00DF1884">
              <w:rPr>
                <w:b/>
              </w:rPr>
              <w:t xml:space="preserve"> </w:t>
            </w:r>
            <w:r w:rsidRPr="00DF1884">
              <w:rPr>
                <w:b/>
              </w:rPr>
              <w:t>MD</w:t>
            </w:r>
            <w:r w:rsidRPr="00DF1884">
              <w:rPr>
                <w:b/>
              </w:rPr>
              <w:br/>
            </w:r>
            <w:r w:rsidRPr="00DF1884">
              <w:t>Massachusetts</w:t>
            </w:r>
            <w:r w:rsidR="00DF1884" w:rsidRPr="00DF1884">
              <w:t xml:space="preserve"> </w:t>
            </w:r>
            <w:r w:rsidRPr="00DF1884">
              <w:t>General</w:t>
            </w:r>
            <w:r w:rsidR="00DF1884" w:rsidRPr="00DF1884">
              <w:t xml:space="preserve"> </w:t>
            </w:r>
            <w:r w:rsidRPr="00DF1884">
              <w:t>Hospital</w:t>
            </w:r>
          </w:p>
          <w:p w14:paraId="069E0D75" w14:textId="403FC329" w:rsidR="00463667" w:rsidRPr="00DF1884" w:rsidRDefault="00463667" w:rsidP="00C56CA6">
            <w:pPr>
              <w:pStyle w:val="Body"/>
            </w:pPr>
            <w:r w:rsidRPr="00DF1884">
              <w:rPr>
                <w:b/>
              </w:rPr>
              <w:t>Michael</w:t>
            </w:r>
            <w:r w:rsidR="00DF1884" w:rsidRPr="00DF1884">
              <w:rPr>
                <w:b/>
              </w:rPr>
              <w:t xml:space="preserve"> </w:t>
            </w:r>
            <w:r w:rsidRPr="00DF1884">
              <w:rPr>
                <w:b/>
              </w:rPr>
              <w:t>Pignone,</w:t>
            </w:r>
            <w:r w:rsidR="00DF1884" w:rsidRPr="00DF1884">
              <w:rPr>
                <w:b/>
              </w:rPr>
              <w:t xml:space="preserve"> </w:t>
            </w:r>
            <w:r w:rsidRPr="00DF1884">
              <w:rPr>
                <w:b/>
              </w:rPr>
              <w:t>MD,</w:t>
            </w:r>
            <w:r w:rsidR="00DF1884" w:rsidRPr="00DF1884">
              <w:rPr>
                <w:b/>
              </w:rPr>
              <w:t xml:space="preserve"> </w:t>
            </w:r>
            <w:r w:rsidRPr="00DF1884">
              <w:rPr>
                <w:b/>
              </w:rPr>
              <w:t>MPH</w:t>
            </w:r>
            <w:r w:rsidRPr="00DF1884">
              <w:rPr>
                <w:b/>
              </w:rPr>
              <w:br/>
            </w:r>
            <w:r w:rsidRPr="00DF1884">
              <w:t>University</w:t>
            </w:r>
            <w:r w:rsidR="00DF1884" w:rsidRPr="00DF1884">
              <w:t xml:space="preserve"> </w:t>
            </w:r>
            <w:r w:rsidRPr="00DF1884">
              <w:t>of</w:t>
            </w:r>
            <w:r w:rsidR="00DF1884" w:rsidRPr="00DF1884">
              <w:t xml:space="preserve"> </w:t>
            </w:r>
            <w:r w:rsidRPr="00DF1884">
              <w:t>North</w:t>
            </w:r>
            <w:r w:rsidR="00DF1884" w:rsidRPr="00DF1884">
              <w:t xml:space="preserve"> </w:t>
            </w:r>
            <w:r w:rsidRPr="00DF1884">
              <w:t>Carolina,</w:t>
            </w:r>
            <w:r w:rsidR="00DF1884" w:rsidRPr="00DF1884">
              <w:t xml:space="preserve"> </w:t>
            </w:r>
            <w:r w:rsidRPr="00DF1884">
              <w:t>Chapel</w:t>
            </w:r>
            <w:r w:rsidR="00DF1884" w:rsidRPr="00DF1884">
              <w:t xml:space="preserve"> </w:t>
            </w:r>
            <w:r w:rsidRPr="00DF1884">
              <w:t>Hill</w:t>
            </w:r>
          </w:p>
          <w:p w14:paraId="78770264" w14:textId="5BA16C32" w:rsidR="00463667" w:rsidRPr="00DF1884" w:rsidRDefault="00463667" w:rsidP="00C56CA6">
            <w:pPr>
              <w:pStyle w:val="Body"/>
            </w:pPr>
            <w:r w:rsidRPr="00DF1884">
              <w:rPr>
                <w:b/>
              </w:rPr>
              <w:t>Seth</w:t>
            </w:r>
            <w:r w:rsidR="00DF1884" w:rsidRPr="00DF1884">
              <w:rPr>
                <w:b/>
              </w:rPr>
              <w:t xml:space="preserve"> </w:t>
            </w:r>
            <w:r w:rsidRPr="00DF1884">
              <w:rPr>
                <w:b/>
              </w:rPr>
              <w:t>Rubenstein,</w:t>
            </w:r>
            <w:r w:rsidR="00DF1884" w:rsidRPr="00DF1884">
              <w:rPr>
                <w:b/>
              </w:rPr>
              <w:t xml:space="preserve"> </w:t>
            </w:r>
            <w:r w:rsidRPr="00DF1884">
              <w:rPr>
                <w:b/>
              </w:rPr>
              <w:t>DPM</w:t>
            </w:r>
            <w:r w:rsidRPr="00DF1884">
              <w:rPr>
                <w:b/>
              </w:rPr>
              <w:br/>
            </w:r>
            <w:r w:rsidRPr="00DF1884">
              <w:t>America</w:t>
            </w:r>
            <w:r w:rsidR="00DF1884" w:rsidRPr="00DF1884">
              <w:t xml:space="preserve"> </w:t>
            </w:r>
            <w:r w:rsidRPr="00DF1884">
              <w:t>Podiatric</w:t>
            </w:r>
            <w:r w:rsidR="00DF1884" w:rsidRPr="00DF1884">
              <w:t xml:space="preserve"> </w:t>
            </w:r>
            <w:r w:rsidRPr="00DF1884">
              <w:t>Medical</w:t>
            </w:r>
            <w:r w:rsidR="00DF1884" w:rsidRPr="00DF1884">
              <w:t xml:space="preserve"> </w:t>
            </w:r>
            <w:r w:rsidRPr="00DF1884">
              <w:t>Association</w:t>
            </w:r>
            <w:r w:rsidRPr="00DF1884">
              <w:br/>
              <w:t>Private</w:t>
            </w:r>
            <w:r w:rsidR="00DF1884" w:rsidRPr="00DF1884">
              <w:t xml:space="preserve"> </w:t>
            </w:r>
            <w:r w:rsidRPr="00DF1884">
              <w:t>Practice</w:t>
            </w:r>
          </w:p>
          <w:p w14:paraId="08A39BB6" w14:textId="664963D9" w:rsidR="00463667" w:rsidRPr="00DF1884" w:rsidRDefault="00463667" w:rsidP="00C56CA6">
            <w:pPr>
              <w:pStyle w:val="Body"/>
            </w:pPr>
            <w:r w:rsidRPr="00DF1884">
              <w:rPr>
                <w:b/>
              </w:rPr>
              <w:t>John</w:t>
            </w:r>
            <w:r w:rsidR="00DF1884" w:rsidRPr="00DF1884">
              <w:rPr>
                <w:b/>
              </w:rPr>
              <w:t xml:space="preserve"> </w:t>
            </w:r>
            <w:r w:rsidRPr="00DF1884">
              <w:rPr>
                <w:b/>
              </w:rPr>
              <w:t>Thompson,</w:t>
            </w:r>
            <w:r w:rsidR="00DF1884" w:rsidRPr="00DF1884">
              <w:rPr>
                <w:b/>
              </w:rPr>
              <w:t xml:space="preserve"> </w:t>
            </w:r>
            <w:r w:rsidRPr="00DF1884">
              <w:rPr>
                <w:b/>
              </w:rPr>
              <w:t>MD</w:t>
            </w:r>
            <w:r w:rsidRPr="00DF1884">
              <w:rPr>
                <w:b/>
              </w:rPr>
              <w:br/>
            </w:r>
            <w:r w:rsidRPr="00DF1884">
              <w:t>Retina</w:t>
            </w:r>
            <w:r w:rsidR="00DF1884" w:rsidRPr="00DF1884">
              <w:t xml:space="preserve"> </w:t>
            </w:r>
            <w:r w:rsidRPr="00DF1884">
              <w:t>Specialists</w:t>
            </w:r>
          </w:p>
        </w:tc>
      </w:tr>
    </w:tbl>
    <w:p w14:paraId="1D2410AC" w14:textId="77777777" w:rsidR="00463667" w:rsidRPr="00DF1884" w:rsidRDefault="00463667" w:rsidP="00463667">
      <w:pPr>
        <w:sectPr w:rsidR="00463667" w:rsidRPr="00DF1884" w:rsidSect="0039781B">
          <w:pgSz w:w="12240" w:h="15840" w:code="1"/>
          <w:pgMar w:top="1080" w:right="1080" w:bottom="1080" w:left="1440" w:header="720" w:footer="720" w:gutter="0"/>
          <w:cols w:space="720"/>
        </w:sectPr>
      </w:pPr>
    </w:p>
    <w:p w14:paraId="0BA04D8F" w14:textId="4A003172" w:rsidR="00463667" w:rsidRPr="00DF1884" w:rsidRDefault="00463667" w:rsidP="00202CAE">
      <w:pPr>
        <w:pStyle w:val="ReverseHead"/>
        <w:spacing w:before="0"/>
      </w:pPr>
      <w:r w:rsidRPr="00DF1884">
        <w:t>Efficiency</w:t>
      </w:r>
      <w:r w:rsidR="00DF1884" w:rsidRPr="00DF1884">
        <w:t xml:space="preserve"> </w:t>
      </w:r>
      <w:r w:rsidRPr="00DF1884">
        <w:t>Measurement</w:t>
      </w:r>
      <w:r w:rsidR="00DF1884" w:rsidRPr="00DF1884">
        <w:t xml:space="preserve"> </w:t>
      </w:r>
      <w:r w:rsidRPr="00DF1884">
        <w:t>Advisory</w:t>
      </w:r>
      <w:r w:rsidR="00DF1884" w:rsidRPr="00DF1884">
        <w:t xml:space="preserve"> </w:t>
      </w:r>
      <w:r w:rsidRPr="00DF1884">
        <w:t>Panel</w:t>
      </w:r>
    </w:p>
    <w:tbl>
      <w:tblPr>
        <w:tblW w:w="0" w:type="auto"/>
        <w:tblLayout w:type="fixed"/>
        <w:tblLook w:val="0000" w:firstRow="0" w:lastRow="0" w:firstColumn="0" w:lastColumn="0" w:noHBand="0" w:noVBand="0"/>
      </w:tblPr>
      <w:tblGrid>
        <w:gridCol w:w="4788"/>
        <w:gridCol w:w="5076"/>
      </w:tblGrid>
      <w:tr w:rsidR="00463667" w:rsidRPr="00DF1884" w14:paraId="76E667C7" w14:textId="77777777" w:rsidTr="00C56CA6">
        <w:tc>
          <w:tcPr>
            <w:tcW w:w="4788" w:type="dxa"/>
          </w:tcPr>
          <w:p w14:paraId="1FCC2DD5" w14:textId="093B0909" w:rsidR="00463667" w:rsidRPr="00DF1884" w:rsidRDefault="00463667" w:rsidP="00C56CA6">
            <w:pPr>
              <w:pStyle w:val="Body"/>
              <w:widowControl w:val="0"/>
              <w:rPr>
                <w:rFonts w:cs="Arial"/>
                <w:szCs w:val="20"/>
              </w:rPr>
            </w:pPr>
            <w:r w:rsidRPr="00DF1884">
              <w:rPr>
                <w:rFonts w:cs="Arial"/>
                <w:b/>
                <w:szCs w:val="20"/>
              </w:rPr>
              <w:t>Niall</w:t>
            </w:r>
            <w:r w:rsidR="00DF1884" w:rsidRPr="00DF1884">
              <w:rPr>
                <w:rFonts w:cs="Arial"/>
                <w:b/>
                <w:szCs w:val="20"/>
              </w:rPr>
              <w:t xml:space="preserve"> </w:t>
            </w:r>
            <w:r w:rsidRPr="00DF1884">
              <w:rPr>
                <w:rFonts w:cs="Arial"/>
                <w:b/>
                <w:szCs w:val="20"/>
              </w:rPr>
              <w:t>Brennan,</w:t>
            </w:r>
            <w:r w:rsidR="00DF1884" w:rsidRPr="00DF1884">
              <w:rPr>
                <w:rFonts w:cs="Arial"/>
                <w:b/>
                <w:szCs w:val="20"/>
              </w:rPr>
              <w:t xml:space="preserve"> </w:t>
            </w:r>
            <w:r w:rsidRPr="00DF1884">
              <w:rPr>
                <w:rFonts w:cs="Arial"/>
                <w:b/>
                <w:szCs w:val="20"/>
              </w:rPr>
              <w:t>MPP</w:t>
            </w:r>
            <w:r w:rsidRPr="00DF1884">
              <w:rPr>
                <w:rFonts w:cs="Arial"/>
                <w:b/>
                <w:szCs w:val="20"/>
              </w:rPr>
              <w:br/>
            </w:r>
            <w:r w:rsidRPr="00DF1884">
              <w:rPr>
                <w:rFonts w:cs="Arial"/>
                <w:szCs w:val="20"/>
              </w:rPr>
              <w:t>Centers</w:t>
            </w:r>
            <w:r w:rsidR="00DF1884" w:rsidRPr="00DF1884">
              <w:rPr>
                <w:rFonts w:cs="Arial"/>
                <w:szCs w:val="20"/>
              </w:rPr>
              <w:t xml:space="preserve"> </w:t>
            </w:r>
            <w:r w:rsidRPr="00DF1884">
              <w:rPr>
                <w:rFonts w:cs="Arial"/>
                <w:szCs w:val="20"/>
              </w:rPr>
              <w:t>for</w:t>
            </w:r>
            <w:r w:rsidR="00DF1884" w:rsidRPr="00DF1884">
              <w:rPr>
                <w:rFonts w:cs="Arial"/>
                <w:szCs w:val="20"/>
              </w:rPr>
              <w:t xml:space="preserve"> </w:t>
            </w:r>
            <w:r w:rsidRPr="00DF1884">
              <w:rPr>
                <w:rFonts w:cs="Arial"/>
                <w:szCs w:val="20"/>
              </w:rPr>
              <w:t>Medicare</w:t>
            </w:r>
            <w:r w:rsidR="00DF1884" w:rsidRPr="00DF1884">
              <w:rPr>
                <w:rFonts w:cs="Arial"/>
                <w:szCs w:val="20"/>
              </w:rPr>
              <w:t xml:space="preserve"> </w:t>
            </w:r>
            <w:r w:rsidRPr="00DF1884">
              <w:rPr>
                <w:rFonts w:cs="Arial"/>
                <w:szCs w:val="20"/>
              </w:rPr>
              <w:t>&amp;</w:t>
            </w:r>
            <w:r w:rsidR="00DF1884" w:rsidRPr="00DF1884">
              <w:rPr>
                <w:rFonts w:cs="Arial"/>
                <w:szCs w:val="20"/>
              </w:rPr>
              <w:t xml:space="preserve"> </w:t>
            </w:r>
            <w:r w:rsidRPr="00DF1884">
              <w:rPr>
                <w:rFonts w:cs="Arial"/>
                <w:szCs w:val="20"/>
              </w:rPr>
              <w:t>Medicaid</w:t>
            </w:r>
            <w:r w:rsidR="00DF1884" w:rsidRPr="00DF1884">
              <w:rPr>
                <w:rFonts w:cs="Arial"/>
                <w:szCs w:val="20"/>
              </w:rPr>
              <w:t xml:space="preserve"> </w:t>
            </w:r>
            <w:r w:rsidRPr="00DF1884">
              <w:rPr>
                <w:rFonts w:cs="Arial"/>
                <w:szCs w:val="20"/>
              </w:rPr>
              <w:t>Services</w:t>
            </w:r>
          </w:p>
          <w:p w14:paraId="770717C5" w14:textId="71647812" w:rsidR="00463667" w:rsidRPr="00DF1884" w:rsidRDefault="00463667" w:rsidP="00C56CA6">
            <w:pPr>
              <w:pStyle w:val="Body"/>
            </w:pPr>
            <w:r w:rsidRPr="00DF1884">
              <w:rPr>
                <w:rFonts w:cs="Arial"/>
                <w:b/>
                <w:szCs w:val="20"/>
              </w:rPr>
              <w:t>Dan</w:t>
            </w:r>
            <w:r w:rsidR="00DF1884" w:rsidRPr="00DF1884">
              <w:rPr>
                <w:rFonts w:cs="Arial"/>
                <w:b/>
                <w:szCs w:val="20"/>
              </w:rPr>
              <w:t xml:space="preserve"> </w:t>
            </w:r>
            <w:r w:rsidRPr="00DF1884">
              <w:rPr>
                <w:rFonts w:cs="Arial"/>
                <w:b/>
                <w:szCs w:val="20"/>
              </w:rPr>
              <w:t>Dunn,</w:t>
            </w:r>
            <w:r w:rsidR="00DF1884" w:rsidRPr="00DF1884">
              <w:rPr>
                <w:rFonts w:cs="Arial"/>
                <w:b/>
                <w:szCs w:val="20"/>
              </w:rPr>
              <w:t xml:space="preserve"> </w:t>
            </w:r>
            <w:r w:rsidRPr="00DF1884">
              <w:rPr>
                <w:rFonts w:cs="Arial"/>
                <w:b/>
                <w:szCs w:val="20"/>
              </w:rPr>
              <w:t>PhD</w:t>
            </w:r>
            <w:r w:rsidRPr="00DF1884">
              <w:br/>
              <w:t>OptumInsight</w:t>
            </w:r>
          </w:p>
          <w:p w14:paraId="6627E723" w14:textId="12C2748C" w:rsidR="00463667" w:rsidRPr="00DF1884" w:rsidRDefault="00463667" w:rsidP="00C56CA6">
            <w:pPr>
              <w:pStyle w:val="Body"/>
            </w:pPr>
            <w:r w:rsidRPr="00DF1884">
              <w:rPr>
                <w:b/>
              </w:rPr>
              <w:t>Kyle</w:t>
            </w:r>
            <w:r w:rsidR="00DF1884" w:rsidRPr="00DF1884">
              <w:rPr>
                <w:b/>
              </w:rPr>
              <w:t xml:space="preserve"> </w:t>
            </w:r>
            <w:r w:rsidRPr="00DF1884">
              <w:rPr>
                <w:b/>
              </w:rPr>
              <w:t>Grazier,</w:t>
            </w:r>
            <w:r w:rsidR="00DF1884" w:rsidRPr="00DF1884">
              <w:rPr>
                <w:b/>
              </w:rPr>
              <w:t xml:space="preserve"> </w:t>
            </w:r>
            <w:r w:rsidRPr="00DF1884">
              <w:rPr>
                <w:b/>
              </w:rPr>
              <w:t>PhD</w:t>
            </w:r>
            <w:r w:rsidRPr="00DF1884">
              <w:br/>
              <w:t>University</w:t>
            </w:r>
            <w:r w:rsidR="00DF1884" w:rsidRPr="00DF1884">
              <w:t xml:space="preserve"> </w:t>
            </w:r>
            <w:r w:rsidRPr="00DF1884">
              <w:t>of</w:t>
            </w:r>
            <w:r w:rsidR="00DF1884" w:rsidRPr="00DF1884">
              <w:t xml:space="preserve"> </w:t>
            </w:r>
            <w:r w:rsidRPr="00DF1884">
              <w:t>Michigan</w:t>
            </w:r>
          </w:p>
          <w:p w14:paraId="23DB0C3F" w14:textId="75667744" w:rsidR="00463667" w:rsidRPr="00DF1884" w:rsidRDefault="00463667" w:rsidP="00C56CA6">
            <w:pPr>
              <w:pStyle w:val="Body"/>
            </w:pPr>
            <w:r w:rsidRPr="00DF1884">
              <w:rPr>
                <w:b/>
              </w:rPr>
              <w:t>Maureen</w:t>
            </w:r>
            <w:r w:rsidR="00DF1884" w:rsidRPr="00DF1884">
              <w:rPr>
                <w:b/>
              </w:rPr>
              <w:t xml:space="preserve"> </w:t>
            </w:r>
            <w:r w:rsidRPr="00DF1884">
              <w:rPr>
                <w:b/>
              </w:rPr>
              <w:t>Hanlon</w:t>
            </w:r>
            <w:r w:rsidR="00DF1884" w:rsidRPr="00DF1884">
              <w:rPr>
                <w:b/>
              </w:rPr>
              <w:t xml:space="preserve"> </w:t>
            </w:r>
            <w:r w:rsidRPr="00DF1884">
              <w:rPr>
                <w:b/>
              </w:rPr>
              <w:br/>
            </w:r>
            <w:r w:rsidRPr="00DF1884">
              <w:t>Kaiser</w:t>
            </w:r>
            <w:r w:rsidR="00DF1884" w:rsidRPr="00DF1884">
              <w:t xml:space="preserve"> </w:t>
            </w:r>
            <w:r w:rsidRPr="00DF1884">
              <w:t>Foundation</w:t>
            </w:r>
            <w:r w:rsidR="00DF1884" w:rsidRPr="00DF1884">
              <w:t xml:space="preserve"> </w:t>
            </w:r>
            <w:r w:rsidRPr="00DF1884">
              <w:t>Health</w:t>
            </w:r>
            <w:r w:rsidR="00DF1884" w:rsidRPr="00DF1884">
              <w:t xml:space="preserve"> </w:t>
            </w:r>
            <w:r w:rsidRPr="00DF1884">
              <w:t>Plan</w:t>
            </w:r>
          </w:p>
          <w:p w14:paraId="2571A142" w14:textId="1F6F5B5D" w:rsidR="00463667" w:rsidRPr="00DF1884" w:rsidRDefault="00463667" w:rsidP="00C56CA6">
            <w:pPr>
              <w:pStyle w:val="Body"/>
              <w:rPr>
                <w:szCs w:val="20"/>
              </w:rPr>
            </w:pPr>
            <w:r w:rsidRPr="00DF1884">
              <w:rPr>
                <w:b/>
                <w:szCs w:val="20"/>
              </w:rPr>
              <w:t>Bob</w:t>
            </w:r>
            <w:r w:rsidR="00DF1884" w:rsidRPr="00DF1884">
              <w:rPr>
                <w:b/>
                <w:szCs w:val="20"/>
              </w:rPr>
              <w:t xml:space="preserve"> </w:t>
            </w:r>
            <w:r w:rsidRPr="00DF1884">
              <w:rPr>
                <w:b/>
                <w:szCs w:val="20"/>
              </w:rPr>
              <w:t>Kelley</w:t>
            </w:r>
            <w:r w:rsidRPr="00DF1884">
              <w:rPr>
                <w:b/>
                <w:szCs w:val="20"/>
              </w:rPr>
              <w:br/>
            </w:r>
            <w:r w:rsidRPr="00DF1884">
              <w:rPr>
                <w:szCs w:val="20"/>
              </w:rPr>
              <w:t>Truven</w:t>
            </w:r>
            <w:r w:rsidR="00DF1884" w:rsidRPr="00DF1884">
              <w:rPr>
                <w:szCs w:val="20"/>
              </w:rPr>
              <w:t xml:space="preserve"> </w:t>
            </w:r>
            <w:r w:rsidRPr="00DF1884">
              <w:rPr>
                <w:szCs w:val="20"/>
              </w:rPr>
              <w:t>Health</w:t>
            </w:r>
            <w:r w:rsidR="00DF1884" w:rsidRPr="00DF1884">
              <w:rPr>
                <w:szCs w:val="20"/>
              </w:rPr>
              <w:t xml:space="preserve"> </w:t>
            </w:r>
            <w:r w:rsidRPr="00DF1884">
              <w:rPr>
                <w:szCs w:val="20"/>
              </w:rPr>
              <w:t>Analytics</w:t>
            </w:r>
          </w:p>
          <w:p w14:paraId="134428B0" w14:textId="4D11B6B5" w:rsidR="00463667" w:rsidRPr="00DF1884" w:rsidRDefault="00463667" w:rsidP="00C56CA6">
            <w:pPr>
              <w:pStyle w:val="Body"/>
              <w:widowControl w:val="0"/>
              <w:rPr>
                <w:rFonts w:cs="Arial"/>
                <w:b/>
                <w:szCs w:val="20"/>
              </w:rPr>
            </w:pPr>
            <w:r w:rsidRPr="00DF1884">
              <w:rPr>
                <w:rFonts w:cs="Arial"/>
                <w:b/>
                <w:szCs w:val="20"/>
              </w:rPr>
              <w:t>Denise</w:t>
            </w:r>
            <w:r w:rsidR="00DF1884" w:rsidRPr="00DF1884">
              <w:rPr>
                <w:rFonts w:cs="Arial"/>
                <w:b/>
                <w:szCs w:val="20"/>
              </w:rPr>
              <w:t xml:space="preserve"> </w:t>
            </w:r>
            <w:r w:rsidRPr="00DF1884">
              <w:rPr>
                <w:rFonts w:cs="Arial"/>
                <w:b/>
                <w:szCs w:val="20"/>
              </w:rPr>
              <w:t>Love,</w:t>
            </w:r>
            <w:r w:rsidR="00DF1884" w:rsidRPr="00DF1884">
              <w:rPr>
                <w:rFonts w:cs="Arial"/>
                <w:b/>
                <w:szCs w:val="20"/>
              </w:rPr>
              <w:t xml:space="preserve"> </w:t>
            </w:r>
            <w:r w:rsidRPr="00DF1884">
              <w:rPr>
                <w:rFonts w:cs="Arial"/>
                <w:b/>
                <w:szCs w:val="20"/>
              </w:rPr>
              <w:t>MBA</w:t>
            </w:r>
          </w:p>
          <w:p w14:paraId="38D994E5" w14:textId="7ECB8699" w:rsidR="00463667" w:rsidRPr="00DF1884" w:rsidRDefault="00463667" w:rsidP="00C56CA6">
            <w:pPr>
              <w:pStyle w:val="Body"/>
              <w:widowControl w:val="0"/>
              <w:spacing w:before="0"/>
              <w:rPr>
                <w:rFonts w:cs="Arial"/>
                <w:szCs w:val="20"/>
              </w:rPr>
            </w:pPr>
            <w:r w:rsidRPr="00DF1884">
              <w:rPr>
                <w:rFonts w:cs="Arial"/>
                <w:szCs w:val="20"/>
              </w:rPr>
              <w:t>National</w:t>
            </w:r>
            <w:r w:rsidR="00DF1884" w:rsidRPr="00DF1884">
              <w:rPr>
                <w:rFonts w:cs="Arial"/>
                <w:szCs w:val="20"/>
              </w:rPr>
              <w:t xml:space="preserve"> </w:t>
            </w:r>
            <w:r w:rsidRPr="00DF1884">
              <w:rPr>
                <w:rFonts w:cs="Arial"/>
                <w:szCs w:val="20"/>
              </w:rPr>
              <w:t>Association</w:t>
            </w:r>
            <w:r w:rsidR="00DF1884" w:rsidRPr="00DF1884">
              <w:rPr>
                <w:rFonts w:cs="Arial"/>
                <w:szCs w:val="20"/>
              </w:rPr>
              <w:t xml:space="preserve"> </w:t>
            </w:r>
            <w:r w:rsidRPr="00DF1884">
              <w:rPr>
                <w:rFonts w:cs="Arial"/>
                <w:szCs w:val="20"/>
              </w:rPr>
              <w:t>of</w:t>
            </w:r>
            <w:r w:rsidR="00DF1884" w:rsidRPr="00DF1884">
              <w:rPr>
                <w:rFonts w:cs="Arial"/>
                <w:szCs w:val="20"/>
              </w:rPr>
              <w:t xml:space="preserve"> </w:t>
            </w:r>
            <w:r w:rsidRPr="00DF1884">
              <w:rPr>
                <w:rFonts w:cs="Arial"/>
                <w:szCs w:val="20"/>
              </w:rPr>
              <w:t>Health</w:t>
            </w:r>
            <w:r w:rsidR="00DF1884" w:rsidRPr="00DF1884">
              <w:rPr>
                <w:rFonts w:cs="Arial"/>
                <w:szCs w:val="20"/>
              </w:rPr>
              <w:t xml:space="preserve"> </w:t>
            </w:r>
            <w:r w:rsidRPr="00DF1884">
              <w:rPr>
                <w:rFonts w:cs="Arial"/>
                <w:szCs w:val="20"/>
              </w:rPr>
              <w:t>Data</w:t>
            </w:r>
            <w:r w:rsidR="00DF1884" w:rsidRPr="00DF1884">
              <w:rPr>
                <w:rFonts w:cs="Arial"/>
                <w:szCs w:val="20"/>
              </w:rPr>
              <w:t xml:space="preserve"> </w:t>
            </w:r>
            <w:r w:rsidRPr="00DF1884">
              <w:rPr>
                <w:rFonts w:cs="Arial"/>
                <w:szCs w:val="20"/>
              </w:rPr>
              <w:t>Organizations</w:t>
            </w:r>
            <w:r w:rsidR="00DF1884" w:rsidRPr="00DF1884">
              <w:rPr>
                <w:rFonts w:cs="Arial"/>
                <w:szCs w:val="20"/>
              </w:rPr>
              <w:t xml:space="preserve"> </w:t>
            </w:r>
            <w:r w:rsidRPr="00DF1884">
              <w:rPr>
                <w:rFonts w:cs="Arial"/>
                <w:szCs w:val="20"/>
              </w:rPr>
              <w:t>(NAHDO)</w:t>
            </w:r>
          </w:p>
          <w:p w14:paraId="0E31EE6F" w14:textId="676A2139" w:rsidR="00463667" w:rsidRPr="00DF1884" w:rsidRDefault="00463667" w:rsidP="00C56CA6">
            <w:pPr>
              <w:pStyle w:val="Body"/>
              <w:rPr>
                <w:szCs w:val="20"/>
              </w:rPr>
            </w:pPr>
            <w:r w:rsidRPr="00DF1884">
              <w:rPr>
                <w:b/>
                <w:szCs w:val="20"/>
              </w:rPr>
              <w:t>Ranyan</w:t>
            </w:r>
            <w:r w:rsidR="00DF1884" w:rsidRPr="00DF1884">
              <w:rPr>
                <w:b/>
                <w:szCs w:val="20"/>
              </w:rPr>
              <w:t xml:space="preserve"> </w:t>
            </w:r>
            <w:r w:rsidRPr="00DF1884">
              <w:rPr>
                <w:b/>
                <w:szCs w:val="20"/>
              </w:rPr>
              <w:t>Lu,</w:t>
            </w:r>
            <w:r w:rsidR="00DF1884" w:rsidRPr="00DF1884">
              <w:rPr>
                <w:b/>
                <w:szCs w:val="20"/>
              </w:rPr>
              <w:t xml:space="preserve"> </w:t>
            </w:r>
            <w:r w:rsidRPr="00DF1884">
              <w:rPr>
                <w:b/>
                <w:szCs w:val="20"/>
              </w:rPr>
              <w:t>PhD,</w:t>
            </w:r>
            <w:r w:rsidR="00DF1884" w:rsidRPr="00DF1884">
              <w:rPr>
                <w:b/>
                <w:szCs w:val="20"/>
              </w:rPr>
              <w:t xml:space="preserve"> </w:t>
            </w:r>
            <w:r w:rsidRPr="00DF1884">
              <w:rPr>
                <w:b/>
                <w:szCs w:val="20"/>
              </w:rPr>
              <w:t>MBA</w:t>
            </w:r>
            <w:r w:rsidRPr="00DF1884">
              <w:rPr>
                <w:b/>
                <w:szCs w:val="20"/>
              </w:rPr>
              <w:br/>
            </w:r>
            <w:r w:rsidRPr="00DF1884">
              <w:rPr>
                <w:szCs w:val="20"/>
              </w:rPr>
              <w:t>United</w:t>
            </w:r>
            <w:r w:rsidR="00DF1884" w:rsidRPr="00DF1884">
              <w:rPr>
                <w:szCs w:val="20"/>
              </w:rPr>
              <w:t xml:space="preserve"> </w:t>
            </w:r>
            <w:r w:rsidRPr="00DF1884">
              <w:rPr>
                <w:szCs w:val="20"/>
              </w:rPr>
              <w:t>Health</w:t>
            </w:r>
            <w:r w:rsidR="00DF1884" w:rsidRPr="00DF1884">
              <w:rPr>
                <w:szCs w:val="20"/>
              </w:rPr>
              <w:t xml:space="preserve"> </w:t>
            </w:r>
            <w:r w:rsidRPr="00DF1884">
              <w:rPr>
                <w:szCs w:val="20"/>
              </w:rPr>
              <w:t>Care</w:t>
            </w:r>
          </w:p>
        </w:tc>
        <w:tc>
          <w:tcPr>
            <w:tcW w:w="5076" w:type="dxa"/>
          </w:tcPr>
          <w:p w14:paraId="2C94D89D" w14:textId="4D3049D9" w:rsidR="00463667" w:rsidRPr="00DF1884" w:rsidRDefault="00463667" w:rsidP="00C56CA6">
            <w:pPr>
              <w:pStyle w:val="Body"/>
              <w:rPr>
                <w:szCs w:val="20"/>
              </w:rPr>
            </w:pPr>
            <w:r w:rsidRPr="00DF1884">
              <w:rPr>
                <w:b/>
                <w:szCs w:val="20"/>
              </w:rPr>
              <w:t>Marilyn</w:t>
            </w:r>
            <w:r w:rsidR="00DF1884" w:rsidRPr="00DF1884">
              <w:rPr>
                <w:b/>
                <w:szCs w:val="20"/>
              </w:rPr>
              <w:t xml:space="preserve"> </w:t>
            </w:r>
            <w:r w:rsidRPr="00DF1884">
              <w:rPr>
                <w:b/>
                <w:szCs w:val="20"/>
              </w:rPr>
              <w:t>MacArthur</w:t>
            </w:r>
            <w:r w:rsidRPr="00DF1884">
              <w:rPr>
                <w:b/>
                <w:szCs w:val="20"/>
              </w:rPr>
              <w:br/>
            </w:r>
            <w:r w:rsidRPr="00DF1884">
              <w:rPr>
                <w:szCs w:val="20"/>
              </w:rPr>
              <w:t>Aetna</w:t>
            </w:r>
          </w:p>
          <w:p w14:paraId="6546D307" w14:textId="20C7E7E2" w:rsidR="00463667" w:rsidRPr="00DF1884" w:rsidRDefault="00463667" w:rsidP="00C56CA6">
            <w:pPr>
              <w:pStyle w:val="Body"/>
              <w:rPr>
                <w:b/>
                <w:szCs w:val="20"/>
              </w:rPr>
            </w:pPr>
            <w:r w:rsidRPr="00DF1884">
              <w:rPr>
                <w:rFonts w:cs="Arial"/>
                <w:b/>
                <w:szCs w:val="20"/>
              </w:rPr>
              <w:t>L.</w:t>
            </w:r>
            <w:r w:rsidR="00DF1884" w:rsidRPr="00DF1884">
              <w:rPr>
                <w:rFonts w:cs="Arial"/>
                <w:b/>
                <w:szCs w:val="20"/>
              </w:rPr>
              <w:t xml:space="preserve"> </w:t>
            </w:r>
            <w:r w:rsidRPr="00DF1884">
              <w:rPr>
                <w:rFonts w:cs="Arial"/>
                <w:b/>
                <w:szCs w:val="20"/>
              </w:rPr>
              <w:t>Gregory</w:t>
            </w:r>
            <w:r w:rsidR="00DF1884" w:rsidRPr="00DF1884">
              <w:rPr>
                <w:rFonts w:cs="Arial"/>
                <w:b/>
                <w:szCs w:val="20"/>
              </w:rPr>
              <w:t xml:space="preserve"> </w:t>
            </w:r>
            <w:r w:rsidRPr="00DF1884">
              <w:rPr>
                <w:rFonts w:cs="Arial"/>
                <w:b/>
                <w:szCs w:val="20"/>
              </w:rPr>
              <w:t>Pawlson,</w:t>
            </w:r>
            <w:r w:rsidR="00DF1884" w:rsidRPr="00DF1884">
              <w:rPr>
                <w:rFonts w:cs="Arial"/>
                <w:b/>
                <w:szCs w:val="20"/>
              </w:rPr>
              <w:t xml:space="preserve"> </w:t>
            </w:r>
            <w:r w:rsidRPr="00DF1884">
              <w:rPr>
                <w:rFonts w:cs="Arial"/>
                <w:b/>
                <w:szCs w:val="20"/>
              </w:rPr>
              <w:t>MD,</w:t>
            </w:r>
            <w:r w:rsidR="00DF1884" w:rsidRPr="00DF1884">
              <w:rPr>
                <w:rFonts w:cs="Arial"/>
                <w:b/>
                <w:szCs w:val="20"/>
              </w:rPr>
              <w:t xml:space="preserve"> </w:t>
            </w:r>
            <w:r w:rsidRPr="00DF1884">
              <w:rPr>
                <w:rFonts w:cs="Arial"/>
                <w:b/>
                <w:szCs w:val="20"/>
              </w:rPr>
              <w:t>MPH,</w:t>
            </w:r>
            <w:r w:rsidR="00DF1884" w:rsidRPr="00DF1884">
              <w:rPr>
                <w:rFonts w:cs="Arial"/>
                <w:b/>
                <w:szCs w:val="20"/>
              </w:rPr>
              <w:t xml:space="preserve"> </w:t>
            </w:r>
            <w:r w:rsidRPr="00DF1884">
              <w:rPr>
                <w:rFonts w:cs="Arial"/>
                <w:b/>
                <w:szCs w:val="20"/>
              </w:rPr>
              <w:t>FACP</w:t>
            </w:r>
            <w:r w:rsidRPr="00DF1884">
              <w:rPr>
                <w:rFonts w:cs="Arial"/>
                <w:b/>
                <w:szCs w:val="20"/>
              </w:rPr>
              <w:br/>
            </w:r>
            <w:r w:rsidRPr="00DF1884">
              <w:rPr>
                <w:rFonts w:cs="Arial"/>
                <w:snapToGrid w:val="0"/>
                <w:szCs w:val="20"/>
              </w:rPr>
              <w:t>Stevens</w:t>
            </w:r>
            <w:r w:rsidR="00DF1884" w:rsidRPr="00DF1884">
              <w:rPr>
                <w:rFonts w:cs="Arial"/>
                <w:snapToGrid w:val="0"/>
                <w:szCs w:val="20"/>
              </w:rPr>
              <w:t xml:space="preserve"> </w:t>
            </w:r>
            <w:r w:rsidRPr="00DF1884">
              <w:rPr>
                <w:rFonts w:cs="Arial"/>
                <w:snapToGrid w:val="0"/>
                <w:szCs w:val="20"/>
              </w:rPr>
              <w:t>and</w:t>
            </w:r>
            <w:r w:rsidR="00DF1884" w:rsidRPr="00DF1884">
              <w:rPr>
                <w:rFonts w:cs="Arial"/>
                <w:snapToGrid w:val="0"/>
                <w:szCs w:val="20"/>
              </w:rPr>
              <w:t xml:space="preserve"> </w:t>
            </w:r>
            <w:r w:rsidRPr="00DF1884">
              <w:rPr>
                <w:rFonts w:cs="Arial"/>
                <w:snapToGrid w:val="0"/>
                <w:szCs w:val="20"/>
              </w:rPr>
              <w:t>Lee</w:t>
            </w:r>
            <w:r w:rsidR="00DF1884" w:rsidRPr="00DF1884">
              <w:rPr>
                <w:b/>
                <w:szCs w:val="20"/>
              </w:rPr>
              <w:t xml:space="preserve"> </w:t>
            </w:r>
          </w:p>
          <w:p w14:paraId="691AA522" w14:textId="1467687C" w:rsidR="00463667" w:rsidRPr="00DF1884" w:rsidRDefault="00463667" w:rsidP="00C56CA6">
            <w:pPr>
              <w:pStyle w:val="Body"/>
              <w:rPr>
                <w:szCs w:val="20"/>
              </w:rPr>
            </w:pPr>
            <w:r w:rsidRPr="00DF1884">
              <w:rPr>
                <w:b/>
                <w:szCs w:val="20"/>
              </w:rPr>
              <w:t>Mark</w:t>
            </w:r>
            <w:r w:rsidR="00DF1884" w:rsidRPr="00DF1884">
              <w:rPr>
                <w:b/>
                <w:szCs w:val="20"/>
              </w:rPr>
              <w:t xml:space="preserve"> </w:t>
            </w:r>
            <w:r w:rsidRPr="00DF1884">
              <w:rPr>
                <w:b/>
                <w:szCs w:val="20"/>
              </w:rPr>
              <w:t>Rattray,</w:t>
            </w:r>
            <w:r w:rsidR="00DF1884" w:rsidRPr="00DF1884">
              <w:rPr>
                <w:b/>
                <w:szCs w:val="20"/>
              </w:rPr>
              <w:t xml:space="preserve"> </w:t>
            </w:r>
            <w:r w:rsidRPr="00DF1884">
              <w:rPr>
                <w:b/>
                <w:szCs w:val="20"/>
              </w:rPr>
              <w:t>MD</w:t>
            </w:r>
            <w:r w:rsidRPr="00DF1884">
              <w:rPr>
                <w:b/>
                <w:szCs w:val="20"/>
              </w:rPr>
              <w:br/>
            </w:r>
            <w:r w:rsidRPr="00DF1884">
              <w:rPr>
                <w:szCs w:val="20"/>
              </w:rPr>
              <w:t>CareVariance,</w:t>
            </w:r>
            <w:r w:rsidR="00DF1884" w:rsidRPr="00DF1884">
              <w:rPr>
                <w:szCs w:val="20"/>
              </w:rPr>
              <w:t xml:space="preserve"> </w:t>
            </w:r>
            <w:r w:rsidRPr="00DF1884">
              <w:rPr>
                <w:szCs w:val="20"/>
              </w:rPr>
              <w:t>LLC</w:t>
            </w:r>
          </w:p>
          <w:p w14:paraId="3E3DF147" w14:textId="17292611" w:rsidR="00463667" w:rsidRPr="00DF1884" w:rsidRDefault="00463667" w:rsidP="00C56CA6">
            <w:pPr>
              <w:pStyle w:val="Body"/>
              <w:rPr>
                <w:rFonts w:cs="Arial"/>
                <w:szCs w:val="20"/>
              </w:rPr>
            </w:pPr>
            <w:r w:rsidRPr="00DF1884">
              <w:rPr>
                <w:b/>
              </w:rPr>
              <w:t>Meredith</w:t>
            </w:r>
            <w:r w:rsidR="00DF1884" w:rsidRPr="00DF1884">
              <w:rPr>
                <w:b/>
              </w:rPr>
              <w:t xml:space="preserve"> </w:t>
            </w:r>
            <w:r w:rsidRPr="00DF1884">
              <w:rPr>
                <w:b/>
              </w:rPr>
              <w:t>Rosenthal,</w:t>
            </w:r>
            <w:r w:rsidR="00DF1884" w:rsidRPr="00DF1884">
              <w:rPr>
                <w:b/>
              </w:rPr>
              <w:t xml:space="preserve"> </w:t>
            </w:r>
            <w:r w:rsidRPr="00DF1884">
              <w:rPr>
                <w:b/>
              </w:rPr>
              <w:t>PhD</w:t>
            </w:r>
            <w:r w:rsidRPr="00DF1884">
              <w:rPr>
                <w:b/>
              </w:rPr>
              <w:br/>
            </w:r>
            <w:r w:rsidRPr="00DF1884">
              <w:rPr>
                <w:rFonts w:cs="Arial"/>
                <w:szCs w:val="20"/>
              </w:rPr>
              <w:t>Harvard</w:t>
            </w:r>
            <w:r w:rsidR="00DF1884" w:rsidRPr="00DF1884">
              <w:rPr>
                <w:rFonts w:cs="Arial"/>
                <w:szCs w:val="20"/>
              </w:rPr>
              <w:t xml:space="preserve"> </w:t>
            </w:r>
            <w:r w:rsidRPr="00DF1884">
              <w:rPr>
                <w:rFonts w:cs="Arial"/>
                <w:szCs w:val="20"/>
              </w:rPr>
              <w:t>School</w:t>
            </w:r>
            <w:r w:rsidR="00DF1884" w:rsidRPr="00DF1884">
              <w:rPr>
                <w:rFonts w:cs="Arial"/>
                <w:szCs w:val="20"/>
              </w:rPr>
              <w:t xml:space="preserve"> </w:t>
            </w:r>
            <w:r w:rsidRPr="00DF1884">
              <w:rPr>
                <w:rFonts w:cs="Arial"/>
                <w:szCs w:val="20"/>
              </w:rPr>
              <w:t>of</w:t>
            </w:r>
            <w:r w:rsidR="00DF1884" w:rsidRPr="00DF1884">
              <w:rPr>
                <w:rFonts w:cs="Arial"/>
                <w:szCs w:val="20"/>
              </w:rPr>
              <w:t xml:space="preserve"> </w:t>
            </w:r>
            <w:r w:rsidRPr="00DF1884">
              <w:rPr>
                <w:rFonts w:cs="Arial"/>
                <w:szCs w:val="20"/>
              </w:rPr>
              <w:t>Public</w:t>
            </w:r>
            <w:r w:rsidR="00DF1884" w:rsidRPr="00DF1884">
              <w:rPr>
                <w:rFonts w:cs="Arial"/>
                <w:szCs w:val="20"/>
              </w:rPr>
              <w:t xml:space="preserve"> </w:t>
            </w:r>
            <w:r w:rsidRPr="00DF1884">
              <w:rPr>
                <w:rFonts w:cs="Arial"/>
                <w:szCs w:val="20"/>
              </w:rPr>
              <w:t>Health</w:t>
            </w:r>
          </w:p>
          <w:p w14:paraId="695E0828" w14:textId="14962C87" w:rsidR="00463667" w:rsidRPr="00DF1884" w:rsidRDefault="00463667" w:rsidP="00C56CA6">
            <w:pPr>
              <w:pStyle w:val="Body"/>
              <w:widowControl w:val="0"/>
              <w:rPr>
                <w:rFonts w:cs="Arial"/>
                <w:snapToGrid w:val="0"/>
                <w:szCs w:val="20"/>
              </w:rPr>
            </w:pPr>
            <w:r w:rsidRPr="00DF1884">
              <w:rPr>
                <w:rFonts w:cs="Arial"/>
                <w:b/>
                <w:snapToGrid w:val="0"/>
                <w:szCs w:val="20"/>
              </w:rPr>
              <w:t>Jeffrey</w:t>
            </w:r>
            <w:r w:rsidR="00DF1884" w:rsidRPr="00DF1884">
              <w:rPr>
                <w:rFonts w:cs="Arial"/>
                <w:b/>
                <w:snapToGrid w:val="0"/>
                <w:szCs w:val="20"/>
              </w:rPr>
              <w:t xml:space="preserve"> </w:t>
            </w:r>
            <w:r w:rsidRPr="00DF1884">
              <w:rPr>
                <w:rFonts w:cs="Arial"/>
                <w:b/>
                <w:snapToGrid w:val="0"/>
                <w:szCs w:val="20"/>
              </w:rPr>
              <w:t>Stensland,</w:t>
            </w:r>
            <w:r w:rsidR="00DF1884" w:rsidRPr="00DF1884">
              <w:rPr>
                <w:rFonts w:cs="Arial"/>
                <w:b/>
                <w:snapToGrid w:val="0"/>
                <w:szCs w:val="20"/>
              </w:rPr>
              <w:t xml:space="preserve"> </w:t>
            </w:r>
            <w:r w:rsidRPr="00DF1884">
              <w:rPr>
                <w:rFonts w:cs="Arial"/>
                <w:b/>
                <w:snapToGrid w:val="0"/>
                <w:szCs w:val="20"/>
              </w:rPr>
              <w:t>PhD</w:t>
            </w:r>
          </w:p>
          <w:p w14:paraId="576BDECA" w14:textId="3AE0C90F" w:rsidR="00463667" w:rsidRPr="00DF1884" w:rsidRDefault="00463667" w:rsidP="00C56CA6">
            <w:pPr>
              <w:pStyle w:val="Body"/>
              <w:widowControl w:val="0"/>
              <w:spacing w:before="0"/>
              <w:rPr>
                <w:rFonts w:cs="Arial"/>
                <w:snapToGrid w:val="0"/>
                <w:szCs w:val="20"/>
              </w:rPr>
            </w:pPr>
            <w:r w:rsidRPr="00DF1884">
              <w:rPr>
                <w:rFonts w:cs="Arial"/>
                <w:snapToGrid w:val="0"/>
                <w:szCs w:val="20"/>
              </w:rPr>
              <w:t>Medicare</w:t>
            </w:r>
            <w:r w:rsidR="00DF1884" w:rsidRPr="00DF1884">
              <w:rPr>
                <w:rFonts w:cs="Arial"/>
                <w:snapToGrid w:val="0"/>
                <w:szCs w:val="20"/>
              </w:rPr>
              <w:t xml:space="preserve"> </w:t>
            </w:r>
            <w:r w:rsidRPr="00DF1884">
              <w:rPr>
                <w:rFonts w:cs="Arial"/>
                <w:snapToGrid w:val="0"/>
                <w:szCs w:val="20"/>
              </w:rPr>
              <w:t>Payment</w:t>
            </w:r>
            <w:r w:rsidR="00DF1884" w:rsidRPr="00DF1884">
              <w:rPr>
                <w:rFonts w:cs="Arial"/>
                <w:snapToGrid w:val="0"/>
                <w:szCs w:val="20"/>
              </w:rPr>
              <w:t xml:space="preserve"> </w:t>
            </w:r>
            <w:r w:rsidRPr="00DF1884">
              <w:rPr>
                <w:rFonts w:cs="Arial"/>
                <w:snapToGrid w:val="0"/>
                <w:szCs w:val="20"/>
              </w:rPr>
              <w:t>Advisory</w:t>
            </w:r>
            <w:r w:rsidR="00DF1884" w:rsidRPr="00DF1884">
              <w:rPr>
                <w:rFonts w:cs="Arial"/>
                <w:snapToGrid w:val="0"/>
                <w:szCs w:val="20"/>
              </w:rPr>
              <w:t xml:space="preserve"> </w:t>
            </w:r>
            <w:r w:rsidRPr="00DF1884">
              <w:rPr>
                <w:rFonts w:cs="Arial"/>
                <w:snapToGrid w:val="0"/>
                <w:szCs w:val="20"/>
              </w:rPr>
              <w:t>Commission</w:t>
            </w:r>
          </w:p>
          <w:p w14:paraId="604ED9AD" w14:textId="2575CE3B" w:rsidR="00463667" w:rsidRPr="00DF1884" w:rsidRDefault="00463667" w:rsidP="00C56CA6">
            <w:pPr>
              <w:pStyle w:val="Body"/>
              <w:widowControl w:val="0"/>
              <w:rPr>
                <w:rFonts w:cs="Arial"/>
                <w:b/>
                <w:szCs w:val="20"/>
              </w:rPr>
            </w:pPr>
            <w:r w:rsidRPr="00DF1884">
              <w:rPr>
                <w:rFonts w:cs="Arial"/>
                <w:b/>
                <w:snapToGrid w:val="0"/>
                <w:szCs w:val="20"/>
              </w:rPr>
              <w:t>Dolores</w:t>
            </w:r>
            <w:r w:rsidR="00DF1884" w:rsidRPr="00DF1884">
              <w:rPr>
                <w:rFonts w:cs="Arial"/>
                <w:b/>
                <w:snapToGrid w:val="0"/>
                <w:szCs w:val="20"/>
              </w:rPr>
              <w:t xml:space="preserve"> </w:t>
            </w:r>
            <w:r w:rsidRPr="00DF1884">
              <w:rPr>
                <w:rFonts w:cs="Arial"/>
                <w:b/>
                <w:snapToGrid w:val="0"/>
                <w:szCs w:val="20"/>
              </w:rPr>
              <w:t>Yanagihara,</w:t>
            </w:r>
            <w:r w:rsidR="00DF1884" w:rsidRPr="00DF1884">
              <w:rPr>
                <w:rFonts w:cs="Arial"/>
                <w:b/>
                <w:snapToGrid w:val="0"/>
                <w:szCs w:val="20"/>
              </w:rPr>
              <w:t xml:space="preserve"> </w:t>
            </w:r>
            <w:r w:rsidRPr="00DF1884">
              <w:rPr>
                <w:rFonts w:cs="Arial"/>
                <w:b/>
                <w:snapToGrid w:val="0"/>
                <w:szCs w:val="20"/>
              </w:rPr>
              <w:t>MPH</w:t>
            </w:r>
            <w:r w:rsidRPr="00DF1884">
              <w:rPr>
                <w:rFonts w:cs="Arial"/>
                <w:b/>
                <w:snapToGrid w:val="0"/>
                <w:szCs w:val="20"/>
              </w:rPr>
              <w:br/>
            </w:r>
            <w:r w:rsidRPr="00DF1884">
              <w:rPr>
                <w:rFonts w:cs="Arial"/>
                <w:szCs w:val="20"/>
              </w:rPr>
              <w:t>Integrated</w:t>
            </w:r>
            <w:r w:rsidR="00DF1884" w:rsidRPr="00DF1884">
              <w:rPr>
                <w:rFonts w:cs="Arial"/>
                <w:szCs w:val="20"/>
              </w:rPr>
              <w:t xml:space="preserve"> </w:t>
            </w:r>
            <w:r w:rsidRPr="00DF1884">
              <w:rPr>
                <w:rFonts w:cs="Arial"/>
                <w:szCs w:val="20"/>
              </w:rPr>
              <w:t>Healthcare</w:t>
            </w:r>
            <w:r w:rsidR="00DF1884" w:rsidRPr="00DF1884">
              <w:rPr>
                <w:rFonts w:cs="Arial"/>
                <w:szCs w:val="20"/>
              </w:rPr>
              <w:t xml:space="preserve"> </w:t>
            </w:r>
            <w:r w:rsidRPr="00DF1884">
              <w:rPr>
                <w:rFonts w:cs="Arial"/>
                <w:szCs w:val="20"/>
              </w:rPr>
              <w:t>Association</w:t>
            </w:r>
            <w:r w:rsidR="00DF1884" w:rsidRPr="00DF1884">
              <w:rPr>
                <w:rFonts w:cs="Arial"/>
                <w:b/>
                <w:szCs w:val="20"/>
              </w:rPr>
              <w:t xml:space="preserve"> </w:t>
            </w:r>
          </w:p>
          <w:p w14:paraId="4C01AA13" w14:textId="0897994B" w:rsidR="00463667" w:rsidRPr="00DF1884" w:rsidRDefault="00463667" w:rsidP="00C56CA6">
            <w:pPr>
              <w:pStyle w:val="Body"/>
            </w:pPr>
            <w:r w:rsidRPr="00DF1884">
              <w:rPr>
                <w:b/>
                <w:szCs w:val="20"/>
              </w:rPr>
              <w:t>Timothy</w:t>
            </w:r>
            <w:r w:rsidR="00DF1884" w:rsidRPr="00DF1884">
              <w:rPr>
                <w:b/>
                <w:szCs w:val="20"/>
              </w:rPr>
              <w:t xml:space="preserve"> </w:t>
            </w:r>
            <w:r w:rsidRPr="00DF1884">
              <w:rPr>
                <w:b/>
                <w:szCs w:val="20"/>
              </w:rPr>
              <w:t>Zeddies,</w:t>
            </w:r>
            <w:r w:rsidR="00DF1884" w:rsidRPr="00DF1884">
              <w:rPr>
                <w:b/>
                <w:szCs w:val="20"/>
              </w:rPr>
              <w:t xml:space="preserve"> </w:t>
            </w:r>
            <w:r w:rsidRPr="00DF1884">
              <w:rPr>
                <w:b/>
                <w:szCs w:val="20"/>
              </w:rPr>
              <w:t>PhD</w:t>
            </w:r>
            <w:r w:rsidR="00DF1884" w:rsidRPr="00DF1884">
              <w:rPr>
                <w:b/>
                <w:szCs w:val="20"/>
              </w:rPr>
              <w:t xml:space="preserve"> </w:t>
            </w:r>
            <w:r w:rsidRPr="00DF1884">
              <w:rPr>
                <w:b/>
                <w:szCs w:val="20"/>
              </w:rPr>
              <w:t>(Chair)</w:t>
            </w:r>
            <w:r w:rsidR="00DF1884" w:rsidRPr="00DF1884">
              <w:rPr>
                <w:b/>
                <w:szCs w:val="20"/>
              </w:rPr>
              <w:t xml:space="preserve"> </w:t>
            </w:r>
            <w:r w:rsidRPr="00DF1884">
              <w:rPr>
                <w:b/>
                <w:szCs w:val="20"/>
              </w:rPr>
              <w:br/>
            </w:r>
            <w:r w:rsidRPr="00DF1884">
              <w:rPr>
                <w:szCs w:val="20"/>
              </w:rPr>
              <w:t>Priority</w:t>
            </w:r>
            <w:r w:rsidR="00DF1884" w:rsidRPr="00DF1884">
              <w:rPr>
                <w:szCs w:val="20"/>
              </w:rPr>
              <w:t xml:space="preserve"> </w:t>
            </w:r>
            <w:r w:rsidRPr="00DF1884">
              <w:rPr>
                <w:szCs w:val="20"/>
              </w:rPr>
              <w:t>Health</w:t>
            </w:r>
          </w:p>
        </w:tc>
      </w:tr>
    </w:tbl>
    <w:p w14:paraId="00282513" w14:textId="4296CEDC" w:rsidR="00463667" w:rsidRPr="00DF1884" w:rsidRDefault="00463667" w:rsidP="00202CAE">
      <w:pPr>
        <w:pStyle w:val="ReverseHead"/>
      </w:pPr>
      <w:r w:rsidRPr="00DF1884">
        <w:t>Geriatric</w:t>
      </w:r>
      <w:r w:rsidR="00DF1884" w:rsidRPr="00DF1884">
        <w:t xml:space="preserve"> </w:t>
      </w:r>
      <w:r w:rsidRPr="00DF1884">
        <w:t>Measurement</w:t>
      </w:r>
      <w:r w:rsidR="00DF1884" w:rsidRPr="00DF1884">
        <w:t xml:space="preserve"> </w:t>
      </w:r>
      <w:r w:rsidRPr="00DF1884">
        <w:t>Advisory</w:t>
      </w:r>
      <w:r w:rsidR="00DF1884" w:rsidRPr="00DF1884">
        <w:t xml:space="preserve"> </w:t>
      </w:r>
      <w:r w:rsidRPr="00DF1884">
        <w:t>Panel</w:t>
      </w:r>
    </w:p>
    <w:tbl>
      <w:tblPr>
        <w:tblW w:w="0" w:type="auto"/>
        <w:tblLayout w:type="fixed"/>
        <w:tblLook w:val="0000" w:firstRow="0" w:lastRow="0" w:firstColumn="0" w:lastColumn="0" w:noHBand="0" w:noVBand="0"/>
      </w:tblPr>
      <w:tblGrid>
        <w:gridCol w:w="4788"/>
        <w:gridCol w:w="5040"/>
      </w:tblGrid>
      <w:tr w:rsidR="00463667" w:rsidRPr="00DF1884" w14:paraId="6847F406" w14:textId="77777777" w:rsidTr="00C56CA6">
        <w:tc>
          <w:tcPr>
            <w:tcW w:w="4788" w:type="dxa"/>
            <w:tcBorders>
              <w:bottom w:val="nil"/>
            </w:tcBorders>
          </w:tcPr>
          <w:p w14:paraId="1F22ED0C" w14:textId="63C2EECA" w:rsidR="00463667" w:rsidRPr="00DF1884" w:rsidRDefault="00463667" w:rsidP="00C56CA6">
            <w:pPr>
              <w:pStyle w:val="Body"/>
            </w:pPr>
            <w:r w:rsidRPr="00DF1884">
              <w:rPr>
                <w:b/>
              </w:rPr>
              <w:t>Wade</w:t>
            </w:r>
            <w:r w:rsidR="00DF1884" w:rsidRPr="00DF1884">
              <w:rPr>
                <w:b/>
              </w:rPr>
              <w:t xml:space="preserve"> </w:t>
            </w:r>
            <w:r w:rsidRPr="00DF1884">
              <w:rPr>
                <w:b/>
              </w:rPr>
              <w:t>Aubry,</w:t>
            </w:r>
            <w:r w:rsidR="00DF1884" w:rsidRPr="00DF1884">
              <w:rPr>
                <w:b/>
              </w:rPr>
              <w:t xml:space="preserve"> </w:t>
            </w:r>
            <w:r w:rsidRPr="00DF1884">
              <w:rPr>
                <w:b/>
              </w:rPr>
              <w:t>MD</w:t>
            </w:r>
            <w:r w:rsidRPr="00DF1884">
              <w:br/>
              <w:t>Blue</w:t>
            </w:r>
            <w:r w:rsidR="00DF1884" w:rsidRPr="00DF1884">
              <w:t xml:space="preserve"> </w:t>
            </w:r>
            <w:r w:rsidRPr="00DF1884">
              <w:t>Cross</w:t>
            </w:r>
            <w:r w:rsidR="00DF1884" w:rsidRPr="00DF1884">
              <w:t xml:space="preserve"> </w:t>
            </w:r>
            <w:r w:rsidRPr="00DF1884">
              <w:t>Blue</w:t>
            </w:r>
            <w:r w:rsidR="00DF1884" w:rsidRPr="00DF1884">
              <w:t xml:space="preserve"> </w:t>
            </w:r>
            <w:r w:rsidRPr="00DF1884">
              <w:t>Shield</w:t>
            </w:r>
            <w:r w:rsidR="00DF1884" w:rsidRPr="00DF1884">
              <w:t xml:space="preserve"> </w:t>
            </w:r>
            <w:r w:rsidRPr="00DF1884">
              <w:t>Association</w:t>
            </w:r>
          </w:p>
          <w:p w14:paraId="19ECA01B" w14:textId="16C4B77D" w:rsidR="00463667" w:rsidRPr="00DF1884" w:rsidRDefault="00463667" w:rsidP="00C56CA6">
            <w:pPr>
              <w:pStyle w:val="Body"/>
            </w:pPr>
            <w:r w:rsidRPr="00DF1884">
              <w:rPr>
                <w:b/>
              </w:rPr>
              <w:t>Arlene</w:t>
            </w:r>
            <w:r w:rsidR="00DF1884" w:rsidRPr="00DF1884">
              <w:rPr>
                <w:b/>
              </w:rPr>
              <w:t xml:space="preserve"> </w:t>
            </w:r>
            <w:r w:rsidRPr="00DF1884">
              <w:rPr>
                <w:b/>
              </w:rPr>
              <w:t>Bierman,</w:t>
            </w:r>
            <w:r w:rsidR="00DF1884" w:rsidRPr="00DF1884">
              <w:rPr>
                <w:b/>
              </w:rPr>
              <w:t xml:space="preserve"> </w:t>
            </w:r>
            <w:r w:rsidRPr="00DF1884">
              <w:rPr>
                <w:b/>
              </w:rPr>
              <w:t>MD,</w:t>
            </w:r>
            <w:r w:rsidR="00DF1884" w:rsidRPr="00DF1884">
              <w:rPr>
                <w:b/>
              </w:rPr>
              <w:t xml:space="preserve"> </w:t>
            </w:r>
            <w:r w:rsidRPr="00DF1884">
              <w:rPr>
                <w:b/>
              </w:rPr>
              <w:t>MS</w:t>
            </w:r>
            <w:r w:rsidRPr="00DF1884">
              <w:br/>
              <w:t>University</w:t>
            </w:r>
            <w:r w:rsidR="00DF1884" w:rsidRPr="00DF1884">
              <w:t xml:space="preserve"> </w:t>
            </w:r>
            <w:r w:rsidRPr="00DF1884">
              <w:t>of</w:t>
            </w:r>
            <w:r w:rsidR="00DF1884" w:rsidRPr="00DF1884">
              <w:t xml:space="preserve"> </w:t>
            </w:r>
            <w:r w:rsidRPr="00DF1884">
              <w:t>Toronto</w:t>
            </w:r>
          </w:p>
          <w:p w14:paraId="25C6FD42" w14:textId="7B4FB395" w:rsidR="00463667" w:rsidRPr="00DF1884" w:rsidRDefault="00463667" w:rsidP="00C56CA6">
            <w:pPr>
              <w:pStyle w:val="Body"/>
            </w:pPr>
            <w:r w:rsidRPr="00DF1884">
              <w:rPr>
                <w:b/>
              </w:rPr>
              <w:t>Joyce</w:t>
            </w:r>
            <w:r w:rsidR="00DF1884" w:rsidRPr="00DF1884">
              <w:rPr>
                <w:b/>
              </w:rPr>
              <w:t xml:space="preserve"> </w:t>
            </w:r>
            <w:r w:rsidRPr="00DF1884">
              <w:rPr>
                <w:b/>
              </w:rPr>
              <w:t>Dubow,</w:t>
            </w:r>
            <w:r w:rsidR="00DF1884" w:rsidRPr="00DF1884">
              <w:rPr>
                <w:b/>
              </w:rPr>
              <w:t xml:space="preserve"> </w:t>
            </w:r>
            <w:r w:rsidRPr="00DF1884">
              <w:rPr>
                <w:b/>
              </w:rPr>
              <w:t>MUP</w:t>
            </w:r>
            <w:r w:rsidRPr="00DF1884">
              <w:br/>
              <w:t>American</w:t>
            </w:r>
            <w:r w:rsidR="00DF1884" w:rsidRPr="00DF1884">
              <w:t xml:space="preserve"> </w:t>
            </w:r>
            <w:r w:rsidRPr="00DF1884">
              <w:t>Association</w:t>
            </w:r>
            <w:r w:rsidR="00DF1884" w:rsidRPr="00DF1884">
              <w:t xml:space="preserve"> </w:t>
            </w:r>
            <w:r w:rsidRPr="00DF1884">
              <w:t>of</w:t>
            </w:r>
            <w:r w:rsidR="00DF1884" w:rsidRPr="00DF1884">
              <w:t xml:space="preserve"> </w:t>
            </w:r>
            <w:r w:rsidRPr="00DF1884">
              <w:t>Retired</w:t>
            </w:r>
            <w:r w:rsidR="00DF1884" w:rsidRPr="00DF1884">
              <w:t xml:space="preserve"> </w:t>
            </w:r>
            <w:r w:rsidRPr="00DF1884">
              <w:t>Persons</w:t>
            </w:r>
          </w:p>
          <w:p w14:paraId="5DEE9176" w14:textId="28DC0888" w:rsidR="00463667" w:rsidRPr="00DF1884" w:rsidRDefault="00463667" w:rsidP="00C56CA6">
            <w:pPr>
              <w:pStyle w:val="Body"/>
            </w:pPr>
            <w:r w:rsidRPr="00DF1884">
              <w:rPr>
                <w:b/>
              </w:rPr>
              <w:t>Jennie</w:t>
            </w:r>
            <w:r w:rsidR="00DF1884" w:rsidRPr="00DF1884">
              <w:rPr>
                <w:b/>
              </w:rPr>
              <w:t xml:space="preserve"> </w:t>
            </w:r>
            <w:r w:rsidRPr="00DF1884">
              <w:rPr>
                <w:b/>
              </w:rPr>
              <w:t>Chin</w:t>
            </w:r>
            <w:r w:rsidR="00DF1884" w:rsidRPr="00DF1884">
              <w:rPr>
                <w:b/>
              </w:rPr>
              <w:t xml:space="preserve"> </w:t>
            </w:r>
            <w:r w:rsidRPr="00DF1884">
              <w:rPr>
                <w:b/>
              </w:rPr>
              <w:t>Hansen</w:t>
            </w:r>
            <w:r w:rsidRPr="00DF1884">
              <w:br/>
              <w:t>American</w:t>
            </w:r>
            <w:r w:rsidR="00DF1884" w:rsidRPr="00DF1884">
              <w:t xml:space="preserve"> </w:t>
            </w:r>
            <w:r w:rsidRPr="00DF1884">
              <w:t>Geriatrics</w:t>
            </w:r>
            <w:r w:rsidR="00DF1884" w:rsidRPr="00DF1884">
              <w:t xml:space="preserve"> </w:t>
            </w:r>
            <w:r w:rsidRPr="00DF1884">
              <w:t>Society</w:t>
            </w:r>
          </w:p>
          <w:p w14:paraId="244F3675" w14:textId="34896C80" w:rsidR="00463667" w:rsidRPr="00DF1884" w:rsidRDefault="00463667" w:rsidP="00C56CA6">
            <w:pPr>
              <w:pStyle w:val="Body"/>
            </w:pPr>
            <w:r w:rsidRPr="00DF1884">
              <w:rPr>
                <w:b/>
              </w:rPr>
              <w:t>Peter</w:t>
            </w:r>
            <w:r w:rsidR="00DF1884" w:rsidRPr="00DF1884">
              <w:rPr>
                <w:b/>
              </w:rPr>
              <w:t xml:space="preserve"> </w:t>
            </w:r>
            <w:r w:rsidRPr="00DF1884">
              <w:rPr>
                <w:b/>
              </w:rPr>
              <w:t>Hollmann,</w:t>
            </w:r>
            <w:r w:rsidR="00DF1884" w:rsidRPr="00DF1884">
              <w:rPr>
                <w:b/>
              </w:rPr>
              <w:t xml:space="preserve"> </w:t>
            </w:r>
            <w:r w:rsidRPr="00DF1884">
              <w:rPr>
                <w:b/>
              </w:rPr>
              <w:t>MD</w:t>
            </w:r>
            <w:r w:rsidRPr="00DF1884">
              <w:rPr>
                <w:b/>
              </w:rPr>
              <w:br/>
            </w:r>
            <w:r w:rsidR="00B54A05" w:rsidRPr="00DF1884">
              <w:t>Brown</w:t>
            </w:r>
            <w:r w:rsidR="00DF1884" w:rsidRPr="00DF1884">
              <w:t xml:space="preserve"> </w:t>
            </w:r>
            <w:r w:rsidR="00B54A05" w:rsidRPr="00DF1884">
              <w:t>University</w:t>
            </w:r>
            <w:r w:rsidR="00DF1884" w:rsidRPr="00DF1884">
              <w:t xml:space="preserve"> </w:t>
            </w:r>
            <w:r w:rsidR="00B54A05" w:rsidRPr="00DF1884">
              <w:t>Medicine:</w:t>
            </w:r>
            <w:r w:rsidR="00DF1884" w:rsidRPr="00DF1884">
              <w:t xml:space="preserve"> </w:t>
            </w:r>
            <w:r w:rsidR="00B54A05" w:rsidRPr="00DF1884">
              <w:t>Division</w:t>
            </w:r>
            <w:r w:rsidR="00DF1884" w:rsidRPr="00DF1884">
              <w:t xml:space="preserve"> </w:t>
            </w:r>
            <w:r w:rsidR="00B54A05" w:rsidRPr="00DF1884">
              <w:t>of</w:t>
            </w:r>
            <w:r w:rsidR="00DF1884" w:rsidRPr="00DF1884">
              <w:t xml:space="preserve"> </w:t>
            </w:r>
            <w:r w:rsidR="00B54A05" w:rsidRPr="00DF1884">
              <w:t>Geriatrics</w:t>
            </w:r>
          </w:p>
          <w:p w14:paraId="0DE8F123" w14:textId="060D7652" w:rsidR="00463667" w:rsidRPr="00DF1884" w:rsidRDefault="00463667" w:rsidP="00C56CA6">
            <w:pPr>
              <w:pStyle w:val="Body"/>
            </w:pPr>
            <w:r w:rsidRPr="00DF1884">
              <w:rPr>
                <w:b/>
              </w:rPr>
              <w:t>Jerry</w:t>
            </w:r>
            <w:r w:rsidR="00DF1884" w:rsidRPr="00DF1884">
              <w:rPr>
                <w:b/>
              </w:rPr>
              <w:t xml:space="preserve"> </w:t>
            </w:r>
            <w:r w:rsidRPr="00DF1884">
              <w:rPr>
                <w:b/>
              </w:rPr>
              <w:t>Johnson,</w:t>
            </w:r>
            <w:r w:rsidR="00DF1884" w:rsidRPr="00DF1884">
              <w:rPr>
                <w:b/>
              </w:rPr>
              <w:t xml:space="preserve"> </w:t>
            </w:r>
            <w:r w:rsidRPr="00DF1884">
              <w:rPr>
                <w:b/>
              </w:rPr>
              <w:t>MD</w:t>
            </w:r>
            <w:r w:rsidRPr="00DF1884">
              <w:rPr>
                <w:b/>
              </w:rPr>
              <w:br/>
            </w:r>
            <w:r w:rsidRPr="00DF1884">
              <w:t>University</w:t>
            </w:r>
            <w:r w:rsidR="00DF1884" w:rsidRPr="00DF1884">
              <w:t xml:space="preserve"> </w:t>
            </w:r>
            <w:r w:rsidRPr="00DF1884">
              <w:t>of</w:t>
            </w:r>
            <w:r w:rsidR="00DF1884" w:rsidRPr="00DF1884">
              <w:t xml:space="preserve"> </w:t>
            </w:r>
            <w:r w:rsidRPr="00DF1884">
              <w:t>Pennsylvania</w:t>
            </w:r>
          </w:p>
          <w:p w14:paraId="3C777BE5" w14:textId="124A2085" w:rsidR="00463667" w:rsidRPr="00DF1884" w:rsidRDefault="00463667" w:rsidP="00C56CA6">
            <w:pPr>
              <w:pStyle w:val="Body"/>
            </w:pPr>
            <w:r w:rsidRPr="00DF1884">
              <w:rPr>
                <w:b/>
              </w:rPr>
              <w:t>Jeffrey</w:t>
            </w:r>
            <w:r w:rsidR="00DF1884" w:rsidRPr="00DF1884">
              <w:rPr>
                <w:b/>
              </w:rPr>
              <w:t xml:space="preserve"> </w:t>
            </w:r>
            <w:r w:rsidRPr="00DF1884">
              <w:rPr>
                <w:b/>
              </w:rPr>
              <w:t>Kelman,</w:t>
            </w:r>
            <w:r w:rsidR="00DF1884" w:rsidRPr="00DF1884">
              <w:rPr>
                <w:b/>
              </w:rPr>
              <w:t xml:space="preserve"> </w:t>
            </w:r>
            <w:r w:rsidRPr="00DF1884">
              <w:rPr>
                <w:b/>
              </w:rPr>
              <w:t>MD</w:t>
            </w:r>
            <w:r w:rsidRPr="00DF1884">
              <w:br/>
              <w:t>Centers</w:t>
            </w:r>
            <w:r w:rsidR="00DF1884" w:rsidRPr="00DF1884">
              <w:t xml:space="preserve"> </w:t>
            </w:r>
            <w:r w:rsidRPr="00DF1884">
              <w:t>for</w:t>
            </w:r>
            <w:r w:rsidR="00DF1884" w:rsidRPr="00DF1884">
              <w:t xml:space="preserve"> </w:t>
            </w:r>
            <w:r w:rsidRPr="00DF1884">
              <w:t>Medicare</w:t>
            </w:r>
            <w:r w:rsidR="00DF1884" w:rsidRPr="00DF1884">
              <w:t xml:space="preserve"> </w:t>
            </w:r>
            <w:r w:rsidRPr="00DF1884">
              <w:t>&amp;</w:t>
            </w:r>
            <w:r w:rsidR="00DF1884" w:rsidRPr="00DF1884">
              <w:t xml:space="preserve"> </w:t>
            </w:r>
            <w:r w:rsidRPr="00DF1884">
              <w:t>Medicaid</w:t>
            </w:r>
            <w:r w:rsidR="00DF1884" w:rsidRPr="00DF1884">
              <w:t xml:space="preserve"> </w:t>
            </w:r>
            <w:r w:rsidRPr="00DF1884">
              <w:t>Services</w:t>
            </w:r>
          </w:p>
          <w:p w14:paraId="6F036428" w14:textId="499A3D3B" w:rsidR="00463667" w:rsidRPr="00DF1884" w:rsidRDefault="00463667" w:rsidP="00C56CA6">
            <w:pPr>
              <w:pStyle w:val="Body"/>
            </w:pPr>
            <w:r w:rsidRPr="00DF1884">
              <w:rPr>
                <w:b/>
              </w:rPr>
              <w:t>Adrienne</w:t>
            </w:r>
            <w:r w:rsidR="00DF1884" w:rsidRPr="00DF1884">
              <w:rPr>
                <w:b/>
              </w:rPr>
              <w:t xml:space="preserve"> </w:t>
            </w:r>
            <w:r w:rsidRPr="00DF1884">
              <w:rPr>
                <w:b/>
              </w:rPr>
              <w:t>Mims,</w:t>
            </w:r>
            <w:r w:rsidR="00DF1884" w:rsidRPr="00DF1884">
              <w:rPr>
                <w:b/>
              </w:rPr>
              <w:t xml:space="preserve"> </w:t>
            </w:r>
            <w:r w:rsidRPr="00DF1884">
              <w:rPr>
                <w:b/>
              </w:rPr>
              <w:t>MD,</w:t>
            </w:r>
            <w:r w:rsidR="00DF1884" w:rsidRPr="00DF1884">
              <w:rPr>
                <w:b/>
              </w:rPr>
              <w:t xml:space="preserve"> </w:t>
            </w:r>
            <w:r w:rsidRPr="00DF1884">
              <w:rPr>
                <w:b/>
              </w:rPr>
              <w:t>MPH</w:t>
            </w:r>
            <w:r w:rsidRPr="00DF1884">
              <w:rPr>
                <w:b/>
              </w:rPr>
              <w:br/>
            </w:r>
            <w:r w:rsidRPr="00DF1884">
              <w:t>Alliant</w:t>
            </w:r>
            <w:r w:rsidR="00DF1884" w:rsidRPr="00DF1884">
              <w:t xml:space="preserve"> </w:t>
            </w:r>
            <w:r w:rsidRPr="00DF1884">
              <w:t>Heath</w:t>
            </w:r>
            <w:r w:rsidR="00DF1884" w:rsidRPr="00DF1884">
              <w:t xml:space="preserve"> </w:t>
            </w:r>
            <w:r w:rsidRPr="00DF1884">
              <w:t>Solutions</w:t>
            </w:r>
            <w:r w:rsidRPr="00DF1884">
              <w:br/>
              <w:t>Georgia</w:t>
            </w:r>
            <w:r w:rsidR="00DF1884" w:rsidRPr="00DF1884">
              <w:t xml:space="preserve"> </w:t>
            </w:r>
            <w:r w:rsidRPr="00DF1884">
              <w:t>Medical</w:t>
            </w:r>
            <w:r w:rsidR="00DF1884" w:rsidRPr="00DF1884">
              <w:t xml:space="preserve"> </w:t>
            </w:r>
            <w:r w:rsidRPr="00DF1884">
              <w:t>Center</w:t>
            </w:r>
            <w:r w:rsidR="00DF1884" w:rsidRPr="00DF1884">
              <w:t xml:space="preserve"> </w:t>
            </w:r>
            <w:r w:rsidRPr="00DF1884">
              <w:t>Foundation</w:t>
            </w:r>
          </w:p>
          <w:p w14:paraId="702636A2" w14:textId="63516BB6" w:rsidR="00463667" w:rsidRPr="00DF1884" w:rsidRDefault="00463667" w:rsidP="00C56CA6">
            <w:pPr>
              <w:pStyle w:val="Body"/>
              <w:rPr>
                <w:snapToGrid w:val="0"/>
              </w:rPr>
            </w:pPr>
            <w:r w:rsidRPr="00DF1884">
              <w:rPr>
                <w:b/>
              </w:rPr>
              <w:t>Steven</w:t>
            </w:r>
            <w:r w:rsidR="00DF1884" w:rsidRPr="00DF1884">
              <w:rPr>
                <w:b/>
              </w:rPr>
              <w:t xml:space="preserve"> </w:t>
            </w:r>
            <w:r w:rsidRPr="00DF1884">
              <w:rPr>
                <w:b/>
              </w:rPr>
              <w:t>Philips,</w:t>
            </w:r>
            <w:r w:rsidR="00DF1884" w:rsidRPr="00DF1884">
              <w:rPr>
                <w:b/>
              </w:rPr>
              <w:t xml:space="preserve"> </w:t>
            </w:r>
            <w:r w:rsidRPr="00DF1884">
              <w:rPr>
                <w:b/>
              </w:rPr>
              <w:t>MD</w:t>
            </w:r>
            <w:r w:rsidRPr="00DF1884">
              <w:br/>
              <w:t>Sierra</w:t>
            </w:r>
            <w:r w:rsidR="00DF1884" w:rsidRPr="00DF1884">
              <w:t xml:space="preserve"> </w:t>
            </w:r>
            <w:r w:rsidRPr="00DF1884">
              <w:t>Health</w:t>
            </w:r>
            <w:r w:rsidR="00DF1884" w:rsidRPr="00DF1884">
              <w:t xml:space="preserve"> </w:t>
            </w:r>
            <w:r w:rsidRPr="00DF1884">
              <w:t>Services,</w:t>
            </w:r>
            <w:r w:rsidR="00DF1884" w:rsidRPr="00DF1884">
              <w:t xml:space="preserve"> </w:t>
            </w:r>
            <w:r w:rsidRPr="00DF1884">
              <w:t>Inc.</w:t>
            </w:r>
          </w:p>
        </w:tc>
        <w:tc>
          <w:tcPr>
            <w:tcW w:w="5040" w:type="dxa"/>
          </w:tcPr>
          <w:p w14:paraId="0C1F3190" w14:textId="7F8B9730" w:rsidR="00463667" w:rsidRPr="00DF1884" w:rsidRDefault="00463667" w:rsidP="00C56CA6">
            <w:pPr>
              <w:pStyle w:val="Body"/>
              <w:rPr>
                <w:lang w:val="es-ES"/>
              </w:rPr>
            </w:pPr>
            <w:r w:rsidRPr="00DF1884">
              <w:rPr>
                <w:b/>
                <w:lang w:val="es-ES"/>
              </w:rPr>
              <w:t>Eric</w:t>
            </w:r>
            <w:r w:rsidR="00DF1884" w:rsidRPr="00DF1884">
              <w:rPr>
                <w:b/>
                <w:lang w:val="es-ES"/>
              </w:rPr>
              <w:t xml:space="preserve"> </w:t>
            </w:r>
            <w:r w:rsidRPr="00DF1884">
              <w:rPr>
                <w:b/>
                <w:lang w:val="es-ES"/>
              </w:rPr>
              <w:t>G.</w:t>
            </w:r>
            <w:r w:rsidR="00DF1884" w:rsidRPr="00DF1884">
              <w:rPr>
                <w:b/>
                <w:lang w:val="es-ES"/>
              </w:rPr>
              <w:t xml:space="preserve"> </w:t>
            </w:r>
            <w:r w:rsidRPr="00DF1884">
              <w:rPr>
                <w:b/>
                <w:lang w:val="es-ES"/>
              </w:rPr>
              <w:t>Tangalos,</w:t>
            </w:r>
            <w:r w:rsidR="00DF1884" w:rsidRPr="00DF1884">
              <w:rPr>
                <w:b/>
                <w:lang w:val="es-ES"/>
              </w:rPr>
              <w:t xml:space="preserve"> </w:t>
            </w:r>
            <w:r w:rsidRPr="00DF1884">
              <w:rPr>
                <w:b/>
                <w:lang w:val="es-ES"/>
              </w:rPr>
              <w:t>MD,</w:t>
            </w:r>
            <w:r w:rsidR="00DF1884" w:rsidRPr="00DF1884">
              <w:rPr>
                <w:b/>
                <w:lang w:val="es-ES"/>
              </w:rPr>
              <w:t xml:space="preserve"> </w:t>
            </w:r>
            <w:r w:rsidRPr="00DF1884">
              <w:rPr>
                <w:b/>
                <w:lang w:val="es-ES"/>
              </w:rPr>
              <w:t>FACP,</w:t>
            </w:r>
            <w:r w:rsidR="00DF1884" w:rsidRPr="00DF1884">
              <w:rPr>
                <w:b/>
                <w:lang w:val="es-ES"/>
              </w:rPr>
              <w:t xml:space="preserve"> </w:t>
            </w:r>
            <w:r w:rsidRPr="00DF1884">
              <w:rPr>
                <w:b/>
                <w:lang w:val="es-ES"/>
              </w:rPr>
              <w:t>AGSF,</w:t>
            </w:r>
            <w:r w:rsidR="00DF1884" w:rsidRPr="00DF1884">
              <w:rPr>
                <w:b/>
                <w:lang w:val="es-ES"/>
              </w:rPr>
              <w:t xml:space="preserve"> </w:t>
            </w:r>
            <w:r w:rsidRPr="00DF1884">
              <w:rPr>
                <w:b/>
                <w:lang w:val="es-ES"/>
              </w:rPr>
              <w:t>CMD</w:t>
            </w:r>
            <w:r w:rsidRPr="00DF1884">
              <w:rPr>
                <w:lang w:val="es-ES"/>
              </w:rPr>
              <w:br/>
              <w:t>Mayo</w:t>
            </w:r>
            <w:r w:rsidR="00DF1884" w:rsidRPr="00DF1884">
              <w:rPr>
                <w:lang w:val="es-ES"/>
              </w:rPr>
              <w:t xml:space="preserve"> </w:t>
            </w:r>
            <w:r w:rsidRPr="00DF1884">
              <w:rPr>
                <w:lang w:val="es-ES"/>
              </w:rPr>
              <w:t>Clinic</w:t>
            </w:r>
          </w:p>
          <w:p w14:paraId="23BD1D1B" w14:textId="6CDC9F02" w:rsidR="00463667" w:rsidRPr="00DF1884" w:rsidRDefault="00463667" w:rsidP="00C56CA6">
            <w:pPr>
              <w:pStyle w:val="Body"/>
              <w:rPr>
                <w:b/>
              </w:rPr>
            </w:pPr>
            <w:r w:rsidRPr="00DF1884">
              <w:rPr>
                <w:b/>
              </w:rPr>
              <w:t>Joan</w:t>
            </w:r>
            <w:r w:rsidR="00DF1884" w:rsidRPr="00DF1884">
              <w:rPr>
                <w:b/>
              </w:rPr>
              <w:t xml:space="preserve"> </w:t>
            </w:r>
            <w:r w:rsidRPr="00DF1884">
              <w:rPr>
                <w:b/>
              </w:rPr>
              <w:t>Weiss,</w:t>
            </w:r>
            <w:r w:rsidR="00DF1884" w:rsidRPr="00DF1884">
              <w:rPr>
                <w:b/>
              </w:rPr>
              <w:t xml:space="preserve"> </w:t>
            </w:r>
            <w:r w:rsidRPr="00DF1884">
              <w:rPr>
                <w:b/>
              </w:rPr>
              <w:t>PhD,</w:t>
            </w:r>
            <w:r w:rsidR="00DF1884" w:rsidRPr="00DF1884">
              <w:rPr>
                <w:b/>
              </w:rPr>
              <w:t xml:space="preserve"> </w:t>
            </w:r>
            <w:r w:rsidRPr="00DF1884">
              <w:rPr>
                <w:b/>
              </w:rPr>
              <w:t>RN,</w:t>
            </w:r>
            <w:r w:rsidR="00DF1884" w:rsidRPr="00DF1884">
              <w:rPr>
                <w:b/>
              </w:rPr>
              <w:t xml:space="preserve"> </w:t>
            </w:r>
            <w:r w:rsidRPr="00DF1884">
              <w:rPr>
                <w:b/>
              </w:rPr>
              <w:t>CRNP</w:t>
            </w:r>
            <w:r w:rsidRPr="00DF1884">
              <w:rPr>
                <w:b/>
              </w:rPr>
              <w:br/>
            </w:r>
            <w:r w:rsidRPr="00DF1884">
              <w:t>Health</w:t>
            </w:r>
            <w:r w:rsidR="00DF1884" w:rsidRPr="00DF1884">
              <w:t xml:space="preserve"> </w:t>
            </w:r>
            <w:r w:rsidRPr="00DF1884">
              <w:t>Resources</w:t>
            </w:r>
            <w:r w:rsidR="00DF1884" w:rsidRPr="00DF1884">
              <w:t xml:space="preserve"> </w:t>
            </w:r>
            <w:r w:rsidRPr="00DF1884">
              <w:t>and</w:t>
            </w:r>
            <w:r w:rsidR="00DF1884" w:rsidRPr="00DF1884">
              <w:t xml:space="preserve"> </w:t>
            </w:r>
            <w:r w:rsidRPr="00DF1884">
              <w:t>Services</w:t>
            </w:r>
            <w:r w:rsidR="00DF1884" w:rsidRPr="00DF1884">
              <w:t xml:space="preserve"> </w:t>
            </w:r>
            <w:r w:rsidRPr="00DF1884">
              <w:t>Administration</w:t>
            </w:r>
            <w:r w:rsidR="00DF1884" w:rsidRPr="00DF1884">
              <w:rPr>
                <w:b/>
              </w:rPr>
              <w:t xml:space="preserve"> </w:t>
            </w:r>
          </w:p>
          <w:p w14:paraId="29126CB4" w14:textId="7EA1AC80" w:rsidR="00463667" w:rsidRPr="00DF1884" w:rsidRDefault="00463667" w:rsidP="00C56CA6">
            <w:pPr>
              <w:pStyle w:val="Body"/>
              <w:rPr>
                <w:b/>
              </w:rPr>
            </w:pPr>
            <w:r w:rsidRPr="00DF1884">
              <w:rPr>
                <w:b/>
              </w:rPr>
              <w:t>Neil</w:t>
            </w:r>
            <w:r w:rsidR="00DF1884" w:rsidRPr="00DF1884">
              <w:rPr>
                <w:b/>
              </w:rPr>
              <w:t xml:space="preserve"> </w:t>
            </w:r>
            <w:r w:rsidRPr="00DF1884">
              <w:rPr>
                <w:b/>
              </w:rPr>
              <w:t>Wenger,</w:t>
            </w:r>
            <w:r w:rsidR="00DF1884" w:rsidRPr="00DF1884">
              <w:rPr>
                <w:b/>
              </w:rPr>
              <w:t xml:space="preserve"> </w:t>
            </w:r>
            <w:r w:rsidRPr="00DF1884">
              <w:rPr>
                <w:b/>
              </w:rPr>
              <w:t>MD</w:t>
            </w:r>
            <w:r w:rsidRPr="00DF1884">
              <w:rPr>
                <w:b/>
              </w:rPr>
              <w:br/>
            </w:r>
            <w:r w:rsidRPr="00DF1884">
              <w:t>UCLA</w:t>
            </w:r>
            <w:r w:rsidR="00DF1884" w:rsidRPr="00DF1884">
              <w:t xml:space="preserve"> </w:t>
            </w:r>
            <w:r w:rsidRPr="00DF1884">
              <w:t>Division</w:t>
            </w:r>
            <w:r w:rsidR="00DF1884" w:rsidRPr="00DF1884">
              <w:t xml:space="preserve"> </w:t>
            </w:r>
            <w:r w:rsidRPr="00DF1884">
              <w:t>of</w:t>
            </w:r>
            <w:r w:rsidR="00DF1884" w:rsidRPr="00DF1884">
              <w:t xml:space="preserve"> </w:t>
            </w:r>
            <w:r w:rsidRPr="00DF1884">
              <w:t>General</w:t>
            </w:r>
            <w:r w:rsidR="00DF1884" w:rsidRPr="00DF1884">
              <w:t xml:space="preserve"> </w:t>
            </w:r>
            <w:r w:rsidRPr="00DF1884">
              <w:t>Internal</w:t>
            </w:r>
            <w:r w:rsidR="00DF1884" w:rsidRPr="00DF1884">
              <w:t xml:space="preserve"> </w:t>
            </w:r>
            <w:r w:rsidRPr="00DF1884">
              <w:t>Medicine</w:t>
            </w:r>
            <w:r w:rsidR="00DF1884" w:rsidRPr="00DF1884">
              <w:rPr>
                <w:b/>
              </w:rPr>
              <w:t xml:space="preserve"> </w:t>
            </w:r>
          </w:p>
          <w:p w14:paraId="42E0EB57" w14:textId="77777777" w:rsidR="00463667" w:rsidRPr="00DF1884" w:rsidRDefault="00463667" w:rsidP="00C56CA6">
            <w:pPr>
              <w:pStyle w:val="Body"/>
              <w:rPr>
                <w:b/>
                <w:u w:val="single"/>
              </w:rPr>
            </w:pPr>
            <w:r w:rsidRPr="00DF1884">
              <w:rPr>
                <w:b/>
                <w:u w:val="single"/>
              </w:rPr>
              <w:t>Liaisons</w:t>
            </w:r>
          </w:p>
          <w:p w14:paraId="49B13A0D" w14:textId="5792BED1" w:rsidR="00463667" w:rsidRPr="00DF1884" w:rsidRDefault="00463667" w:rsidP="00601EC1">
            <w:pPr>
              <w:pStyle w:val="Body"/>
              <w:spacing w:before="120"/>
              <w:rPr>
                <w:b/>
              </w:rPr>
            </w:pPr>
            <w:r w:rsidRPr="00DF1884">
              <w:rPr>
                <w:b/>
              </w:rPr>
              <w:t>Elizabeth</w:t>
            </w:r>
            <w:r w:rsidR="00DF1884" w:rsidRPr="00DF1884">
              <w:rPr>
                <w:b/>
              </w:rPr>
              <w:t xml:space="preserve"> </w:t>
            </w:r>
            <w:r w:rsidRPr="00DF1884">
              <w:rPr>
                <w:b/>
              </w:rPr>
              <w:t>Goldstein,</w:t>
            </w:r>
            <w:r w:rsidR="00DF1884" w:rsidRPr="00DF1884">
              <w:rPr>
                <w:b/>
              </w:rPr>
              <w:t xml:space="preserve"> </w:t>
            </w:r>
            <w:r w:rsidRPr="00DF1884">
              <w:rPr>
                <w:b/>
              </w:rPr>
              <w:t>PhD</w:t>
            </w:r>
            <w:r w:rsidRPr="00DF1884">
              <w:br/>
              <w:t>Centers</w:t>
            </w:r>
            <w:r w:rsidR="00DF1884" w:rsidRPr="00DF1884">
              <w:t xml:space="preserve"> </w:t>
            </w:r>
            <w:r w:rsidRPr="00DF1884">
              <w:t>for</w:t>
            </w:r>
            <w:r w:rsidR="00DF1884" w:rsidRPr="00DF1884">
              <w:t xml:space="preserve"> </w:t>
            </w:r>
            <w:r w:rsidRPr="00DF1884">
              <w:t>Medicare</w:t>
            </w:r>
            <w:r w:rsidR="00DF1884" w:rsidRPr="00DF1884">
              <w:t xml:space="preserve"> </w:t>
            </w:r>
            <w:r w:rsidRPr="00DF1884">
              <w:t>&amp;</w:t>
            </w:r>
            <w:r w:rsidR="00DF1884" w:rsidRPr="00DF1884">
              <w:t xml:space="preserve"> </w:t>
            </w:r>
            <w:r w:rsidRPr="00DF1884">
              <w:t>Medicaid</w:t>
            </w:r>
            <w:r w:rsidR="00DF1884" w:rsidRPr="00DF1884">
              <w:t xml:space="preserve"> </w:t>
            </w:r>
            <w:r w:rsidRPr="00DF1884">
              <w:t>Services</w:t>
            </w:r>
            <w:r w:rsidR="00DF1884" w:rsidRPr="00DF1884">
              <w:rPr>
                <w:b/>
              </w:rPr>
              <w:t xml:space="preserve"> </w:t>
            </w:r>
          </w:p>
          <w:p w14:paraId="0660DB1B" w14:textId="22B1CE63" w:rsidR="00B54A05" w:rsidRPr="00DF1884" w:rsidRDefault="00B54A05" w:rsidP="00B54A05">
            <w:pPr>
              <w:pStyle w:val="Body"/>
              <w:rPr>
                <w:b/>
              </w:rPr>
            </w:pPr>
            <w:r w:rsidRPr="00DF1884">
              <w:rPr>
                <w:b/>
              </w:rPr>
              <w:t>Alice</w:t>
            </w:r>
            <w:r w:rsidR="00DF1884" w:rsidRPr="00DF1884">
              <w:rPr>
                <w:b/>
              </w:rPr>
              <w:t xml:space="preserve"> </w:t>
            </w:r>
            <w:r w:rsidRPr="00DF1884">
              <w:rPr>
                <w:b/>
              </w:rPr>
              <w:t>Lee</w:t>
            </w:r>
            <w:r w:rsidR="00DF1884" w:rsidRPr="00DF1884">
              <w:rPr>
                <w:b/>
              </w:rPr>
              <w:t xml:space="preserve"> </w:t>
            </w:r>
            <w:r w:rsidRPr="00DF1884">
              <w:rPr>
                <w:b/>
              </w:rPr>
              <w:t>Martin</w:t>
            </w:r>
            <w:r w:rsidRPr="00DF1884">
              <w:rPr>
                <w:b/>
              </w:rPr>
              <w:br/>
            </w:r>
            <w:r w:rsidRPr="00DF1884">
              <w:t>Centers</w:t>
            </w:r>
            <w:r w:rsidR="00DF1884" w:rsidRPr="00DF1884">
              <w:t xml:space="preserve"> </w:t>
            </w:r>
            <w:r w:rsidRPr="00DF1884">
              <w:t>for</w:t>
            </w:r>
            <w:r w:rsidR="00DF1884" w:rsidRPr="00DF1884">
              <w:t xml:space="preserve"> </w:t>
            </w:r>
            <w:r w:rsidRPr="00DF1884">
              <w:t>Medicare</w:t>
            </w:r>
            <w:r w:rsidR="00DF1884" w:rsidRPr="00DF1884">
              <w:t xml:space="preserve"> </w:t>
            </w:r>
            <w:r w:rsidRPr="00DF1884">
              <w:t>&amp;</w:t>
            </w:r>
            <w:r w:rsidR="00DF1884" w:rsidRPr="00DF1884">
              <w:t xml:space="preserve"> </w:t>
            </w:r>
            <w:r w:rsidRPr="00DF1884">
              <w:t>Medicaid</w:t>
            </w:r>
            <w:r w:rsidR="00DF1884" w:rsidRPr="00DF1884">
              <w:t xml:space="preserve"> </w:t>
            </w:r>
            <w:r w:rsidRPr="00DF1884">
              <w:t>Services</w:t>
            </w:r>
            <w:r w:rsidR="00DF1884" w:rsidRPr="00DF1884">
              <w:rPr>
                <w:b/>
              </w:rPr>
              <w:t xml:space="preserve"> </w:t>
            </w:r>
          </w:p>
          <w:p w14:paraId="2F0CEF92" w14:textId="11BE351B" w:rsidR="00463667" w:rsidRPr="00DF1884" w:rsidRDefault="00463667" w:rsidP="00C56CA6">
            <w:pPr>
              <w:pStyle w:val="Body"/>
              <w:rPr>
                <w:b/>
              </w:rPr>
            </w:pPr>
            <w:r w:rsidRPr="00DF1884">
              <w:rPr>
                <w:b/>
              </w:rPr>
              <w:t>Alan</w:t>
            </w:r>
            <w:r w:rsidR="00DF1884" w:rsidRPr="00DF1884">
              <w:rPr>
                <w:b/>
              </w:rPr>
              <w:t xml:space="preserve"> </w:t>
            </w:r>
            <w:r w:rsidRPr="00DF1884">
              <w:rPr>
                <w:b/>
              </w:rPr>
              <w:t>Levitt,</w:t>
            </w:r>
            <w:r w:rsidR="00DF1884" w:rsidRPr="00DF1884">
              <w:rPr>
                <w:b/>
              </w:rPr>
              <w:t xml:space="preserve"> </w:t>
            </w:r>
            <w:r w:rsidRPr="00DF1884">
              <w:rPr>
                <w:b/>
              </w:rPr>
              <w:t>MD</w:t>
            </w:r>
            <w:r w:rsidRPr="00DF1884">
              <w:rPr>
                <w:b/>
              </w:rPr>
              <w:br/>
            </w:r>
            <w:r w:rsidRPr="00DF1884">
              <w:t>Centers</w:t>
            </w:r>
            <w:r w:rsidR="00DF1884" w:rsidRPr="00DF1884">
              <w:t xml:space="preserve"> </w:t>
            </w:r>
            <w:r w:rsidRPr="00DF1884">
              <w:t>for</w:t>
            </w:r>
            <w:r w:rsidR="00DF1884" w:rsidRPr="00DF1884">
              <w:t xml:space="preserve"> </w:t>
            </w:r>
            <w:r w:rsidRPr="00DF1884">
              <w:t>Medicare</w:t>
            </w:r>
            <w:r w:rsidR="00DF1884" w:rsidRPr="00DF1884">
              <w:t xml:space="preserve"> </w:t>
            </w:r>
            <w:r w:rsidRPr="00DF1884">
              <w:t>&amp;</w:t>
            </w:r>
            <w:r w:rsidR="00DF1884" w:rsidRPr="00DF1884">
              <w:t xml:space="preserve"> </w:t>
            </w:r>
            <w:r w:rsidRPr="00DF1884">
              <w:t>Medicaid</w:t>
            </w:r>
            <w:r w:rsidR="00DF1884" w:rsidRPr="00DF1884">
              <w:t xml:space="preserve"> </w:t>
            </w:r>
            <w:r w:rsidRPr="00DF1884">
              <w:t>Services</w:t>
            </w:r>
            <w:r w:rsidR="00DF1884" w:rsidRPr="00DF1884">
              <w:rPr>
                <w:b/>
              </w:rPr>
              <w:t xml:space="preserve"> </w:t>
            </w:r>
          </w:p>
          <w:p w14:paraId="1E4F8EA1" w14:textId="24BCD27B" w:rsidR="00463667" w:rsidRPr="00DF1884" w:rsidRDefault="00463667" w:rsidP="00C56CA6">
            <w:pPr>
              <w:pStyle w:val="Body"/>
              <w:rPr>
                <w:b/>
              </w:rPr>
            </w:pPr>
            <w:r w:rsidRPr="00DF1884">
              <w:rPr>
                <w:b/>
              </w:rPr>
              <w:t>David</w:t>
            </w:r>
            <w:r w:rsidR="00DF1884" w:rsidRPr="00DF1884">
              <w:rPr>
                <w:b/>
              </w:rPr>
              <w:t xml:space="preserve"> </w:t>
            </w:r>
            <w:r w:rsidRPr="00DF1884">
              <w:rPr>
                <w:b/>
              </w:rPr>
              <w:t>Miranda,</w:t>
            </w:r>
            <w:r w:rsidR="00DF1884" w:rsidRPr="00DF1884">
              <w:rPr>
                <w:b/>
              </w:rPr>
              <w:t xml:space="preserve"> </w:t>
            </w:r>
            <w:r w:rsidRPr="00DF1884">
              <w:rPr>
                <w:b/>
              </w:rPr>
              <w:t>PhD</w:t>
            </w:r>
            <w:r w:rsidRPr="00DF1884">
              <w:rPr>
                <w:b/>
              </w:rPr>
              <w:br/>
            </w:r>
            <w:r w:rsidRPr="00DF1884">
              <w:t>Centers</w:t>
            </w:r>
            <w:r w:rsidR="00DF1884" w:rsidRPr="00DF1884">
              <w:t xml:space="preserve"> </w:t>
            </w:r>
            <w:r w:rsidRPr="00DF1884">
              <w:t>for</w:t>
            </w:r>
            <w:r w:rsidR="00DF1884" w:rsidRPr="00DF1884">
              <w:t xml:space="preserve"> </w:t>
            </w:r>
            <w:r w:rsidRPr="00DF1884">
              <w:t>Medicare</w:t>
            </w:r>
            <w:r w:rsidR="00DF1884" w:rsidRPr="00DF1884">
              <w:t xml:space="preserve"> </w:t>
            </w:r>
            <w:r w:rsidRPr="00DF1884">
              <w:t>&amp;</w:t>
            </w:r>
            <w:r w:rsidR="00DF1884" w:rsidRPr="00DF1884">
              <w:t xml:space="preserve"> </w:t>
            </w:r>
            <w:r w:rsidRPr="00DF1884">
              <w:t>Medicaid</w:t>
            </w:r>
            <w:r w:rsidR="00DF1884" w:rsidRPr="00DF1884">
              <w:t xml:space="preserve"> </w:t>
            </w:r>
            <w:r w:rsidRPr="00DF1884">
              <w:t>Services</w:t>
            </w:r>
            <w:r w:rsidR="00DF1884" w:rsidRPr="00DF1884">
              <w:rPr>
                <w:b/>
              </w:rPr>
              <w:t xml:space="preserve"> </w:t>
            </w:r>
          </w:p>
          <w:p w14:paraId="6D1F811D" w14:textId="26D9B6A8" w:rsidR="00463667" w:rsidRPr="00DF1884" w:rsidRDefault="00463667" w:rsidP="00C56CA6">
            <w:pPr>
              <w:pStyle w:val="Body"/>
            </w:pPr>
            <w:r w:rsidRPr="00DF1884">
              <w:rPr>
                <w:b/>
              </w:rPr>
              <w:t>Susan</w:t>
            </w:r>
            <w:r w:rsidR="00DF1884" w:rsidRPr="00DF1884">
              <w:rPr>
                <w:b/>
              </w:rPr>
              <w:t xml:space="preserve"> </w:t>
            </w:r>
            <w:r w:rsidRPr="00DF1884">
              <w:rPr>
                <w:b/>
              </w:rPr>
              <w:t>Radke</w:t>
            </w:r>
            <w:r w:rsidRPr="00DF1884">
              <w:rPr>
                <w:b/>
              </w:rPr>
              <w:br/>
            </w:r>
            <w:r w:rsidRPr="00DF1884">
              <w:t>Centers</w:t>
            </w:r>
            <w:r w:rsidR="00DF1884" w:rsidRPr="00DF1884">
              <w:t xml:space="preserve"> </w:t>
            </w:r>
            <w:r w:rsidRPr="00DF1884">
              <w:t>for</w:t>
            </w:r>
            <w:r w:rsidR="00DF1884" w:rsidRPr="00DF1884">
              <w:t xml:space="preserve"> </w:t>
            </w:r>
            <w:r w:rsidRPr="00DF1884">
              <w:t>Medicare</w:t>
            </w:r>
            <w:r w:rsidR="00DF1884" w:rsidRPr="00DF1884">
              <w:t xml:space="preserve"> </w:t>
            </w:r>
            <w:r w:rsidRPr="00DF1884">
              <w:t>&amp;</w:t>
            </w:r>
            <w:r w:rsidR="00DF1884" w:rsidRPr="00DF1884">
              <w:t xml:space="preserve"> </w:t>
            </w:r>
            <w:r w:rsidRPr="00DF1884">
              <w:t>Medicaid</w:t>
            </w:r>
            <w:r w:rsidR="00DF1884" w:rsidRPr="00DF1884">
              <w:t xml:space="preserve"> </w:t>
            </w:r>
            <w:r w:rsidRPr="00DF1884">
              <w:t>Services</w:t>
            </w:r>
          </w:p>
          <w:p w14:paraId="3200EB19" w14:textId="7068EEC8" w:rsidR="00463667" w:rsidRPr="00DF1884" w:rsidRDefault="00463667" w:rsidP="00601EC1">
            <w:pPr>
              <w:pStyle w:val="Body"/>
              <w:rPr>
                <w:b/>
              </w:rPr>
            </w:pPr>
            <w:r w:rsidRPr="00DF1884">
              <w:rPr>
                <w:b/>
              </w:rPr>
              <w:t>Donna</w:t>
            </w:r>
            <w:r w:rsidR="00DF1884" w:rsidRPr="00DF1884">
              <w:rPr>
                <w:b/>
              </w:rPr>
              <w:t xml:space="preserve"> </w:t>
            </w:r>
            <w:r w:rsidRPr="00DF1884">
              <w:rPr>
                <w:b/>
              </w:rPr>
              <w:t>Williamson</w:t>
            </w:r>
            <w:r w:rsidR="00DF1884" w:rsidRPr="00DF1884">
              <w:rPr>
                <w:b/>
              </w:rPr>
              <w:t xml:space="preserve"> </w:t>
            </w:r>
            <w:r w:rsidRPr="00DF1884">
              <w:br/>
              <w:t>Centers</w:t>
            </w:r>
            <w:r w:rsidR="00DF1884" w:rsidRPr="00DF1884">
              <w:t xml:space="preserve"> </w:t>
            </w:r>
            <w:r w:rsidRPr="00DF1884">
              <w:t>for</w:t>
            </w:r>
            <w:r w:rsidR="00DF1884" w:rsidRPr="00DF1884">
              <w:t xml:space="preserve"> </w:t>
            </w:r>
            <w:r w:rsidRPr="00DF1884">
              <w:t>Medicare</w:t>
            </w:r>
            <w:r w:rsidR="00DF1884" w:rsidRPr="00DF1884">
              <w:t xml:space="preserve"> </w:t>
            </w:r>
            <w:r w:rsidRPr="00DF1884">
              <w:t>&amp;</w:t>
            </w:r>
            <w:r w:rsidR="00DF1884" w:rsidRPr="00DF1884">
              <w:t xml:space="preserve"> </w:t>
            </w:r>
            <w:r w:rsidRPr="00DF1884">
              <w:t>Medicaid</w:t>
            </w:r>
            <w:r w:rsidR="00DF1884" w:rsidRPr="00DF1884">
              <w:t xml:space="preserve"> </w:t>
            </w:r>
            <w:r w:rsidRPr="00DF1884">
              <w:t>Services</w:t>
            </w:r>
          </w:p>
        </w:tc>
      </w:tr>
    </w:tbl>
    <w:p w14:paraId="2B697122" w14:textId="77777777" w:rsidR="00463667" w:rsidRPr="00DF1884" w:rsidRDefault="00463667" w:rsidP="00463667">
      <w:pPr>
        <w:sectPr w:rsidR="00463667" w:rsidRPr="00DF1884" w:rsidSect="0039781B">
          <w:pgSz w:w="12240" w:h="15840" w:code="1"/>
          <w:pgMar w:top="1080" w:right="1080" w:bottom="1080" w:left="1440" w:header="720" w:footer="720" w:gutter="0"/>
          <w:cols w:space="720"/>
        </w:sectPr>
      </w:pPr>
    </w:p>
    <w:p w14:paraId="0725EEDC" w14:textId="091870C2" w:rsidR="00463667" w:rsidRPr="00DF1884" w:rsidRDefault="00463667" w:rsidP="00202CAE">
      <w:pPr>
        <w:pStyle w:val="ReverseHead"/>
        <w:spacing w:before="0"/>
      </w:pPr>
      <w:r w:rsidRPr="00DF1884">
        <w:t>HEDIS</w:t>
      </w:r>
      <w:r w:rsidR="00DF1884" w:rsidRPr="00DF1884">
        <w:t xml:space="preserve"> </w:t>
      </w:r>
      <w:r w:rsidRPr="00DF1884">
        <w:t>Expert</w:t>
      </w:r>
      <w:r w:rsidR="00DF1884" w:rsidRPr="00DF1884">
        <w:t xml:space="preserve"> </w:t>
      </w:r>
      <w:r w:rsidRPr="00DF1884">
        <w:t>Audit</w:t>
      </w:r>
      <w:r w:rsidR="00DF1884" w:rsidRPr="00DF1884">
        <w:t xml:space="preserve"> </w:t>
      </w:r>
      <w:r w:rsidRPr="00DF1884">
        <w:t>Methodology</w:t>
      </w:r>
      <w:r w:rsidR="00DF1884" w:rsidRPr="00DF1884">
        <w:t xml:space="preserve"> </w:t>
      </w:r>
      <w:r w:rsidRPr="00DF1884">
        <w:t>Panel</w:t>
      </w:r>
    </w:p>
    <w:tbl>
      <w:tblPr>
        <w:tblW w:w="0" w:type="auto"/>
        <w:tblLayout w:type="fixed"/>
        <w:tblLook w:val="0000" w:firstRow="0" w:lastRow="0" w:firstColumn="0" w:lastColumn="0" w:noHBand="0" w:noVBand="0"/>
      </w:tblPr>
      <w:tblGrid>
        <w:gridCol w:w="4944"/>
        <w:gridCol w:w="4884"/>
      </w:tblGrid>
      <w:tr w:rsidR="00463667" w:rsidRPr="00DF1884" w14:paraId="33A8DAB4" w14:textId="77777777" w:rsidTr="00C56CA6">
        <w:trPr>
          <w:cantSplit/>
        </w:trPr>
        <w:tc>
          <w:tcPr>
            <w:tcW w:w="4944" w:type="dxa"/>
          </w:tcPr>
          <w:p w14:paraId="554928AA" w14:textId="7191AD92" w:rsidR="00463667" w:rsidRPr="00DF1884" w:rsidRDefault="00463667" w:rsidP="00C56CA6">
            <w:pPr>
              <w:pStyle w:val="Body"/>
            </w:pPr>
            <w:r w:rsidRPr="00DF1884">
              <w:rPr>
                <w:b/>
                <w:bCs/>
              </w:rPr>
              <w:t>Katharine</w:t>
            </w:r>
            <w:r w:rsidR="00DF1884" w:rsidRPr="00DF1884">
              <w:rPr>
                <w:b/>
                <w:bCs/>
              </w:rPr>
              <w:t xml:space="preserve"> </w:t>
            </w:r>
            <w:r w:rsidRPr="00DF1884">
              <w:rPr>
                <w:b/>
                <w:bCs/>
              </w:rPr>
              <w:t>Iskrant,</w:t>
            </w:r>
            <w:r w:rsidR="00DF1884" w:rsidRPr="00DF1884">
              <w:rPr>
                <w:b/>
                <w:bCs/>
              </w:rPr>
              <w:t xml:space="preserve"> </w:t>
            </w:r>
            <w:r w:rsidRPr="00DF1884">
              <w:rPr>
                <w:b/>
                <w:bCs/>
              </w:rPr>
              <w:t>MPH,</w:t>
            </w:r>
            <w:r w:rsidR="00DF1884" w:rsidRPr="00DF1884">
              <w:rPr>
                <w:b/>
                <w:bCs/>
              </w:rPr>
              <w:t xml:space="preserve"> </w:t>
            </w:r>
            <w:r w:rsidR="009513D2" w:rsidRPr="00DF1884">
              <w:rPr>
                <w:b/>
                <w:bCs/>
              </w:rPr>
              <w:t>CPHQ,</w:t>
            </w:r>
            <w:r w:rsidR="00DF1884" w:rsidRPr="00DF1884">
              <w:rPr>
                <w:b/>
                <w:bCs/>
              </w:rPr>
              <w:t xml:space="preserve"> </w:t>
            </w:r>
            <w:r w:rsidRPr="00DF1884">
              <w:rPr>
                <w:b/>
                <w:bCs/>
              </w:rPr>
              <w:t>CHCA</w:t>
            </w:r>
            <w:r w:rsidRPr="00DF1884">
              <w:rPr>
                <w:b/>
                <w:bCs/>
              </w:rPr>
              <w:br/>
            </w:r>
            <w:r w:rsidRPr="00DF1884">
              <w:t>Healthy</w:t>
            </w:r>
            <w:r w:rsidR="00DF1884" w:rsidRPr="00DF1884">
              <w:t xml:space="preserve"> </w:t>
            </w:r>
            <w:r w:rsidRPr="00DF1884">
              <w:t>People,</w:t>
            </w:r>
            <w:r w:rsidR="00DF1884" w:rsidRPr="00DF1884">
              <w:t xml:space="preserve"> </w:t>
            </w:r>
            <w:r w:rsidRPr="00DF1884">
              <w:t>Inc.</w:t>
            </w:r>
          </w:p>
          <w:p w14:paraId="72A9EB2E" w14:textId="5BFB16DA" w:rsidR="00463667" w:rsidRPr="00DF1884" w:rsidRDefault="00463667" w:rsidP="00C56CA6">
            <w:pPr>
              <w:pStyle w:val="Body"/>
            </w:pPr>
            <w:r w:rsidRPr="00DF1884">
              <w:rPr>
                <w:b/>
                <w:bCs/>
              </w:rPr>
              <w:t>Peggy</w:t>
            </w:r>
            <w:r w:rsidR="00DF1884" w:rsidRPr="00DF1884">
              <w:rPr>
                <w:b/>
                <w:bCs/>
              </w:rPr>
              <w:t xml:space="preserve"> </w:t>
            </w:r>
            <w:r w:rsidRPr="00DF1884">
              <w:rPr>
                <w:b/>
                <w:bCs/>
              </w:rPr>
              <w:t>Ketterer,</w:t>
            </w:r>
            <w:r w:rsidR="00DF1884" w:rsidRPr="00DF1884">
              <w:rPr>
                <w:b/>
                <w:bCs/>
              </w:rPr>
              <w:t xml:space="preserve"> </w:t>
            </w:r>
            <w:r w:rsidRPr="00DF1884">
              <w:rPr>
                <w:b/>
                <w:bCs/>
              </w:rPr>
              <w:t>RN,</w:t>
            </w:r>
            <w:r w:rsidR="00DF1884" w:rsidRPr="00DF1884">
              <w:rPr>
                <w:b/>
                <w:bCs/>
              </w:rPr>
              <w:t xml:space="preserve"> </w:t>
            </w:r>
            <w:r w:rsidRPr="00DF1884">
              <w:rPr>
                <w:b/>
                <w:bCs/>
              </w:rPr>
              <w:t>BSN,</w:t>
            </w:r>
            <w:r w:rsidR="00DF1884" w:rsidRPr="00DF1884">
              <w:rPr>
                <w:b/>
                <w:bCs/>
              </w:rPr>
              <w:t xml:space="preserve"> </w:t>
            </w:r>
            <w:r w:rsidRPr="00DF1884">
              <w:rPr>
                <w:b/>
                <w:bCs/>
              </w:rPr>
              <w:t>CHCA</w:t>
            </w:r>
            <w:r w:rsidRPr="00DF1884">
              <w:rPr>
                <w:b/>
                <w:bCs/>
              </w:rPr>
              <w:br/>
            </w:r>
            <w:r w:rsidRPr="00DF1884">
              <w:t>Advent</w:t>
            </w:r>
            <w:r w:rsidR="00DF1884" w:rsidRPr="00DF1884">
              <w:t xml:space="preserve"> </w:t>
            </w:r>
            <w:r w:rsidRPr="00DF1884">
              <w:t>Advisory</w:t>
            </w:r>
            <w:r w:rsidR="00DF1884" w:rsidRPr="00DF1884">
              <w:t xml:space="preserve"> </w:t>
            </w:r>
            <w:r w:rsidRPr="00DF1884">
              <w:t>Group,</w:t>
            </w:r>
            <w:r w:rsidR="00DF1884" w:rsidRPr="00DF1884">
              <w:t xml:space="preserve"> </w:t>
            </w:r>
            <w:r w:rsidRPr="00DF1884">
              <w:t>LLC</w:t>
            </w:r>
          </w:p>
          <w:p w14:paraId="7BB0335A" w14:textId="510EE475" w:rsidR="00463667" w:rsidRPr="00DF1884" w:rsidRDefault="00463667" w:rsidP="00C56CA6">
            <w:pPr>
              <w:pStyle w:val="Body"/>
            </w:pPr>
            <w:r w:rsidRPr="00DF1884">
              <w:rPr>
                <w:b/>
                <w:bCs/>
              </w:rPr>
              <w:t>Tina</w:t>
            </w:r>
            <w:r w:rsidR="00DF1884" w:rsidRPr="00DF1884">
              <w:rPr>
                <w:b/>
                <w:bCs/>
              </w:rPr>
              <w:t xml:space="preserve"> </w:t>
            </w:r>
            <w:r w:rsidRPr="00DF1884">
              <w:rPr>
                <w:b/>
                <w:bCs/>
              </w:rPr>
              <w:t>Kind,</w:t>
            </w:r>
            <w:r w:rsidR="00DF1884" w:rsidRPr="00DF1884">
              <w:rPr>
                <w:b/>
                <w:bCs/>
              </w:rPr>
              <w:t xml:space="preserve"> </w:t>
            </w:r>
            <w:r w:rsidRPr="00DF1884">
              <w:rPr>
                <w:b/>
                <w:bCs/>
              </w:rPr>
              <w:t>MBA,</w:t>
            </w:r>
            <w:r w:rsidR="00DF1884" w:rsidRPr="00DF1884">
              <w:rPr>
                <w:b/>
                <w:bCs/>
              </w:rPr>
              <w:t xml:space="preserve"> </w:t>
            </w:r>
            <w:r w:rsidRPr="00DF1884">
              <w:rPr>
                <w:b/>
                <w:bCs/>
              </w:rPr>
              <w:t>CHCA</w:t>
            </w:r>
            <w:r w:rsidRPr="00DF1884">
              <w:rPr>
                <w:b/>
                <w:bCs/>
              </w:rPr>
              <w:br/>
            </w:r>
            <w:r w:rsidRPr="00DF1884">
              <w:t>DTS</w:t>
            </w:r>
            <w:r w:rsidR="00DF1884" w:rsidRPr="00DF1884">
              <w:t xml:space="preserve"> </w:t>
            </w:r>
            <w:r w:rsidRPr="00DF1884">
              <w:t>Group,</w:t>
            </w:r>
            <w:r w:rsidR="00DF1884" w:rsidRPr="00DF1884">
              <w:t xml:space="preserve"> </w:t>
            </w:r>
            <w:r w:rsidRPr="00DF1884">
              <w:t>LLC</w:t>
            </w:r>
          </w:p>
          <w:p w14:paraId="31AEF669" w14:textId="6A23C5F8" w:rsidR="00463667" w:rsidRPr="00DF1884" w:rsidRDefault="00463667" w:rsidP="00C56CA6">
            <w:pPr>
              <w:pStyle w:val="Body"/>
            </w:pPr>
            <w:r w:rsidRPr="00DF1884">
              <w:rPr>
                <w:b/>
                <w:bCs/>
              </w:rPr>
              <w:t>David</w:t>
            </w:r>
            <w:r w:rsidR="00DF1884" w:rsidRPr="00DF1884">
              <w:rPr>
                <w:b/>
                <w:bCs/>
              </w:rPr>
              <w:t xml:space="preserve"> </w:t>
            </w:r>
            <w:r w:rsidRPr="00DF1884">
              <w:rPr>
                <w:b/>
                <w:bCs/>
              </w:rPr>
              <w:t>Mabb,</w:t>
            </w:r>
            <w:r w:rsidR="00DF1884" w:rsidRPr="00DF1884">
              <w:rPr>
                <w:b/>
                <w:bCs/>
              </w:rPr>
              <w:t xml:space="preserve"> </w:t>
            </w:r>
            <w:r w:rsidRPr="00DF1884">
              <w:rPr>
                <w:b/>
                <w:bCs/>
              </w:rPr>
              <w:t>MS,</w:t>
            </w:r>
            <w:r w:rsidR="00DF1884" w:rsidRPr="00DF1884">
              <w:rPr>
                <w:b/>
                <w:bCs/>
              </w:rPr>
              <w:t xml:space="preserve"> </w:t>
            </w:r>
            <w:r w:rsidRPr="00DF1884">
              <w:rPr>
                <w:b/>
                <w:bCs/>
              </w:rPr>
              <w:t>CHCA</w:t>
            </w:r>
            <w:r w:rsidRPr="00DF1884">
              <w:rPr>
                <w:b/>
                <w:bCs/>
              </w:rPr>
              <w:br/>
            </w:r>
            <w:r w:rsidRPr="00DF1884">
              <w:t>Health</w:t>
            </w:r>
            <w:r w:rsidR="00DF1884" w:rsidRPr="00DF1884">
              <w:t xml:space="preserve"> </w:t>
            </w:r>
            <w:r w:rsidRPr="00DF1884">
              <w:t>Services</w:t>
            </w:r>
            <w:r w:rsidR="00DF1884" w:rsidRPr="00DF1884">
              <w:t xml:space="preserve"> </w:t>
            </w:r>
            <w:r w:rsidRPr="00DF1884">
              <w:t>Advisory</w:t>
            </w:r>
            <w:r w:rsidR="00DF1884" w:rsidRPr="00DF1884">
              <w:t xml:space="preserve"> </w:t>
            </w:r>
            <w:r w:rsidRPr="00DF1884">
              <w:t>Group,</w:t>
            </w:r>
            <w:r w:rsidR="00DF1884" w:rsidRPr="00DF1884">
              <w:t xml:space="preserve"> </w:t>
            </w:r>
            <w:r w:rsidRPr="00DF1884">
              <w:t>Inc.</w:t>
            </w:r>
            <w:r w:rsidR="00DF1884" w:rsidRPr="00DF1884">
              <w:t xml:space="preserve"> </w:t>
            </w:r>
          </w:p>
          <w:p w14:paraId="202FF795" w14:textId="667113E3" w:rsidR="00463667" w:rsidRPr="00DF1884" w:rsidRDefault="003E4000" w:rsidP="003E4000">
            <w:pPr>
              <w:pStyle w:val="Body"/>
            </w:pPr>
            <w:r w:rsidRPr="00DF1884">
              <w:rPr>
                <w:b/>
                <w:bCs/>
              </w:rPr>
              <w:t>Leia Maves, MBA, CHCA</w:t>
            </w:r>
            <w:r w:rsidRPr="00DF1884">
              <w:rPr>
                <w:b/>
                <w:bCs/>
              </w:rPr>
              <w:br/>
            </w:r>
            <w:r w:rsidRPr="00DF1884">
              <w:t>MetaStar, Inc</w:t>
            </w:r>
            <w:r>
              <w:t>.</w:t>
            </w:r>
          </w:p>
        </w:tc>
        <w:tc>
          <w:tcPr>
            <w:tcW w:w="4884" w:type="dxa"/>
          </w:tcPr>
          <w:p w14:paraId="2207258B" w14:textId="77777777" w:rsidR="003E4000" w:rsidRDefault="003E4000" w:rsidP="00C56CA6">
            <w:pPr>
              <w:pStyle w:val="Body"/>
              <w:rPr>
                <w:b/>
                <w:bCs/>
              </w:rPr>
            </w:pPr>
            <w:r w:rsidRPr="00DF1884">
              <w:rPr>
                <w:b/>
                <w:bCs/>
              </w:rPr>
              <w:t>Chuck Merlino, MBA, CHCA</w:t>
            </w:r>
            <w:r w:rsidRPr="00DF1884">
              <w:br/>
              <w:t>IPRO</w:t>
            </w:r>
            <w:r w:rsidRPr="00DF1884">
              <w:rPr>
                <w:b/>
                <w:bCs/>
              </w:rPr>
              <w:t xml:space="preserve"> </w:t>
            </w:r>
          </w:p>
          <w:p w14:paraId="6B39D602" w14:textId="07380078" w:rsidR="00463667" w:rsidRPr="00DF1884" w:rsidRDefault="00463667" w:rsidP="00C56CA6">
            <w:pPr>
              <w:pStyle w:val="Body"/>
              <w:rPr>
                <w:b/>
                <w:bCs/>
              </w:rPr>
            </w:pPr>
            <w:r w:rsidRPr="00DF1884">
              <w:rPr>
                <w:b/>
                <w:bCs/>
              </w:rPr>
              <w:t>Paul</w:t>
            </w:r>
            <w:r w:rsidR="00DF1884" w:rsidRPr="00DF1884">
              <w:rPr>
                <w:b/>
                <w:bCs/>
              </w:rPr>
              <w:t xml:space="preserve"> </w:t>
            </w:r>
            <w:r w:rsidRPr="00DF1884">
              <w:rPr>
                <w:b/>
                <w:bCs/>
              </w:rPr>
              <w:t>Mertel,</w:t>
            </w:r>
            <w:r w:rsidR="00DF1884" w:rsidRPr="00DF1884">
              <w:rPr>
                <w:b/>
                <w:bCs/>
              </w:rPr>
              <w:t xml:space="preserve"> </w:t>
            </w:r>
            <w:r w:rsidRPr="00DF1884">
              <w:rPr>
                <w:b/>
                <w:bCs/>
              </w:rPr>
              <w:t>Jr.,</w:t>
            </w:r>
            <w:r w:rsidR="00DF1884" w:rsidRPr="00DF1884">
              <w:rPr>
                <w:b/>
                <w:bCs/>
              </w:rPr>
              <w:t xml:space="preserve"> </w:t>
            </w:r>
            <w:r w:rsidRPr="00DF1884">
              <w:rPr>
                <w:b/>
                <w:bCs/>
              </w:rPr>
              <w:t>PhD,</w:t>
            </w:r>
            <w:r w:rsidR="00DF1884" w:rsidRPr="00DF1884">
              <w:rPr>
                <w:b/>
                <w:bCs/>
              </w:rPr>
              <w:t xml:space="preserve"> </w:t>
            </w:r>
            <w:r w:rsidR="009513D2" w:rsidRPr="00DF1884">
              <w:rPr>
                <w:b/>
                <w:bCs/>
              </w:rPr>
              <w:t>FACHE,</w:t>
            </w:r>
            <w:r w:rsidR="00DF1884" w:rsidRPr="00DF1884">
              <w:rPr>
                <w:b/>
                <w:bCs/>
              </w:rPr>
              <w:t xml:space="preserve"> </w:t>
            </w:r>
            <w:r w:rsidRPr="00DF1884">
              <w:rPr>
                <w:b/>
                <w:bCs/>
              </w:rPr>
              <w:t>CHCA</w:t>
            </w:r>
            <w:r w:rsidRPr="00DF1884">
              <w:rPr>
                <w:b/>
                <w:bCs/>
              </w:rPr>
              <w:br/>
            </w:r>
            <w:r w:rsidRPr="00DF1884">
              <w:t>HealthcareData</w:t>
            </w:r>
            <w:r w:rsidR="00DF1884" w:rsidRPr="00DF1884">
              <w:t xml:space="preserve"> </w:t>
            </w:r>
            <w:r w:rsidRPr="00DF1884">
              <w:t>Company,</w:t>
            </w:r>
            <w:r w:rsidR="00DF1884" w:rsidRPr="00DF1884">
              <w:t xml:space="preserve"> </w:t>
            </w:r>
            <w:r w:rsidRPr="00DF1884">
              <w:t>LLC</w:t>
            </w:r>
          </w:p>
          <w:p w14:paraId="24D4047D" w14:textId="548D2149" w:rsidR="00463667" w:rsidRPr="00DF1884" w:rsidRDefault="00463667" w:rsidP="00C56CA6">
            <w:pPr>
              <w:pStyle w:val="Body"/>
            </w:pPr>
            <w:r w:rsidRPr="00DF1884">
              <w:rPr>
                <w:b/>
                <w:bCs/>
              </w:rPr>
              <w:t>Robert</w:t>
            </w:r>
            <w:r w:rsidR="00DF1884" w:rsidRPr="00DF1884">
              <w:rPr>
                <w:b/>
                <w:bCs/>
              </w:rPr>
              <w:t xml:space="preserve"> </w:t>
            </w:r>
            <w:r w:rsidRPr="00DF1884">
              <w:rPr>
                <w:b/>
                <w:bCs/>
              </w:rPr>
              <w:t>Oakleaf,</w:t>
            </w:r>
            <w:r w:rsidR="00DF1884" w:rsidRPr="00DF1884">
              <w:rPr>
                <w:b/>
                <w:bCs/>
              </w:rPr>
              <w:t xml:space="preserve"> </w:t>
            </w:r>
            <w:r w:rsidRPr="00DF1884">
              <w:rPr>
                <w:b/>
                <w:bCs/>
              </w:rPr>
              <w:t>MA,</w:t>
            </w:r>
            <w:r w:rsidR="00DF1884" w:rsidRPr="00DF1884">
              <w:rPr>
                <w:b/>
                <w:bCs/>
              </w:rPr>
              <w:t xml:space="preserve"> </w:t>
            </w:r>
            <w:r w:rsidRPr="00DF1884">
              <w:rPr>
                <w:b/>
                <w:bCs/>
              </w:rPr>
              <w:t>CHCA</w:t>
            </w:r>
            <w:r w:rsidRPr="00DF1884">
              <w:rPr>
                <w:b/>
                <w:bCs/>
              </w:rPr>
              <w:br/>
            </w:r>
            <w:r w:rsidRPr="00DF1884">
              <w:t>Attest</w:t>
            </w:r>
            <w:r w:rsidR="00DF1884" w:rsidRPr="00DF1884">
              <w:t xml:space="preserve"> </w:t>
            </w:r>
            <w:r w:rsidRPr="00DF1884">
              <w:t>Health</w:t>
            </w:r>
            <w:r w:rsidR="00DF1884" w:rsidRPr="00DF1884">
              <w:t xml:space="preserve"> </w:t>
            </w:r>
            <w:r w:rsidRPr="00DF1884">
              <w:t>Care</w:t>
            </w:r>
            <w:r w:rsidR="00DF1884" w:rsidRPr="00DF1884">
              <w:t xml:space="preserve"> </w:t>
            </w:r>
            <w:r w:rsidRPr="00DF1884">
              <w:t>Advisors,</w:t>
            </w:r>
            <w:r w:rsidR="00DF1884" w:rsidRPr="00DF1884">
              <w:t xml:space="preserve"> </w:t>
            </w:r>
            <w:r w:rsidRPr="00DF1884">
              <w:t>LLC</w:t>
            </w:r>
          </w:p>
          <w:p w14:paraId="74BCE954" w14:textId="6C819C43" w:rsidR="00463667" w:rsidRPr="00DF1884" w:rsidRDefault="00463667" w:rsidP="00C56CA6">
            <w:pPr>
              <w:pStyle w:val="Body"/>
            </w:pPr>
            <w:r w:rsidRPr="00DF1884">
              <w:rPr>
                <w:b/>
                <w:bCs/>
              </w:rPr>
              <w:t>Anu</w:t>
            </w:r>
            <w:r w:rsidR="00DF1884" w:rsidRPr="00DF1884">
              <w:rPr>
                <w:b/>
                <w:bCs/>
              </w:rPr>
              <w:t xml:space="preserve"> </w:t>
            </w:r>
            <w:r w:rsidRPr="00DF1884">
              <w:rPr>
                <w:b/>
                <w:bCs/>
              </w:rPr>
              <w:t>Sajja,</w:t>
            </w:r>
            <w:r w:rsidR="00DF1884" w:rsidRPr="00DF1884">
              <w:rPr>
                <w:b/>
                <w:bCs/>
              </w:rPr>
              <w:t xml:space="preserve"> </w:t>
            </w:r>
            <w:r w:rsidRPr="00DF1884">
              <w:rPr>
                <w:b/>
                <w:bCs/>
              </w:rPr>
              <w:t>MPH,</w:t>
            </w:r>
            <w:r w:rsidR="00DF1884" w:rsidRPr="00DF1884">
              <w:rPr>
                <w:b/>
                <w:bCs/>
              </w:rPr>
              <w:t xml:space="preserve"> </w:t>
            </w:r>
            <w:r w:rsidRPr="00DF1884">
              <w:rPr>
                <w:b/>
                <w:bCs/>
              </w:rPr>
              <w:t>CHCA</w:t>
            </w:r>
            <w:r w:rsidRPr="00DF1884">
              <w:rPr>
                <w:b/>
                <w:bCs/>
              </w:rPr>
              <w:br/>
            </w:r>
            <w:r w:rsidRPr="00DF1884">
              <w:t>Aqurate</w:t>
            </w:r>
            <w:r w:rsidR="00DF1884" w:rsidRPr="00DF1884">
              <w:t xml:space="preserve"> </w:t>
            </w:r>
            <w:r w:rsidRPr="00DF1884">
              <w:t>Health</w:t>
            </w:r>
            <w:r w:rsidR="00DF1884" w:rsidRPr="00DF1884">
              <w:t xml:space="preserve"> </w:t>
            </w:r>
            <w:r w:rsidRPr="00DF1884">
              <w:t>Data</w:t>
            </w:r>
            <w:r w:rsidR="00DF1884" w:rsidRPr="00DF1884">
              <w:t xml:space="preserve"> </w:t>
            </w:r>
            <w:r w:rsidRPr="00DF1884">
              <w:t>Management,</w:t>
            </w:r>
            <w:r w:rsidR="00DF1884" w:rsidRPr="00DF1884">
              <w:t xml:space="preserve"> </w:t>
            </w:r>
            <w:r w:rsidRPr="00DF1884">
              <w:t>Inc.</w:t>
            </w:r>
          </w:p>
          <w:p w14:paraId="0E502505" w14:textId="731A4882" w:rsidR="00463667" w:rsidRPr="00DF1884" w:rsidRDefault="00463667" w:rsidP="00C56CA6">
            <w:pPr>
              <w:pStyle w:val="Body"/>
            </w:pPr>
          </w:p>
        </w:tc>
      </w:tr>
    </w:tbl>
    <w:p w14:paraId="6FDAF378" w14:textId="734F948F" w:rsidR="00463667" w:rsidRPr="00DF1884" w:rsidRDefault="00463667" w:rsidP="00202CAE">
      <w:pPr>
        <w:pStyle w:val="ReverseHead"/>
      </w:pPr>
      <w:r w:rsidRPr="00DF1884">
        <w:t>HEDIS</w:t>
      </w:r>
      <w:r w:rsidR="00DF1884" w:rsidRPr="00DF1884">
        <w:t xml:space="preserve"> </w:t>
      </w:r>
      <w:r w:rsidRPr="00DF1884">
        <w:t>Expert</w:t>
      </w:r>
      <w:r w:rsidR="00DF1884" w:rsidRPr="00DF1884">
        <w:t xml:space="preserve"> </w:t>
      </w:r>
      <w:r w:rsidRPr="00DF1884">
        <w:t>Coding</w:t>
      </w:r>
      <w:r w:rsidR="00DF1884" w:rsidRPr="00DF1884">
        <w:t xml:space="preserve"> </w:t>
      </w:r>
      <w:r w:rsidRPr="00DF1884">
        <w:t>Panel</w:t>
      </w:r>
    </w:p>
    <w:tbl>
      <w:tblPr>
        <w:tblW w:w="0" w:type="auto"/>
        <w:tblLayout w:type="fixed"/>
        <w:tblLook w:val="0000" w:firstRow="0" w:lastRow="0" w:firstColumn="0" w:lastColumn="0" w:noHBand="0" w:noVBand="0"/>
      </w:tblPr>
      <w:tblGrid>
        <w:gridCol w:w="4944"/>
        <w:gridCol w:w="4884"/>
      </w:tblGrid>
      <w:tr w:rsidR="00463667" w:rsidRPr="00DF1884" w14:paraId="53F7E16B" w14:textId="77777777" w:rsidTr="00C56CA6">
        <w:tc>
          <w:tcPr>
            <w:tcW w:w="4944" w:type="dxa"/>
          </w:tcPr>
          <w:p w14:paraId="3DBB38C2" w14:textId="6BE4DBB1" w:rsidR="00463667" w:rsidRPr="00DF1884" w:rsidRDefault="00463667" w:rsidP="00C56CA6">
            <w:pPr>
              <w:pStyle w:val="Body"/>
              <w:rPr>
                <w:b/>
              </w:rPr>
            </w:pPr>
            <w:r w:rsidRPr="00DF1884">
              <w:rPr>
                <w:b/>
              </w:rPr>
              <w:t>Glen</w:t>
            </w:r>
            <w:r w:rsidR="00DF1884" w:rsidRPr="00DF1884">
              <w:rPr>
                <w:b/>
              </w:rPr>
              <w:t xml:space="preserve"> </w:t>
            </w:r>
            <w:r w:rsidRPr="00DF1884">
              <w:rPr>
                <w:b/>
              </w:rPr>
              <w:t>Braden,</w:t>
            </w:r>
            <w:r w:rsidR="00DF1884" w:rsidRPr="00DF1884">
              <w:rPr>
                <w:b/>
              </w:rPr>
              <w:t xml:space="preserve"> </w:t>
            </w:r>
            <w:r w:rsidRPr="00DF1884">
              <w:rPr>
                <w:b/>
              </w:rPr>
              <w:t>MBA,</w:t>
            </w:r>
            <w:r w:rsidR="00DF1884" w:rsidRPr="00DF1884">
              <w:rPr>
                <w:b/>
              </w:rPr>
              <w:t xml:space="preserve"> </w:t>
            </w:r>
            <w:r w:rsidRPr="00DF1884">
              <w:rPr>
                <w:b/>
              </w:rPr>
              <w:t>CHCA</w:t>
            </w:r>
            <w:r w:rsidRPr="00DF1884">
              <w:rPr>
                <w:b/>
              </w:rPr>
              <w:br/>
            </w:r>
            <w:r w:rsidRPr="00DF1884">
              <w:t>Attest</w:t>
            </w:r>
            <w:r w:rsidR="00DF1884" w:rsidRPr="00DF1884">
              <w:t xml:space="preserve"> </w:t>
            </w:r>
            <w:r w:rsidRPr="00DF1884">
              <w:t>Health</w:t>
            </w:r>
            <w:r w:rsidR="00DF1884" w:rsidRPr="00DF1884">
              <w:t xml:space="preserve"> </w:t>
            </w:r>
            <w:r w:rsidRPr="00DF1884">
              <w:t>Care</w:t>
            </w:r>
            <w:r w:rsidR="00DF1884" w:rsidRPr="00DF1884">
              <w:t xml:space="preserve"> </w:t>
            </w:r>
            <w:r w:rsidRPr="00DF1884">
              <w:t>Advisors</w:t>
            </w:r>
            <w:r w:rsidR="00DF1884" w:rsidRPr="00DF1884">
              <w:rPr>
                <w:b/>
              </w:rPr>
              <w:t xml:space="preserve"> </w:t>
            </w:r>
          </w:p>
          <w:p w14:paraId="527D2F2F" w14:textId="2BDB264C" w:rsidR="00463667" w:rsidRPr="00DF1884" w:rsidRDefault="00463667" w:rsidP="00C56CA6">
            <w:pPr>
              <w:pStyle w:val="Body"/>
            </w:pPr>
            <w:r w:rsidRPr="00DF1884">
              <w:rPr>
                <w:b/>
              </w:rPr>
              <w:t>Denene</w:t>
            </w:r>
            <w:r w:rsidR="00DF1884" w:rsidRPr="00DF1884">
              <w:rPr>
                <w:b/>
              </w:rPr>
              <w:t xml:space="preserve"> </w:t>
            </w:r>
            <w:r w:rsidRPr="00DF1884">
              <w:rPr>
                <w:b/>
              </w:rPr>
              <w:t>Harper,</w:t>
            </w:r>
            <w:r w:rsidR="00DF1884" w:rsidRPr="00DF1884">
              <w:rPr>
                <w:b/>
              </w:rPr>
              <w:t xml:space="preserve"> </w:t>
            </w:r>
            <w:r w:rsidRPr="00DF1884">
              <w:rPr>
                <w:b/>
              </w:rPr>
              <w:t>RHIA</w:t>
            </w:r>
            <w:r w:rsidRPr="00DF1884">
              <w:rPr>
                <w:b/>
              </w:rPr>
              <w:br/>
            </w:r>
            <w:r w:rsidRPr="00DF1884">
              <w:t>American</w:t>
            </w:r>
            <w:r w:rsidR="00DF1884" w:rsidRPr="00DF1884">
              <w:t xml:space="preserve"> </w:t>
            </w:r>
            <w:r w:rsidRPr="00DF1884">
              <w:t>Hospital</w:t>
            </w:r>
            <w:r w:rsidR="00DF1884" w:rsidRPr="00DF1884">
              <w:t xml:space="preserve"> </w:t>
            </w:r>
            <w:r w:rsidRPr="00DF1884">
              <w:t>Association</w:t>
            </w:r>
          </w:p>
          <w:p w14:paraId="27880D92" w14:textId="4B69718D" w:rsidR="00463667" w:rsidRPr="00DF1884" w:rsidRDefault="00463667" w:rsidP="00C56CA6">
            <w:pPr>
              <w:pStyle w:val="Body"/>
            </w:pPr>
            <w:r w:rsidRPr="00DF1884">
              <w:rPr>
                <w:b/>
              </w:rPr>
              <w:t>DeHandro</w:t>
            </w:r>
            <w:r w:rsidR="00DF1884" w:rsidRPr="00DF1884">
              <w:rPr>
                <w:b/>
              </w:rPr>
              <w:t xml:space="preserve"> </w:t>
            </w:r>
            <w:r w:rsidRPr="00DF1884">
              <w:rPr>
                <w:b/>
              </w:rPr>
              <w:t>Hayden,</w:t>
            </w:r>
            <w:r w:rsidR="00DF1884" w:rsidRPr="00DF1884">
              <w:rPr>
                <w:b/>
              </w:rPr>
              <w:t xml:space="preserve"> </w:t>
            </w:r>
            <w:r w:rsidRPr="00DF1884">
              <w:rPr>
                <w:b/>
              </w:rPr>
              <w:t>BS</w:t>
            </w:r>
            <w:r w:rsidRPr="00DF1884">
              <w:rPr>
                <w:b/>
              </w:rPr>
              <w:br/>
            </w:r>
            <w:r w:rsidRPr="00DF1884">
              <w:t>American</w:t>
            </w:r>
            <w:r w:rsidR="00DF1884" w:rsidRPr="00DF1884">
              <w:t xml:space="preserve"> </w:t>
            </w:r>
            <w:r w:rsidRPr="00DF1884">
              <w:t>Medical</w:t>
            </w:r>
            <w:r w:rsidR="00DF1884" w:rsidRPr="00DF1884">
              <w:t xml:space="preserve"> </w:t>
            </w:r>
            <w:r w:rsidRPr="00DF1884">
              <w:t>Association</w:t>
            </w:r>
          </w:p>
          <w:p w14:paraId="297D584E" w14:textId="14E0F5E5" w:rsidR="00463667" w:rsidRPr="00DF1884" w:rsidRDefault="00463667" w:rsidP="00C56CA6">
            <w:pPr>
              <w:pStyle w:val="Body"/>
            </w:pPr>
            <w:r w:rsidRPr="00DF1884">
              <w:rPr>
                <w:b/>
              </w:rPr>
              <w:t>Patience</w:t>
            </w:r>
            <w:r w:rsidR="00DF1884" w:rsidRPr="00DF1884">
              <w:rPr>
                <w:b/>
              </w:rPr>
              <w:t xml:space="preserve"> </w:t>
            </w:r>
            <w:r w:rsidRPr="00DF1884">
              <w:rPr>
                <w:b/>
              </w:rPr>
              <w:t>Hoag,</w:t>
            </w:r>
            <w:r w:rsidR="00DF1884" w:rsidRPr="00DF1884">
              <w:rPr>
                <w:b/>
              </w:rPr>
              <w:t xml:space="preserve"> </w:t>
            </w:r>
            <w:r w:rsidRPr="00DF1884">
              <w:rPr>
                <w:b/>
              </w:rPr>
              <w:t>RHIT,</w:t>
            </w:r>
            <w:r w:rsidR="00DF1884" w:rsidRPr="00DF1884">
              <w:rPr>
                <w:b/>
              </w:rPr>
              <w:t xml:space="preserve"> </w:t>
            </w:r>
            <w:r w:rsidRPr="00DF1884">
              <w:rPr>
                <w:b/>
              </w:rPr>
              <w:t>CHCA,</w:t>
            </w:r>
            <w:r w:rsidR="00DF1884" w:rsidRPr="00DF1884">
              <w:rPr>
                <w:b/>
              </w:rPr>
              <w:t xml:space="preserve"> </w:t>
            </w:r>
            <w:r w:rsidRPr="00DF1884">
              <w:rPr>
                <w:b/>
              </w:rPr>
              <w:t>CHDA,</w:t>
            </w:r>
            <w:r w:rsidR="00DF1884" w:rsidRPr="00DF1884">
              <w:rPr>
                <w:b/>
              </w:rPr>
              <w:t xml:space="preserve"> </w:t>
            </w:r>
            <w:r w:rsidRPr="00DF1884">
              <w:rPr>
                <w:b/>
              </w:rPr>
              <w:t>CCS,</w:t>
            </w:r>
            <w:r w:rsidR="00DF1884" w:rsidRPr="00DF1884">
              <w:rPr>
                <w:b/>
              </w:rPr>
              <w:t xml:space="preserve"> </w:t>
            </w:r>
            <w:r w:rsidRPr="00DF1884">
              <w:rPr>
                <w:b/>
              </w:rPr>
              <w:t>CCS-P,</w:t>
            </w:r>
            <w:r w:rsidR="00DF1884" w:rsidRPr="00DF1884">
              <w:rPr>
                <w:b/>
              </w:rPr>
              <w:t xml:space="preserve"> </w:t>
            </w:r>
            <w:r w:rsidRPr="00DF1884">
              <w:rPr>
                <w:b/>
              </w:rPr>
              <w:t>CDIP,</w:t>
            </w:r>
            <w:r w:rsidR="00DF1884" w:rsidRPr="00DF1884">
              <w:rPr>
                <w:b/>
              </w:rPr>
              <w:t xml:space="preserve"> </w:t>
            </w:r>
            <w:r w:rsidRPr="00DF1884">
              <w:rPr>
                <w:b/>
              </w:rPr>
              <w:t>CHTS-CP,</w:t>
            </w:r>
            <w:r w:rsidR="00DF1884" w:rsidRPr="00DF1884">
              <w:rPr>
                <w:b/>
              </w:rPr>
              <w:t xml:space="preserve"> </w:t>
            </w:r>
            <w:r w:rsidRPr="00DF1884">
              <w:rPr>
                <w:b/>
              </w:rPr>
              <w:t>CPHQ</w:t>
            </w:r>
          </w:p>
          <w:p w14:paraId="48B18000" w14:textId="5A03BCDD" w:rsidR="00463667" w:rsidRPr="00DF1884" w:rsidRDefault="00463667" w:rsidP="00C56CA6">
            <w:pPr>
              <w:pStyle w:val="Body"/>
              <w:spacing w:before="0"/>
            </w:pPr>
            <w:r w:rsidRPr="00DF1884">
              <w:t>Aqurate</w:t>
            </w:r>
            <w:r w:rsidR="00DF1884" w:rsidRPr="00DF1884">
              <w:t xml:space="preserve"> </w:t>
            </w:r>
            <w:r w:rsidRPr="00DF1884">
              <w:t>Health</w:t>
            </w:r>
            <w:r w:rsidR="00DF1884" w:rsidRPr="00DF1884">
              <w:t xml:space="preserve"> </w:t>
            </w:r>
            <w:r w:rsidRPr="00DF1884">
              <w:t>Data</w:t>
            </w:r>
            <w:r w:rsidR="00DF1884" w:rsidRPr="00DF1884">
              <w:t xml:space="preserve"> </w:t>
            </w:r>
            <w:r w:rsidRPr="00DF1884">
              <w:t>Management,</w:t>
            </w:r>
            <w:r w:rsidR="00DF1884" w:rsidRPr="00DF1884">
              <w:t xml:space="preserve"> </w:t>
            </w:r>
            <w:r w:rsidRPr="00DF1884">
              <w:t>Inc.</w:t>
            </w:r>
          </w:p>
          <w:p w14:paraId="0B0D8D81" w14:textId="77777777" w:rsidR="00463667" w:rsidRDefault="00463667" w:rsidP="00C56CA6">
            <w:pPr>
              <w:pStyle w:val="Body"/>
            </w:pPr>
            <w:r w:rsidRPr="00DF1884">
              <w:rPr>
                <w:b/>
              </w:rPr>
              <w:t>Elonia</w:t>
            </w:r>
            <w:r w:rsidR="00DF1884" w:rsidRPr="00DF1884">
              <w:rPr>
                <w:b/>
              </w:rPr>
              <w:t xml:space="preserve"> </w:t>
            </w:r>
            <w:r w:rsidRPr="00DF1884">
              <w:rPr>
                <w:b/>
              </w:rPr>
              <w:t>Griffin,</w:t>
            </w:r>
            <w:r w:rsidR="00DF1884" w:rsidRPr="00DF1884">
              <w:rPr>
                <w:b/>
              </w:rPr>
              <w:t xml:space="preserve"> </w:t>
            </w:r>
            <w:r w:rsidRPr="00DF1884">
              <w:rPr>
                <w:b/>
              </w:rPr>
              <w:t>RN,</w:t>
            </w:r>
            <w:r w:rsidR="00DF1884" w:rsidRPr="00DF1884">
              <w:rPr>
                <w:b/>
              </w:rPr>
              <w:t xml:space="preserve"> </w:t>
            </w:r>
            <w:r w:rsidRPr="00DF1884">
              <w:rPr>
                <w:b/>
              </w:rPr>
              <w:t>BSN</w:t>
            </w:r>
            <w:r w:rsidRPr="00DF1884">
              <w:rPr>
                <w:b/>
              </w:rPr>
              <w:br/>
            </w:r>
            <w:r w:rsidRPr="00DF1884">
              <w:t>CareSource</w:t>
            </w:r>
          </w:p>
          <w:p w14:paraId="5C886DC5" w14:textId="4227154C" w:rsidR="00601EC1" w:rsidRPr="00DF1884" w:rsidRDefault="00601EC1" w:rsidP="00601EC1">
            <w:pPr>
              <w:pStyle w:val="Body"/>
            </w:pPr>
            <w:r w:rsidRPr="00DF1884">
              <w:rPr>
                <w:b/>
              </w:rPr>
              <w:t xml:space="preserve">Nelly Leon-Chisen, RHIA </w:t>
            </w:r>
            <w:r w:rsidRPr="00DF1884">
              <w:rPr>
                <w:b/>
              </w:rPr>
              <w:br/>
            </w:r>
            <w:r w:rsidRPr="00DF1884">
              <w:t>American Hospital Association</w:t>
            </w:r>
          </w:p>
        </w:tc>
        <w:tc>
          <w:tcPr>
            <w:tcW w:w="4884" w:type="dxa"/>
            <w:tcBorders>
              <w:bottom w:val="nil"/>
            </w:tcBorders>
          </w:tcPr>
          <w:p w14:paraId="1382F3BE" w14:textId="4FC0C1AA" w:rsidR="00920F1E" w:rsidRPr="00DF1884" w:rsidRDefault="00920F1E" w:rsidP="00920F1E">
            <w:pPr>
              <w:pStyle w:val="Body"/>
            </w:pPr>
            <w:r w:rsidRPr="00DF1884">
              <w:rPr>
                <w:b/>
              </w:rPr>
              <w:t>Alec</w:t>
            </w:r>
            <w:r w:rsidR="00DF1884" w:rsidRPr="00DF1884">
              <w:rPr>
                <w:b/>
              </w:rPr>
              <w:t xml:space="preserve"> </w:t>
            </w:r>
            <w:r w:rsidRPr="00DF1884">
              <w:rPr>
                <w:b/>
              </w:rPr>
              <w:t>McLure,</w:t>
            </w:r>
            <w:r w:rsidR="00DF1884" w:rsidRPr="00DF1884">
              <w:rPr>
                <w:b/>
              </w:rPr>
              <w:t xml:space="preserve"> </w:t>
            </w:r>
            <w:r w:rsidRPr="00DF1884">
              <w:rPr>
                <w:b/>
              </w:rPr>
              <w:t>MPH,</w:t>
            </w:r>
            <w:r w:rsidR="00DF1884" w:rsidRPr="00DF1884">
              <w:rPr>
                <w:b/>
              </w:rPr>
              <w:t xml:space="preserve"> </w:t>
            </w:r>
            <w:r w:rsidRPr="00DF1884">
              <w:rPr>
                <w:b/>
              </w:rPr>
              <w:t>RHIA,</w:t>
            </w:r>
            <w:r w:rsidR="00DF1884" w:rsidRPr="00DF1884">
              <w:rPr>
                <w:b/>
              </w:rPr>
              <w:t xml:space="preserve"> </w:t>
            </w:r>
            <w:r w:rsidRPr="00DF1884">
              <w:rPr>
                <w:b/>
              </w:rPr>
              <w:t>CCS-P</w:t>
            </w:r>
            <w:r w:rsidRPr="00DF1884">
              <w:rPr>
                <w:b/>
              </w:rPr>
              <w:br/>
            </w:r>
            <w:r w:rsidRPr="00DF1884">
              <w:t>Verisk</w:t>
            </w:r>
            <w:r w:rsidR="00DF1884" w:rsidRPr="00DF1884">
              <w:t xml:space="preserve"> </w:t>
            </w:r>
            <w:r w:rsidRPr="00DF1884">
              <w:t>Health</w:t>
            </w:r>
          </w:p>
          <w:p w14:paraId="76C9D899" w14:textId="06A8DBE2" w:rsidR="00463667" w:rsidRPr="00DF1884" w:rsidRDefault="00463667" w:rsidP="00C56CA6">
            <w:pPr>
              <w:pStyle w:val="Body"/>
            </w:pPr>
            <w:r w:rsidRPr="00DF1884">
              <w:rPr>
                <w:b/>
              </w:rPr>
              <w:t>Tammy</w:t>
            </w:r>
            <w:r w:rsidR="00DF1884" w:rsidRPr="00DF1884">
              <w:rPr>
                <w:b/>
              </w:rPr>
              <w:t xml:space="preserve"> </w:t>
            </w:r>
            <w:r w:rsidRPr="00DF1884">
              <w:rPr>
                <w:b/>
              </w:rPr>
              <w:t>Marshall,</w:t>
            </w:r>
            <w:r w:rsidR="00DF1884" w:rsidRPr="00DF1884">
              <w:rPr>
                <w:b/>
              </w:rPr>
              <w:t xml:space="preserve"> </w:t>
            </w:r>
            <w:r w:rsidRPr="00DF1884">
              <w:rPr>
                <w:b/>
              </w:rPr>
              <w:t>LVN</w:t>
            </w:r>
            <w:r w:rsidRPr="00DF1884">
              <w:rPr>
                <w:b/>
              </w:rPr>
              <w:br/>
            </w:r>
            <w:r w:rsidRPr="00DF1884">
              <w:t>Aetna</w:t>
            </w:r>
          </w:p>
          <w:p w14:paraId="38874AD0" w14:textId="1E399763" w:rsidR="00463667" w:rsidRPr="00DF1884" w:rsidRDefault="00463667" w:rsidP="00C56CA6">
            <w:pPr>
              <w:pStyle w:val="Body"/>
            </w:pPr>
            <w:r w:rsidRPr="00DF1884">
              <w:rPr>
                <w:b/>
              </w:rPr>
              <w:t>Michele</w:t>
            </w:r>
            <w:r w:rsidR="00DF1884" w:rsidRPr="00DF1884">
              <w:rPr>
                <w:b/>
              </w:rPr>
              <w:t xml:space="preserve"> </w:t>
            </w:r>
            <w:r w:rsidRPr="00DF1884">
              <w:rPr>
                <w:b/>
              </w:rPr>
              <w:t>Mouradian,</w:t>
            </w:r>
            <w:r w:rsidR="00DF1884" w:rsidRPr="00DF1884">
              <w:rPr>
                <w:b/>
              </w:rPr>
              <w:t xml:space="preserve"> </w:t>
            </w:r>
            <w:r w:rsidRPr="00DF1884">
              <w:rPr>
                <w:b/>
              </w:rPr>
              <w:t>RN,</w:t>
            </w:r>
            <w:r w:rsidR="00DF1884" w:rsidRPr="00DF1884">
              <w:rPr>
                <w:b/>
              </w:rPr>
              <w:t xml:space="preserve"> </w:t>
            </w:r>
            <w:r w:rsidRPr="00DF1884">
              <w:rPr>
                <w:b/>
              </w:rPr>
              <w:t>BSN</w:t>
            </w:r>
            <w:r w:rsidRPr="00DF1884">
              <w:rPr>
                <w:b/>
              </w:rPr>
              <w:br/>
            </w:r>
            <w:r w:rsidRPr="00DF1884">
              <w:t>McKesson</w:t>
            </w:r>
            <w:r w:rsidR="00DF1884" w:rsidRPr="00DF1884">
              <w:t xml:space="preserve"> </w:t>
            </w:r>
            <w:r w:rsidRPr="00DF1884">
              <w:t>Corporation</w:t>
            </w:r>
            <w:r w:rsidR="00DF1884" w:rsidRPr="00DF1884">
              <w:t xml:space="preserve"> </w:t>
            </w:r>
          </w:p>
          <w:p w14:paraId="394DD053" w14:textId="553CCAFD" w:rsidR="00463667" w:rsidRPr="00DF1884" w:rsidRDefault="00463667" w:rsidP="00C56CA6">
            <w:pPr>
              <w:pStyle w:val="Body"/>
            </w:pPr>
            <w:r w:rsidRPr="00DF1884">
              <w:rPr>
                <w:b/>
              </w:rPr>
              <w:t>Craig</w:t>
            </w:r>
            <w:r w:rsidR="00DF1884" w:rsidRPr="00DF1884">
              <w:rPr>
                <w:b/>
              </w:rPr>
              <w:t xml:space="preserve"> </w:t>
            </w:r>
            <w:r w:rsidRPr="00DF1884">
              <w:rPr>
                <w:b/>
              </w:rPr>
              <w:t>Thacker,</w:t>
            </w:r>
            <w:r w:rsidR="00DF1884" w:rsidRPr="00DF1884">
              <w:rPr>
                <w:b/>
              </w:rPr>
              <w:t xml:space="preserve"> </w:t>
            </w:r>
            <w:r w:rsidRPr="00DF1884">
              <w:rPr>
                <w:b/>
              </w:rPr>
              <w:t>RN</w:t>
            </w:r>
            <w:r w:rsidRPr="00DF1884">
              <w:rPr>
                <w:b/>
              </w:rPr>
              <w:br/>
            </w:r>
            <w:r w:rsidRPr="00DF1884">
              <w:t>Cigna</w:t>
            </w:r>
          </w:p>
          <w:p w14:paraId="793DD3EB" w14:textId="21DF8267" w:rsidR="00463667" w:rsidRPr="00DF1884" w:rsidRDefault="00463667" w:rsidP="00C56CA6">
            <w:pPr>
              <w:pStyle w:val="Body"/>
            </w:pPr>
            <w:r w:rsidRPr="00DF1884">
              <w:rPr>
                <w:b/>
              </w:rPr>
              <w:t>Mary</w:t>
            </w:r>
            <w:r w:rsidR="00DF1884" w:rsidRPr="00DF1884">
              <w:rPr>
                <w:b/>
              </w:rPr>
              <w:t xml:space="preserve"> </w:t>
            </w:r>
            <w:r w:rsidRPr="00DF1884">
              <w:rPr>
                <w:b/>
              </w:rPr>
              <w:t>Jane</w:t>
            </w:r>
            <w:r w:rsidR="00DF1884" w:rsidRPr="00DF1884">
              <w:rPr>
                <w:b/>
              </w:rPr>
              <w:t xml:space="preserve"> </w:t>
            </w:r>
            <w:r w:rsidRPr="00DF1884">
              <w:rPr>
                <w:b/>
              </w:rPr>
              <w:t>Toomey,</w:t>
            </w:r>
            <w:r w:rsidR="00DF1884" w:rsidRPr="00DF1884">
              <w:rPr>
                <w:b/>
              </w:rPr>
              <w:t xml:space="preserve"> </w:t>
            </w:r>
            <w:r w:rsidRPr="00DF1884">
              <w:rPr>
                <w:b/>
              </w:rPr>
              <w:t>RN,</w:t>
            </w:r>
            <w:r w:rsidR="00DF1884" w:rsidRPr="00DF1884">
              <w:rPr>
                <w:b/>
              </w:rPr>
              <w:t xml:space="preserve"> </w:t>
            </w:r>
            <w:r w:rsidRPr="00DF1884">
              <w:rPr>
                <w:b/>
              </w:rPr>
              <w:t>CPC</w:t>
            </w:r>
            <w:r w:rsidRPr="00DF1884">
              <w:rPr>
                <w:b/>
              </w:rPr>
              <w:br/>
            </w:r>
            <w:r w:rsidRPr="00DF1884">
              <w:t>WellCare</w:t>
            </w:r>
            <w:r w:rsidR="00DF1884" w:rsidRPr="00DF1884">
              <w:t xml:space="preserve"> </w:t>
            </w:r>
            <w:r w:rsidRPr="00DF1884">
              <w:t>Health</w:t>
            </w:r>
            <w:r w:rsidR="00DF1884" w:rsidRPr="00DF1884">
              <w:t xml:space="preserve"> </w:t>
            </w:r>
            <w:r w:rsidRPr="00DF1884">
              <w:t>Plans,</w:t>
            </w:r>
            <w:r w:rsidR="00DF1884" w:rsidRPr="00DF1884">
              <w:t xml:space="preserve"> </w:t>
            </w:r>
            <w:r w:rsidRPr="00DF1884">
              <w:t>Inc.</w:t>
            </w:r>
          </w:p>
        </w:tc>
      </w:tr>
    </w:tbl>
    <w:p w14:paraId="678FBA3C" w14:textId="2CF3AED1" w:rsidR="00463667" w:rsidRPr="00DF1884" w:rsidRDefault="00463667" w:rsidP="00202CAE">
      <w:pPr>
        <w:pStyle w:val="ReverseHead"/>
      </w:pPr>
      <w:r w:rsidRPr="00DF1884">
        <w:t>HEDIS</w:t>
      </w:r>
      <w:r w:rsidR="00DF1884" w:rsidRPr="00DF1884">
        <w:t xml:space="preserve"> </w:t>
      </w:r>
      <w:r w:rsidRPr="00DF1884">
        <w:t>Expert</w:t>
      </w:r>
      <w:r w:rsidR="00DF1884" w:rsidRPr="00DF1884">
        <w:t xml:space="preserve"> </w:t>
      </w:r>
      <w:r w:rsidRPr="00DF1884">
        <w:t>Laboratory</w:t>
      </w:r>
      <w:r w:rsidR="00DF1884" w:rsidRPr="00DF1884">
        <w:t xml:space="preserve"> </w:t>
      </w:r>
      <w:r w:rsidRPr="00DF1884">
        <w:t>Panel</w:t>
      </w:r>
    </w:p>
    <w:tbl>
      <w:tblPr>
        <w:tblW w:w="0" w:type="auto"/>
        <w:tblLayout w:type="fixed"/>
        <w:tblLook w:val="0000" w:firstRow="0" w:lastRow="0" w:firstColumn="0" w:lastColumn="0" w:noHBand="0" w:noVBand="0"/>
      </w:tblPr>
      <w:tblGrid>
        <w:gridCol w:w="4944"/>
        <w:gridCol w:w="4884"/>
      </w:tblGrid>
      <w:tr w:rsidR="00463667" w:rsidRPr="00DF1884" w14:paraId="13ED5A3F" w14:textId="77777777" w:rsidTr="00C56CA6">
        <w:tc>
          <w:tcPr>
            <w:tcW w:w="4944" w:type="dxa"/>
          </w:tcPr>
          <w:p w14:paraId="0FE86D03" w14:textId="58AE6908" w:rsidR="00463667" w:rsidRPr="00DF1884" w:rsidRDefault="00463667" w:rsidP="00C56CA6">
            <w:pPr>
              <w:pStyle w:val="Body"/>
            </w:pPr>
            <w:r w:rsidRPr="00DF1884">
              <w:rPr>
                <w:b/>
              </w:rPr>
              <w:t>Gary</w:t>
            </w:r>
            <w:r w:rsidR="00DF1884" w:rsidRPr="00DF1884">
              <w:rPr>
                <w:b/>
              </w:rPr>
              <w:t xml:space="preserve"> </w:t>
            </w:r>
            <w:r w:rsidRPr="00DF1884">
              <w:rPr>
                <w:b/>
              </w:rPr>
              <w:t>Assarian,</w:t>
            </w:r>
            <w:r w:rsidR="00DF1884" w:rsidRPr="00DF1884">
              <w:rPr>
                <w:b/>
              </w:rPr>
              <w:t xml:space="preserve"> </w:t>
            </w:r>
            <w:r w:rsidRPr="00DF1884">
              <w:rPr>
                <w:b/>
              </w:rPr>
              <w:t>DO</w:t>
            </w:r>
            <w:r w:rsidRPr="00DF1884">
              <w:rPr>
                <w:b/>
              </w:rPr>
              <w:br/>
            </w:r>
            <w:r w:rsidRPr="00DF1884">
              <w:t>Joint</w:t>
            </w:r>
            <w:r w:rsidR="00DF1884" w:rsidRPr="00DF1884">
              <w:t xml:space="preserve"> </w:t>
            </w:r>
            <w:r w:rsidRPr="00DF1884">
              <w:t>Venture</w:t>
            </w:r>
            <w:r w:rsidR="00DF1884" w:rsidRPr="00DF1884">
              <w:t xml:space="preserve"> </w:t>
            </w:r>
            <w:r w:rsidRPr="00DF1884">
              <w:t>Hospital</w:t>
            </w:r>
          </w:p>
          <w:p w14:paraId="62AABE11" w14:textId="04781EB5" w:rsidR="00463667" w:rsidRPr="00DF1884" w:rsidRDefault="00463667" w:rsidP="00C56CA6">
            <w:pPr>
              <w:pStyle w:val="Body"/>
              <w:rPr>
                <w:b/>
              </w:rPr>
            </w:pPr>
            <w:r w:rsidRPr="00DF1884">
              <w:rPr>
                <w:b/>
              </w:rPr>
              <w:t>Pamela</w:t>
            </w:r>
            <w:r w:rsidR="00DF1884" w:rsidRPr="00DF1884">
              <w:rPr>
                <w:b/>
              </w:rPr>
              <w:t xml:space="preserve"> </w:t>
            </w:r>
            <w:r w:rsidRPr="00DF1884">
              <w:rPr>
                <w:b/>
              </w:rPr>
              <w:t>Banning,</w:t>
            </w:r>
            <w:r w:rsidR="00DF1884" w:rsidRPr="00DF1884">
              <w:rPr>
                <w:b/>
              </w:rPr>
              <w:t xml:space="preserve"> </w:t>
            </w:r>
            <w:r w:rsidRPr="00DF1884">
              <w:rPr>
                <w:b/>
              </w:rPr>
              <w:t>MT</w:t>
            </w:r>
            <w:r w:rsidR="00DF1884" w:rsidRPr="00DF1884">
              <w:rPr>
                <w:b/>
              </w:rPr>
              <w:t xml:space="preserve"> </w:t>
            </w:r>
            <w:r w:rsidRPr="00DF1884">
              <w:rPr>
                <w:b/>
              </w:rPr>
              <w:t>(ASCP)</w:t>
            </w:r>
            <w:r w:rsidRPr="00DF1884">
              <w:rPr>
                <w:b/>
              </w:rPr>
              <w:br/>
            </w:r>
            <w:r w:rsidRPr="00DF1884">
              <w:t>3M</w:t>
            </w:r>
            <w:r w:rsidR="00DF1884" w:rsidRPr="00DF1884">
              <w:t xml:space="preserve"> </w:t>
            </w:r>
            <w:r w:rsidRPr="00DF1884">
              <w:t>Health</w:t>
            </w:r>
            <w:r w:rsidR="00DF1884" w:rsidRPr="00DF1884">
              <w:t xml:space="preserve"> </w:t>
            </w:r>
            <w:r w:rsidRPr="00DF1884">
              <w:t>Information</w:t>
            </w:r>
            <w:r w:rsidR="00DF1884" w:rsidRPr="00DF1884">
              <w:t xml:space="preserve"> </w:t>
            </w:r>
            <w:r w:rsidRPr="00DF1884">
              <w:t>Systems</w:t>
            </w:r>
          </w:p>
          <w:p w14:paraId="4B4A71EF" w14:textId="25BF7FA8" w:rsidR="00463667" w:rsidRPr="00DF1884" w:rsidRDefault="00463667" w:rsidP="00C56CA6">
            <w:pPr>
              <w:pStyle w:val="Body"/>
            </w:pPr>
            <w:r w:rsidRPr="00DF1884">
              <w:rPr>
                <w:b/>
              </w:rPr>
              <w:t>Ann</w:t>
            </w:r>
            <w:r w:rsidR="00DF1884" w:rsidRPr="00DF1884">
              <w:rPr>
                <w:b/>
              </w:rPr>
              <w:t xml:space="preserve"> </w:t>
            </w:r>
            <w:r w:rsidRPr="00DF1884">
              <w:rPr>
                <w:b/>
              </w:rPr>
              <w:t>Maddo,</w:t>
            </w:r>
            <w:r w:rsidR="00DF1884" w:rsidRPr="00DF1884">
              <w:rPr>
                <w:b/>
              </w:rPr>
              <w:t xml:space="preserve"> </w:t>
            </w:r>
            <w:r w:rsidRPr="00DF1884">
              <w:rPr>
                <w:b/>
              </w:rPr>
              <w:t>MT</w:t>
            </w:r>
            <w:r w:rsidR="00DF1884" w:rsidRPr="00DF1884">
              <w:rPr>
                <w:b/>
              </w:rPr>
              <w:t xml:space="preserve"> </w:t>
            </w:r>
            <w:r w:rsidRPr="00DF1884">
              <w:rPr>
                <w:b/>
              </w:rPr>
              <w:t>(ASCP)</w:t>
            </w:r>
            <w:r w:rsidRPr="00DF1884">
              <w:br/>
              <w:t>Quest</w:t>
            </w:r>
            <w:r w:rsidR="00DF1884" w:rsidRPr="00DF1884">
              <w:t xml:space="preserve"> </w:t>
            </w:r>
            <w:r w:rsidRPr="00DF1884">
              <w:t>Diagnostics</w:t>
            </w:r>
            <w:r w:rsidR="00DF1884" w:rsidRPr="00DF1884">
              <w:t xml:space="preserve"> </w:t>
            </w:r>
            <w:r w:rsidRPr="00DF1884">
              <w:t>Incorporated</w:t>
            </w:r>
          </w:p>
          <w:p w14:paraId="0201BCEA" w14:textId="12CE9468" w:rsidR="00463667" w:rsidRPr="00DF1884" w:rsidRDefault="00463667" w:rsidP="00C56CA6">
            <w:pPr>
              <w:pStyle w:val="Body"/>
            </w:pPr>
            <w:r w:rsidRPr="00DF1884">
              <w:rPr>
                <w:b/>
              </w:rPr>
              <w:t>Patricia</w:t>
            </w:r>
            <w:r w:rsidR="00DF1884" w:rsidRPr="00DF1884">
              <w:rPr>
                <w:b/>
              </w:rPr>
              <w:t xml:space="preserve"> </w:t>
            </w:r>
            <w:r w:rsidRPr="00DF1884">
              <w:rPr>
                <w:b/>
              </w:rPr>
              <w:t>McDermott,</w:t>
            </w:r>
            <w:r w:rsidR="00DF1884" w:rsidRPr="00DF1884">
              <w:rPr>
                <w:b/>
              </w:rPr>
              <w:t xml:space="preserve"> </w:t>
            </w:r>
            <w:r w:rsidRPr="00DF1884">
              <w:rPr>
                <w:b/>
              </w:rPr>
              <w:t>RN</w:t>
            </w:r>
            <w:r w:rsidRPr="00DF1884">
              <w:rPr>
                <w:b/>
              </w:rPr>
              <w:br/>
            </w:r>
            <w:r w:rsidRPr="00DF1884">
              <w:t>Aetna</w:t>
            </w:r>
            <w:r w:rsidR="00DF1884" w:rsidRPr="00DF1884">
              <w:t xml:space="preserve"> </w:t>
            </w:r>
          </w:p>
          <w:p w14:paraId="17B8FD61" w14:textId="29F61734" w:rsidR="00463667" w:rsidRPr="00DF1884" w:rsidRDefault="00463667" w:rsidP="00C56CA6">
            <w:pPr>
              <w:pStyle w:val="Body"/>
              <w:rPr>
                <w:b/>
              </w:rPr>
            </w:pPr>
            <w:r w:rsidRPr="00DF1884">
              <w:rPr>
                <w:b/>
              </w:rPr>
              <w:t>Jamalynne</w:t>
            </w:r>
            <w:r w:rsidR="00DF1884" w:rsidRPr="00DF1884">
              <w:rPr>
                <w:b/>
              </w:rPr>
              <w:t xml:space="preserve"> </w:t>
            </w:r>
            <w:r w:rsidRPr="00DF1884">
              <w:rPr>
                <w:b/>
              </w:rPr>
              <w:t>Deckard,</w:t>
            </w:r>
            <w:r w:rsidR="00DF1884" w:rsidRPr="00DF1884">
              <w:rPr>
                <w:b/>
              </w:rPr>
              <w:t xml:space="preserve"> </w:t>
            </w:r>
            <w:r w:rsidRPr="00DF1884">
              <w:rPr>
                <w:b/>
              </w:rPr>
              <w:t>MS</w:t>
            </w:r>
            <w:r w:rsidRPr="00DF1884">
              <w:rPr>
                <w:b/>
              </w:rPr>
              <w:br/>
            </w:r>
            <w:r w:rsidRPr="00DF1884">
              <w:t>Regenstrief</w:t>
            </w:r>
            <w:r w:rsidR="00DF1884" w:rsidRPr="00DF1884">
              <w:t xml:space="preserve"> </w:t>
            </w:r>
            <w:r w:rsidRPr="00DF1884">
              <w:t>Institute,</w:t>
            </w:r>
            <w:r w:rsidR="00DF1884" w:rsidRPr="00DF1884">
              <w:t xml:space="preserve"> </w:t>
            </w:r>
            <w:r w:rsidRPr="00DF1884">
              <w:t>Inc.</w:t>
            </w:r>
          </w:p>
        </w:tc>
        <w:tc>
          <w:tcPr>
            <w:tcW w:w="4884" w:type="dxa"/>
          </w:tcPr>
          <w:p w14:paraId="2EDD37B3" w14:textId="133CAA14" w:rsidR="00463667" w:rsidRPr="00DF1884" w:rsidRDefault="00463667" w:rsidP="00C56CA6">
            <w:pPr>
              <w:pStyle w:val="Body"/>
              <w:rPr>
                <w:b/>
              </w:rPr>
            </w:pPr>
            <w:r w:rsidRPr="00DF1884">
              <w:rPr>
                <w:rFonts w:cs="Arial"/>
                <w:b/>
                <w:szCs w:val="20"/>
              </w:rPr>
              <w:t>Darryl</w:t>
            </w:r>
            <w:r w:rsidR="00DF1884" w:rsidRPr="00DF1884">
              <w:rPr>
                <w:rFonts w:cs="Arial"/>
                <w:b/>
                <w:szCs w:val="20"/>
              </w:rPr>
              <w:t xml:space="preserve"> </w:t>
            </w:r>
            <w:r w:rsidRPr="00DF1884">
              <w:rPr>
                <w:rFonts w:cs="Arial"/>
                <w:b/>
                <w:szCs w:val="20"/>
              </w:rPr>
              <w:t>Palmer-Toy,</w:t>
            </w:r>
            <w:r w:rsidR="00DF1884" w:rsidRPr="00DF1884">
              <w:rPr>
                <w:rFonts w:cs="Arial"/>
                <w:b/>
                <w:szCs w:val="20"/>
              </w:rPr>
              <w:t xml:space="preserve"> </w:t>
            </w:r>
            <w:r w:rsidRPr="00DF1884">
              <w:rPr>
                <w:rFonts w:cs="Arial"/>
                <w:b/>
                <w:szCs w:val="20"/>
              </w:rPr>
              <w:t>MD,</w:t>
            </w:r>
            <w:r w:rsidR="00DF1884" w:rsidRPr="00DF1884">
              <w:rPr>
                <w:rFonts w:cs="Arial"/>
                <w:b/>
                <w:szCs w:val="20"/>
              </w:rPr>
              <w:t xml:space="preserve"> </w:t>
            </w:r>
            <w:r w:rsidRPr="00DF1884">
              <w:rPr>
                <w:rFonts w:cs="Arial"/>
                <w:b/>
                <w:szCs w:val="20"/>
              </w:rPr>
              <w:t>PhD</w:t>
            </w:r>
            <w:r w:rsidRPr="00DF1884">
              <w:rPr>
                <w:rFonts w:cs="Arial"/>
                <w:szCs w:val="20"/>
              </w:rPr>
              <w:br/>
              <w:t>Southern</w:t>
            </w:r>
            <w:r w:rsidR="00DF1884" w:rsidRPr="00DF1884">
              <w:rPr>
                <w:rFonts w:cs="Arial"/>
                <w:szCs w:val="20"/>
              </w:rPr>
              <w:t xml:space="preserve"> </w:t>
            </w:r>
            <w:r w:rsidRPr="00DF1884">
              <w:rPr>
                <w:rFonts w:cs="Arial"/>
                <w:szCs w:val="20"/>
              </w:rPr>
              <w:t>California</w:t>
            </w:r>
            <w:r w:rsidR="00DF1884" w:rsidRPr="00DF1884">
              <w:rPr>
                <w:rFonts w:cs="Arial"/>
                <w:szCs w:val="20"/>
              </w:rPr>
              <w:t xml:space="preserve"> </w:t>
            </w:r>
            <w:r w:rsidRPr="00DF1884">
              <w:rPr>
                <w:rFonts w:cs="Arial"/>
                <w:szCs w:val="20"/>
              </w:rPr>
              <w:t>Permanente</w:t>
            </w:r>
            <w:r w:rsidR="00DF1884" w:rsidRPr="00DF1884">
              <w:rPr>
                <w:rFonts w:cs="Arial"/>
                <w:szCs w:val="20"/>
              </w:rPr>
              <w:t xml:space="preserve"> </w:t>
            </w:r>
            <w:r w:rsidRPr="00DF1884">
              <w:rPr>
                <w:rFonts w:cs="Arial"/>
                <w:szCs w:val="20"/>
              </w:rPr>
              <w:t>Medical</w:t>
            </w:r>
            <w:r w:rsidR="00DF1884" w:rsidRPr="00DF1884">
              <w:rPr>
                <w:rFonts w:cs="Arial"/>
                <w:szCs w:val="20"/>
              </w:rPr>
              <w:t xml:space="preserve"> </w:t>
            </w:r>
            <w:r w:rsidRPr="00DF1884">
              <w:rPr>
                <w:rFonts w:cs="Arial"/>
                <w:szCs w:val="20"/>
              </w:rPr>
              <w:t>Group</w:t>
            </w:r>
          </w:p>
          <w:p w14:paraId="77AEA71D" w14:textId="3BF4A268" w:rsidR="00463667" w:rsidRPr="00DF1884" w:rsidRDefault="00463667" w:rsidP="00C56CA6">
            <w:pPr>
              <w:pStyle w:val="Body"/>
            </w:pPr>
            <w:r w:rsidRPr="00DF1884">
              <w:rPr>
                <w:b/>
              </w:rPr>
              <w:t>Barbara</w:t>
            </w:r>
            <w:r w:rsidR="00DF1884" w:rsidRPr="00DF1884">
              <w:rPr>
                <w:b/>
              </w:rPr>
              <w:t xml:space="preserve"> </w:t>
            </w:r>
            <w:r w:rsidRPr="00DF1884">
              <w:rPr>
                <w:b/>
              </w:rPr>
              <w:t>Panos,</w:t>
            </w:r>
            <w:r w:rsidR="00DF1884" w:rsidRPr="00DF1884">
              <w:rPr>
                <w:b/>
              </w:rPr>
              <w:t xml:space="preserve"> </w:t>
            </w:r>
            <w:r w:rsidRPr="00DF1884">
              <w:rPr>
                <w:b/>
              </w:rPr>
              <w:t>MBA</w:t>
            </w:r>
            <w:r w:rsidRPr="00DF1884">
              <w:rPr>
                <w:b/>
              </w:rPr>
              <w:br/>
            </w:r>
            <w:r w:rsidRPr="00DF1884">
              <w:t>Cigna</w:t>
            </w:r>
            <w:r w:rsidR="00DF1884" w:rsidRPr="00DF1884">
              <w:t xml:space="preserve"> </w:t>
            </w:r>
            <w:r w:rsidRPr="00DF1884">
              <w:t>HealthCare</w:t>
            </w:r>
          </w:p>
          <w:p w14:paraId="05C71D47" w14:textId="2FDC2B61" w:rsidR="00463667" w:rsidRPr="00DF1884" w:rsidRDefault="00463667" w:rsidP="00C56CA6">
            <w:pPr>
              <w:pStyle w:val="Body"/>
              <w:rPr>
                <w:b/>
              </w:rPr>
            </w:pPr>
            <w:r w:rsidRPr="00DF1884">
              <w:rPr>
                <w:b/>
              </w:rPr>
              <w:t>Miranda</w:t>
            </w:r>
            <w:r w:rsidR="00DF1884" w:rsidRPr="00DF1884">
              <w:rPr>
                <w:b/>
              </w:rPr>
              <w:t xml:space="preserve"> </w:t>
            </w:r>
            <w:r w:rsidRPr="00DF1884">
              <w:rPr>
                <w:b/>
              </w:rPr>
              <w:t>Slade</w:t>
            </w:r>
            <w:r w:rsidR="00DF1884" w:rsidRPr="00DF1884">
              <w:rPr>
                <w:b/>
              </w:rPr>
              <w:t xml:space="preserve"> </w:t>
            </w:r>
            <w:r w:rsidRPr="00DF1884">
              <w:rPr>
                <w:b/>
              </w:rPr>
              <w:br/>
            </w:r>
            <w:r w:rsidRPr="00DF1884">
              <w:t>Laboratory</w:t>
            </w:r>
            <w:r w:rsidR="00DF1884" w:rsidRPr="00DF1884">
              <w:t xml:space="preserve"> </w:t>
            </w:r>
            <w:r w:rsidRPr="00DF1884">
              <w:t>Corporation</w:t>
            </w:r>
            <w:r w:rsidR="00DF1884" w:rsidRPr="00DF1884">
              <w:t xml:space="preserve"> </w:t>
            </w:r>
            <w:r w:rsidRPr="00DF1884">
              <w:t>of</w:t>
            </w:r>
            <w:r w:rsidR="00DF1884" w:rsidRPr="00DF1884">
              <w:t xml:space="preserve"> </w:t>
            </w:r>
            <w:r w:rsidRPr="00DF1884">
              <w:t>America</w:t>
            </w:r>
            <w:r w:rsidR="00DF1884" w:rsidRPr="00DF1884">
              <w:t xml:space="preserve"> </w:t>
            </w:r>
            <w:r w:rsidRPr="00DF1884">
              <w:t>(LabCorp)</w:t>
            </w:r>
          </w:p>
          <w:p w14:paraId="42BAD0E9" w14:textId="642E7268" w:rsidR="00463667" w:rsidRPr="00DF1884" w:rsidRDefault="00463667" w:rsidP="00C56CA6">
            <w:pPr>
              <w:pStyle w:val="Body"/>
              <w:rPr>
                <w:b/>
              </w:rPr>
            </w:pPr>
            <w:r w:rsidRPr="00DF1884">
              <w:rPr>
                <w:b/>
              </w:rPr>
              <w:t>Susan</w:t>
            </w:r>
            <w:r w:rsidR="00DF1884" w:rsidRPr="00DF1884">
              <w:rPr>
                <w:b/>
              </w:rPr>
              <w:t xml:space="preserve"> </w:t>
            </w:r>
            <w:r w:rsidRPr="00DF1884">
              <w:rPr>
                <w:b/>
              </w:rPr>
              <w:t>Strouse,</w:t>
            </w:r>
            <w:r w:rsidR="00DF1884" w:rsidRPr="00DF1884">
              <w:rPr>
                <w:b/>
              </w:rPr>
              <w:t xml:space="preserve"> </w:t>
            </w:r>
            <w:r w:rsidRPr="00DF1884">
              <w:rPr>
                <w:b/>
              </w:rPr>
              <w:t>MT</w:t>
            </w:r>
            <w:r w:rsidR="00DF1884" w:rsidRPr="00DF1884">
              <w:rPr>
                <w:b/>
              </w:rPr>
              <w:t xml:space="preserve"> </w:t>
            </w:r>
            <w:r w:rsidRPr="00DF1884">
              <w:rPr>
                <w:b/>
              </w:rPr>
              <w:t>(ASCP)</w:t>
            </w:r>
            <w:r w:rsidRPr="00DF1884">
              <w:rPr>
                <w:b/>
              </w:rPr>
              <w:br/>
            </w:r>
            <w:r w:rsidRPr="00DF1884">
              <w:t>Quest</w:t>
            </w:r>
            <w:r w:rsidR="00DF1884" w:rsidRPr="00DF1884">
              <w:t xml:space="preserve"> </w:t>
            </w:r>
            <w:r w:rsidRPr="00DF1884">
              <w:t>Diagnostics</w:t>
            </w:r>
            <w:r w:rsidR="00DF1884" w:rsidRPr="00DF1884">
              <w:t xml:space="preserve"> </w:t>
            </w:r>
            <w:r w:rsidRPr="00DF1884">
              <w:t>Incorporated</w:t>
            </w:r>
          </w:p>
        </w:tc>
      </w:tr>
    </w:tbl>
    <w:p w14:paraId="13ABE4C0" w14:textId="77777777" w:rsidR="00463667" w:rsidRPr="00DF1884" w:rsidRDefault="00463667" w:rsidP="00463667">
      <w:pPr>
        <w:sectPr w:rsidR="00463667" w:rsidRPr="00DF1884" w:rsidSect="0039781B">
          <w:pgSz w:w="12240" w:h="15840" w:code="1"/>
          <w:pgMar w:top="1080" w:right="1080" w:bottom="1080" w:left="1440" w:header="720" w:footer="720" w:gutter="0"/>
          <w:cols w:space="720"/>
        </w:sectPr>
      </w:pPr>
    </w:p>
    <w:p w14:paraId="447366A0" w14:textId="52CAEDD5" w:rsidR="00463667" w:rsidRPr="00DF1884" w:rsidRDefault="00463667" w:rsidP="00202CAE">
      <w:pPr>
        <w:pStyle w:val="ReverseHead"/>
        <w:spacing w:before="0"/>
      </w:pPr>
      <w:r w:rsidRPr="00DF1884">
        <w:t>HEDIS</w:t>
      </w:r>
      <w:r w:rsidR="00DF1884" w:rsidRPr="00DF1884">
        <w:t xml:space="preserve"> </w:t>
      </w:r>
      <w:r w:rsidRPr="00DF1884">
        <w:t>Expert</w:t>
      </w:r>
      <w:r w:rsidR="00DF1884" w:rsidRPr="00DF1884">
        <w:t xml:space="preserve"> </w:t>
      </w:r>
      <w:r w:rsidRPr="00DF1884">
        <w:t>Pharmacy</w:t>
      </w:r>
      <w:r w:rsidR="00DF1884" w:rsidRPr="00DF1884">
        <w:t xml:space="preserve"> </w:t>
      </w:r>
      <w:r w:rsidRPr="00DF1884">
        <w:t>Panel</w:t>
      </w:r>
    </w:p>
    <w:tbl>
      <w:tblPr>
        <w:tblW w:w="9798" w:type="dxa"/>
        <w:tblInd w:w="30" w:type="dxa"/>
        <w:tblLayout w:type="fixed"/>
        <w:tblLook w:val="0000" w:firstRow="0" w:lastRow="0" w:firstColumn="0" w:lastColumn="0" w:noHBand="0" w:noVBand="0"/>
      </w:tblPr>
      <w:tblGrid>
        <w:gridCol w:w="4848"/>
        <w:gridCol w:w="4950"/>
      </w:tblGrid>
      <w:tr w:rsidR="00463667" w:rsidRPr="00DF1884" w14:paraId="6FD87AAD" w14:textId="77777777" w:rsidTr="00C56CA6">
        <w:trPr>
          <w:cantSplit/>
        </w:trPr>
        <w:tc>
          <w:tcPr>
            <w:tcW w:w="4848" w:type="dxa"/>
          </w:tcPr>
          <w:p w14:paraId="1A34EFE7" w14:textId="668FABA2" w:rsidR="00463667" w:rsidRPr="00DF1884" w:rsidRDefault="00463667" w:rsidP="00C56CA6">
            <w:pPr>
              <w:pStyle w:val="Body"/>
              <w:rPr>
                <w:b/>
              </w:rPr>
            </w:pPr>
            <w:r w:rsidRPr="00DF1884">
              <w:rPr>
                <w:b/>
              </w:rPr>
              <w:t>Linda</w:t>
            </w:r>
            <w:r w:rsidR="00DF1884" w:rsidRPr="00DF1884">
              <w:rPr>
                <w:b/>
              </w:rPr>
              <w:t xml:space="preserve"> </w:t>
            </w:r>
            <w:r w:rsidRPr="00DF1884">
              <w:rPr>
                <w:b/>
              </w:rPr>
              <w:t>DeLaet,</w:t>
            </w:r>
            <w:r w:rsidR="00DF1884" w:rsidRPr="00DF1884">
              <w:rPr>
                <w:b/>
              </w:rPr>
              <w:t xml:space="preserve"> </w:t>
            </w:r>
            <w:r w:rsidRPr="00DF1884">
              <w:rPr>
                <w:b/>
              </w:rPr>
              <w:t>PharmD</w:t>
            </w:r>
            <w:r w:rsidRPr="00DF1884">
              <w:rPr>
                <w:b/>
              </w:rPr>
              <w:br/>
            </w:r>
            <w:r w:rsidRPr="00DF1884">
              <w:t>Kaiser</w:t>
            </w:r>
            <w:r w:rsidR="00DF1884" w:rsidRPr="00DF1884">
              <w:t xml:space="preserve"> </w:t>
            </w:r>
            <w:r w:rsidRPr="00DF1884">
              <w:t>Permanente</w:t>
            </w:r>
            <w:r w:rsidR="00DF1884" w:rsidRPr="00DF1884">
              <w:rPr>
                <w:b/>
              </w:rPr>
              <w:t xml:space="preserve"> </w:t>
            </w:r>
          </w:p>
          <w:p w14:paraId="7BE43A58" w14:textId="0E57249D" w:rsidR="00463667" w:rsidRPr="00DF1884" w:rsidRDefault="00463667" w:rsidP="00C56CA6">
            <w:pPr>
              <w:pStyle w:val="Body"/>
            </w:pPr>
            <w:r w:rsidRPr="00DF1884">
              <w:rPr>
                <w:b/>
              </w:rPr>
              <w:t>Gerry</w:t>
            </w:r>
            <w:r w:rsidR="00DF1884" w:rsidRPr="00DF1884">
              <w:rPr>
                <w:b/>
              </w:rPr>
              <w:t xml:space="preserve"> </w:t>
            </w:r>
            <w:r w:rsidRPr="00DF1884">
              <w:rPr>
                <w:b/>
              </w:rPr>
              <w:t>Hobson,</w:t>
            </w:r>
            <w:r w:rsidR="00DF1884" w:rsidRPr="00DF1884">
              <w:rPr>
                <w:b/>
              </w:rPr>
              <w:t xml:space="preserve"> </w:t>
            </w:r>
            <w:r w:rsidRPr="00DF1884">
              <w:rPr>
                <w:b/>
              </w:rPr>
              <w:t>RPh</w:t>
            </w:r>
            <w:r w:rsidRPr="00DF1884">
              <w:br/>
              <w:t>Cerner</w:t>
            </w:r>
            <w:r w:rsidR="00DF1884" w:rsidRPr="00DF1884">
              <w:t xml:space="preserve"> </w:t>
            </w:r>
            <w:r w:rsidRPr="00DF1884">
              <w:t>Multum</w:t>
            </w:r>
          </w:p>
          <w:p w14:paraId="7D9F4278" w14:textId="37C94C84" w:rsidR="00463667" w:rsidRPr="00DF1884" w:rsidRDefault="00463667" w:rsidP="00C56CA6">
            <w:pPr>
              <w:pStyle w:val="Body"/>
              <w:tabs>
                <w:tab w:val="left" w:pos="3064"/>
              </w:tabs>
            </w:pPr>
            <w:r w:rsidRPr="00DF1884">
              <w:rPr>
                <w:b/>
              </w:rPr>
              <w:t>Chronis</w:t>
            </w:r>
            <w:r w:rsidR="00DF1884" w:rsidRPr="00DF1884">
              <w:rPr>
                <w:b/>
              </w:rPr>
              <w:t xml:space="preserve"> </w:t>
            </w:r>
            <w:r w:rsidRPr="00DF1884">
              <w:rPr>
                <w:b/>
              </w:rPr>
              <w:t>H.</w:t>
            </w:r>
            <w:r w:rsidR="00DF1884" w:rsidRPr="00DF1884">
              <w:rPr>
                <w:b/>
              </w:rPr>
              <w:t xml:space="preserve"> </w:t>
            </w:r>
            <w:r w:rsidRPr="00DF1884">
              <w:rPr>
                <w:b/>
              </w:rPr>
              <w:t>Manolis,</w:t>
            </w:r>
            <w:r w:rsidR="00DF1884" w:rsidRPr="00DF1884">
              <w:rPr>
                <w:b/>
              </w:rPr>
              <w:t xml:space="preserve"> </w:t>
            </w:r>
            <w:r w:rsidRPr="00DF1884">
              <w:rPr>
                <w:b/>
              </w:rPr>
              <w:t>RPh</w:t>
            </w:r>
            <w:r w:rsidRPr="00DF1884">
              <w:rPr>
                <w:b/>
              </w:rPr>
              <w:br/>
            </w:r>
            <w:r w:rsidRPr="00DF1884">
              <w:t>UPMC</w:t>
            </w:r>
            <w:r w:rsidR="00DF1884" w:rsidRPr="00DF1884">
              <w:t xml:space="preserve"> </w:t>
            </w:r>
            <w:r w:rsidRPr="00DF1884">
              <w:t>Health</w:t>
            </w:r>
            <w:r w:rsidR="00DF1884" w:rsidRPr="00DF1884">
              <w:t xml:space="preserve"> </w:t>
            </w:r>
            <w:r w:rsidRPr="00DF1884">
              <w:t>Plan</w:t>
            </w:r>
            <w:r w:rsidR="00DF1884" w:rsidRPr="00DF1884">
              <w:t xml:space="preserve"> </w:t>
            </w:r>
          </w:p>
          <w:p w14:paraId="61C5E336" w14:textId="71D4488A" w:rsidR="00463667" w:rsidRPr="00DF1884" w:rsidRDefault="00463667" w:rsidP="00C56CA6">
            <w:pPr>
              <w:pStyle w:val="Body"/>
              <w:tabs>
                <w:tab w:val="left" w:pos="3064"/>
              </w:tabs>
              <w:rPr>
                <w:b/>
              </w:rPr>
            </w:pPr>
            <w:r w:rsidRPr="00DF1884">
              <w:rPr>
                <w:b/>
              </w:rPr>
              <w:t>Cathrine</w:t>
            </w:r>
            <w:r w:rsidR="00DF1884" w:rsidRPr="00DF1884">
              <w:rPr>
                <w:b/>
              </w:rPr>
              <w:t xml:space="preserve"> </w:t>
            </w:r>
            <w:r w:rsidRPr="00DF1884">
              <w:rPr>
                <w:b/>
              </w:rPr>
              <w:t>Misquitta,</w:t>
            </w:r>
            <w:r w:rsidR="00DF1884" w:rsidRPr="00DF1884">
              <w:rPr>
                <w:b/>
              </w:rPr>
              <w:t xml:space="preserve"> </w:t>
            </w:r>
            <w:r w:rsidRPr="00DF1884">
              <w:rPr>
                <w:b/>
              </w:rPr>
              <w:t>PharmD,</w:t>
            </w:r>
            <w:r w:rsidR="00DF1884" w:rsidRPr="00DF1884">
              <w:rPr>
                <w:b/>
              </w:rPr>
              <w:t xml:space="preserve"> </w:t>
            </w:r>
            <w:r w:rsidRPr="00DF1884">
              <w:rPr>
                <w:b/>
              </w:rPr>
              <w:t>MBA,</w:t>
            </w:r>
            <w:r w:rsidR="00DF1884" w:rsidRPr="00DF1884">
              <w:rPr>
                <w:b/>
              </w:rPr>
              <w:t xml:space="preserve"> </w:t>
            </w:r>
            <w:r w:rsidRPr="00DF1884">
              <w:rPr>
                <w:b/>
              </w:rPr>
              <w:t>BCPS,</w:t>
            </w:r>
            <w:r w:rsidR="00DF1884" w:rsidRPr="00DF1884">
              <w:rPr>
                <w:b/>
              </w:rPr>
              <w:t xml:space="preserve"> </w:t>
            </w:r>
            <w:r w:rsidRPr="00DF1884">
              <w:rPr>
                <w:b/>
              </w:rPr>
              <w:t>FCSHP</w:t>
            </w:r>
            <w:r w:rsidRPr="00DF1884">
              <w:rPr>
                <w:b/>
              </w:rPr>
              <w:br/>
            </w:r>
            <w:r w:rsidRPr="00DF1884">
              <w:t>Health</w:t>
            </w:r>
            <w:r w:rsidR="00DF1884" w:rsidRPr="00DF1884">
              <w:t xml:space="preserve"> </w:t>
            </w:r>
            <w:r w:rsidRPr="00DF1884">
              <w:t>Net,</w:t>
            </w:r>
            <w:r w:rsidR="00DF1884" w:rsidRPr="00DF1884">
              <w:t xml:space="preserve"> </w:t>
            </w:r>
            <w:r w:rsidRPr="00DF1884">
              <w:t>Inc.</w:t>
            </w:r>
            <w:r w:rsidR="00DF1884" w:rsidRPr="00DF1884">
              <w:rPr>
                <w:b/>
              </w:rPr>
              <w:t xml:space="preserve"> </w:t>
            </w:r>
          </w:p>
        </w:tc>
        <w:tc>
          <w:tcPr>
            <w:tcW w:w="4950" w:type="dxa"/>
          </w:tcPr>
          <w:p w14:paraId="7FAA84ED" w14:textId="5CE18934" w:rsidR="00463667" w:rsidRPr="00DF1884" w:rsidRDefault="00463667" w:rsidP="00C56CA6">
            <w:pPr>
              <w:pStyle w:val="Body"/>
              <w:tabs>
                <w:tab w:val="left" w:pos="3064"/>
              </w:tabs>
            </w:pPr>
            <w:r w:rsidRPr="00DF1884">
              <w:rPr>
                <w:b/>
              </w:rPr>
              <w:t>John</w:t>
            </w:r>
            <w:r w:rsidR="00DF1884" w:rsidRPr="00DF1884">
              <w:rPr>
                <w:b/>
              </w:rPr>
              <w:t xml:space="preserve"> </w:t>
            </w:r>
            <w:r w:rsidRPr="00DF1884">
              <w:rPr>
                <w:b/>
              </w:rPr>
              <w:t>I.</w:t>
            </w:r>
            <w:r w:rsidR="00DF1884" w:rsidRPr="00DF1884">
              <w:rPr>
                <w:b/>
              </w:rPr>
              <w:t xml:space="preserve"> </w:t>
            </w:r>
            <w:r w:rsidRPr="00DF1884">
              <w:rPr>
                <w:b/>
              </w:rPr>
              <w:t>Okogbaa,</w:t>
            </w:r>
            <w:r w:rsidR="00DF1884" w:rsidRPr="00DF1884">
              <w:rPr>
                <w:b/>
              </w:rPr>
              <w:t xml:space="preserve"> </w:t>
            </w:r>
            <w:r w:rsidRPr="00DF1884">
              <w:rPr>
                <w:b/>
              </w:rPr>
              <w:t>PharmD,</w:t>
            </w:r>
            <w:r w:rsidR="00DF1884" w:rsidRPr="00DF1884">
              <w:rPr>
                <w:b/>
              </w:rPr>
              <w:t xml:space="preserve"> </w:t>
            </w:r>
            <w:r w:rsidRPr="00DF1884">
              <w:rPr>
                <w:b/>
              </w:rPr>
              <w:t>BCPS,</w:t>
            </w:r>
            <w:r w:rsidR="00DF1884" w:rsidRPr="00DF1884">
              <w:rPr>
                <w:b/>
              </w:rPr>
              <w:t xml:space="preserve"> </w:t>
            </w:r>
            <w:r w:rsidRPr="00DF1884">
              <w:rPr>
                <w:b/>
              </w:rPr>
              <w:t>MA</w:t>
            </w:r>
            <w:r w:rsidRPr="00DF1884">
              <w:rPr>
                <w:b/>
              </w:rPr>
              <w:br/>
            </w:r>
            <w:r w:rsidRPr="00DF1884">
              <w:t>Xavier</w:t>
            </w:r>
            <w:r w:rsidR="00DF1884" w:rsidRPr="00DF1884">
              <w:t xml:space="preserve"> </w:t>
            </w:r>
            <w:r w:rsidRPr="00DF1884">
              <w:t>University</w:t>
            </w:r>
            <w:r w:rsidR="00DF1884" w:rsidRPr="00DF1884">
              <w:t xml:space="preserve"> </w:t>
            </w:r>
            <w:r w:rsidRPr="00DF1884">
              <w:t>of</w:t>
            </w:r>
            <w:r w:rsidR="00DF1884" w:rsidRPr="00DF1884">
              <w:t xml:space="preserve"> </w:t>
            </w:r>
            <w:r w:rsidRPr="00DF1884">
              <w:t>Louisiana,</w:t>
            </w:r>
            <w:r w:rsidR="00DF1884" w:rsidRPr="00DF1884">
              <w:t xml:space="preserve"> </w:t>
            </w:r>
            <w:r w:rsidRPr="00DF1884">
              <w:t>College</w:t>
            </w:r>
            <w:r w:rsidR="00DF1884" w:rsidRPr="00DF1884">
              <w:t xml:space="preserve"> </w:t>
            </w:r>
            <w:r w:rsidRPr="00DF1884">
              <w:t>of</w:t>
            </w:r>
            <w:r w:rsidR="00DF1884" w:rsidRPr="00DF1884">
              <w:t xml:space="preserve"> </w:t>
            </w:r>
            <w:r w:rsidRPr="00DF1884">
              <w:t>Pharmacy</w:t>
            </w:r>
            <w:r w:rsidR="00DF1884" w:rsidRPr="00DF1884">
              <w:t xml:space="preserve"> </w:t>
            </w:r>
          </w:p>
          <w:p w14:paraId="4BBA7108" w14:textId="11741207" w:rsidR="00463667" w:rsidRPr="00DF1884" w:rsidRDefault="00463667" w:rsidP="00C56CA6">
            <w:pPr>
              <w:pStyle w:val="Body"/>
            </w:pPr>
            <w:r w:rsidRPr="00DF1884">
              <w:rPr>
                <w:b/>
              </w:rPr>
              <w:t>Kevin</w:t>
            </w:r>
            <w:r w:rsidR="00DF1884" w:rsidRPr="00DF1884">
              <w:rPr>
                <w:b/>
              </w:rPr>
              <w:t xml:space="preserve"> </w:t>
            </w:r>
            <w:r w:rsidRPr="00DF1884">
              <w:rPr>
                <w:b/>
              </w:rPr>
              <w:t>Park,</w:t>
            </w:r>
            <w:r w:rsidR="00DF1884" w:rsidRPr="00DF1884">
              <w:rPr>
                <w:b/>
              </w:rPr>
              <w:t xml:space="preserve"> </w:t>
            </w:r>
            <w:r w:rsidRPr="00DF1884">
              <w:rPr>
                <w:b/>
              </w:rPr>
              <w:t>MD</w:t>
            </w:r>
            <w:r w:rsidRPr="00DF1884">
              <w:rPr>
                <w:b/>
              </w:rPr>
              <w:br/>
            </w:r>
            <w:r w:rsidRPr="00DF1884">
              <w:t>Molina</w:t>
            </w:r>
            <w:r w:rsidR="00DF1884" w:rsidRPr="00DF1884">
              <w:t xml:space="preserve"> </w:t>
            </w:r>
            <w:r w:rsidRPr="00DF1884">
              <w:t>Healthcare,</w:t>
            </w:r>
            <w:r w:rsidR="00DF1884" w:rsidRPr="00DF1884">
              <w:t xml:space="preserve"> </w:t>
            </w:r>
            <w:r w:rsidRPr="00DF1884">
              <w:t>Inc.</w:t>
            </w:r>
          </w:p>
          <w:p w14:paraId="4A8F2057" w14:textId="3B2BB996" w:rsidR="00463667" w:rsidRPr="00DF1884" w:rsidRDefault="00463667" w:rsidP="00C56CA6">
            <w:pPr>
              <w:pStyle w:val="Body"/>
            </w:pPr>
            <w:r w:rsidRPr="00DF1884">
              <w:rPr>
                <w:b/>
              </w:rPr>
              <w:t>Madeline</w:t>
            </w:r>
            <w:r w:rsidR="00DF1884" w:rsidRPr="00DF1884">
              <w:rPr>
                <w:b/>
              </w:rPr>
              <w:t xml:space="preserve"> </w:t>
            </w:r>
            <w:r w:rsidRPr="00DF1884">
              <w:rPr>
                <w:b/>
              </w:rPr>
              <w:t>Ritchie,</w:t>
            </w:r>
            <w:r w:rsidR="00DF1884" w:rsidRPr="00DF1884">
              <w:rPr>
                <w:b/>
              </w:rPr>
              <w:t xml:space="preserve"> </w:t>
            </w:r>
            <w:r w:rsidRPr="00DF1884">
              <w:rPr>
                <w:b/>
              </w:rPr>
              <w:t>PharmD</w:t>
            </w:r>
            <w:r w:rsidRPr="00DF1884">
              <w:rPr>
                <w:b/>
              </w:rPr>
              <w:br/>
            </w:r>
            <w:r w:rsidRPr="00DF1884">
              <w:t>Aetna</w:t>
            </w:r>
            <w:r w:rsidR="00DF1884" w:rsidRPr="00DF1884">
              <w:t xml:space="preserve"> </w:t>
            </w:r>
            <w:r w:rsidRPr="00DF1884">
              <w:t>Pharmacy</w:t>
            </w:r>
            <w:r w:rsidR="00DF1884" w:rsidRPr="00DF1884">
              <w:t xml:space="preserve"> </w:t>
            </w:r>
            <w:r w:rsidRPr="00DF1884">
              <w:t>Management</w:t>
            </w:r>
          </w:p>
        </w:tc>
      </w:tr>
    </w:tbl>
    <w:p w14:paraId="5EE72D37" w14:textId="4129F4DA" w:rsidR="00463667" w:rsidRPr="00DF1884" w:rsidRDefault="00463667" w:rsidP="00202CAE">
      <w:pPr>
        <w:pStyle w:val="ReverseHead"/>
      </w:pPr>
      <w:r w:rsidRPr="00DF1884">
        <w:t>Overuse</w:t>
      </w:r>
      <w:r w:rsidR="00DF1884" w:rsidRPr="00DF1884">
        <w:t xml:space="preserve"> </w:t>
      </w:r>
      <w:r w:rsidRPr="00DF1884">
        <w:t>Measurement</w:t>
      </w:r>
      <w:r w:rsidR="00DF1884" w:rsidRPr="00DF1884">
        <w:t xml:space="preserve"> </w:t>
      </w:r>
      <w:r w:rsidRPr="00DF1884">
        <w:t>Advisory</w:t>
      </w:r>
      <w:r w:rsidR="00DF1884" w:rsidRPr="00DF1884">
        <w:t xml:space="preserve"> </w:t>
      </w:r>
      <w:r w:rsidRPr="00DF1884">
        <w:t>Panel</w:t>
      </w:r>
      <w:r w:rsidR="00DF1884" w:rsidRPr="00DF1884">
        <w:t xml:space="preserve"> </w:t>
      </w:r>
    </w:p>
    <w:tbl>
      <w:tblPr>
        <w:tblW w:w="0" w:type="auto"/>
        <w:tblLayout w:type="fixed"/>
        <w:tblLook w:val="0000" w:firstRow="0" w:lastRow="0" w:firstColumn="0" w:lastColumn="0" w:noHBand="0" w:noVBand="0"/>
      </w:tblPr>
      <w:tblGrid>
        <w:gridCol w:w="4878"/>
        <w:gridCol w:w="4950"/>
      </w:tblGrid>
      <w:tr w:rsidR="00463667" w:rsidRPr="00DF1884" w14:paraId="4617F4D8" w14:textId="77777777" w:rsidTr="00C56CA6">
        <w:trPr>
          <w:cantSplit/>
          <w:trHeight w:val="2673"/>
        </w:trPr>
        <w:tc>
          <w:tcPr>
            <w:tcW w:w="4878" w:type="dxa"/>
            <w:tcBorders>
              <w:bottom w:val="nil"/>
            </w:tcBorders>
          </w:tcPr>
          <w:p w14:paraId="65BE863F" w14:textId="137F34F9" w:rsidR="00463667" w:rsidRPr="00DF1884" w:rsidRDefault="00463667" w:rsidP="00C56CA6">
            <w:pPr>
              <w:spacing w:before="180"/>
              <w:rPr>
                <w:bCs/>
              </w:rPr>
            </w:pPr>
            <w:r w:rsidRPr="00DF1884">
              <w:rPr>
                <w:b/>
              </w:rPr>
              <w:t>Peter</w:t>
            </w:r>
            <w:r w:rsidR="00DF1884" w:rsidRPr="00DF1884">
              <w:rPr>
                <w:b/>
              </w:rPr>
              <w:t xml:space="preserve"> </w:t>
            </w:r>
            <w:r w:rsidRPr="00DF1884">
              <w:rPr>
                <w:b/>
              </w:rPr>
              <w:t>J.</w:t>
            </w:r>
            <w:r w:rsidR="00DF1884" w:rsidRPr="00DF1884">
              <w:rPr>
                <w:b/>
              </w:rPr>
              <w:t xml:space="preserve"> </w:t>
            </w:r>
            <w:r w:rsidRPr="00DF1884">
              <w:rPr>
                <w:b/>
              </w:rPr>
              <w:t>Ackroyd,</w:t>
            </w:r>
            <w:r w:rsidR="00DF1884" w:rsidRPr="00DF1884">
              <w:rPr>
                <w:b/>
              </w:rPr>
              <w:t xml:space="preserve"> </w:t>
            </w:r>
            <w:r w:rsidRPr="00DF1884">
              <w:rPr>
                <w:b/>
              </w:rPr>
              <w:t>RN,</w:t>
            </w:r>
            <w:r w:rsidR="00DF1884" w:rsidRPr="00DF1884">
              <w:rPr>
                <w:b/>
              </w:rPr>
              <w:t xml:space="preserve"> </w:t>
            </w:r>
            <w:r w:rsidRPr="00DF1884">
              <w:rPr>
                <w:b/>
              </w:rPr>
              <w:t>BSN</w:t>
            </w:r>
            <w:r w:rsidRPr="00DF1884">
              <w:rPr>
                <w:b/>
              </w:rPr>
              <w:br/>
            </w:r>
            <w:r w:rsidRPr="00DF1884">
              <w:rPr>
                <w:bCs/>
              </w:rPr>
              <w:t>HealthcareData</w:t>
            </w:r>
            <w:r w:rsidR="00DF1884" w:rsidRPr="00DF1884">
              <w:rPr>
                <w:bCs/>
              </w:rPr>
              <w:t xml:space="preserve"> </w:t>
            </w:r>
            <w:r w:rsidRPr="00DF1884">
              <w:rPr>
                <w:bCs/>
              </w:rPr>
              <w:t>Company,</w:t>
            </w:r>
            <w:r w:rsidR="00DF1884" w:rsidRPr="00DF1884">
              <w:rPr>
                <w:bCs/>
              </w:rPr>
              <w:t xml:space="preserve"> </w:t>
            </w:r>
            <w:r w:rsidRPr="00DF1884">
              <w:rPr>
                <w:bCs/>
              </w:rPr>
              <w:t>LLC</w:t>
            </w:r>
          </w:p>
          <w:p w14:paraId="593114F9" w14:textId="7B68BAE0" w:rsidR="00463667" w:rsidRPr="00DF1884" w:rsidRDefault="00463667" w:rsidP="00C56CA6">
            <w:pPr>
              <w:spacing w:before="180"/>
            </w:pPr>
            <w:r w:rsidRPr="00DF1884">
              <w:rPr>
                <w:b/>
              </w:rPr>
              <w:t>Diana</w:t>
            </w:r>
            <w:r w:rsidR="00DF1884" w:rsidRPr="00DF1884">
              <w:rPr>
                <w:b/>
              </w:rPr>
              <w:t xml:space="preserve"> </w:t>
            </w:r>
            <w:r w:rsidRPr="00DF1884">
              <w:rPr>
                <w:b/>
              </w:rPr>
              <w:t>SM</w:t>
            </w:r>
            <w:r w:rsidR="00DF1884" w:rsidRPr="00DF1884">
              <w:rPr>
                <w:b/>
              </w:rPr>
              <w:t xml:space="preserve"> </w:t>
            </w:r>
            <w:r w:rsidRPr="00DF1884">
              <w:rPr>
                <w:b/>
              </w:rPr>
              <w:t>Buist,</w:t>
            </w:r>
            <w:r w:rsidR="00DF1884" w:rsidRPr="00DF1884">
              <w:rPr>
                <w:b/>
              </w:rPr>
              <w:t xml:space="preserve"> </w:t>
            </w:r>
            <w:r w:rsidRPr="00DF1884">
              <w:rPr>
                <w:b/>
              </w:rPr>
              <w:t>PhD,</w:t>
            </w:r>
            <w:r w:rsidR="00DF1884" w:rsidRPr="00DF1884">
              <w:rPr>
                <w:b/>
              </w:rPr>
              <w:t xml:space="preserve"> </w:t>
            </w:r>
            <w:r w:rsidRPr="00DF1884">
              <w:rPr>
                <w:b/>
              </w:rPr>
              <w:t>MPH</w:t>
            </w:r>
            <w:r w:rsidRPr="00DF1884">
              <w:rPr>
                <w:b/>
              </w:rPr>
              <w:br/>
            </w:r>
            <w:r w:rsidRPr="00DF1884">
              <w:t>Group</w:t>
            </w:r>
            <w:r w:rsidR="00DF1884" w:rsidRPr="00DF1884">
              <w:t xml:space="preserve"> </w:t>
            </w:r>
            <w:r w:rsidRPr="00DF1884">
              <w:t>Health</w:t>
            </w:r>
            <w:r w:rsidR="00DF1884" w:rsidRPr="00DF1884">
              <w:t xml:space="preserve"> </w:t>
            </w:r>
            <w:r w:rsidRPr="00DF1884">
              <w:t>Research</w:t>
            </w:r>
            <w:r w:rsidR="00DF1884" w:rsidRPr="00DF1884">
              <w:t xml:space="preserve"> </w:t>
            </w:r>
            <w:r w:rsidRPr="00DF1884">
              <w:t>Institute</w:t>
            </w:r>
          </w:p>
          <w:p w14:paraId="4AFE787C" w14:textId="1E750D68" w:rsidR="00463667" w:rsidRPr="00DF1884" w:rsidRDefault="00463667" w:rsidP="00C56CA6">
            <w:pPr>
              <w:spacing w:before="180"/>
            </w:pPr>
            <w:r w:rsidRPr="00DF1884">
              <w:rPr>
                <w:b/>
              </w:rPr>
              <w:t>Joseph</w:t>
            </w:r>
            <w:r w:rsidR="00DF1884" w:rsidRPr="00DF1884">
              <w:rPr>
                <w:b/>
              </w:rPr>
              <w:t xml:space="preserve"> </w:t>
            </w:r>
            <w:r w:rsidRPr="00DF1884">
              <w:rPr>
                <w:b/>
              </w:rPr>
              <w:t>Chin,</w:t>
            </w:r>
            <w:r w:rsidR="00DF1884" w:rsidRPr="00DF1884">
              <w:rPr>
                <w:b/>
              </w:rPr>
              <w:t xml:space="preserve"> </w:t>
            </w:r>
            <w:r w:rsidRPr="00DF1884">
              <w:rPr>
                <w:b/>
              </w:rPr>
              <w:t>MD,</w:t>
            </w:r>
            <w:r w:rsidR="00DF1884" w:rsidRPr="00DF1884">
              <w:rPr>
                <w:b/>
              </w:rPr>
              <w:t xml:space="preserve"> </w:t>
            </w:r>
            <w:r w:rsidRPr="00DF1884">
              <w:rPr>
                <w:b/>
              </w:rPr>
              <w:t>MS</w:t>
            </w:r>
            <w:r w:rsidRPr="00DF1884">
              <w:br/>
              <w:t>Centers</w:t>
            </w:r>
            <w:r w:rsidR="00DF1884" w:rsidRPr="00DF1884">
              <w:t xml:space="preserve"> </w:t>
            </w:r>
            <w:r w:rsidRPr="00DF1884">
              <w:t>for</w:t>
            </w:r>
            <w:r w:rsidR="00DF1884" w:rsidRPr="00DF1884">
              <w:t xml:space="preserve"> </w:t>
            </w:r>
            <w:r w:rsidRPr="00DF1884">
              <w:t>Medicare</w:t>
            </w:r>
            <w:r w:rsidR="00DF1884" w:rsidRPr="00DF1884">
              <w:t xml:space="preserve"> </w:t>
            </w:r>
            <w:r w:rsidRPr="00DF1884">
              <w:t>and</w:t>
            </w:r>
            <w:r w:rsidR="00DF1884" w:rsidRPr="00DF1884">
              <w:t xml:space="preserve"> </w:t>
            </w:r>
            <w:r w:rsidRPr="00DF1884">
              <w:t>Medicaid</w:t>
            </w:r>
            <w:r w:rsidR="00DF1884" w:rsidRPr="00DF1884">
              <w:t xml:space="preserve"> </w:t>
            </w:r>
            <w:r w:rsidRPr="00DF1884">
              <w:t>Services</w:t>
            </w:r>
          </w:p>
          <w:p w14:paraId="1F6119B2" w14:textId="425FE1A9" w:rsidR="00463667" w:rsidRPr="00DF1884" w:rsidRDefault="00463667" w:rsidP="00C56CA6">
            <w:pPr>
              <w:spacing w:before="180"/>
            </w:pPr>
            <w:r w:rsidRPr="00DF1884">
              <w:rPr>
                <w:b/>
              </w:rPr>
              <w:t>Elizabeth</w:t>
            </w:r>
            <w:r w:rsidR="00DF1884" w:rsidRPr="00DF1884">
              <w:rPr>
                <w:b/>
              </w:rPr>
              <w:t xml:space="preserve"> </w:t>
            </w:r>
            <w:r w:rsidRPr="00DF1884">
              <w:rPr>
                <w:b/>
              </w:rPr>
              <w:t>Drye,</w:t>
            </w:r>
            <w:r w:rsidR="00DF1884" w:rsidRPr="00DF1884">
              <w:rPr>
                <w:b/>
              </w:rPr>
              <w:t xml:space="preserve"> </w:t>
            </w:r>
            <w:r w:rsidRPr="00DF1884">
              <w:rPr>
                <w:b/>
              </w:rPr>
              <w:t>MD,</w:t>
            </w:r>
            <w:r w:rsidR="00DF1884" w:rsidRPr="00DF1884">
              <w:rPr>
                <w:b/>
              </w:rPr>
              <w:t xml:space="preserve"> </w:t>
            </w:r>
            <w:r w:rsidRPr="00DF1884">
              <w:rPr>
                <w:b/>
              </w:rPr>
              <w:t>SM</w:t>
            </w:r>
            <w:r w:rsidRPr="00DF1884">
              <w:br/>
              <w:t>Yale/Yale-New</w:t>
            </w:r>
            <w:r w:rsidR="00DF1884" w:rsidRPr="00DF1884">
              <w:t xml:space="preserve"> </w:t>
            </w:r>
            <w:r w:rsidRPr="00DF1884">
              <w:t>Haven</w:t>
            </w:r>
            <w:r w:rsidR="00DF1884" w:rsidRPr="00DF1884">
              <w:t xml:space="preserve"> </w:t>
            </w:r>
            <w:r w:rsidRPr="00DF1884">
              <w:t>Hospital</w:t>
            </w:r>
            <w:r w:rsidR="00DF1884" w:rsidRPr="00DF1884">
              <w:t xml:space="preserve"> </w:t>
            </w:r>
            <w:r w:rsidRPr="00DF1884">
              <w:t>Center</w:t>
            </w:r>
            <w:r w:rsidR="00DF1884" w:rsidRPr="00DF1884">
              <w:t xml:space="preserve"> </w:t>
            </w:r>
            <w:r w:rsidRPr="00DF1884">
              <w:t>for</w:t>
            </w:r>
            <w:r w:rsidR="00DF1884" w:rsidRPr="00DF1884">
              <w:t xml:space="preserve"> </w:t>
            </w:r>
            <w:r w:rsidRPr="00DF1884">
              <w:t>Outcomes</w:t>
            </w:r>
            <w:r w:rsidR="00DF1884" w:rsidRPr="00DF1884">
              <w:t xml:space="preserve"> </w:t>
            </w:r>
            <w:r w:rsidRPr="00DF1884">
              <w:t>Research</w:t>
            </w:r>
            <w:r w:rsidR="00DF1884" w:rsidRPr="00DF1884">
              <w:t xml:space="preserve"> </w:t>
            </w:r>
            <w:r w:rsidRPr="00DF1884">
              <w:t>and</w:t>
            </w:r>
            <w:r w:rsidR="00DF1884" w:rsidRPr="00DF1884">
              <w:t xml:space="preserve"> </w:t>
            </w:r>
            <w:r w:rsidRPr="00DF1884">
              <w:t>Evaluation</w:t>
            </w:r>
          </w:p>
          <w:p w14:paraId="6B2383AC" w14:textId="49B50E2E" w:rsidR="00463667" w:rsidRPr="00DF1884" w:rsidRDefault="00463667" w:rsidP="00C56CA6">
            <w:pPr>
              <w:spacing w:before="180"/>
            </w:pPr>
            <w:r w:rsidRPr="00DF1884">
              <w:rPr>
                <w:b/>
              </w:rPr>
              <w:t>Lynda</w:t>
            </w:r>
            <w:r w:rsidR="00DF1884" w:rsidRPr="00DF1884">
              <w:rPr>
                <w:b/>
              </w:rPr>
              <w:t xml:space="preserve"> </w:t>
            </w:r>
            <w:r w:rsidRPr="00DF1884">
              <w:rPr>
                <w:b/>
              </w:rPr>
              <w:t>Flowers,</w:t>
            </w:r>
            <w:r w:rsidR="00DF1884" w:rsidRPr="00DF1884">
              <w:rPr>
                <w:b/>
              </w:rPr>
              <w:t xml:space="preserve"> </w:t>
            </w:r>
            <w:r w:rsidRPr="00DF1884">
              <w:rPr>
                <w:b/>
              </w:rPr>
              <w:t>JD,</w:t>
            </w:r>
            <w:r w:rsidR="00DF1884" w:rsidRPr="00DF1884">
              <w:rPr>
                <w:b/>
              </w:rPr>
              <w:t xml:space="preserve"> </w:t>
            </w:r>
            <w:r w:rsidRPr="00DF1884">
              <w:rPr>
                <w:b/>
              </w:rPr>
              <w:t>MSN,</w:t>
            </w:r>
            <w:r w:rsidR="00DF1884" w:rsidRPr="00DF1884">
              <w:rPr>
                <w:b/>
              </w:rPr>
              <w:t xml:space="preserve"> </w:t>
            </w:r>
            <w:r w:rsidRPr="00DF1884">
              <w:rPr>
                <w:b/>
              </w:rPr>
              <w:t>BSN</w:t>
            </w:r>
            <w:r w:rsidRPr="00DF1884">
              <w:rPr>
                <w:b/>
              </w:rPr>
              <w:br/>
            </w:r>
            <w:r w:rsidRPr="00DF1884">
              <w:t>AARP</w:t>
            </w:r>
          </w:p>
          <w:p w14:paraId="4C7F5EA9" w14:textId="0070D66C" w:rsidR="00463667" w:rsidRPr="00DF1884" w:rsidRDefault="00463667" w:rsidP="00C56CA6">
            <w:pPr>
              <w:spacing w:before="180"/>
            </w:pPr>
            <w:r w:rsidRPr="00DF1884">
              <w:rPr>
                <w:b/>
              </w:rPr>
              <w:t>Eric</w:t>
            </w:r>
            <w:r w:rsidR="00DF1884" w:rsidRPr="00DF1884">
              <w:rPr>
                <w:b/>
              </w:rPr>
              <w:t xml:space="preserve"> </w:t>
            </w:r>
            <w:r w:rsidRPr="00DF1884">
              <w:rPr>
                <w:b/>
              </w:rPr>
              <w:t>S.</w:t>
            </w:r>
            <w:r w:rsidR="00DF1884" w:rsidRPr="00DF1884">
              <w:rPr>
                <w:b/>
              </w:rPr>
              <w:t xml:space="preserve"> </w:t>
            </w:r>
            <w:r w:rsidRPr="00DF1884">
              <w:rPr>
                <w:b/>
              </w:rPr>
              <w:t>Holmboe,</w:t>
            </w:r>
            <w:r w:rsidR="00DF1884" w:rsidRPr="00DF1884">
              <w:rPr>
                <w:b/>
              </w:rPr>
              <w:t xml:space="preserve"> </w:t>
            </w:r>
            <w:r w:rsidRPr="00DF1884">
              <w:rPr>
                <w:b/>
              </w:rPr>
              <w:t>MD</w:t>
            </w:r>
            <w:r w:rsidRPr="00DF1884">
              <w:rPr>
                <w:b/>
              </w:rPr>
              <w:br/>
            </w:r>
            <w:r w:rsidRPr="00DF1884">
              <w:t>Accreditation</w:t>
            </w:r>
            <w:r w:rsidR="00DF1884" w:rsidRPr="00DF1884">
              <w:t xml:space="preserve"> </w:t>
            </w:r>
            <w:r w:rsidRPr="00DF1884">
              <w:t>Council</w:t>
            </w:r>
            <w:r w:rsidR="00DF1884" w:rsidRPr="00DF1884">
              <w:t xml:space="preserve"> </w:t>
            </w:r>
            <w:r w:rsidRPr="00DF1884">
              <w:t>for</w:t>
            </w:r>
            <w:r w:rsidR="00DF1884" w:rsidRPr="00DF1884">
              <w:t xml:space="preserve"> </w:t>
            </w:r>
            <w:r w:rsidRPr="00DF1884">
              <w:t>Graduate</w:t>
            </w:r>
            <w:r w:rsidR="00DF1884" w:rsidRPr="00DF1884">
              <w:t xml:space="preserve"> </w:t>
            </w:r>
            <w:r w:rsidRPr="00DF1884">
              <w:t>Medical</w:t>
            </w:r>
            <w:r w:rsidR="00DF1884" w:rsidRPr="00DF1884">
              <w:t xml:space="preserve"> </w:t>
            </w:r>
            <w:r w:rsidRPr="00DF1884">
              <w:t>Education</w:t>
            </w:r>
          </w:p>
        </w:tc>
        <w:tc>
          <w:tcPr>
            <w:tcW w:w="4950" w:type="dxa"/>
            <w:tcBorders>
              <w:bottom w:val="nil"/>
            </w:tcBorders>
          </w:tcPr>
          <w:p w14:paraId="4D5F58ED" w14:textId="5E1B86BF" w:rsidR="00463667" w:rsidRPr="00DF1884" w:rsidRDefault="00463667" w:rsidP="00C56CA6">
            <w:pPr>
              <w:spacing w:before="180"/>
            </w:pPr>
            <w:r w:rsidRPr="00DF1884">
              <w:rPr>
                <w:b/>
              </w:rPr>
              <w:t>Peggy</w:t>
            </w:r>
            <w:r w:rsidR="00DF1884" w:rsidRPr="00DF1884">
              <w:rPr>
                <w:b/>
              </w:rPr>
              <w:t xml:space="preserve"> </w:t>
            </w:r>
            <w:r w:rsidRPr="00DF1884">
              <w:rPr>
                <w:b/>
              </w:rPr>
              <w:t>Ketterer,</w:t>
            </w:r>
            <w:r w:rsidR="00DF1884" w:rsidRPr="00DF1884">
              <w:rPr>
                <w:b/>
              </w:rPr>
              <w:t xml:space="preserve"> </w:t>
            </w:r>
            <w:r w:rsidRPr="00DF1884">
              <w:rPr>
                <w:b/>
              </w:rPr>
              <w:t>RN,</w:t>
            </w:r>
            <w:r w:rsidR="00DF1884" w:rsidRPr="00DF1884">
              <w:rPr>
                <w:b/>
              </w:rPr>
              <w:t xml:space="preserve"> </w:t>
            </w:r>
            <w:r w:rsidRPr="00DF1884">
              <w:rPr>
                <w:b/>
              </w:rPr>
              <w:t>BSN,</w:t>
            </w:r>
            <w:r w:rsidR="00DF1884" w:rsidRPr="00DF1884">
              <w:rPr>
                <w:b/>
              </w:rPr>
              <w:t xml:space="preserve"> </w:t>
            </w:r>
            <w:r w:rsidRPr="00DF1884">
              <w:rPr>
                <w:b/>
              </w:rPr>
              <w:t>CHCA</w:t>
            </w:r>
            <w:r w:rsidR="00DF1884" w:rsidRPr="00DF1884">
              <w:rPr>
                <w:b/>
              </w:rPr>
              <w:t xml:space="preserve"> </w:t>
            </w:r>
            <w:r w:rsidRPr="00DF1884">
              <w:rPr>
                <w:b/>
              </w:rPr>
              <w:br/>
            </w:r>
            <w:r w:rsidRPr="00DF1884">
              <w:t>Advent</w:t>
            </w:r>
            <w:r w:rsidR="00DF1884" w:rsidRPr="00DF1884">
              <w:t xml:space="preserve"> </w:t>
            </w:r>
            <w:r w:rsidRPr="00DF1884">
              <w:t>Advisory</w:t>
            </w:r>
            <w:r w:rsidR="00DF1884" w:rsidRPr="00DF1884">
              <w:t xml:space="preserve"> </w:t>
            </w:r>
            <w:r w:rsidRPr="00DF1884">
              <w:t>Group,</w:t>
            </w:r>
            <w:r w:rsidR="00DF1884" w:rsidRPr="00DF1884">
              <w:t xml:space="preserve"> </w:t>
            </w:r>
            <w:r w:rsidRPr="00DF1884">
              <w:t>LLC</w:t>
            </w:r>
          </w:p>
          <w:p w14:paraId="5DE36CA3" w14:textId="58506EE7" w:rsidR="00463667" w:rsidRPr="00DF1884" w:rsidRDefault="00463667" w:rsidP="00C56CA6">
            <w:pPr>
              <w:spacing w:before="180"/>
              <w:rPr>
                <w:b/>
              </w:rPr>
            </w:pPr>
            <w:r w:rsidRPr="00DF1884">
              <w:rPr>
                <w:b/>
              </w:rPr>
              <w:t>Kathleen</w:t>
            </w:r>
            <w:r w:rsidR="00DF1884" w:rsidRPr="00DF1884">
              <w:rPr>
                <w:b/>
              </w:rPr>
              <w:t xml:space="preserve"> </w:t>
            </w:r>
            <w:r w:rsidRPr="00DF1884">
              <w:rPr>
                <w:b/>
              </w:rPr>
              <w:t>L.</w:t>
            </w:r>
            <w:r w:rsidR="00DF1884" w:rsidRPr="00DF1884">
              <w:rPr>
                <w:b/>
              </w:rPr>
              <w:t xml:space="preserve"> </w:t>
            </w:r>
            <w:r w:rsidRPr="00DF1884">
              <w:rPr>
                <w:b/>
              </w:rPr>
              <w:t>Lester</w:t>
            </w:r>
            <w:r w:rsidR="00DF1884" w:rsidRPr="00DF1884">
              <w:rPr>
                <w:b/>
              </w:rPr>
              <w:t xml:space="preserve"> </w:t>
            </w:r>
            <w:r w:rsidRPr="00DF1884">
              <w:rPr>
                <w:b/>
              </w:rPr>
              <w:br/>
            </w:r>
            <w:r w:rsidRPr="00DF1884">
              <w:t>Cigna-HealthSpring</w:t>
            </w:r>
          </w:p>
          <w:p w14:paraId="78CBA2AC" w14:textId="2986888F" w:rsidR="00463667" w:rsidRPr="00DF1884" w:rsidRDefault="00463667" w:rsidP="00C56CA6">
            <w:pPr>
              <w:spacing w:before="180"/>
              <w:rPr>
                <w:b/>
              </w:rPr>
            </w:pPr>
            <w:r w:rsidRPr="00DF1884">
              <w:rPr>
                <w:b/>
              </w:rPr>
              <w:t>Patricia</w:t>
            </w:r>
            <w:r w:rsidR="00DF1884" w:rsidRPr="00DF1884">
              <w:rPr>
                <w:b/>
              </w:rPr>
              <w:t xml:space="preserve"> </w:t>
            </w:r>
            <w:r w:rsidRPr="00DF1884">
              <w:rPr>
                <w:b/>
              </w:rPr>
              <w:t>D.</w:t>
            </w:r>
            <w:r w:rsidR="00DF1884" w:rsidRPr="00DF1884">
              <w:rPr>
                <w:b/>
              </w:rPr>
              <w:t xml:space="preserve"> </w:t>
            </w:r>
            <w:r w:rsidRPr="00DF1884">
              <w:rPr>
                <w:b/>
              </w:rPr>
              <w:t>McDermott,</w:t>
            </w:r>
            <w:r w:rsidR="00DF1884" w:rsidRPr="00DF1884">
              <w:rPr>
                <w:b/>
              </w:rPr>
              <w:t xml:space="preserve"> </w:t>
            </w:r>
            <w:r w:rsidRPr="00DF1884">
              <w:rPr>
                <w:b/>
              </w:rPr>
              <w:t>RN</w:t>
            </w:r>
            <w:r w:rsidRPr="00DF1884">
              <w:br/>
              <w:t>Aetna</w:t>
            </w:r>
          </w:p>
          <w:p w14:paraId="372C8B2F" w14:textId="65AF884B" w:rsidR="00463667" w:rsidRPr="00DF1884" w:rsidRDefault="00463667" w:rsidP="00C56CA6">
            <w:pPr>
              <w:spacing w:before="180"/>
              <w:rPr>
                <w:b/>
              </w:rPr>
            </w:pPr>
            <w:r w:rsidRPr="00DF1884">
              <w:rPr>
                <w:b/>
              </w:rPr>
              <w:t>Greg</w:t>
            </w:r>
            <w:r w:rsidR="00DF1884" w:rsidRPr="00DF1884">
              <w:rPr>
                <w:b/>
              </w:rPr>
              <w:t xml:space="preserve"> </w:t>
            </w:r>
            <w:r w:rsidRPr="00DF1884">
              <w:rPr>
                <w:b/>
              </w:rPr>
              <w:t>Pawlson,</w:t>
            </w:r>
            <w:r w:rsidR="00DF1884" w:rsidRPr="00DF1884">
              <w:rPr>
                <w:b/>
              </w:rPr>
              <w:t xml:space="preserve"> </w:t>
            </w:r>
            <w:r w:rsidRPr="00DF1884">
              <w:rPr>
                <w:b/>
              </w:rPr>
              <w:t>MD,</w:t>
            </w:r>
            <w:r w:rsidR="00DF1884" w:rsidRPr="00DF1884">
              <w:rPr>
                <w:b/>
              </w:rPr>
              <w:t xml:space="preserve"> </w:t>
            </w:r>
            <w:r w:rsidRPr="00DF1884">
              <w:rPr>
                <w:b/>
              </w:rPr>
              <w:t>MPH,</w:t>
            </w:r>
            <w:r w:rsidR="00DF1884" w:rsidRPr="00DF1884">
              <w:rPr>
                <w:b/>
              </w:rPr>
              <w:t xml:space="preserve"> </w:t>
            </w:r>
            <w:r w:rsidRPr="00DF1884">
              <w:rPr>
                <w:b/>
              </w:rPr>
              <w:t>FACS</w:t>
            </w:r>
            <w:r w:rsidRPr="00DF1884">
              <w:rPr>
                <w:b/>
              </w:rPr>
              <w:br/>
            </w:r>
            <w:r w:rsidRPr="00DF1884">
              <w:t>Stevens</w:t>
            </w:r>
            <w:r w:rsidR="00DF1884" w:rsidRPr="00DF1884">
              <w:t xml:space="preserve"> </w:t>
            </w:r>
            <w:r w:rsidRPr="00DF1884">
              <w:t>Lee</w:t>
            </w:r>
            <w:r w:rsidR="00DF1884" w:rsidRPr="00DF1884">
              <w:rPr>
                <w:b/>
              </w:rPr>
              <w:t xml:space="preserve"> </w:t>
            </w:r>
          </w:p>
          <w:p w14:paraId="42E456BA" w14:textId="1BA7B78A" w:rsidR="00463667" w:rsidRPr="00DF1884" w:rsidRDefault="00463667" w:rsidP="00C56CA6">
            <w:pPr>
              <w:spacing w:before="180"/>
              <w:rPr>
                <w:b/>
              </w:rPr>
            </w:pPr>
            <w:r w:rsidRPr="00DF1884">
              <w:rPr>
                <w:b/>
              </w:rPr>
              <w:t>Dolores</w:t>
            </w:r>
            <w:r w:rsidR="00DF1884" w:rsidRPr="00DF1884">
              <w:rPr>
                <w:b/>
              </w:rPr>
              <w:t xml:space="preserve"> </w:t>
            </w:r>
            <w:r w:rsidRPr="00DF1884">
              <w:rPr>
                <w:b/>
              </w:rPr>
              <w:t>Yanagihara,</w:t>
            </w:r>
            <w:r w:rsidR="00DF1884" w:rsidRPr="00DF1884">
              <w:rPr>
                <w:b/>
              </w:rPr>
              <w:t xml:space="preserve"> </w:t>
            </w:r>
            <w:r w:rsidRPr="00DF1884">
              <w:rPr>
                <w:b/>
              </w:rPr>
              <w:t>MPH</w:t>
            </w:r>
            <w:r w:rsidRPr="00DF1884">
              <w:rPr>
                <w:b/>
              </w:rPr>
              <w:br/>
            </w:r>
            <w:r w:rsidRPr="00DF1884">
              <w:t>Integrated</w:t>
            </w:r>
            <w:r w:rsidR="00DF1884" w:rsidRPr="00DF1884">
              <w:t xml:space="preserve"> </w:t>
            </w:r>
            <w:r w:rsidRPr="00DF1884">
              <w:t>Healthcare</w:t>
            </w:r>
            <w:r w:rsidR="00DF1884" w:rsidRPr="00DF1884">
              <w:t xml:space="preserve"> </w:t>
            </w:r>
            <w:r w:rsidRPr="00DF1884">
              <w:t>Association</w:t>
            </w:r>
          </w:p>
          <w:p w14:paraId="4CDFF071" w14:textId="77777777" w:rsidR="00463667" w:rsidRPr="00DF1884" w:rsidRDefault="00463667" w:rsidP="00C56CA6">
            <w:pPr>
              <w:spacing w:before="180"/>
            </w:pPr>
          </w:p>
        </w:tc>
      </w:tr>
    </w:tbl>
    <w:p w14:paraId="2018DB7C" w14:textId="77777777" w:rsidR="00463667" w:rsidRPr="00DF1884" w:rsidRDefault="00463667" w:rsidP="00463667"/>
    <w:p w14:paraId="74A8F5CA" w14:textId="77777777" w:rsidR="00463667" w:rsidRPr="00DF1884" w:rsidRDefault="00463667" w:rsidP="00463667"/>
    <w:p w14:paraId="10EA4D1B" w14:textId="77777777" w:rsidR="00463667" w:rsidRPr="00DF1884" w:rsidRDefault="00463667" w:rsidP="00463667"/>
    <w:p w14:paraId="079CCF11" w14:textId="77777777" w:rsidR="00463667" w:rsidRPr="00DF1884" w:rsidRDefault="00463667" w:rsidP="00463667"/>
    <w:p w14:paraId="25C072E1" w14:textId="77777777" w:rsidR="00463667" w:rsidRPr="00DF1884" w:rsidRDefault="00463667" w:rsidP="00463667"/>
    <w:p w14:paraId="6303E1F3" w14:textId="77777777" w:rsidR="00463667" w:rsidRPr="00DF1884" w:rsidRDefault="00463667" w:rsidP="00463667"/>
    <w:p w14:paraId="27001AAB" w14:textId="77777777" w:rsidR="00463667" w:rsidRPr="00DF1884" w:rsidRDefault="00463667" w:rsidP="00463667"/>
    <w:p w14:paraId="4A0BE178" w14:textId="77777777" w:rsidR="00463667" w:rsidRPr="00DF1884" w:rsidRDefault="00463667" w:rsidP="00463667"/>
    <w:p w14:paraId="44D5A025" w14:textId="77777777" w:rsidR="00463667" w:rsidRPr="00DF1884" w:rsidRDefault="00463667" w:rsidP="00463667"/>
    <w:p w14:paraId="526D8654" w14:textId="77777777" w:rsidR="00463667" w:rsidRPr="00DF1884" w:rsidRDefault="00463667" w:rsidP="00463667">
      <w:pPr>
        <w:sectPr w:rsidR="00463667" w:rsidRPr="00DF1884" w:rsidSect="0039781B">
          <w:headerReference w:type="even" r:id="rId115"/>
          <w:headerReference w:type="default" r:id="rId116"/>
          <w:footerReference w:type="default" r:id="rId117"/>
          <w:pgSz w:w="12240" w:h="15840" w:code="1"/>
          <w:pgMar w:top="1080" w:right="1080" w:bottom="1080" w:left="1440" w:header="720" w:footer="720" w:gutter="0"/>
          <w:cols w:space="720"/>
        </w:sectPr>
      </w:pPr>
    </w:p>
    <w:p w14:paraId="4EC72B04" w14:textId="459790EC" w:rsidR="00463667" w:rsidRPr="00DF1884" w:rsidRDefault="00463667" w:rsidP="00202CAE">
      <w:pPr>
        <w:pStyle w:val="ReverseHead"/>
        <w:spacing w:before="0"/>
      </w:pPr>
      <w:r w:rsidRPr="00DF1884">
        <w:t>Perinatal</w:t>
      </w:r>
      <w:r w:rsidR="00DF1884" w:rsidRPr="00DF1884">
        <w:t xml:space="preserve"> </w:t>
      </w:r>
      <w:r w:rsidRPr="00DF1884">
        <w:t>Care</w:t>
      </w:r>
      <w:r w:rsidR="00DF1884" w:rsidRPr="00DF1884">
        <w:t xml:space="preserve"> </w:t>
      </w:r>
      <w:r w:rsidRPr="00DF1884">
        <w:t>Measurement</w:t>
      </w:r>
      <w:r w:rsidR="00DF1884" w:rsidRPr="00DF1884">
        <w:t xml:space="preserve"> </w:t>
      </w:r>
      <w:r w:rsidRPr="00DF1884">
        <w:t>Advisory</w:t>
      </w:r>
      <w:r w:rsidR="00DF1884" w:rsidRPr="00DF1884">
        <w:t xml:space="preserve"> </w:t>
      </w:r>
      <w:r w:rsidRPr="00DF1884">
        <w:t>Panel</w:t>
      </w:r>
      <w:r w:rsidR="00DF1884" w:rsidRPr="00DF1884">
        <w:t xml:space="preserve"> </w:t>
      </w:r>
    </w:p>
    <w:tbl>
      <w:tblPr>
        <w:tblW w:w="0" w:type="auto"/>
        <w:tblLayout w:type="fixed"/>
        <w:tblLook w:val="0000" w:firstRow="0" w:lastRow="0" w:firstColumn="0" w:lastColumn="0" w:noHBand="0" w:noVBand="0"/>
      </w:tblPr>
      <w:tblGrid>
        <w:gridCol w:w="4878"/>
        <w:gridCol w:w="4842"/>
      </w:tblGrid>
      <w:tr w:rsidR="00463667" w:rsidRPr="00DF1884" w14:paraId="310E05AC" w14:textId="77777777" w:rsidTr="00C56CA6">
        <w:trPr>
          <w:cantSplit/>
          <w:trHeight w:val="2673"/>
        </w:trPr>
        <w:tc>
          <w:tcPr>
            <w:tcW w:w="4878" w:type="dxa"/>
            <w:tcBorders>
              <w:bottom w:val="nil"/>
            </w:tcBorders>
          </w:tcPr>
          <w:p w14:paraId="49CA24E0" w14:textId="5FCA35D2" w:rsidR="00463667" w:rsidRPr="00DF1884" w:rsidRDefault="00463667" w:rsidP="00C56CA6">
            <w:pPr>
              <w:spacing w:before="180"/>
              <w:rPr>
                <w:bCs/>
              </w:rPr>
            </w:pPr>
            <w:r w:rsidRPr="00DF1884">
              <w:rPr>
                <w:b/>
              </w:rPr>
              <w:t>Eli</w:t>
            </w:r>
            <w:r w:rsidR="00DF1884" w:rsidRPr="00DF1884">
              <w:rPr>
                <w:b/>
              </w:rPr>
              <w:t xml:space="preserve"> </w:t>
            </w:r>
            <w:r w:rsidRPr="00DF1884">
              <w:rPr>
                <w:b/>
              </w:rPr>
              <w:t>Y.</w:t>
            </w:r>
            <w:r w:rsidR="00DF1884" w:rsidRPr="00DF1884">
              <w:rPr>
                <w:b/>
              </w:rPr>
              <w:t xml:space="preserve"> </w:t>
            </w:r>
            <w:r w:rsidRPr="00DF1884">
              <w:rPr>
                <w:b/>
              </w:rPr>
              <w:t>Adashi,</w:t>
            </w:r>
            <w:r w:rsidR="00DF1884" w:rsidRPr="00DF1884">
              <w:rPr>
                <w:b/>
              </w:rPr>
              <w:t xml:space="preserve"> </w:t>
            </w:r>
            <w:r w:rsidRPr="00DF1884">
              <w:rPr>
                <w:b/>
              </w:rPr>
              <w:t>MD,</w:t>
            </w:r>
            <w:r w:rsidR="00DF1884" w:rsidRPr="00DF1884">
              <w:rPr>
                <w:b/>
              </w:rPr>
              <w:t xml:space="preserve"> </w:t>
            </w:r>
            <w:r w:rsidRPr="00DF1884">
              <w:rPr>
                <w:b/>
              </w:rPr>
              <w:t>MS,</w:t>
            </w:r>
            <w:r w:rsidR="00DF1884" w:rsidRPr="00DF1884">
              <w:rPr>
                <w:b/>
              </w:rPr>
              <w:t xml:space="preserve"> </w:t>
            </w:r>
            <w:r w:rsidRPr="00DF1884">
              <w:rPr>
                <w:b/>
              </w:rPr>
              <w:t>CPE,</w:t>
            </w:r>
            <w:r w:rsidR="00DF1884" w:rsidRPr="00DF1884">
              <w:rPr>
                <w:b/>
              </w:rPr>
              <w:t xml:space="preserve"> </w:t>
            </w:r>
            <w:r w:rsidRPr="00DF1884">
              <w:rPr>
                <w:b/>
              </w:rPr>
              <w:t>FACOG</w:t>
            </w:r>
            <w:r w:rsidRPr="00DF1884">
              <w:rPr>
                <w:b/>
              </w:rPr>
              <w:br/>
            </w:r>
            <w:r w:rsidRPr="00DF1884">
              <w:rPr>
                <w:bCs/>
              </w:rPr>
              <w:t>Brown</w:t>
            </w:r>
            <w:r w:rsidR="00DF1884" w:rsidRPr="00DF1884">
              <w:rPr>
                <w:bCs/>
              </w:rPr>
              <w:t xml:space="preserve"> </w:t>
            </w:r>
            <w:r w:rsidRPr="00DF1884">
              <w:rPr>
                <w:bCs/>
              </w:rPr>
              <w:t>University</w:t>
            </w:r>
          </w:p>
          <w:p w14:paraId="6AF578D8" w14:textId="261CF509" w:rsidR="00463667" w:rsidRPr="00DF1884" w:rsidRDefault="00463667" w:rsidP="00C56CA6">
            <w:pPr>
              <w:spacing w:before="180"/>
            </w:pPr>
            <w:r w:rsidRPr="00DF1884">
              <w:rPr>
                <w:b/>
              </w:rPr>
              <w:t>Hani</w:t>
            </w:r>
            <w:r w:rsidR="00DF1884" w:rsidRPr="00DF1884">
              <w:rPr>
                <w:b/>
              </w:rPr>
              <w:t xml:space="preserve"> </w:t>
            </w:r>
            <w:r w:rsidRPr="00DF1884">
              <w:rPr>
                <w:b/>
              </w:rPr>
              <w:t>Atrash,</w:t>
            </w:r>
            <w:r w:rsidR="00DF1884" w:rsidRPr="00DF1884">
              <w:rPr>
                <w:b/>
              </w:rPr>
              <w:t xml:space="preserve"> </w:t>
            </w:r>
            <w:r w:rsidRPr="00DF1884">
              <w:rPr>
                <w:b/>
              </w:rPr>
              <w:t>MD</w:t>
            </w:r>
            <w:r w:rsidRPr="00DF1884">
              <w:rPr>
                <w:b/>
              </w:rPr>
              <w:br/>
            </w:r>
            <w:r w:rsidRPr="00DF1884">
              <w:t>Health</w:t>
            </w:r>
            <w:r w:rsidR="00DF1884" w:rsidRPr="00DF1884">
              <w:t xml:space="preserve"> </w:t>
            </w:r>
            <w:r w:rsidRPr="00DF1884">
              <w:t>Resources</w:t>
            </w:r>
            <w:r w:rsidR="00DF1884" w:rsidRPr="00DF1884">
              <w:t xml:space="preserve"> </w:t>
            </w:r>
            <w:r w:rsidRPr="00DF1884">
              <w:t>and</w:t>
            </w:r>
            <w:r w:rsidR="00DF1884" w:rsidRPr="00DF1884">
              <w:t xml:space="preserve"> </w:t>
            </w:r>
            <w:r w:rsidRPr="00DF1884">
              <w:t>Services</w:t>
            </w:r>
            <w:r w:rsidR="00DF1884" w:rsidRPr="00DF1884">
              <w:t xml:space="preserve"> </w:t>
            </w:r>
            <w:r w:rsidRPr="00DF1884">
              <w:t>Administration</w:t>
            </w:r>
          </w:p>
          <w:p w14:paraId="6629DDA5" w14:textId="4DC87682" w:rsidR="00463667" w:rsidRPr="00DF1884" w:rsidRDefault="00463667" w:rsidP="00C56CA6">
            <w:pPr>
              <w:spacing w:before="180"/>
            </w:pPr>
            <w:r w:rsidRPr="00DF1884">
              <w:rPr>
                <w:b/>
              </w:rPr>
              <w:t>Sean</w:t>
            </w:r>
            <w:r w:rsidR="00DF1884" w:rsidRPr="00DF1884">
              <w:rPr>
                <w:b/>
              </w:rPr>
              <w:t xml:space="preserve"> </w:t>
            </w:r>
            <w:r w:rsidRPr="00DF1884">
              <w:rPr>
                <w:b/>
              </w:rPr>
              <w:t>Currigan,</w:t>
            </w:r>
            <w:r w:rsidR="00DF1884" w:rsidRPr="00DF1884">
              <w:rPr>
                <w:b/>
              </w:rPr>
              <w:t xml:space="preserve"> </w:t>
            </w:r>
            <w:r w:rsidRPr="00DF1884">
              <w:rPr>
                <w:b/>
              </w:rPr>
              <w:t>MPH</w:t>
            </w:r>
            <w:r w:rsidRPr="00DF1884">
              <w:br/>
              <w:t>American</w:t>
            </w:r>
            <w:r w:rsidR="00DF1884" w:rsidRPr="00DF1884">
              <w:t xml:space="preserve"> </w:t>
            </w:r>
            <w:r w:rsidRPr="00DF1884">
              <w:t>College</w:t>
            </w:r>
            <w:r w:rsidR="00DF1884" w:rsidRPr="00DF1884">
              <w:t xml:space="preserve"> </w:t>
            </w:r>
            <w:r w:rsidRPr="00DF1884">
              <w:t>of</w:t>
            </w:r>
            <w:r w:rsidR="00DF1884" w:rsidRPr="00DF1884">
              <w:t xml:space="preserve"> </w:t>
            </w:r>
            <w:r w:rsidRPr="00DF1884">
              <w:t>Obstetricians</w:t>
            </w:r>
            <w:r w:rsidR="00DF1884" w:rsidRPr="00DF1884">
              <w:t xml:space="preserve"> </w:t>
            </w:r>
            <w:r w:rsidRPr="00DF1884">
              <w:t>and</w:t>
            </w:r>
            <w:r w:rsidR="00DF1884" w:rsidRPr="00DF1884">
              <w:t xml:space="preserve"> </w:t>
            </w:r>
            <w:r w:rsidRPr="00DF1884">
              <w:t>Gynecologists</w:t>
            </w:r>
          </w:p>
          <w:p w14:paraId="6F28E16C" w14:textId="3BCDD015" w:rsidR="00463667" w:rsidRPr="00DF1884" w:rsidRDefault="00463667" w:rsidP="00C56CA6">
            <w:pPr>
              <w:spacing w:before="180"/>
            </w:pPr>
            <w:r w:rsidRPr="00DF1884">
              <w:rPr>
                <w:b/>
              </w:rPr>
              <w:t>Nicole</w:t>
            </w:r>
            <w:r w:rsidR="00DF1884" w:rsidRPr="00DF1884">
              <w:rPr>
                <w:b/>
              </w:rPr>
              <w:t xml:space="preserve"> </w:t>
            </w:r>
            <w:r w:rsidRPr="00DF1884">
              <w:rPr>
                <w:b/>
              </w:rPr>
              <w:t>Garro,</w:t>
            </w:r>
            <w:r w:rsidR="00DF1884" w:rsidRPr="00DF1884">
              <w:rPr>
                <w:b/>
              </w:rPr>
              <w:t xml:space="preserve"> </w:t>
            </w:r>
            <w:r w:rsidRPr="00DF1884">
              <w:rPr>
                <w:b/>
              </w:rPr>
              <w:t>MPH</w:t>
            </w:r>
            <w:r w:rsidRPr="00DF1884">
              <w:br/>
              <w:t>March</w:t>
            </w:r>
            <w:r w:rsidR="00DF1884" w:rsidRPr="00DF1884">
              <w:t xml:space="preserve"> </w:t>
            </w:r>
            <w:r w:rsidRPr="00DF1884">
              <w:t>of</w:t>
            </w:r>
            <w:r w:rsidR="00DF1884" w:rsidRPr="00DF1884">
              <w:t xml:space="preserve"> </w:t>
            </w:r>
            <w:r w:rsidRPr="00DF1884">
              <w:t>Dimes</w:t>
            </w:r>
          </w:p>
          <w:p w14:paraId="0E5CEE50" w14:textId="57649480" w:rsidR="00463667" w:rsidRPr="00DF1884" w:rsidRDefault="00463667" w:rsidP="00C56CA6">
            <w:pPr>
              <w:spacing w:before="180"/>
            </w:pPr>
            <w:r w:rsidRPr="00DF1884">
              <w:rPr>
                <w:b/>
              </w:rPr>
              <w:t>Rebekah</w:t>
            </w:r>
            <w:r w:rsidR="00DF1884" w:rsidRPr="00DF1884">
              <w:rPr>
                <w:b/>
              </w:rPr>
              <w:t xml:space="preserve"> </w:t>
            </w:r>
            <w:r w:rsidRPr="00DF1884">
              <w:rPr>
                <w:b/>
              </w:rPr>
              <w:t>E.</w:t>
            </w:r>
            <w:r w:rsidR="00DF1884" w:rsidRPr="00DF1884">
              <w:rPr>
                <w:b/>
              </w:rPr>
              <w:t xml:space="preserve"> </w:t>
            </w:r>
            <w:r w:rsidRPr="00DF1884">
              <w:rPr>
                <w:b/>
              </w:rPr>
              <w:t>Gee,</w:t>
            </w:r>
            <w:r w:rsidR="00DF1884" w:rsidRPr="00DF1884">
              <w:rPr>
                <w:b/>
              </w:rPr>
              <w:t xml:space="preserve"> </w:t>
            </w:r>
            <w:r w:rsidRPr="00DF1884">
              <w:rPr>
                <w:b/>
              </w:rPr>
              <w:t>MD,</w:t>
            </w:r>
            <w:r w:rsidR="00DF1884" w:rsidRPr="00DF1884">
              <w:rPr>
                <w:b/>
              </w:rPr>
              <w:t xml:space="preserve"> </w:t>
            </w:r>
            <w:r w:rsidRPr="00DF1884">
              <w:rPr>
                <w:b/>
              </w:rPr>
              <w:t>MPH,</w:t>
            </w:r>
            <w:r w:rsidR="00DF1884" w:rsidRPr="00DF1884">
              <w:rPr>
                <w:b/>
              </w:rPr>
              <w:t xml:space="preserve"> </w:t>
            </w:r>
            <w:r w:rsidRPr="00DF1884">
              <w:rPr>
                <w:b/>
              </w:rPr>
              <w:t>FACOG</w:t>
            </w:r>
            <w:r w:rsidRPr="00DF1884">
              <w:rPr>
                <w:b/>
              </w:rPr>
              <w:br/>
            </w:r>
            <w:r w:rsidRPr="00DF1884">
              <w:t>Louisiana</w:t>
            </w:r>
            <w:r w:rsidR="00DF1884" w:rsidRPr="00DF1884">
              <w:t xml:space="preserve"> </w:t>
            </w:r>
            <w:r w:rsidRPr="00DF1884">
              <w:t>State</w:t>
            </w:r>
            <w:r w:rsidR="00DF1884" w:rsidRPr="00DF1884">
              <w:t xml:space="preserve"> </w:t>
            </w:r>
            <w:r w:rsidRPr="00DF1884">
              <w:t>University</w:t>
            </w:r>
            <w:r w:rsidR="00DF1884" w:rsidRPr="00DF1884">
              <w:t xml:space="preserve"> </w:t>
            </w:r>
            <w:r w:rsidRPr="00DF1884">
              <w:t>School</w:t>
            </w:r>
            <w:r w:rsidR="00DF1884" w:rsidRPr="00DF1884">
              <w:t xml:space="preserve"> </w:t>
            </w:r>
            <w:r w:rsidRPr="00DF1884">
              <w:t>of</w:t>
            </w:r>
            <w:r w:rsidR="00DF1884" w:rsidRPr="00DF1884">
              <w:t xml:space="preserve"> </w:t>
            </w:r>
            <w:r w:rsidRPr="00DF1884">
              <w:t>Public</w:t>
            </w:r>
            <w:r w:rsidR="00DF1884" w:rsidRPr="00DF1884">
              <w:t xml:space="preserve"> </w:t>
            </w:r>
            <w:r w:rsidRPr="00DF1884">
              <w:t>Health</w:t>
            </w:r>
          </w:p>
          <w:p w14:paraId="1E2F3321" w14:textId="4E33271B" w:rsidR="00463667" w:rsidRPr="00DF1884" w:rsidRDefault="00463667" w:rsidP="00C56CA6">
            <w:pPr>
              <w:spacing w:before="180"/>
            </w:pPr>
            <w:r w:rsidRPr="00DF1884">
              <w:rPr>
                <w:b/>
              </w:rPr>
              <w:t>Tina</w:t>
            </w:r>
            <w:r w:rsidR="00DF1884" w:rsidRPr="00DF1884">
              <w:rPr>
                <w:b/>
              </w:rPr>
              <w:t xml:space="preserve"> </w:t>
            </w:r>
            <w:r w:rsidRPr="00DF1884">
              <w:rPr>
                <w:b/>
              </w:rPr>
              <w:t>D.</w:t>
            </w:r>
            <w:r w:rsidR="00DF1884" w:rsidRPr="00DF1884">
              <w:rPr>
                <w:b/>
              </w:rPr>
              <w:t xml:space="preserve"> </w:t>
            </w:r>
            <w:r w:rsidRPr="00DF1884">
              <w:rPr>
                <w:b/>
              </w:rPr>
              <w:t>Groat,</w:t>
            </w:r>
            <w:r w:rsidR="00DF1884" w:rsidRPr="00DF1884">
              <w:rPr>
                <w:b/>
              </w:rPr>
              <w:t xml:space="preserve"> </w:t>
            </w:r>
            <w:r w:rsidRPr="00DF1884">
              <w:rPr>
                <w:b/>
              </w:rPr>
              <w:t>MD,</w:t>
            </w:r>
            <w:r w:rsidR="00DF1884" w:rsidRPr="00DF1884">
              <w:rPr>
                <w:b/>
              </w:rPr>
              <w:t xml:space="preserve"> </w:t>
            </w:r>
            <w:r w:rsidRPr="00DF1884">
              <w:rPr>
                <w:b/>
              </w:rPr>
              <w:t>MPH,</w:t>
            </w:r>
            <w:r w:rsidR="00DF1884" w:rsidRPr="00DF1884">
              <w:rPr>
                <w:b/>
              </w:rPr>
              <w:t xml:space="preserve"> </w:t>
            </w:r>
            <w:r w:rsidRPr="00DF1884">
              <w:rPr>
                <w:b/>
              </w:rPr>
              <w:t>FACOG</w:t>
            </w:r>
            <w:r w:rsidRPr="00DF1884">
              <w:rPr>
                <w:b/>
              </w:rPr>
              <w:br/>
            </w:r>
            <w:r w:rsidRPr="00DF1884">
              <w:t>UnitedHealthcare</w:t>
            </w:r>
          </w:p>
        </w:tc>
        <w:tc>
          <w:tcPr>
            <w:tcW w:w="4842" w:type="dxa"/>
            <w:tcBorders>
              <w:bottom w:val="nil"/>
            </w:tcBorders>
          </w:tcPr>
          <w:p w14:paraId="13C93815" w14:textId="12910951" w:rsidR="00463667" w:rsidRPr="00DF1884" w:rsidRDefault="00463667" w:rsidP="00C56CA6">
            <w:pPr>
              <w:spacing w:before="180"/>
            </w:pPr>
            <w:r w:rsidRPr="00DF1884">
              <w:rPr>
                <w:b/>
              </w:rPr>
              <w:t>Renee</w:t>
            </w:r>
            <w:r w:rsidR="00DF1884" w:rsidRPr="00DF1884">
              <w:rPr>
                <w:b/>
              </w:rPr>
              <w:t xml:space="preserve"> </w:t>
            </w:r>
            <w:r w:rsidRPr="00DF1884">
              <w:rPr>
                <w:b/>
              </w:rPr>
              <w:t>Miskimmin,</w:t>
            </w:r>
            <w:r w:rsidR="00DF1884" w:rsidRPr="00DF1884">
              <w:rPr>
                <w:b/>
              </w:rPr>
              <w:t xml:space="preserve"> </w:t>
            </w:r>
            <w:r w:rsidRPr="00DF1884">
              <w:rPr>
                <w:b/>
              </w:rPr>
              <w:t>MD,</w:t>
            </w:r>
            <w:r w:rsidR="00DF1884" w:rsidRPr="00DF1884">
              <w:rPr>
                <w:b/>
              </w:rPr>
              <w:t xml:space="preserve"> </w:t>
            </w:r>
            <w:r w:rsidRPr="00DF1884">
              <w:rPr>
                <w:b/>
              </w:rPr>
              <w:t>MBA,</w:t>
            </w:r>
            <w:r w:rsidR="00DF1884" w:rsidRPr="00DF1884">
              <w:rPr>
                <w:b/>
              </w:rPr>
              <w:t xml:space="preserve"> </w:t>
            </w:r>
            <w:r w:rsidRPr="00DF1884">
              <w:rPr>
                <w:b/>
              </w:rPr>
              <w:t>FAAFP</w:t>
            </w:r>
            <w:r w:rsidR="00DF1884" w:rsidRPr="00DF1884">
              <w:rPr>
                <w:b/>
              </w:rPr>
              <w:t xml:space="preserve"> </w:t>
            </w:r>
            <w:r w:rsidRPr="00DF1884">
              <w:rPr>
                <w:b/>
              </w:rPr>
              <w:br/>
            </w:r>
            <w:r w:rsidRPr="00DF1884">
              <w:t>Virginia</w:t>
            </w:r>
            <w:r w:rsidR="00DF1884" w:rsidRPr="00DF1884">
              <w:t xml:space="preserve"> </w:t>
            </w:r>
            <w:r w:rsidRPr="00DF1884">
              <w:t>Premier</w:t>
            </w:r>
            <w:r w:rsidR="00DF1884" w:rsidRPr="00DF1884">
              <w:t xml:space="preserve"> </w:t>
            </w:r>
            <w:r w:rsidRPr="00DF1884">
              <w:t>Health</w:t>
            </w:r>
            <w:r w:rsidR="00DF1884" w:rsidRPr="00DF1884">
              <w:t xml:space="preserve"> </w:t>
            </w:r>
            <w:r w:rsidRPr="00DF1884">
              <w:t>Plan</w:t>
            </w:r>
          </w:p>
          <w:p w14:paraId="29792EDC" w14:textId="158A4AFB" w:rsidR="00463667" w:rsidRPr="00DF1884" w:rsidRDefault="00463667" w:rsidP="00C56CA6">
            <w:pPr>
              <w:spacing w:before="180"/>
              <w:rPr>
                <w:b/>
              </w:rPr>
            </w:pPr>
            <w:r w:rsidRPr="00DF1884">
              <w:rPr>
                <w:b/>
              </w:rPr>
              <w:t>Catherine</w:t>
            </w:r>
            <w:r w:rsidR="00DF1884" w:rsidRPr="00DF1884">
              <w:rPr>
                <w:b/>
              </w:rPr>
              <w:t xml:space="preserve"> </w:t>
            </w:r>
            <w:r w:rsidRPr="00DF1884">
              <w:rPr>
                <w:b/>
              </w:rPr>
              <w:t>Ruhl,</w:t>
            </w:r>
            <w:r w:rsidR="00DF1884" w:rsidRPr="00DF1884">
              <w:rPr>
                <w:b/>
              </w:rPr>
              <w:t xml:space="preserve"> </w:t>
            </w:r>
            <w:r w:rsidRPr="00DF1884">
              <w:rPr>
                <w:b/>
              </w:rPr>
              <w:t>MS,</w:t>
            </w:r>
            <w:r w:rsidR="00DF1884" w:rsidRPr="00DF1884">
              <w:rPr>
                <w:b/>
              </w:rPr>
              <w:t xml:space="preserve"> </w:t>
            </w:r>
            <w:r w:rsidRPr="00DF1884">
              <w:rPr>
                <w:b/>
              </w:rPr>
              <w:t>CNM</w:t>
            </w:r>
            <w:r w:rsidR="00DF1884" w:rsidRPr="00DF1884">
              <w:rPr>
                <w:b/>
              </w:rPr>
              <w:t xml:space="preserve"> </w:t>
            </w:r>
            <w:r w:rsidRPr="00DF1884">
              <w:rPr>
                <w:b/>
              </w:rPr>
              <w:br/>
            </w:r>
            <w:r w:rsidRPr="00DF1884">
              <w:t>Association</w:t>
            </w:r>
            <w:r w:rsidR="00DF1884" w:rsidRPr="00DF1884">
              <w:t xml:space="preserve"> </w:t>
            </w:r>
            <w:r w:rsidRPr="00DF1884">
              <w:t>of</w:t>
            </w:r>
            <w:r w:rsidR="00DF1884" w:rsidRPr="00DF1884">
              <w:t xml:space="preserve"> </w:t>
            </w:r>
            <w:r w:rsidRPr="00DF1884">
              <w:t>Women’s</w:t>
            </w:r>
            <w:r w:rsidR="00DF1884" w:rsidRPr="00DF1884">
              <w:t xml:space="preserve"> </w:t>
            </w:r>
            <w:r w:rsidRPr="00DF1884">
              <w:t>Health,</w:t>
            </w:r>
            <w:r w:rsidR="00DF1884" w:rsidRPr="00DF1884">
              <w:t xml:space="preserve"> </w:t>
            </w:r>
            <w:r w:rsidRPr="00DF1884">
              <w:t>Obstetric</w:t>
            </w:r>
            <w:r w:rsidR="00DF1884" w:rsidRPr="00DF1884">
              <w:t xml:space="preserve"> </w:t>
            </w:r>
            <w:r w:rsidRPr="00DF1884">
              <w:t>and</w:t>
            </w:r>
            <w:r w:rsidR="00DF1884" w:rsidRPr="00DF1884">
              <w:t xml:space="preserve"> </w:t>
            </w:r>
            <w:r w:rsidRPr="00DF1884">
              <w:t>Neonatal</w:t>
            </w:r>
            <w:r w:rsidR="00DF1884" w:rsidRPr="00DF1884">
              <w:t xml:space="preserve"> </w:t>
            </w:r>
            <w:r w:rsidRPr="00DF1884">
              <w:t>Nurses</w:t>
            </w:r>
          </w:p>
          <w:p w14:paraId="29076E5D" w14:textId="2350225A" w:rsidR="00463667" w:rsidRPr="00DF1884" w:rsidRDefault="00463667" w:rsidP="00C56CA6">
            <w:pPr>
              <w:spacing w:before="180"/>
              <w:rPr>
                <w:b/>
              </w:rPr>
            </w:pPr>
            <w:r w:rsidRPr="00DF1884">
              <w:rPr>
                <w:b/>
              </w:rPr>
              <w:t>Carol</w:t>
            </w:r>
            <w:r w:rsidR="00DF1884" w:rsidRPr="00DF1884">
              <w:rPr>
                <w:b/>
              </w:rPr>
              <w:t xml:space="preserve"> </w:t>
            </w:r>
            <w:r w:rsidRPr="00DF1884">
              <w:rPr>
                <w:b/>
              </w:rPr>
              <w:t>Sakala,</w:t>
            </w:r>
            <w:r w:rsidR="00DF1884" w:rsidRPr="00DF1884">
              <w:rPr>
                <w:b/>
              </w:rPr>
              <w:t xml:space="preserve"> </w:t>
            </w:r>
            <w:r w:rsidRPr="00DF1884">
              <w:rPr>
                <w:b/>
              </w:rPr>
              <w:t>PhD,</w:t>
            </w:r>
            <w:r w:rsidR="00DF1884" w:rsidRPr="00DF1884">
              <w:rPr>
                <w:b/>
              </w:rPr>
              <w:t xml:space="preserve"> </w:t>
            </w:r>
            <w:r w:rsidRPr="00DF1884">
              <w:rPr>
                <w:b/>
              </w:rPr>
              <w:t>MSPH</w:t>
            </w:r>
            <w:r w:rsidRPr="00DF1884">
              <w:br/>
              <w:t>National</w:t>
            </w:r>
            <w:r w:rsidR="00DF1884" w:rsidRPr="00DF1884">
              <w:t xml:space="preserve"> </w:t>
            </w:r>
            <w:r w:rsidRPr="00DF1884">
              <w:t>Partnership</w:t>
            </w:r>
            <w:r w:rsidR="00DF1884" w:rsidRPr="00DF1884">
              <w:t xml:space="preserve"> </w:t>
            </w:r>
            <w:r w:rsidRPr="00DF1884">
              <w:t>for</w:t>
            </w:r>
            <w:r w:rsidR="00DF1884" w:rsidRPr="00DF1884">
              <w:t xml:space="preserve"> </w:t>
            </w:r>
            <w:r w:rsidRPr="00DF1884">
              <w:t>Women</w:t>
            </w:r>
            <w:r w:rsidR="00DF1884" w:rsidRPr="00DF1884">
              <w:t xml:space="preserve"> </w:t>
            </w:r>
            <w:r w:rsidRPr="00DF1884">
              <w:t>&amp;</w:t>
            </w:r>
            <w:r w:rsidR="00DF1884" w:rsidRPr="00DF1884">
              <w:t xml:space="preserve"> </w:t>
            </w:r>
            <w:r w:rsidRPr="00DF1884">
              <w:t>Families</w:t>
            </w:r>
          </w:p>
          <w:p w14:paraId="1D21A15B" w14:textId="21136720" w:rsidR="00463667" w:rsidRPr="00DF1884" w:rsidRDefault="00463667" w:rsidP="00C56CA6">
            <w:pPr>
              <w:spacing w:before="180"/>
              <w:rPr>
                <w:b/>
              </w:rPr>
            </w:pPr>
            <w:r w:rsidRPr="00DF1884">
              <w:rPr>
                <w:b/>
              </w:rPr>
              <w:t>Carol</w:t>
            </w:r>
            <w:r w:rsidR="00DF1884" w:rsidRPr="00DF1884">
              <w:rPr>
                <w:b/>
              </w:rPr>
              <w:t xml:space="preserve"> </w:t>
            </w:r>
            <w:r w:rsidRPr="00DF1884">
              <w:rPr>
                <w:b/>
              </w:rPr>
              <w:t>S.</w:t>
            </w:r>
            <w:r w:rsidR="00DF1884" w:rsidRPr="00DF1884">
              <w:rPr>
                <w:b/>
              </w:rPr>
              <w:t xml:space="preserve"> </w:t>
            </w:r>
            <w:r w:rsidRPr="00DF1884">
              <w:rPr>
                <w:b/>
              </w:rPr>
              <w:t>Weisman,</w:t>
            </w:r>
            <w:r w:rsidR="00DF1884" w:rsidRPr="00DF1884">
              <w:rPr>
                <w:b/>
              </w:rPr>
              <w:t xml:space="preserve"> </w:t>
            </w:r>
            <w:r w:rsidRPr="00DF1884">
              <w:rPr>
                <w:b/>
              </w:rPr>
              <w:t>PhD</w:t>
            </w:r>
            <w:r w:rsidRPr="00DF1884">
              <w:rPr>
                <w:b/>
              </w:rPr>
              <w:br/>
            </w:r>
            <w:r w:rsidRPr="00DF1884">
              <w:t>Penn</w:t>
            </w:r>
            <w:r w:rsidR="00DF1884" w:rsidRPr="00DF1884">
              <w:t xml:space="preserve"> </w:t>
            </w:r>
            <w:r w:rsidRPr="00DF1884">
              <w:t>State</w:t>
            </w:r>
            <w:r w:rsidR="00DF1884" w:rsidRPr="00DF1884">
              <w:t xml:space="preserve"> </w:t>
            </w:r>
            <w:r w:rsidRPr="00DF1884">
              <w:t>College</w:t>
            </w:r>
            <w:r w:rsidR="00DF1884" w:rsidRPr="00DF1884">
              <w:t xml:space="preserve"> </w:t>
            </w:r>
            <w:r w:rsidRPr="00DF1884">
              <w:t>of</w:t>
            </w:r>
            <w:r w:rsidR="00DF1884" w:rsidRPr="00DF1884">
              <w:t xml:space="preserve"> </w:t>
            </w:r>
            <w:r w:rsidRPr="00DF1884">
              <w:t>Medicine</w:t>
            </w:r>
            <w:r w:rsidR="00DF1884" w:rsidRPr="00DF1884">
              <w:rPr>
                <w:b/>
              </w:rPr>
              <w:t xml:space="preserve"> </w:t>
            </w:r>
          </w:p>
          <w:p w14:paraId="2E37E30C" w14:textId="68D8A1D7" w:rsidR="00463667" w:rsidRPr="00DF1884" w:rsidRDefault="00463667" w:rsidP="00C56CA6">
            <w:pPr>
              <w:spacing w:before="180"/>
            </w:pPr>
            <w:r w:rsidRPr="00DF1884">
              <w:rPr>
                <w:b/>
              </w:rPr>
              <w:t>Carolyn</w:t>
            </w:r>
            <w:r w:rsidR="00DF1884" w:rsidRPr="00DF1884">
              <w:rPr>
                <w:b/>
              </w:rPr>
              <w:t xml:space="preserve"> </w:t>
            </w:r>
            <w:r w:rsidRPr="00DF1884">
              <w:rPr>
                <w:b/>
              </w:rPr>
              <w:t>L.</w:t>
            </w:r>
            <w:r w:rsidR="00DF1884" w:rsidRPr="00DF1884">
              <w:rPr>
                <w:b/>
              </w:rPr>
              <w:t xml:space="preserve"> </w:t>
            </w:r>
            <w:r w:rsidRPr="00DF1884">
              <w:rPr>
                <w:b/>
              </w:rPr>
              <w:t>Westhoff,</w:t>
            </w:r>
            <w:r w:rsidR="00DF1884" w:rsidRPr="00DF1884">
              <w:rPr>
                <w:b/>
              </w:rPr>
              <w:t xml:space="preserve"> </w:t>
            </w:r>
            <w:r w:rsidRPr="00DF1884">
              <w:rPr>
                <w:b/>
              </w:rPr>
              <w:t>MD,</w:t>
            </w:r>
            <w:r w:rsidR="00DF1884" w:rsidRPr="00DF1884">
              <w:rPr>
                <w:b/>
              </w:rPr>
              <w:t xml:space="preserve"> </w:t>
            </w:r>
            <w:r w:rsidRPr="00DF1884">
              <w:rPr>
                <w:b/>
              </w:rPr>
              <w:t>MSc</w:t>
            </w:r>
            <w:r w:rsidRPr="00DF1884">
              <w:rPr>
                <w:b/>
              </w:rPr>
              <w:br/>
            </w:r>
            <w:r w:rsidRPr="00DF1884">
              <w:t>Planned</w:t>
            </w:r>
            <w:r w:rsidR="00DF1884" w:rsidRPr="00DF1884">
              <w:t xml:space="preserve"> </w:t>
            </w:r>
            <w:r w:rsidRPr="00DF1884">
              <w:t>Parenthood</w:t>
            </w:r>
            <w:r w:rsidR="00DF1884" w:rsidRPr="00DF1884">
              <w:t xml:space="preserve"> </w:t>
            </w:r>
            <w:r w:rsidRPr="00DF1884">
              <w:t>Federation</w:t>
            </w:r>
            <w:r w:rsidR="00DF1884" w:rsidRPr="00DF1884">
              <w:t xml:space="preserve"> </w:t>
            </w:r>
            <w:r w:rsidRPr="00DF1884">
              <w:t>of</w:t>
            </w:r>
            <w:r w:rsidR="00DF1884" w:rsidRPr="00DF1884">
              <w:t xml:space="preserve"> </w:t>
            </w:r>
            <w:r w:rsidRPr="00DF1884">
              <w:t>America</w:t>
            </w:r>
            <w:r w:rsidR="00DF1884" w:rsidRPr="00DF1884">
              <w:rPr>
                <w:b/>
              </w:rPr>
              <w:t xml:space="preserve"> </w:t>
            </w:r>
          </w:p>
        </w:tc>
      </w:tr>
    </w:tbl>
    <w:p w14:paraId="01FC67D0" w14:textId="53BFAD44" w:rsidR="00463667" w:rsidRPr="00DF1884" w:rsidRDefault="00463667" w:rsidP="00202CAE">
      <w:pPr>
        <w:pStyle w:val="ReverseHead"/>
      </w:pPr>
      <w:r w:rsidRPr="00DF1884">
        <w:t>Respiratory</w:t>
      </w:r>
      <w:r w:rsidR="00DF1884" w:rsidRPr="00DF1884">
        <w:t xml:space="preserve"> </w:t>
      </w:r>
      <w:r w:rsidRPr="00DF1884">
        <w:t>Measurement</w:t>
      </w:r>
      <w:r w:rsidR="00DF1884" w:rsidRPr="00DF1884">
        <w:t xml:space="preserve"> </w:t>
      </w:r>
      <w:r w:rsidRPr="00DF1884">
        <w:t>Advisory</w:t>
      </w:r>
      <w:r w:rsidR="00DF1884" w:rsidRPr="00DF1884">
        <w:t xml:space="preserve"> </w:t>
      </w:r>
      <w:r w:rsidRPr="00DF1884">
        <w:t>Panel</w:t>
      </w:r>
      <w:r w:rsidR="00DF1884" w:rsidRPr="00DF1884">
        <w:t xml:space="preserve"> </w:t>
      </w:r>
    </w:p>
    <w:tbl>
      <w:tblPr>
        <w:tblW w:w="0" w:type="auto"/>
        <w:tblLayout w:type="fixed"/>
        <w:tblLook w:val="0000" w:firstRow="0" w:lastRow="0" w:firstColumn="0" w:lastColumn="0" w:noHBand="0" w:noVBand="0"/>
      </w:tblPr>
      <w:tblGrid>
        <w:gridCol w:w="4878"/>
        <w:gridCol w:w="4842"/>
      </w:tblGrid>
      <w:tr w:rsidR="00463667" w:rsidRPr="00DF1884" w14:paraId="417DA9FD" w14:textId="77777777" w:rsidTr="00C56CA6">
        <w:trPr>
          <w:cantSplit/>
        </w:trPr>
        <w:tc>
          <w:tcPr>
            <w:tcW w:w="4878" w:type="dxa"/>
            <w:tcBorders>
              <w:bottom w:val="nil"/>
            </w:tcBorders>
          </w:tcPr>
          <w:p w14:paraId="4B273F40" w14:textId="365707D8" w:rsidR="00463667" w:rsidRPr="00DF1884" w:rsidRDefault="00463667" w:rsidP="009D7D43">
            <w:pPr>
              <w:pStyle w:val="Body"/>
              <w:rPr>
                <w:bCs/>
              </w:rPr>
            </w:pPr>
            <w:r w:rsidRPr="00DF1884">
              <w:rPr>
                <w:b/>
              </w:rPr>
              <w:t>David</w:t>
            </w:r>
            <w:r w:rsidR="00DF1884" w:rsidRPr="00DF1884">
              <w:rPr>
                <w:b/>
              </w:rPr>
              <w:t xml:space="preserve"> </w:t>
            </w:r>
            <w:r w:rsidRPr="00DF1884">
              <w:rPr>
                <w:b/>
              </w:rPr>
              <w:t>Au,</w:t>
            </w:r>
            <w:r w:rsidR="00DF1884" w:rsidRPr="00DF1884">
              <w:rPr>
                <w:b/>
              </w:rPr>
              <w:t xml:space="preserve"> </w:t>
            </w:r>
            <w:r w:rsidRPr="00DF1884">
              <w:rPr>
                <w:b/>
              </w:rPr>
              <w:t>MD,</w:t>
            </w:r>
            <w:r w:rsidR="00DF1884" w:rsidRPr="00DF1884">
              <w:rPr>
                <w:b/>
              </w:rPr>
              <w:t xml:space="preserve"> </w:t>
            </w:r>
            <w:r w:rsidRPr="00DF1884">
              <w:rPr>
                <w:b/>
              </w:rPr>
              <w:t>MS</w:t>
            </w:r>
            <w:r w:rsidRPr="00DF1884">
              <w:rPr>
                <w:b/>
              </w:rPr>
              <w:br/>
            </w:r>
            <w:r w:rsidRPr="00DF1884">
              <w:rPr>
                <w:bCs/>
              </w:rPr>
              <w:t>Veterans</w:t>
            </w:r>
            <w:r w:rsidR="00DF1884" w:rsidRPr="00DF1884">
              <w:rPr>
                <w:bCs/>
              </w:rPr>
              <w:t xml:space="preserve"> </w:t>
            </w:r>
            <w:r w:rsidRPr="00DF1884">
              <w:rPr>
                <w:bCs/>
              </w:rPr>
              <w:t>Affairs</w:t>
            </w:r>
            <w:r w:rsidR="00DF1884" w:rsidRPr="00DF1884">
              <w:rPr>
                <w:bCs/>
              </w:rPr>
              <w:t xml:space="preserve"> </w:t>
            </w:r>
            <w:r w:rsidRPr="00DF1884">
              <w:rPr>
                <w:bCs/>
              </w:rPr>
              <w:t>Puget</w:t>
            </w:r>
            <w:r w:rsidR="00DF1884" w:rsidRPr="00DF1884">
              <w:rPr>
                <w:bCs/>
              </w:rPr>
              <w:t xml:space="preserve"> </w:t>
            </w:r>
            <w:r w:rsidRPr="00DF1884">
              <w:rPr>
                <w:bCs/>
              </w:rPr>
              <w:t>Sound</w:t>
            </w:r>
            <w:r w:rsidR="00DF1884" w:rsidRPr="00DF1884">
              <w:rPr>
                <w:bCs/>
              </w:rPr>
              <w:t xml:space="preserve"> </w:t>
            </w:r>
            <w:r w:rsidRPr="00DF1884">
              <w:rPr>
                <w:bCs/>
              </w:rPr>
              <w:t>Health</w:t>
            </w:r>
            <w:r w:rsidR="00DF1884" w:rsidRPr="00DF1884">
              <w:rPr>
                <w:bCs/>
              </w:rPr>
              <w:t xml:space="preserve"> </w:t>
            </w:r>
            <w:r w:rsidRPr="00DF1884">
              <w:rPr>
                <w:bCs/>
              </w:rPr>
              <w:t>Care</w:t>
            </w:r>
            <w:r w:rsidR="00DF1884" w:rsidRPr="00DF1884">
              <w:rPr>
                <w:bCs/>
              </w:rPr>
              <w:t xml:space="preserve"> </w:t>
            </w:r>
            <w:r w:rsidRPr="00DF1884">
              <w:rPr>
                <w:bCs/>
              </w:rPr>
              <w:t>System</w:t>
            </w:r>
          </w:p>
          <w:p w14:paraId="3BB245EE" w14:textId="366511D5" w:rsidR="00463667" w:rsidRPr="00DF1884" w:rsidRDefault="00463667" w:rsidP="009D7D43">
            <w:pPr>
              <w:pStyle w:val="Body"/>
            </w:pPr>
            <w:r w:rsidRPr="00DF1884">
              <w:rPr>
                <w:b/>
              </w:rPr>
              <w:t>Kurt</w:t>
            </w:r>
            <w:r w:rsidR="00DF1884" w:rsidRPr="00DF1884">
              <w:rPr>
                <w:b/>
              </w:rPr>
              <w:t xml:space="preserve"> </w:t>
            </w:r>
            <w:r w:rsidRPr="00DF1884">
              <w:rPr>
                <w:b/>
              </w:rPr>
              <w:t>Elward,</w:t>
            </w:r>
            <w:r w:rsidR="00DF1884" w:rsidRPr="00DF1884">
              <w:rPr>
                <w:b/>
              </w:rPr>
              <w:t xml:space="preserve"> </w:t>
            </w:r>
            <w:r w:rsidRPr="00DF1884">
              <w:rPr>
                <w:b/>
              </w:rPr>
              <w:t>MD,</w:t>
            </w:r>
            <w:r w:rsidR="00DF1884" w:rsidRPr="00DF1884">
              <w:rPr>
                <w:b/>
              </w:rPr>
              <w:t xml:space="preserve"> </w:t>
            </w:r>
            <w:r w:rsidRPr="00DF1884">
              <w:rPr>
                <w:b/>
              </w:rPr>
              <w:t>PhD</w:t>
            </w:r>
            <w:r w:rsidRPr="00DF1884">
              <w:rPr>
                <w:b/>
              </w:rPr>
              <w:br/>
            </w:r>
            <w:r w:rsidRPr="00DF1884">
              <w:t>Virginia</w:t>
            </w:r>
            <w:r w:rsidR="00DF1884" w:rsidRPr="00DF1884">
              <w:t xml:space="preserve"> </w:t>
            </w:r>
            <w:r w:rsidRPr="00DF1884">
              <w:t>Commonwealth</w:t>
            </w:r>
            <w:r w:rsidR="00DF1884" w:rsidRPr="00DF1884">
              <w:t xml:space="preserve"> </w:t>
            </w:r>
            <w:r w:rsidRPr="00DF1884">
              <w:t>University</w:t>
            </w:r>
          </w:p>
          <w:p w14:paraId="06BCA1EC" w14:textId="24EDB218" w:rsidR="00ED3841" w:rsidRPr="00DF1884" w:rsidRDefault="00ED3841" w:rsidP="009D7D43">
            <w:pPr>
              <w:spacing w:before="180"/>
            </w:pPr>
            <w:r w:rsidRPr="00DF1884">
              <w:rPr>
                <w:b/>
              </w:rPr>
              <w:t>Laura</w:t>
            </w:r>
            <w:r w:rsidR="00DF1884" w:rsidRPr="00DF1884">
              <w:rPr>
                <w:b/>
              </w:rPr>
              <w:t xml:space="preserve"> </w:t>
            </w:r>
            <w:r w:rsidRPr="00DF1884">
              <w:rPr>
                <w:b/>
              </w:rPr>
              <w:t>Feemster,</w:t>
            </w:r>
            <w:r w:rsidR="00DF1884" w:rsidRPr="00DF1884">
              <w:rPr>
                <w:b/>
              </w:rPr>
              <w:t xml:space="preserve"> </w:t>
            </w:r>
            <w:r w:rsidRPr="00DF1884">
              <w:rPr>
                <w:b/>
              </w:rPr>
              <w:t>MD,</w:t>
            </w:r>
            <w:r w:rsidR="00DF1884" w:rsidRPr="00DF1884">
              <w:rPr>
                <w:b/>
              </w:rPr>
              <w:t xml:space="preserve"> </w:t>
            </w:r>
            <w:r w:rsidRPr="00DF1884">
              <w:rPr>
                <w:b/>
              </w:rPr>
              <w:t>MS</w:t>
            </w:r>
            <w:r w:rsidR="009D7D43">
              <w:rPr>
                <w:b/>
              </w:rPr>
              <w:br/>
            </w:r>
            <w:r w:rsidRPr="00DF1884">
              <w:t>University</w:t>
            </w:r>
            <w:r w:rsidR="00DF1884" w:rsidRPr="00DF1884">
              <w:t xml:space="preserve"> </w:t>
            </w:r>
            <w:r w:rsidRPr="00DF1884">
              <w:t>of</w:t>
            </w:r>
            <w:r w:rsidR="00DF1884" w:rsidRPr="00DF1884">
              <w:t xml:space="preserve"> </w:t>
            </w:r>
            <w:r w:rsidRPr="00DF1884">
              <w:t>Washington</w:t>
            </w:r>
            <w:r w:rsidR="00DF1884" w:rsidRPr="00DF1884">
              <w:t xml:space="preserve"> </w:t>
            </w:r>
            <w:r w:rsidRPr="00DF1884">
              <w:t>Medical</w:t>
            </w:r>
            <w:r w:rsidR="00DF1884" w:rsidRPr="00DF1884">
              <w:t xml:space="preserve"> </w:t>
            </w:r>
            <w:r w:rsidRPr="00DF1884">
              <w:t>Center</w:t>
            </w:r>
          </w:p>
          <w:p w14:paraId="41319779" w14:textId="6D6F5DA2" w:rsidR="00463667" w:rsidRPr="00DF1884" w:rsidRDefault="00463667" w:rsidP="009D7D43">
            <w:pPr>
              <w:pStyle w:val="Body"/>
            </w:pPr>
            <w:r w:rsidRPr="00DF1884">
              <w:rPr>
                <w:b/>
              </w:rPr>
              <w:t>Anne</w:t>
            </w:r>
            <w:r w:rsidR="00DF1884" w:rsidRPr="00DF1884">
              <w:rPr>
                <w:b/>
              </w:rPr>
              <w:t xml:space="preserve"> </w:t>
            </w:r>
            <w:r w:rsidRPr="00DF1884">
              <w:rPr>
                <w:b/>
              </w:rPr>
              <w:t>Fuhlbrigge,</w:t>
            </w:r>
            <w:r w:rsidR="00DF1884" w:rsidRPr="00DF1884">
              <w:rPr>
                <w:b/>
              </w:rPr>
              <w:t xml:space="preserve"> </w:t>
            </w:r>
            <w:r w:rsidRPr="00DF1884">
              <w:rPr>
                <w:b/>
              </w:rPr>
              <w:t>MD</w:t>
            </w:r>
            <w:r w:rsidRPr="00DF1884">
              <w:br/>
              <w:t>Brigham</w:t>
            </w:r>
            <w:r w:rsidR="00DF1884" w:rsidRPr="00DF1884">
              <w:t xml:space="preserve"> </w:t>
            </w:r>
            <w:r w:rsidRPr="00DF1884">
              <w:t>and</w:t>
            </w:r>
            <w:r w:rsidR="00DF1884" w:rsidRPr="00DF1884">
              <w:t xml:space="preserve"> </w:t>
            </w:r>
            <w:r w:rsidRPr="00DF1884">
              <w:t>Women’s</w:t>
            </w:r>
            <w:r w:rsidR="00DF1884" w:rsidRPr="00DF1884">
              <w:t xml:space="preserve"> </w:t>
            </w:r>
            <w:r w:rsidRPr="00DF1884">
              <w:t>Hospital</w:t>
            </w:r>
          </w:p>
          <w:p w14:paraId="04699E2A" w14:textId="271E6DA3" w:rsidR="00463667" w:rsidRPr="00DF1884" w:rsidRDefault="00ED3841" w:rsidP="009D7D43">
            <w:pPr>
              <w:pStyle w:val="NoSpacing"/>
              <w:spacing w:before="180"/>
            </w:pPr>
            <w:r w:rsidRPr="00DF1884">
              <w:rPr>
                <w:rFonts w:ascii="Arial" w:hAnsi="Arial" w:cs="Arial"/>
                <w:b/>
                <w:sz w:val="20"/>
                <w:szCs w:val="20"/>
              </w:rPr>
              <w:t>Min</w:t>
            </w:r>
            <w:r w:rsidR="00DF1884" w:rsidRPr="00DF1884">
              <w:rPr>
                <w:rFonts w:ascii="Arial" w:hAnsi="Arial" w:cs="Arial"/>
                <w:b/>
                <w:sz w:val="20"/>
                <w:szCs w:val="20"/>
              </w:rPr>
              <w:t xml:space="preserve"> </w:t>
            </w:r>
            <w:r w:rsidRPr="00DF1884">
              <w:rPr>
                <w:rFonts w:ascii="Arial" w:hAnsi="Arial" w:cs="Arial"/>
                <w:b/>
                <w:sz w:val="20"/>
                <w:szCs w:val="20"/>
              </w:rPr>
              <w:t>Joo,</w:t>
            </w:r>
            <w:r w:rsidR="00DF1884" w:rsidRPr="00DF1884">
              <w:rPr>
                <w:rFonts w:ascii="Arial" w:hAnsi="Arial" w:cs="Arial"/>
                <w:b/>
                <w:sz w:val="20"/>
                <w:szCs w:val="20"/>
              </w:rPr>
              <w:t xml:space="preserve"> </w:t>
            </w:r>
            <w:r w:rsidRPr="00DF1884">
              <w:rPr>
                <w:rFonts w:ascii="Arial" w:hAnsi="Arial" w:cs="Arial"/>
                <w:b/>
                <w:sz w:val="20"/>
                <w:szCs w:val="20"/>
              </w:rPr>
              <w:t>MD,</w:t>
            </w:r>
            <w:r w:rsidR="00DF1884" w:rsidRPr="00DF1884">
              <w:rPr>
                <w:rFonts w:ascii="Arial" w:hAnsi="Arial" w:cs="Arial"/>
                <w:b/>
                <w:sz w:val="20"/>
                <w:szCs w:val="20"/>
              </w:rPr>
              <w:t xml:space="preserve"> </w:t>
            </w:r>
            <w:r w:rsidRPr="00DF1884">
              <w:rPr>
                <w:rFonts w:ascii="Arial" w:hAnsi="Arial" w:cs="Arial"/>
                <w:b/>
                <w:sz w:val="20"/>
                <w:szCs w:val="20"/>
              </w:rPr>
              <w:t>MPH,</w:t>
            </w:r>
            <w:r w:rsidR="00DF1884" w:rsidRPr="00DF1884">
              <w:rPr>
                <w:rFonts w:ascii="Arial" w:hAnsi="Arial" w:cs="Arial"/>
                <w:b/>
                <w:sz w:val="20"/>
                <w:szCs w:val="20"/>
              </w:rPr>
              <w:t xml:space="preserve"> </w:t>
            </w:r>
            <w:r w:rsidRPr="00DF1884">
              <w:rPr>
                <w:rFonts w:ascii="Arial" w:hAnsi="Arial" w:cs="Arial"/>
                <w:b/>
                <w:sz w:val="20"/>
                <w:szCs w:val="20"/>
              </w:rPr>
              <w:t>FCCP</w:t>
            </w:r>
            <w:r w:rsidR="009D7D43">
              <w:rPr>
                <w:rFonts w:ascii="Arial" w:hAnsi="Arial" w:cs="Arial"/>
                <w:b/>
                <w:sz w:val="20"/>
                <w:szCs w:val="20"/>
              </w:rPr>
              <w:br/>
            </w:r>
            <w:r w:rsidRPr="00DF1884">
              <w:rPr>
                <w:rFonts w:ascii="Arial" w:hAnsi="Arial" w:cs="Arial"/>
                <w:sz w:val="20"/>
                <w:szCs w:val="20"/>
              </w:rPr>
              <w:t>University</w:t>
            </w:r>
            <w:r w:rsidR="00DF1884" w:rsidRPr="00DF1884">
              <w:rPr>
                <w:rFonts w:ascii="Arial" w:hAnsi="Arial" w:cs="Arial"/>
                <w:sz w:val="20"/>
                <w:szCs w:val="20"/>
              </w:rPr>
              <w:t xml:space="preserve"> </w:t>
            </w:r>
            <w:r w:rsidRPr="00DF1884">
              <w:rPr>
                <w:rFonts w:ascii="Arial" w:hAnsi="Arial" w:cs="Arial"/>
                <w:sz w:val="20"/>
                <w:szCs w:val="20"/>
              </w:rPr>
              <w:t>of</w:t>
            </w:r>
            <w:r w:rsidR="00DF1884" w:rsidRPr="00DF1884">
              <w:rPr>
                <w:rFonts w:ascii="Arial" w:hAnsi="Arial" w:cs="Arial"/>
                <w:sz w:val="20"/>
                <w:szCs w:val="20"/>
              </w:rPr>
              <w:t xml:space="preserve"> </w:t>
            </w:r>
            <w:r w:rsidRPr="00DF1884">
              <w:rPr>
                <w:rFonts w:ascii="Arial" w:hAnsi="Arial" w:cs="Arial"/>
                <w:sz w:val="20"/>
                <w:szCs w:val="20"/>
              </w:rPr>
              <w:t>Illinois</w:t>
            </w:r>
            <w:r w:rsidR="00DF1884" w:rsidRPr="00DF1884">
              <w:rPr>
                <w:rFonts w:ascii="Arial" w:hAnsi="Arial" w:cs="Arial"/>
                <w:sz w:val="20"/>
                <w:szCs w:val="20"/>
              </w:rPr>
              <w:t xml:space="preserve"> </w:t>
            </w:r>
            <w:r w:rsidRPr="00DF1884">
              <w:rPr>
                <w:rFonts w:ascii="Arial" w:hAnsi="Arial" w:cs="Arial"/>
                <w:sz w:val="20"/>
                <w:szCs w:val="20"/>
              </w:rPr>
              <w:t>at</w:t>
            </w:r>
            <w:r w:rsidR="00DF1884" w:rsidRPr="00DF1884">
              <w:rPr>
                <w:rFonts w:ascii="Arial" w:hAnsi="Arial" w:cs="Arial"/>
                <w:sz w:val="20"/>
                <w:szCs w:val="20"/>
              </w:rPr>
              <w:t xml:space="preserve"> </w:t>
            </w:r>
            <w:r w:rsidRPr="00DF1884">
              <w:rPr>
                <w:rFonts w:ascii="Arial" w:hAnsi="Arial" w:cs="Arial"/>
                <w:sz w:val="20"/>
                <w:szCs w:val="20"/>
              </w:rPr>
              <w:t>Chicago/Jesse</w:t>
            </w:r>
            <w:r w:rsidR="00DF1884" w:rsidRPr="00DF1884">
              <w:rPr>
                <w:rFonts w:ascii="Arial" w:hAnsi="Arial" w:cs="Arial"/>
                <w:sz w:val="20"/>
                <w:szCs w:val="20"/>
              </w:rPr>
              <w:t xml:space="preserve"> </w:t>
            </w:r>
            <w:r w:rsidRPr="00DF1884">
              <w:rPr>
                <w:rFonts w:ascii="Arial" w:hAnsi="Arial" w:cs="Arial"/>
                <w:sz w:val="20"/>
                <w:szCs w:val="20"/>
              </w:rPr>
              <w:t>Brown</w:t>
            </w:r>
            <w:r w:rsidR="00DF1884" w:rsidRPr="00DF1884">
              <w:rPr>
                <w:rFonts w:ascii="Arial" w:hAnsi="Arial" w:cs="Arial"/>
                <w:sz w:val="20"/>
                <w:szCs w:val="20"/>
              </w:rPr>
              <w:t xml:space="preserve"> </w:t>
            </w:r>
            <w:r w:rsidRPr="00DF1884">
              <w:rPr>
                <w:rFonts w:ascii="Arial" w:hAnsi="Arial" w:cs="Arial"/>
                <w:sz w:val="20"/>
                <w:szCs w:val="20"/>
              </w:rPr>
              <w:t>VA</w:t>
            </w:r>
            <w:r w:rsidR="00DF1884" w:rsidRPr="00DF1884">
              <w:rPr>
                <w:rFonts w:ascii="Arial" w:hAnsi="Arial" w:cs="Arial"/>
                <w:sz w:val="20"/>
                <w:szCs w:val="20"/>
              </w:rPr>
              <w:t xml:space="preserve"> </w:t>
            </w:r>
            <w:r w:rsidRPr="00DF1884">
              <w:rPr>
                <w:rFonts w:ascii="Arial" w:hAnsi="Arial" w:cs="Arial"/>
                <w:sz w:val="20"/>
                <w:szCs w:val="20"/>
              </w:rPr>
              <w:t>Medical</w:t>
            </w:r>
            <w:r w:rsidR="00DF1884" w:rsidRPr="00DF1884">
              <w:rPr>
                <w:rFonts w:ascii="Arial" w:hAnsi="Arial" w:cs="Arial"/>
                <w:sz w:val="20"/>
                <w:szCs w:val="20"/>
              </w:rPr>
              <w:t xml:space="preserve"> </w:t>
            </w:r>
            <w:r w:rsidRPr="00DF1884">
              <w:rPr>
                <w:rFonts w:ascii="Arial" w:hAnsi="Arial" w:cs="Arial"/>
                <w:sz w:val="20"/>
                <w:szCs w:val="20"/>
              </w:rPr>
              <w:t>Center</w:t>
            </w:r>
          </w:p>
        </w:tc>
        <w:tc>
          <w:tcPr>
            <w:tcW w:w="4842" w:type="dxa"/>
            <w:tcBorders>
              <w:bottom w:val="nil"/>
            </w:tcBorders>
          </w:tcPr>
          <w:p w14:paraId="0AD2425E" w14:textId="037393E3" w:rsidR="00ED3841" w:rsidRPr="00DF1884" w:rsidRDefault="00ED3841" w:rsidP="009D7D43">
            <w:pPr>
              <w:pStyle w:val="Body"/>
            </w:pPr>
            <w:r w:rsidRPr="00DF1884">
              <w:rPr>
                <w:b/>
              </w:rPr>
              <w:t>Christine</w:t>
            </w:r>
            <w:r w:rsidR="00DF1884" w:rsidRPr="00DF1884">
              <w:rPr>
                <w:b/>
              </w:rPr>
              <w:t xml:space="preserve"> </w:t>
            </w:r>
            <w:r w:rsidRPr="00DF1884">
              <w:rPr>
                <w:b/>
              </w:rPr>
              <w:t>Joseph,</w:t>
            </w:r>
            <w:r w:rsidR="00DF1884" w:rsidRPr="00DF1884">
              <w:rPr>
                <w:b/>
              </w:rPr>
              <w:t xml:space="preserve"> </w:t>
            </w:r>
            <w:r w:rsidRPr="00DF1884">
              <w:rPr>
                <w:b/>
              </w:rPr>
              <w:t>PhD,</w:t>
            </w:r>
            <w:r w:rsidR="00DF1884" w:rsidRPr="00DF1884">
              <w:rPr>
                <w:b/>
              </w:rPr>
              <w:t xml:space="preserve"> </w:t>
            </w:r>
            <w:r w:rsidRPr="00DF1884">
              <w:rPr>
                <w:b/>
              </w:rPr>
              <w:t>MPH,</w:t>
            </w:r>
            <w:r w:rsidR="00DF1884" w:rsidRPr="00DF1884">
              <w:rPr>
                <w:b/>
              </w:rPr>
              <w:t xml:space="preserve"> </w:t>
            </w:r>
            <w:r w:rsidRPr="00DF1884">
              <w:rPr>
                <w:b/>
              </w:rPr>
              <w:t>BSc</w:t>
            </w:r>
            <w:r w:rsidRPr="00DF1884">
              <w:br/>
              <w:t>Henry</w:t>
            </w:r>
            <w:r w:rsidR="00DF1884" w:rsidRPr="00DF1884">
              <w:t xml:space="preserve"> </w:t>
            </w:r>
            <w:r w:rsidRPr="00DF1884">
              <w:t>Ford</w:t>
            </w:r>
            <w:r w:rsidR="00DF1884" w:rsidRPr="00DF1884">
              <w:t xml:space="preserve"> </w:t>
            </w:r>
            <w:r w:rsidRPr="00DF1884">
              <w:t>Health</w:t>
            </w:r>
            <w:r w:rsidR="00DF1884" w:rsidRPr="00DF1884">
              <w:t xml:space="preserve"> </w:t>
            </w:r>
            <w:r w:rsidRPr="00DF1884">
              <w:t>System</w:t>
            </w:r>
          </w:p>
          <w:p w14:paraId="77A0E15A" w14:textId="0AA64FCE" w:rsidR="00ED3841" w:rsidRPr="00DF1884" w:rsidRDefault="00ED3841" w:rsidP="009D7D43">
            <w:pPr>
              <w:pStyle w:val="Body"/>
              <w:rPr>
                <w:b/>
              </w:rPr>
            </w:pPr>
            <w:r w:rsidRPr="00DF1884">
              <w:rPr>
                <w:b/>
              </w:rPr>
              <w:t>Jerry</w:t>
            </w:r>
            <w:r w:rsidR="00DF1884" w:rsidRPr="00DF1884">
              <w:rPr>
                <w:b/>
              </w:rPr>
              <w:t xml:space="preserve"> </w:t>
            </w:r>
            <w:r w:rsidRPr="00DF1884">
              <w:rPr>
                <w:b/>
              </w:rPr>
              <w:t>Krishnan,</w:t>
            </w:r>
            <w:r w:rsidR="00DF1884" w:rsidRPr="00DF1884">
              <w:rPr>
                <w:b/>
              </w:rPr>
              <w:t xml:space="preserve"> </w:t>
            </w:r>
            <w:r w:rsidRPr="00DF1884">
              <w:rPr>
                <w:b/>
              </w:rPr>
              <w:t>MD,</w:t>
            </w:r>
            <w:r w:rsidR="00DF1884" w:rsidRPr="00DF1884">
              <w:rPr>
                <w:b/>
              </w:rPr>
              <w:t xml:space="preserve"> </w:t>
            </w:r>
            <w:r w:rsidRPr="00DF1884">
              <w:rPr>
                <w:b/>
              </w:rPr>
              <w:t>PhD</w:t>
            </w:r>
            <w:r w:rsidRPr="00DF1884">
              <w:rPr>
                <w:b/>
              </w:rPr>
              <w:br/>
            </w:r>
            <w:r w:rsidRPr="00DF1884">
              <w:t>Illinois</w:t>
            </w:r>
            <w:r w:rsidR="00DF1884" w:rsidRPr="00DF1884">
              <w:t xml:space="preserve"> </w:t>
            </w:r>
            <w:r w:rsidRPr="00DF1884">
              <w:t>Hospital</w:t>
            </w:r>
            <w:r w:rsidR="00DF1884" w:rsidRPr="00DF1884">
              <w:t xml:space="preserve"> </w:t>
            </w:r>
            <w:r w:rsidRPr="00DF1884">
              <w:t>&amp;</w:t>
            </w:r>
            <w:r w:rsidR="00DF1884" w:rsidRPr="00DF1884">
              <w:t xml:space="preserve"> </w:t>
            </w:r>
            <w:r w:rsidRPr="00DF1884">
              <w:t>Health</w:t>
            </w:r>
            <w:r w:rsidR="00DF1884" w:rsidRPr="00DF1884">
              <w:t xml:space="preserve"> </w:t>
            </w:r>
            <w:r w:rsidRPr="00DF1884">
              <w:t>Sciences</w:t>
            </w:r>
            <w:r w:rsidR="00DF1884" w:rsidRPr="00DF1884">
              <w:t xml:space="preserve"> </w:t>
            </w:r>
            <w:r w:rsidRPr="00DF1884">
              <w:t>System</w:t>
            </w:r>
            <w:r w:rsidR="00DF1884" w:rsidRPr="00DF1884">
              <w:rPr>
                <w:b/>
              </w:rPr>
              <w:t xml:space="preserve"> </w:t>
            </w:r>
          </w:p>
          <w:p w14:paraId="225FD601" w14:textId="7C221D10" w:rsidR="00ED3841" w:rsidRPr="00DF1884" w:rsidRDefault="00ED3841" w:rsidP="009D7D43">
            <w:pPr>
              <w:spacing w:before="180"/>
            </w:pPr>
            <w:r w:rsidRPr="00DF1884">
              <w:rPr>
                <w:b/>
              </w:rPr>
              <w:t>Todd</w:t>
            </w:r>
            <w:r w:rsidR="00DF1884" w:rsidRPr="00DF1884">
              <w:rPr>
                <w:b/>
              </w:rPr>
              <w:t xml:space="preserve"> </w:t>
            </w:r>
            <w:r w:rsidRPr="00DF1884">
              <w:rPr>
                <w:b/>
              </w:rPr>
              <w:t>Lee,</w:t>
            </w:r>
            <w:r w:rsidR="00DF1884" w:rsidRPr="00DF1884">
              <w:rPr>
                <w:b/>
              </w:rPr>
              <w:t xml:space="preserve"> </w:t>
            </w:r>
            <w:r w:rsidRPr="00DF1884">
              <w:rPr>
                <w:b/>
              </w:rPr>
              <w:t>PharmD,</w:t>
            </w:r>
            <w:r w:rsidR="00DF1884" w:rsidRPr="00DF1884">
              <w:rPr>
                <w:b/>
              </w:rPr>
              <w:t xml:space="preserve"> </w:t>
            </w:r>
            <w:r w:rsidRPr="00DF1884">
              <w:rPr>
                <w:b/>
              </w:rPr>
              <w:t>PhD</w:t>
            </w:r>
            <w:r w:rsidR="009D7D43">
              <w:rPr>
                <w:b/>
              </w:rPr>
              <w:br/>
            </w:r>
            <w:r w:rsidRPr="00DF1884">
              <w:t>University</w:t>
            </w:r>
            <w:r w:rsidR="00DF1884" w:rsidRPr="00DF1884">
              <w:t xml:space="preserve"> </w:t>
            </w:r>
            <w:r w:rsidRPr="00DF1884">
              <w:t>of</w:t>
            </w:r>
            <w:r w:rsidR="00DF1884" w:rsidRPr="00DF1884">
              <w:t xml:space="preserve"> </w:t>
            </w:r>
            <w:r w:rsidRPr="00DF1884">
              <w:t>Illinois</w:t>
            </w:r>
            <w:r w:rsidR="00DF1884" w:rsidRPr="00DF1884">
              <w:t xml:space="preserve"> </w:t>
            </w:r>
            <w:r w:rsidRPr="00DF1884">
              <w:t>at</w:t>
            </w:r>
            <w:r w:rsidR="00DF1884" w:rsidRPr="00DF1884">
              <w:t xml:space="preserve"> </w:t>
            </w:r>
            <w:r w:rsidRPr="00DF1884">
              <w:t>Chicago</w:t>
            </w:r>
          </w:p>
          <w:p w14:paraId="62E563FC" w14:textId="14A2B40B" w:rsidR="00463667" w:rsidRPr="00DF1884" w:rsidRDefault="00463667" w:rsidP="009D7D43">
            <w:pPr>
              <w:pStyle w:val="Body"/>
            </w:pPr>
            <w:r w:rsidRPr="00DF1884">
              <w:rPr>
                <w:b/>
              </w:rPr>
              <w:t>Allan</w:t>
            </w:r>
            <w:r w:rsidR="00DF1884" w:rsidRPr="00DF1884">
              <w:rPr>
                <w:b/>
              </w:rPr>
              <w:t xml:space="preserve"> </w:t>
            </w:r>
            <w:r w:rsidRPr="00DF1884">
              <w:rPr>
                <w:b/>
              </w:rPr>
              <w:t>Luskin,</w:t>
            </w:r>
            <w:r w:rsidR="00DF1884" w:rsidRPr="00DF1884">
              <w:rPr>
                <w:b/>
              </w:rPr>
              <w:t xml:space="preserve"> </w:t>
            </w:r>
            <w:r w:rsidRPr="00DF1884">
              <w:rPr>
                <w:b/>
              </w:rPr>
              <w:t>MD</w:t>
            </w:r>
            <w:r w:rsidR="00DF1884" w:rsidRPr="00DF1884">
              <w:rPr>
                <w:b/>
              </w:rPr>
              <w:t xml:space="preserve"> </w:t>
            </w:r>
            <w:r w:rsidRPr="00DF1884">
              <w:rPr>
                <w:b/>
              </w:rPr>
              <w:br/>
            </w:r>
            <w:r w:rsidR="00ED3841" w:rsidRPr="00DF1884">
              <w:t>Health</w:t>
            </w:r>
            <w:r w:rsidR="00DF1884" w:rsidRPr="00DF1884">
              <w:t xml:space="preserve"> </w:t>
            </w:r>
            <w:r w:rsidR="00ED3841" w:rsidRPr="00DF1884">
              <w:t>Airways</w:t>
            </w:r>
          </w:p>
          <w:p w14:paraId="7C5AC67D" w14:textId="16E28997" w:rsidR="00463667" w:rsidRPr="00DF1884" w:rsidRDefault="00463667" w:rsidP="009D7D43">
            <w:pPr>
              <w:pStyle w:val="Body"/>
            </w:pPr>
            <w:r w:rsidRPr="00DF1884">
              <w:rPr>
                <w:b/>
              </w:rPr>
              <w:t>Richard</w:t>
            </w:r>
            <w:r w:rsidR="00DF1884" w:rsidRPr="00DF1884">
              <w:rPr>
                <w:b/>
              </w:rPr>
              <w:t xml:space="preserve"> </w:t>
            </w:r>
            <w:r w:rsidRPr="00DF1884">
              <w:rPr>
                <w:b/>
              </w:rPr>
              <w:t>O’Connor,</w:t>
            </w:r>
            <w:r w:rsidR="00DF1884" w:rsidRPr="00DF1884">
              <w:rPr>
                <w:b/>
              </w:rPr>
              <w:t xml:space="preserve"> </w:t>
            </w:r>
            <w:r w:rsidRPr="00DF1884">
              <w:rPr>
                <w:b/>
              </w:rPr>
              <w:t>MD</w:t>
            </w:r>
            <w:r w:rsidRPr="00DF1884">
              <w:rPr>
                <w:b/>
              </w:rPr>
              <w:br/>
            </w:r>
            <w:r w:rsidRPr="00DF1884">
              <w:t>Sharp</w:t>
            </w:r>
            <w:r w:rsidR="00DF1884" w:rsidRPr="00DF1884">
              <w:t xml:space="preserve"> </w:t>
            </w:r>
            <w:r w:rsidRPr="00DF1884">
              <w:t>Rees-Stealy</w:t>
            </w:r>
            <w:r w:rsidR="00DF1884" w:rsidRPr="00DF1884">
              <w:t xml:space="preserve"> </w:t>
            </w:r>
            <w:r w:rsidRPr="00DF1884">
              <w:t>Medical</w:t>
            </w:r>
            <w:r w:rsidR="00DF1884" w:rsidRPr="00DF1884">
              <w:t xml:space="preserve"> </w:t>
            </w:r>
            <w:r w:rsidRPr="00DF1884">
              <w:t>Group</w:t>
            </w:r>
          </w:p>
        </w:tc>
      </w:tr>
    </w:tbl>
    <w:p w14:paraId="0CEF1D10" w14:textId="206ACA36" w:rsidR="00463667" w:rsidRPr="00DF1884" w:rsidRDefault="00463667" w:rsidP="00202CAE">
      <w:pPr>
        <w:pStyle w:val="ReverseHead"/>
      </w:pPr>
      <w:r w:rsidRPr="00DF1884">
        <w:t>Risk</w:t>
      </w:r>
      <w:r w:rsidR="00DF1884" w:rsidRPr="00DF1884">
        <w:t xml:space="preserve"> </w:t>
      </w:r>
      <w:r w:rsidRPr="00DF1884">
        <w:t>Adjustment</w:t>
      </w:r>
      <w:r w:rsidR="00DF1884" w:rsidRPr="00DF1884">
        <w:t xml:space="preserve"> </w:t>
      </w:r>
      <w:r w:rsidR="0072504B" w:rsidRPr="00DF1884">
        <w:t>Expert</w:t>
      </w:r>
      <w:r w:rsidR="00DF1884" w:rsidRPr="00DF1884">
        <w:t xml:space="preserve"> </w:t>
      </w:r>
      <w:r w:rsidR="00ED3841" w:rsidRPr="00DF1884">
        <w:t>Work</w:t>
      </w:r>
      <w:r w:rsidR="00DF1884" w:rsidRPr="00DF1884">
        <w:t xml:space="preserve"> </w:t>
      </w:r>
      <w:r w:rsidR="0072504B" w:rsidRPr="00DF1884">
        <w:t>G</w:t>
      </w:r>
      <w:r w:rsidR="00ED3841" w:rsidRPr="00DF1884">
        <w:t>roup</w:t>
      </w:r>
    </w:p>
    <w:tbl>
      <w:tblPr>
        <w:tblW w:w="0" w:type="auto"/>
        <w:tblLayout w:type="fixed"/>
        <w:tblLook w:val="0000" w:firstRow="0" w:lastRow="0" w:firstColumn="0" w:lastColumn="0" w:noHBand="0" w:noVBand="0"/>
      </w:tblPr>
      <w:tblGrid>
        <w:gridCol w:w="4788"/>
        <w:gridCol w:w="4932"/>
      </w:tblGrid>
      <w:tr w:rsidR="0072504B" w:rsidRPr="00DF1884" w14:paraId="3F4369EA" w14:textId="77777777" w:rsidTr="009D7D43">
        <w:trPr>
          <w:cantSplit/>
        </w:trPr>
        <w:tc>
          <w:tcPr>
            <w:tcW w:w="4788" w:type="dxa"/>
          </w:tcPr>
          <w:p w14:paraId="559386AB" w14:textId="67450D34" w:rsidR="0072504B" w:rsidRPr="00DF1884" w:rsidRDefault="0072504B" w:rsidP="0072504B">
            <w:pPr>
              <w:spacing w:before="160"/>
              <w:rPr>
                <w:rFonts w:cs="Arial"/>
                <w:szCs w:val="20"/>
              </w:rPr>
            </w:pPr>
            <w:r w:rsidRPr="00DF1884">
              <w:rPr>
                <w:rFonts w:cs="Arial"/>
                <w:b/>
                <w:bCs/>
                <w:szCs w:val="20"/>
              </w:rPr>
              <w:t>Dave</w:t>
            </w:r>
            <w:r w:rsidR="00DF1884" w:rsidRPr="00DF1884">
              <w:rPr>
                <w:rFonts w:cs="Arial"/>
                <w:b/>
                <w:bCs/>
                <w:szCs w:val="20"/>
              </w:rPr>
              <w:t xml:space="preserve"> </w:t>
            </w:r>
            <w:r w:rsidRPr="00DF1884">
              <w:rPr>
                <w:rFonts w:cs="Arial"/>
                <w:b/>
                <w:bCs/>
                <w:szCs w:val="20"/>
              </w:rPr>
              <w:t>Bodycombe,</w:t>
            </w:r>
            <w:r w:rsidR="00DF1884" w:rsidRPr="00DF1884">
              <w:rPr>
                <w:rFonts w:cs="Arial"/>
                <w:b/>
                <w:bCs/>
                <w:szCs w:val="20"/>
              </w:rPr>
              <w:t xml:space="preserve"> </w:t>
            </w:r>
            <w:r w:rsidRPr="00DF1884">
              <w:rPr>
                <w:rFonts w:cs="Arial"/>
                <w:b/>
                <w:bCs/>
                <w:szCs w:val="20"/>
              </w:rPr>
              <w:t>ScD,</w:t>
            </w:r>
            <w:r w:rsidR="00DF1884" w:rsidRPr="00DF1884">
              <w:rPr>
                <w:rFonts w:cs="Arial"/>
                <w:b/>
                <w:bCs/>
                <w:szCs w:val="20"/>
              </w:rPr>
              <w:t xml:space="preserve"> </w:t>
            </w:r>
            <w:r w:rsidRPr="00DF1884">
              <w:rPr>
                <w:rFonts w:cs="Arial"/>
                <w:b/>
                <w:bCs/>
                <w:szCs w:val="20"/>
              </w:rPr>
              <w:t>MSc</w:t>
            </w:r>
            <w:r w:rsidRPr="00DF1884">
              <w:rPr>
                <w:rFonts w:cs="Arial"/>
                <w:b/>
                <w:bCs/>
                <w:szCs w:val="20"/>
              </w:rPr>
              <w:br/>
            </w:r>
            <w:r w:rsidRPr="00DF1884">
              <w:rPr>
                <w:rFonts w:cs="Arial"/>
                <w:szCs w:val="20"/>
              </w:rPr>
              <w:t>ACG</w:t>
            </w:r>
            <w:r w:rsidR="00DF1884" w:rsidRPr="00DF1884">
              <w:rPr>
                <w:rFonts w:cs="Arial"/>
                <w:szCs w:val="20"/>
              </w:rPr>
              <w:t xml:space="preserve"> </w:t>
            </w:r>
            <w:r w:rsidRPr="00DF1884">
              <w:rPr>
                <w:rFonts w:cs="Arial"/>
                <w:szCs w:val="20"/>
              </w:rPr>
              <w:t>System</w:t>
            </w:r>
            <w:r w:rsidR="00DF1884" w:rsidRPr="00DF1884">
              <w:rPr>
                <w:rFonts w:cs="Arial"/>
                <w:szCs w:val="20"/>
              </w:rPr>
              <w:t xml:space="preserve"> </w:t>
            </w:r>
            <w:r w:rsidRPr="00DF1884">
              <w:rPr>
                <w:rFonts w:cs="Arial"/>
                <w:szCs w:val="20"/>
              </w:rPr>
              <w:t>at</w:t>
            </w:r>
            <w:r w:rsidR="00DF1884" w:rsidRPr="00DF1884">
              <w:rPr>
                <w:rFonts w:cs="Arial"/>
                <w:szCs w:val="20"/>
              </w:rPr>
              <w:t xml:space="preserve"> </w:t>
            </w:r>
            <w:r w:rsidRPr="00DF1884">
              <w:rPr>
                <w:rFonts w:cs="Arial"/>
                <w:szCs w:val="20"/>
              </w:rPr>
              <w:t>Johns</w:t>
            </w:r>
            <w:r w:rsidR="00DF1884" w:rsidRPr="00DF1884">
              <w:rPr>
                <w:rFonts w:cs="Arial"/>
                <w:szCs w:val="20"/>
              </w:rPr>
              <w:t xml:space="preserve"> </w:t>
            </w:r>
            <w:r w:rsidRPr="00DF1884">
              <w:rPr>
                <w:rFonts w:cs="Arial"/>
                <w:szCs w:val="20"/>
              </w:rPr>
              <w:t>Hopkins</w:t>
            </w:r>
            <w:r w:rsidR="00DF1884" w:rsidRPr="00DF1884">
              <w:rPr>
                <w:rFonts w:cs="Arial"/>
                <w:szCs w:val="20"/>
              </w:rPr>
              <w:t xml:space="preserve"> </w:t>
            </w:r>
            <w:r w:rsidRPr="00DF1884">
              <w:rPr>
                <w:rFonts w:cs="Arial"/>
                <w:szCs w:val="20"/>
              </w:rPr>
              <w:t>University</w:t>
            </w:r>
          </w:p>
          <w:p w14:paraId="17A240B0" w14:textId="4E053F3F" w:rsidR="0072504B" w:rsidRPr="00DF1884" w:rsidRDefault="0072504B" w:rsidP="0072504B">
            <w:pPr>
              <w:spacing w:before="160"/>
              <w:rPr>
                <w:rFonts w:cs="Arial"/>
                <w:szCs w:val="20"/>
              </w:rPr>
            </w:pPr>
            <w:r w:rsidRPr="00DF1884">
              <w:rPr>
                <w:rFonts w:cs="Arial"/>
                <w:b/>
                <w:bCs/>
                <w:szCs w:val="20"/>
              </w:rPr>
              <w:t>John</w:t>
            </w:r>
            <w:r w:rsidR="00DF1884" w:rsidRPr="00DF1884">
              <w:rPr>
                <w:rFonts w:cs="Arial"/>
                <w:b/>
                <w:bCs/>
                <w:szCs w:val="20"/>
              </w:rPr>
              <w:t xml:space="preserve"> </w:t>
            </w:r>
            <w:r w:rsidRPr="00DF1884">
              <w:rPr>
                <w:rFonts w:cs="Arial"/>
                <w:b/>
                <w:bCs/>
                <w:szCs w:val="20"/>
              </w:rPr>
              <w:t>Cuddeback,</w:t>
            </w:r>
            <w:r w:rsidR="00DF1884" w:rsidRPr="00DF1884">
              <w:rPr>
                <w:rFonts w:cs="Arial"/>
                <w:b/>
                <w:bCs/>
                <w:szCs w:val="20"/>
              </w:rPr>
              <w:t xml:space="preserve"> </w:t>
            </w:r>
            <w:r w:rsidRPr="00DF1884">
              <w:rPr>
                <w:rFonts w:cs="Arial"/>
                <w:b/>
                <w:bCs/>
                <w:szCs w:val="20"/>
              </w:rPr>
              <w:t>MD,</w:t>
            </w:r>
            <w:r w:rsidR="00DF1884" w:rsidRPr="00DF1884">
              <w:rPr>
                <w:rFonts w:cs="Arial"/>
                <w:b/>
                <w:bCs/>
                <w:szCs w:val="20"/>
              </w:rPr>
              <w:t xml:space="preserve"> </w:t>
            </w:r>
            <w:r w:rsidRPr="00DF1884">
              <w:rPr>
                <w:rFonts w:cs="Arial"/>
                <w:b/>
                <w:bCs/>
                <w:szCs w:val="20"/>
              </w:rPr>
              <w:t>PhD</w:t>
            </w:r>
            <w:r w:rsidRPr="00DF1884">
              <w:rPr>
                <w:rFonts w:cs="Arial"/>
                <w:b/>
                <w:bCs/>
                <w:szCs w:val="20"/>
              </w:rPr>
              <w:br/>
            </w:r>
            <w:r w:rsidRPr="00DF1884">
              <w:rPr>
                <w:rFonts w:cs="Arial"/>
                <w:szCs w:val="20"/>
              </w:rPr>
              <w:t>American</w:t>
            </w:r>
            <w:r w:rsidR="00DF1884" w:rsidRPr="00DF1884">
              <w:rPr>
                <w:rFonts w:cs="Arial"/>
                <w:szCs w:val="20"/>
              </w:rPr>
              <w:t xml:space="preserve"> </w:t>
            </w:r>
            <w:r w:rsidRPr="00DF1884">
              <w:rPr>
                <w:rFonts w:cs="Arial"/>
                <w:szCs w:val="20"/>
              </w:rPr>
              <w:t>Medical</w:t>
            </w:r>
            <w:r w:rsidR="00DF1884" w:rsidRPr="00DF1884">
              <w:rPr>
                <w:rFonts w:cs="Arial"/>
                <w:szCs w:val="20"/>
              </w:rPr>
              <w:t xml:space="preserve"> </w:t>
            </w:r>
            <w:r w:rsidRPr="00DF1884">
              <w:rPr>
                <w:rFonts w:cs="Arial"/>
                <w:szCs w:val="20"/>
              </w:rPr>
              <w:t>Group</w:t>
            </w:r>
            <w:r w:rsidR="00DF1884" w:rsidRPr="00DF1884">
              <w:rPr>
                <w:rFonts w:cs="Arial"/>
                <w:szCs w:val="20"/>
              </w:rPr>
              <w:t xml:space="preserve"> </w:t>
            </w:r>
            <w:r w:rsidRPr="00DF1884">
              <w:rPr>
                <w:rFonts w:cs="Arial"/>
                <w:szCs w:val="20"/>
              </w:rPr>
              <w:t>Association</w:t>
            </w:r>
          </w:p>
          <w:p w14:paraId="4CE10059" w14:textId="69D679F6" w:rsidR="0072504B" w:rsidRPr="00DF1884" w:rsidRDefault="0072504B" w:rsidP="009D7D43">
            <w:pPr>
              <w:spacing w:before="160"/>
            </w:pPr>
            <w:r w:rsidRPr="00DF1884">
              <w:rPr>
                <w:rFonts w:cs="Arial"/>
                <w:b/>
                <w:bCs/>
                <w:szCs w:val="20"/>
              </w:rPr>
              <w:t>Bob</w:t>
            </w:r>
            <w:r w:rsidR="00DF1884" w:rsidRPr="00DF1884">
              <w:rPr>
                <w:rFonts w:cs="Arial"/>
                <w:b/>
                <w:bCs/>
                <w:szCs w:val="20"/>
              </w:rPr>
              <w:t xml:space="preserve"> </w:t>
            </w:r>
            <w:r w:rsidRPr="00DF1884">
              <w:rPr>
                <w:rFonts w:cs="Arial"/>
                <w:b/>
                <w:bCs/>
                <w:szCs w:val="20"/>
              </w:rPr>
              <w:t>Kelley,</w:t>
            </w:r>
            <w:r w:rsidR="00DF1884" w:rsidRPr="00DF1884">
              <w:rPr>
                <w:rFonts w:cs="Arial"/>
                <w:b/>
                <w:bCs/>
                <w:szCs w:val="20"/>
              </w:rPr>
              <w:t xml:space="preserve"> </w:t>
            </w:r>
            <w:r w:rsidRPr="00DF1884">
              <w:rPr>
                <w:rFonts w:cs="Arial"/>
                <w:b/>
                <w:bCs/>
                <w:szCs w:val="20"/>
              </w:rPr>
              <w:t>MS</w:t>
            </w:r>
            <w:r w:rsidRPr="00DF1884">
              <w:rPr>
                <w:rFonts w:cs="Arial"/>
                <w:b/>
                <w:bCs/>
                <w:szCs w:val="20"/>
              </w:rPr>
              <w:br/>
            </w:r>
            <w:r w:rsidRPr="00DF1884">
              <w:rPr>
                <w:rFonts w:cs="Arial"/>
                <w:szCs w:val="20"/>
              </w:rPr>
              <w:t>Truven</w:t>
            </w:r>
            <w:r w:rsidR="00DF1884" w:rsidRPr="00DF1884">
              <w:rPr>
                <w:rFonts w:cs="Arial"/>
                <w:szCs w:val="20"/>
              </w:rPr>
              <w:t xml:space="preserve"> </w:t>
            </w:r>
            <w:r w:rsidRPr="00DF1884">
              <w:rPr>
                <w:rFonts w:cs="Arial"/>
                <w:szCs w:val="20"/>
              </w:rPr>
              <w:t>Health</w:t>
            </w:r>
            <w:r w:rsidR="00DF1884" w:rsidRPr="00DF1884">
              <w:rPr>
                <w:rFonts w:cs="Arial"/>
                <w:szCs w:val="20"/>
              </w:rPr>
              <w:t xml:space="preserve"> </w:t>
            </w:r>
            <w:r w:rsidRPr="00DF1884">
              <w:rPr>
                <w:rFonts w:cs="Arial"/>
                <w:szCs w:val="20"/>
              </w:rPr>
              <w:t>Analytics</w:t>
            </w:r>
          </w:p>
        </w:tc>
        <w:tc>
          <w:tcPr>
            <w:tcW w:w="4932" w:type="dxa"/>
          </w:tcPr>
          <w:p w14:paraId="1657CCA3" w14:textId="0565233C" w:rsidR="0072504B" w:rsidRPr="00DF1884" w:rsidRDefault="0072504B" w:rsidP="0072504B">
            <w:pPr>
              <w:spacing w:before="160"/>
              <w:rPr>
                <w:rFonts w:cs="Arial"/>
                <w:szCs w:val="20"/>
              </w:rPr>
            </w:pPr>
            <w:r w:rsidRPr="00DF1884">
              <w:rPr>
                <w:rFonts w:cs="Arial"/>
                <w:b/>
                <w:bCs/>
                <w:szCs w:val="20"/>
              </w:rPr>
              <w:t>Greg</w:t>
            </w:r>
            <w:r w:rsidR="00DF1884" w:rsidRPr="00DF1884">
              <w:rPr>
                <w:rFonts w:cs="Arial"/>
                <w:b/>
                <w:bCs/>
                <w:szCs w:val="20"/>
              </w:rPr>
              <w:t xml:space="preserve"> </w:t>
            </w:r>
            <w:r w:rsidRPr="00DF1884">
              <w:rPr>
                <w:rFonts w:cs="Arial"/>
                <w:b/>
                <w:bCs/>
                <w:szCs w:val="20"/>
              </w:rPr>
              <w:t>Pawlson,</w:t>
            </w:r>
            <w:r w:rsidR="00DF1884" w:rsidRPr="00DF1884">
              <w:rPr>
                <w:rFonts w:cs="Arial"/>
                <w:b/>
                <w:bCs/>
                <w:szCs w:val="20"/>
              </w:rPr>
              <w:t xml:space="preserve"> </w:t>
            </w:r>
            <w:r w:rsidRPr="00DF1884">
              <w:rPr>
                <w:rFonts w:cs="Arial"/>
                <w:b/>
                <w:bCs/>
                <w:szCs w:val="20"/>
              </w:rPr>
              <w:t>MD,</w:t>
            </w:r>
            <w:r w:rsidR="00DF1884" w:rsidRPr="00DF1884">
              <w:rPr>
                <w:rFonts w:cs="Arial"/>
                <w:b/>
                <w:bCs/>
                <w:szCs w:val="20"/>
              </w:rPr>
              <w:t xml:space="preserve"> </w:t>
            </w:r>
            <w:r w:rsidRPr="00DF1884">
              <w:rPr>
                <w:rFonts w:cs="Arial"/>
                <w:b/>
                <w:bCs/>
                <w:szCs w:val="20"/>
              </w:rPr>
              <w:t>MPH</w:t>
            </w:r>
            <w:r w:rsidRPr="00DF1884">
              <w:rPr>
                <w:rFonts w:cs="Arial"/>
                <w:b/>
                <w:bCs/>
                <w:szCs w:val="20"/>
              </w:rPr>
              <w:br/>
            </w:r>
            <w:r w:rsidRPr="00DF1884">
              <w:rPr>
                <w:rFonts w:cs="Arial"/>
                <w:szCs w:val="20"/>
              </w:rPr>
              <w:t>Stevens</w:t>
            </w:r>
            <w:r w:rsidR="00DF1884" w:rsidRPr="00DF1884">
              <w:rPr>
                <w:rFonts w:cs="Arial"/>
                <w:szCs w:val="20"/>
              </w:rPr>
              <w:t xml:space="preserve"> </w:t>
            </w:r>
            <w:r w:rsidRPr="00DF1884">
              <w:rPr>
                <w:rFonts w:cs="Arial"/>
                <w:szCs w:val="20"/>
              </w:rPr>
              <w:t>Lee</w:t>
            </w:r>
          </w:p>
          <w:p w14:paraId="4152387F" w14:textId="03FDE085" w:rsidR="0072504B" w:rsidRPr="00DF1884" w:rsidRDefault="0072504B" w:rsidP="0072504B">
            <w:pPr>
              <w:pStyle w:val="Body"/>
              <w:spacing w:before="160"/>
              <w:rPr>
                <w:b/>
                <w:bCs/>
              </w:rPr>
            </w:pPr>
            <w:r w:rsidRPr="00DF1884">
              <w:rPr>
                <w:b/>
                <w:bCs/>
              </w:rPr>
              <w:t>Patrick</w:t>
            </w:r>
            <w:r w:rsidR="00DF1884" w:rsidRPr="00DF1884">
              <w:rPr>
                <w:b/>
                <w:bCs/>
              </w:rPr>
              <w:t xml:space="preserve"> </w:t>
            </w:r>
            <w:r w:rsidRPr="00DF1884">
              <w:rPr>
                <w:b/>
                <w:bCs/>
              </w:rPr>
              <w:t>Romano</w:t>
            </w:r>
            <w:r w:rsidRPr="00DF1884">
              <w:rPr>
                <w:b/>
                <w:bCs/>
              </w:rPr>
              <w:br/>
            </w:r>
            <w:r w:rsidRPr="00DF1884">
              <w:t>University</w:t>
            </w:r>
            <w:r w:rsidR="00DF1884" w:rsidRPr="00DF1884">
              <w:t xml:space="preserve"> </w:t>
            </w:r>
            <w:r w:rsidRPr="00DF1884">
              <w:t>of</w:t>
            </w:r>
            <w:r w:rsidR="00DF1884" w:rsidRPr="00DF1884">
              <w:t xml:space="preserve"> </w:t>
            </w:r>
            <w:r w:rsidRPr="00DF1884">
              <w:t>California,</w:t>
            </w:r>
            <w:r w:rsidR="00DF1884" w:rsidRPr="00DF1884">
              <w:t xml:space="preserve"> </w:t>
            </w:r>
            <w:r w:rsidRPr="00DF1884">
              <w:t>Davis</w:t>
            </w:r>
            <w:r w:rsidR="00DF1884" w:rsidRPr="00DF1884">
              <w:rPr>
                <w:b/>
                <w:bCs/>
              </w:rPr>
              <w:t xml:space="preserve"> </w:t>
            </w:r>
          </w:p>
          <w:p w14:paraId="649B922B" w14:textId="4AC2A252" w:rsidR="0072504B" w:rsidRPr="00DF1884" w:rsidRDefault="0072504B" w:rsidP="0072504B">
            <w:pPr>
              <w:pStyle w:val="Body"/>
            </w:pPr>
          </w:p>
        </w:tc>
      </w:tr>
    </w:tbl>
    <w:p w14:paraId="18431E3C" w14:textId="77777777" w:rsidR="00463667" w:rsidRPr="00DF1884" w:rsidRDefault="00463667" w:rsidP="00463667">
      <w:pPr>
        <w:sectPr w:rsidR="00463667" w:rsidRPr="00DF1884" w:rsidSect="0039781B">
          <w:pgSz w:w="12240" w:h="15840" w:code="1"/>
          <w:pgMar w:top="1080" w:right="1080" w:bottom="1080" w:left="1440" w:header="720" w:footer="720" w:gutter="0"/>
          <w:cols w:space="720"/>
        </w:sectPr>
      </w:pPr>
    </w:p>
    <w:p w14:paraId="61EBB0AC" w14:textId="0DD3D8B4" w:rsidR="00463667" w:rsidRPr="00DF1884" w:rsidRDefault="00463667" w:rsidP="00202CAE">
      <w:pPr>
        <w:pStyle w:val="ReverseHead"/>
        <w:spacing w:before="0"/>
      </w:pPr>
      <w:r w:rsidRPr="00DF1884">
        <w:t>Technical</w:t>
      </w:r>
      <w:r w:rsidR="00DF1884" w:rsidRPr="00DF1884">
        <w:t xml:space="preserve"> </w:t>
      </w:r>
      <w:r w:rsidRPr="00DF1884">
        <w:t>Measurement</w:t>
      </w:r>
      <w:r w:rsidR="00DF1884" w:rsidRPr="00DF1884">
        <w:t xml:space="preserve"> </w:t>
      </w:r>
      <w:r w:rsidRPr="00DF1884">
        <w:t>Advisory</w:t>
      </w:r>
      <w:r w:rsidR="00DF1884" w:rsidRPr="00DF1884">
        <w:t xml:space="preserve"> </w:t>
      </w:r>
      <w:r w:rsidRPr="00DF1884">
        <w:t>Panel</w:t>
      </w:r>
    </w:p>
    <w:tbl>
      <w:tblPr>
        <w:tblW w:w="0" w:type="auto"/>
        <w:tblLayout w:type="fixed"/>
        <w:tblLook w:val="0000" w:firstRow="0" w:lastRow="0" w:firstColumn="0" w:lastColumn="0" w:noHBand="0" w:noVBand="0"/>
      </w:tblPr>
      <w:tblGrid>
        <w:gridCol w:w="4788"/>
        <w:gridCol w:w="5040"/>
      </w:tblGrid>
      <w:tr w:rsidR="00463667" w:rsidRPr="00DF1884" w14:paraId="68FE53B5" w14:textId="77777777" w:rsidTr="00C56CA6">
        <w:trPr>
          <w:cantSplit/>
        </w:trPr>
        <w:tc>
          <w:tcPr>
            <w:tcW w:w="4788" w:type="dxa"/>
          </w:tcPr>
          <w:p w14:paraId="29E59E43" w14:textId="021892CA" w:rsidR="00463667" w:rsidRPr="00DF1884" w:rsidRDefault="00463667" w:rsidP="00C56CA6">
            <w:pPr>
              <w:pStyle w:val="Body"/>
            </w:pPr>
            <w:r w:rsidRPr="00DF1884">
              <w:rPr>
                <w:b/>
              </w:rPr>
              <w:t>Andy</w:t>
            </w:r>
            <w:r w:rsidR="00DF1884" w:rsidRPr="00DF1884">
              <w:rPr>
                <w:b/>
              </w:rPr>
              <w:t xml:space="preserve"> </w:t>
            </w:r>
            <w:r w:rsidRPr="00DF1884">
              <w:rPr>
                <w:b/>
              </w:rPr>
              <w:t>Amster,</w:t>
            </w:r>
            <w:r w:rsidR="00DF1884" w:rsidRPr="00DF1884">
              <w:rPr>
                <w:b/>
              </w:rPr>
              <w:t xml:space="preserve"> </w:t>
            </w:r>
            <w:r w:rsidRPr="00DF1884">
              <w:rPr>
                <w:b/>
              </w:rPr>
              <w:t>MSPH</w:t>
            </w:r>
            <w:r w:rsidRPr="00DF1884">
              <w:rPr>
                <w:b/>
              </w:rPr>
              <w:br/>
            </w:r>
            <w:r w:rsidRPr="00DF1884">
              <w:t>Kaiser</w:t>
            </w:r>
            <w:r w:rsidR="00DF1884" w:rsidRPr="00DF1884">
              <w:t xml:space="preserve"> </w:t>
            </w:r>
            <w:r w:rsidRPr="00DF1884">
              <w:t>Permanente</w:t>
            </w:r>
          </w:p>
          <w:p w14:paraId="68F539C4" w14:textId="174DE797" w:rsidR="00463667" w:rsidRPr="00DF1884" w:rsidRDefault="00463667" w:rsidP="00C56CA6">
            <w:pPr>
              <w:pStyle w:val="Body"/>
            </w:pPr>
            <w:r w:rsidRPr="00DF1884">
              <w:rPr>
                <w:b/>
              </w:rPr>
              <w:t>Kathryn</w:t>
            </w:r>
            <w:r w:rsidR="00DF1884" w:rsidRPr="00DF1884">
              <w:rPr>
                <w:b/>
              </w:rPr>
              <w:t xml:space="preserve"> </w:t>
            </w:r>
            <w:r w:rsidRPr="00DF1884">
              <w:rPr>
                <w:b/>
              </w:rPr>
              <w:t>Coltin,</w:t>
            </w:r>
            <w:r w:rsidR="00DF1884" w:rsidRPr="00DF1884">
              <w:rPr>
                <w:b/>
              </w:rPr>
              <w:t xml:space="preserve"> </w:t>
            </w:r>
            <w:r w:rsidRPr="00DF1884">
              <w:rPr>
                <w:b/>
              </w:rPr>
              <w:t>MPH</w:t>
            </w:r>
            <w:r w:rsidRPr="00DF1884">
              <w:rPr>
                <w:b/>
              </w:rPr>
              <w:br/>
            </w:r>
            <w:r w:rsidR="00C95F91" w:rsidRPr="00DF1884">
              <w:t>Independent</w:t>
            </w:r>
            <w:r w:rsidR="00DF1884" w:rsidRPr="00DF1884">
              <w:t xml:space="preserve"> </w:t>
            </w:r>
            <w:r w:rsidR="00C95F91" w:rsidRPr="00DF1884">
              <w:t>Consultant</w:t>
            </w:r>
          </w:p>
          <w:p w14:paraId="22B614B5" w14:textId="04F2DE11" w:rsidR="00463667" w:rsidRPr="00DF1884" w:rsidRDefault="00463667" w:rsidP="00C56CA6">
            <w:pPr>
              <w:pStyle w:val="Body"/>
            </w:pPr>
            <w:r w:rsidRPr="00DF1884">
              <w:rPr>
                <w:b/>
              </w:rPr>
              <w:t>Lekisha</w:t>
            </w:r>
            <w:r w:rsidR="00DF1884" w:rsidRPr="00DF1884">
              <w:rPr>
                <w:b/>
              </w:rPr>
              <w:t xml:space="preserve"> </w:t>
            </w:r>
            <w:r w:rsidRPr="00DF1884">
              <w:rPr>
                <w:b/>
              </w:rPr>
              <w:t>Daniel-Robinson,</w:t>
            </w:r>
            <w:r w:rsidR="00DF1884" w:rsidRPr="00DF1884">
              <w:rPr>
                <w:b/>
              </w:rPr>
              <w:t xml:space="preserve"> </w:t>
            </w:r>
            <w:r w:rsidRPr="00DF1884">
              <w:rPr>
                <w:b/>
              </w:rPr>
              <w:t>MSPH</w:t>
            </w:r>
            <w:r w:rsidRPr="00DF1884">
              <w:br/>
              <w:t>Centers</w:t>
            </w:r>
            <w:r w:rsidR="00DF1884" w:rsidRPr="00DF1884">
              <w:t xml:space="preserve"> </w:t>
            </w:r>
            <w:r w:rsidRPr="00DF1884">
              <w:t>for</w:t>
            </w:r>
            <w:r w:rsidR="00DF1884" w:rsidRPr="00DF1884">
              <w:t xml:space="preserve"> </w:t>
            </w:r>
            <w:r w:rsidRPr="00DF1884">
              <w:t>Medicare</w:t>
            </w:r>
            <w:r w:rsidR="00DF1884" w:rsidRPr="00DF1884">
              <w:t xml:space="preserve"> </w:t>
            </w:r>
            <w:r w:rsidRPr="00DF1884">
              <w:t>&amp;</w:t>
            </w:r>
            <w:r w:rsidR="00DF1884" w:rsidRPr="00DF1884">
              <w:t xml:space="preserve"> </w:t>
            </w:r>
            <w:r w:rsidRPr="00DF1884">
              <w:t>Medicaid</w:t>
            </w:r>
            <w:r w:rsidR="00DF1884" w:rsidRPr="00DF1884">
              <w:t xml:space="preserve"> </w:t>
            </w:r>
            <w:r w:rsidRPr="00DF1884">
              <w:t>Services</w:t>
            </w:r>
          </w:p>
          <w:p w14:paraId="3E452AF0" w14:textId="793A45ED" w:rsidR="00463667" w:rsidRPr="00DF1884" w:rsidRDefault="00463667" w:rsidP="00C56CA6">
            <w:pPr>
              <w:pStyle w:val="Body"/>
              <w:rPr>
                <w:bCs/>
              </w:rPr>
            </w:pPr>
            <w:r w:rsidRPr="00DF1884">
              <w:rPr>
                <w:b/>
              </w:rPr>
              <w:t>Marissa</w:t>
            </w:r>
            <w:r w:rsidR="00DF1884" w:rsidRPr="00DF1884">
              <w:rPr>
                <w:b/>
              </w:rPr>
              <w:t xml:space="preserve"> </w:t>
            </w:r>
            <w:r w:rsidRPr="00DF1884">
              <w:rPr>
                <w:b/>
              </w:rPr>
              <w:t>M.</w:t>
            </w:r>
            <w:r w:rsidR="00DF1884" w:rsidRPr="00DF1884">
              <w:rPr>
                <w:b/>
              </w:rPr>
              <w:t xml:space="preserve"> </w:t>
            </w:r>
            <w:r w:rsidRPr="00DF1884">
              <w:rPr>
                <w:b/>
              </w:rPr>
              <w:t>Finn,</w:t>
            </w:r>
            <w:r w:rsidR="00DF1884" w:rsidRPr="00DF1884">
              <w:rPr>
                <w:b/>
              </w:rPr>
              <w:t xml:space="preserve"> </w:t>
            </w:r>
            <w:r w:rsidRPr="00DF1884">
              <w:rPr>
                <w:b/>
              </w:rPr>
              <w:t>MBA</w:t>
            </w:r>
            <w:r w:rsidRPr="00DF1884">
              <w:br/>
              <w:t>Cigna</w:t>
            </w:r>
            <w:r w:rsidR="00DF1884" w:rsidRPr="00DF1884">
              <w:t xml:space="preserve"> </w:t>
            </w:r>
            <w:r w:rsidRPr="00DF1884">
              <w:t>HealthCare</w:t>
            </w:r>
            <w:r w:rsidR="00DF1884" w:rsidRPr="00DF1884">
              <w:rPr>
                <w:bCs/>
              </w:rPr>
              <w:t xml:space="preserve"> </w:t>
            </w:r>
          </w:p>
          <w:p w14:paraId="7E8D0217" w14:textId="6222E37E" w:rsidR="00463667" w:rsidRPr="00DF1884" w:rsidRDefault="00463667" w:rsidP="00C56CA6">
            <w:pPr>
              <w:pStyle w:val="Body"/>
            </w:pPr>
            <w:r w:rsidRPr="00DF1884">
              <w:rPr>
                <w:b/>
              </w:rPr>
              <w:t>Scott</w:t>
            </w:r>
            <w:r w:rsidR="00DF1884" w:rsidRPr="00DF1884">
              <w:rPr>
                <w:b/>
              </w:rPr>
              <w:t xml:space="preserve"> </w:t>
            </w:r>
            <w:r w:rsidRPr="00DF1884">
              <w:rPr>
                <w:b/>
              </w:rPr>
              <w:t>Fox,</w:t>
            </w:r>
            <w:r w:rsidR="00DF1884" w:rsidRPr="00DF1884">
              <w:rPr>
                <w:b/>
              </w:rPr>
              <w:t xml:space="preserve"> </w:t>
            </w:r>
            <w:r w:rsidRPr="00DF1884">
              <w:rPr>
                <w:b/>
              </w:rPr>
              <w:t>MS,</w:t>
            </w:r>
            <w:r w:rsidR="00DF1884" w:rsidRPr="00DF1884">
              <w:rPr>
                <w:b/>
              </w:rPr>
              <w:t xml:space="preserve"> </w:t>
            </w:r>
            <w:r w:rsidRPr="00DF1884">
              <w:rPr>
                <w:b/>
              </w:rPr>
              <w:t>MEd</w:t>
            </w:r>
            <w:r w:rsidRPr="00DF1884">
              <w:br/>
              <w:t>Independence</w:t>
            </w:r>
            <w:r w:rsidR="00DF1884" w:rsidRPr="00DF1884">
              <w:t xml:space="preserve"> </w:t>
            </w:r>
            <w:r w:rsidRPr="00DF1884">
              <w:t>Blue</w:t>
            </w:r>
            <w:r w:rsidR="00DF1884" w:rsidRPr="00DF1884">
              <w:t xml:space="preserve"> </w:t>
            </w:r>
            <w:r w:rsidRPr="00DF1884">
              <w:t>Cross</w:t>
            </w:r>
          </w:p>
          <w:p w14:paraId="02962272" w14:textId="6DE00C6D" w:rsidR="00463667" w:rsidRPr="00DF1884" w:rsidRDefault="00463667" w:rsidP="00C56CA6">
            <w:pPr>
              <w:pStyle w:val="Body"/>
            </w:pPr>
            <w:r w:rsidRPr="00DF1884">
              <w:rPr>
                <w:b/>
              </w:rPr>
              <w:t>Carlos</w:t>
            </w:r>
            <w:r w:rsidR="00DF1884" w:rsidRPr="00DF1884">
              <w:rPr>
                <w:b/>
              </w:rPr>
              <w:t xml:space="preserve"> </w:t>
            </w:r>
            <w:r w:rsidRPr="00DF1884">
              <w:rPr>
                <w:b/>
              </w:rPr>
              <w:t>Hernandez</w:t>
            </w:r>
            <w:r w:rsidRPr="00DF1884">
              <w:rPr>
                <w:b/>
              </w:rPr>
              <w:br/>
            </w:r>
            <w:r w:rsidRPr="00DF1884">
              <w:t>CenCal</w:t>
            </w:r>
            <w:r w:rsidR="00DF1884" w:rsidRPr="00DF1884">
              <w:t xml:space="preserve"> </w:t>
            </w:r>
            <w:r w:rsidRPr="00DF1884">
              <w:t>Health</w:t>
            </w:r>
          </w:p>
        </w:tc>
        <w:tc>
          <w:tcPr>
            <w:tcW w:w="5040" w:type="dxa"/>
            <w:tcBorders>
              <w:bottom w:val="nil"/>
            </w:tcBorders>
          </w:tcPr>
          <w:p w14:paraId="54B42D14" w14:textId="5BC1A799" w:rsidR="00463667" w:rsidRPr="00DF1884" w:rsidRDefault="00463667" w:rsidP="00C56CA6">
            <w:pPr>
              <w:pStyle w:val="Body"/>
            </w:pPr>
            <w:r w:rsidRPr="00DF1884">
              <w:rPr>
                <w:b/>
              </w:rPr>
              <w:t>Kelly</w:t>
            </w:r>
            <w:r w:rsidR="00DF1884" w:rsidRPr="00DF1884">
              <w:rPr>
                <w:b/>
              </w:rPr>
              <w:t xml:space="preserve"> </w:t>
            </w:r>
            <w:r w:rsidRPr="00DF1884">
              <w:rPr>
                <w:b/>
              </w:rPr>
              <w:t>Isom,</w:t>
            </w:r>
            <w:r w:rsidR="00DF1884" w:rsidRPr="00DF1884">
              <w:rPr>
                <w:b/>
              </w:rPr>
              <w:t xml:space="preserve"> </w:t>
            </w:r>
            <w:r w:rsidRPr="00DF1884">
              <w:rPr>
                <w:b/>
              </w:rPr>
              <w:t>RN,</w:t>
            </w:r>
            <w:r w:rsidR="00DF1884" w:rsidRPr="00DF1884">
              <w:rPr>
                <w:b/>
              </w:rPr>
              <w:t xml:space="preserve"> </w:t>
            </w:r>
            <w:r w:rsidRPr="00DF1884">
              <w:rPr>
                <w:b/>
              </w:rPr>
              <w:t>MA</w:t>
            </w:r>
            <w:r w:rsidR="00DF1884" w:rsidRPr="00DF1884">
              <w:rPr>
                <w:b/>
              </w:rPr>
              <w:t xml:space="preserve"> </w:t>
            </w:r>
            <w:r w:rsidRPr="00DF1884">
              <w:br/>
              <w:t>Aetna</w:t>
            </w:r>
          </w:p>
          <w:p w14:paraId="1F3244EB" w14:textId="15B8BEBB" w:rsidR="00463667" w:rsidRPr="00DF1884" w:rsidRDefault="00463667" w:rsidP="00C56CA6">
            <w:pPr>
              <w:pStyle w:val="Body"/>
            </w:pPr>
            <w:r w:rsidRPr="00DF1884">
              <w:rPr>
                <w:b/>
              </w:rPr>
              <w:t>Harmon</w:t>
            </w:r>
            <w:r w:rsidR="00DF1884" w:rsidRPr="00DF1884">
              <w:rPr>
                <w:b/>
              </w:rPr>
              <w:t xml:space="preserve"> </w:t>
            </w:r>
            <w:r w:rsidRPr="00DF1884">
              <w:rPr>
                <w:b/>
              </w:rPr>
              <w:t>S.</w:t>
            </w:r>
            <w:r w:rsidR="00DF1884" w:rsidRPr="00DF1884">
              <w:rPr>
                <w:b/>
              </w:rPr>
              <w:t xml:space="preserve"> </w:t>
            </w:r>
            <w:r w:rsidRPr="00DF1884">
              <w:rPr>
                <w:b/>
              </w:rPr>
              <w:t>Jordan,</w:t>
            </w:r>
            <w:r w:rsidR="00DF1884" w:rsidRPr="00DF1884">
              <w:rPr>
                <w:b/>
              </w:rPr>
              <w:t xml:space="preserve"> </w:t>
            </w:r>
            <w:r w:rsidRPr="00DF1884">
              <w:rPr>
                <w:b/>
              </w:rPr>
              <w:t>ScD</w:t>
            </w:r>
            <w:r w:rsidRPr="00DF1884">
              <w:rPr>
                <w:b/>
              </w:rPr>
              <w:br/>
            </w:r>
            <w:r w:rsidRPr="00DF1884">
              <w:t>RTI</w:t>
            </w:r>
            <w:r w:rsidR="00DF1884" w:rsidRPr="00DF1884">
              <w:t xml:space="preserve"> </w:t>
            </w:r>
            <w:r w:rsidRPr="00DF1884">
              <w:t>International</w:t>
            </w:r>
          </w:p>
          <w:p w14:paraId="668A9E05" w14:textId="3ED6BBBC" w:rsidR="00463667" w:rsidRPr="00DF1884" w:rsidRDefault="00463667" w:rsidP="00C56CA6">
            <w:pPr>
              <w:pStyle w:val="Body"/>
              <w:rPr>
                <w:b/>
              </w:rPr>
            </w:pPr>
            <w:r w:rsidRPr="00DF1884">
              <w:rPr>
                <w:b/>
              </w:rPr>
              <w:t>Ernest</w:t>
            </w:r>
            <w:r w:rsidR="00DF1884" w:rsidRPr="00DF1884">
              <w:rPr>
                <w:b/>
              </w:rPr>
              <w:t xml:space="preserve"> </w:t>
            </w:r>
            <w:r w:rsidRPr="00DF1884">
              <w:rPr>
                <w:b/>
              </w:rPr>
              <w:t>Moy,</w:t>
            </w:r>
            <w:r w:rsidR="00DF1884" w:rsidRPr="00DF1884">
              <w:rPr>
                <w:b/>
              </w:rPr>
              <w:t xml:space="preserve"> </w:t>
            </w:r>
            <w:r w:rsidRPr="00DF1884">
              <w:rPr>
                <w:b/>
              </w:rPr>
              <w:t>MD,</w:t>
            </w:r>
            <w:r w:rsidR="00DF1884" w:rsidRPr="00DF1884">
              <w:rPr>
                <w:b/>
              </w:rPr>
              <w:t xml:space="preserve"> </w:t>
            </w:r>
            <w:r w:rsidRPr="00DF1884">
              <w:rPr>
                <w:b/>
              </w:rPr>
              <w:t>MPH</w:t>
            </w:r>
            <w:r w:rsidRPr="00DF1884">
              <w:rPr>
                <w:b/>
              </w:rPr>
              <w:br/>
            </w:r>
            <w:r w:rsidRPr="00DF1884">
              <w:t>Agency</w:t>
            </w:r>
            <w:r w:rsidR="00DF1884" w:rsidRPr="00DF1884">
              <w:t xml:space="preserve"> </w:t>
            </w:r>
            <w:r w:rsidRPr="00DF1884">
              <w:t>for</w:t>
            </w:r>
            <w:r w:rsidR="00DF1884" w:rsidRPr="00DF1884">
              <w:t xml:space="preserve"> </w:t>
            </w:r>
            <w:r w:rsidRPr="00DF1884">
              <w:t>Healthcare</w:t>
            </w:r>
            <w:r w:rsidR="00DF1884" w:rsidRPr="00DF1884">
              <w:t xml:space="preserve"> </w:t>
            </w:r>
            <w:r w:rsidRPr="00DF1884">
              <w:t>Research</w:t>
            </w:r>
            <w:r w:rsidR="00DF1884" w:rsidRPr="00DF1884">
              <w:t xml:space="preserve"> </w:t>
            </w:r>
            <w:r w:rsidRPr="00DF1884">
              <w:t>and</w:t>
            </w:r>
            <w:r w:rsidR="00DF1884" w:rsidRPr="00DF1884">
              <w:t xml:space="preserve"> </w:t>
            </w:r>
            <w:r w:rsidRPr="00DF1884">
              <w:t>Quality</w:t>
            </w:r>
            <w:r w:rsidR="00DF1884" w:rsidRPr="00DF1884">
              <w:t xml:space="preserve"> </w:t>
            </w:r>
            <w:r w:rsidRPr="00DF1884">
              <w:t>(AHRQ)</w:t>
            </w:r>
          </w:p>
          <w:p w14:paraId="6EDD1DED" w14:textId="717FA8AA" w:rsidR="00463667" w:rsidRPr="00DF1884" w:rsidRDefault="00463667" w:rsidP="00C56CA6">
            <w:pPr>
              <w:pStyle w:val="Body"/>
              <w:rPr>
                <w:b/>
                <w:bCs/>
              </w:rPr>
            </w:pPr>
            <w:r w:rsidRPr="00DF1884">
              <w:rPr>
                <w:b/>
                <w:bCs/>
              </w:rPr>
              <w:t>Patrick</w:t>
            </w:r>
            <w:r w:rsidR="00DF1884" w:rsidRPr="00DF1884">
              <w:rPr>
                <w:b/>
                <w:bCs/>
              </w:rPr>
              <w:t xml:space="preserve"> </w:t>
            </w:r>
            <w:r w:rsidRPr="00DF1884">
              <w:rPr>
                <w:b/>
                <w:bCs/>
              </w:rPr>
              <w:t>Roohan</w:t>
            </w:r>
          </w:p>
          <w:p w14:paraId="33D1ED75" w14:textId="7C16CF63" w:rsidR="00463667" w:rsidRPr="00DF1884" w:rsidRDefault="00463667" w:rsidP="00C56CA6">
            <w:pPr>
              <w:pStyle w:val="Body"/>
              <w:spacing w:before="0"/>
            </w:pPr>
            <w:r w:rsidRPr="00DF1884">
              <w:t>New</w:t>
            </w:r>
            <w:r w:rsidR="00DF1884" w:rsidRPr="00DF1884">
              <w:t xml:space="preserve"> </w:t>
            </w:r>
            <w:r w:rsidRPr="00DF1884">
              <w:t>York</w:t>
            </w:r>
            <w:r w:rsidR="00DF1884" w:rsidRPr="00DF1884">
              <w:t xml:space="preserve"> </w:t>
            </w:r>
            <w:r w:rsidRPr="00DF1884">
              <w:t>State</w:t>
            </w:r>
            <w:r w:rsidR="00DF1884" w:rsidRPr="00DF1884">
              <w:t xml:space="preserve"> </w:t>
            </w:r>
            <w:r w:rsidRPr="00DF1884">
              <w:t>Department</w:t>
            </w:r>
            <w:r w:rsidR="00DF1884" w:rsidRPr="00DF1884">
              <w:t xml:space="preserve"> </w:t>
            </w:r>
            <w:r w:rsidRPr="00DF1884">
              <w:t>of</w:t>
            </w:r>
            <w:r w:rsidR="00DF1884" w:rsidRPr="00DF1884">
              <w:t xml:space="preserve"> </w:t>
            </w:r>
            <w:r w:rsidRPr="00DF1884">
              <w:t>Health</w:t>
            </w:r>
            <w:r w:rsidR="00DF1884" w:rsidRPr="00DF1884">
              <w:t xml:space="preserve"> </w:t>
            </w:r>
            <w:r w:rsidRPr="00DF1884">
              <w:t>(NYSDOH)</w:t>
            </w:r>
          </w:p>
          <w:p w14:paraId="178F6BC3" w14:textId="6F7FD805" w:rsidR="00463667" w:rsidRPr="00DF1884" w:rsidRDefault="00463667" w:rsidP="00C56CA6">
            <w:pPr>
              <w:pStyle w:val="Body"/>
              <w:rPr>
                <w:b/>
              </w:rPr>
            </w:pPr>
            <w:r w:rsidRPr="00DF1884">
              <w:rPr>
                <w:b/>
              </w:rPr>
              <w:t>Lynne</w:t>
            </w:r>
            <w:r w:rsidR="00DF1884" w:rsidRPr="00DF1884">
              <w:rPr>
                <w:b/>
              </w:rPr>
              <w:t xml:space="preserve"> </w:t>
            </w:r>
            <w:r w:rsidRPr="00DF1884">
              <w:rPr>
                <w:b/>
              </w:rPr>
              <w:t>Rothney-Kozlak,</w:t>
            </w:r>
            <w:r w:rsidR="00DF1884" w:rsidRPr="00DF1884">
              <w:rPr>
                <w:b/>
              </w:rPr>
              <w:t xml:space="preserve"> </w:t>
            </w:r>
            <w:r w:rsidRPr="00DF1884">
              <w:rPr>
                <w:b/>
              </w:rPr>
              <w:t>MPH</w:t>
            </w:r>
            <w:r w:rsidRPr="00DF1884">
              <w:br/>
              <w:t>Rothney-Kozlak</w:t>
            </w:r>
            <w:r w:rsidR="00DF1884" w:rsidRPr="00DF1884">
              <w:t xml:space="preserve"> </w:t>
            </w:r>
            <w:r w:rsidRPr="00DF1884">
              <w:t>Consulting,</w:t>
            </w:r>
            <w:r w:rsidR="00DF1884" w:rsidRPr="00DF1884">
              <w:t xml:space="preserve"> </w:t>
            </w:r>
            <w:r w:rsidRPr="00DF1884">
              <w:t>LLC</w:t>
            </w:r>
            <w:r w:rsidR="00DF1884" w:rsidRPr="00DF1884">
              <w:rPr>
                <w:b/>
              </w:rPr>
              <w:t xml:space="preserve"> </w:t>
            </w:r>
          </w:p>
          <w:p w14:paraId="7425CB8A" w14:textId="069D21BD" w:rsidR="00463667" w:rsidRPr="00DF1884" w:rsidRDefault="00463667" w:rsidP="00C56CA6">
            <w:pPr>
              <w:pStyle w:val="Body"/>
              <w:rPr>
                <w:b/>
              </w:rPr>
            </w:pPr>
            <w:r w:rsidRPr="00DF1884">
              <w:rPr>
                <w:b/>
              </w:rPr>
              <w:t>Natan</w:t>
            </w:r>
            <w:r w:rsidR="00DF1884" w:rsidRPr="00DF1884">
              <w:rPr>
                <w:b/>
              </w:rPr>
              <w:t xml:space="preserve"> </w:t>
            </w:r>
            <w:r w:rsidRPr="00DF1884">
              <w:rPr>
                <w:b/>
              </w:rPr>
              <w:t>Szapiro</w:t>
            </w:r>
            <w:r w:rsidR="00DF1884" w:rsidRPr="00DF1884">
              <w:rPr>
                <w:b/>
              </w:rPr>
              <w:t xml:space="preserve"> </w:t>
            </w:r>
            <w:r w:rsidRPr="00DF1884">
              <w:rPr>
                <w:b/>
              </w:rPr>
              <w:br/>
            </w:r>
            <w:r w:rsidRPr="00DF1884">
              <w:t>Independence</w:t>
            </w:r>
            <w:r w:rsidR="00DF1884" w:rsidRPr="00DF1884">
              <w:t xml:space="preserve"> </w:t>
            </w:r>
            <w:r w:rsidRPr="00DF1884">
              <w:t>Blue</w:t>
            </w:r>
            <w:r w:rsidR="00DF1884" w:rsidRPr="00DF1884">
              <w:t xml:space="preserve"> </w:t>
            </w:r>
            <w:r w:rsidRPr="00DF1884">
              <w:t>Cross</w:t>
            </w:r>
          </w:p>
        </w:tc>
      </w:tr>
    </w:tbl>
    <w:p w14:paraId="7FDE3A37" w14:textId="77777777" w:rsidR="00463667" w:rsidRPr="00DF1884" w:rsidRDefault="00463667" w:rsidP="00463667">
      <w:pPr>
        <w:sectPr w:rsidR="00463667" w:rsidRPr="00DF1884" w:rsidSect="0039781B">
          <w:pgSz w:w="12240" w:h="15840" w:code="1"/>
          <w:pgMar w:top="1080" w:right="1080" w:bottom="1080" w:left="1440" w:header="720" w:footer="720" w:gutter="0"/>
          <w:cols w:space="720"/>
        </w:sectPr>
      </w:pPr>
    </w:p>
    <w:p w14:paraId="0B6C4CAA" w14:textId="77777777" w:rsidR="00463667" w:rsidRPr="00DF1884" w:rsidRDefault="00463667" w:rsidP="00463667">
      <w:pPr>
        <w:sectPr w:rsidR="00463667" w:rsidRPr="00DF1884" w:rsidSect="0039781B">
          <w:headerReference w:type="even" r:id="rId118"/>
          <w:pgSz w:w="12240" w:h="15840" w:code="1"/>
          <w:pgMar w:top="1080" w:right="1080" w:bottom="1080" w:left="1440" w:header="720" w:footer="720" w:gutter="0"/>
          <w:cols w:space="720"/>
        </w:sectPr>
      </w:pPr>
    </w:p>
    <w:p w14:paraId="54C5D2D3" w14:textId="77777777" w:rsidR="00463667" w:rsidRPr="00DF1884" w:rsidRDefault="00463667" w:rsidP="00463667">
      <w:pPr>
        <w:pStyle w:val="Breakpage"/>
      </w:pPr>
    </w:p>
    <w:p w14:paraId="4435C3EA" w14:textId="77777777" w:rsidR="00463667" w:rsidRPr="00DF1884" w:rsidRDefault="00463667" w:rsidP="00463667">
      <w:pPr>
        <w:pStyle w:val="Breakpage"/>
      </w:pPr>
    </w:p>
    <w:p w14:paraId="5DA9CAFD" w14:textId="77777777" w:rsidR="00463667" w:rsidRPr="00DF1884" w:rsidRDefault="00463667" w:rsidP="00463667">
      <w:pPr>
        <w:pStyle w:val="Breakpage"/>
      </w:pPr>
    </w:p>
    <w:p w14:paraId="55DD23BA" w14:textId="77777777" w:rsidR="00463667" w:rsidRPr="00DF1884" w:rsidRDefault="00463667" w:rsidP="00463667">
      <w:pPr>
        <w:pStyle w:val="Breakpage"/>
      </w:pPr>
    </w:p>
    <w:p w14:paraId="1FB06BEA" w14:textId="77777777" w:rsidR="00463667" w:rsidRPr="00DF1884" w:rsidRDefault="00463667" w:rsidP="00463667">
      <w:pPr>
        <w:pStyle w:val="Breakpage"/>
      </w:pPr>
    </w:p>
    <w:p w14:paraId="4E28C593" w14:textId="616289D8" w:rsidR="00463667" w:rsidRPr="00DF1884" w:rsidRDefault="00463667" w:rsidP="00463667">
      <w:pPr>
        <w:pStyle w:val="Breakpage"/>
      </w:pPr>
      <w:r w:rsidRPr="00DF1884">
        <w:t>Appendix</w:t>
      </w:r>
      <w:r w:rsidR="00DF1884" w:rsidRPr="00DF1884">
        <w:t xml:space="preserve"> </w:t>
      </w:r>
      <w:r w:rsidRPr="00DF1884">
        <w:t>6</w:t>
      </w:r>
    </w:p>
    <w:p w14:paraId="0D3082E1" w14:textId="77777777" w:rsidR="00463667" w:rsidRPr="00DF1884" w:rsidRDefault="00463667" w:rsidP="00463667">
      <w:pPr>
        <w:pStyle w:val="Breakpage"/>
      </w:pPr>
    </w:p>
    <w:p w14:paraId="1919A97D" w14:textId="410177BC" w:rsidR="00463667" w:rsidRPr="00DF1884" w:rsidRDefault="00463667" w:rsidP="00463667">
      <w:pPr>
        <w:pStyle w:val="Breakpage"/>
        <w:sectPr w:rsidR="00463667" w:rsidRPr="00DF1884" w:rsidSect="0039781B">
          <w:headerReference w:type="default" r:id="rId119"/>
          <w:footerReference w:type="default" r:id="rId120"/>
          <w:pgSz w:w="12240" w:h="15840" w:code="1"/>
          <w:pgMar w:top="1080" w:right="1080" w:bottom="1080" w:left="1440" w:header="720" w:footer="720" w:gutter="0"/>
          <w:cols w:space="720"/>
          <w:docGrid w:linePitch="360"/>
        </w:sectPr>
      </w:pPr>
      <w:r w:rsidRPr="00DF1884">
        <w:t>Alphabetized</w:t>
      </w:r>
      <w:r w:rsidR="00DF1884" w:rsidRPr="00DF1884">
        <w:t xml:space="preserve"> </w:t>
      </w:r>
      <w:r w:rsidRPr="00DF1884">
        <w:t>List</w:t>
      </w:r>
      <w:r w:rsidR="00DF1884" w:rsidRPr="00DF1884">
        <w:t xml:space="preserve"> </w:t>
      </w:r>
      <w:r w:rsidRPr="00DF1884">
        <w:t>of</w:t>
      </w:r>
      <w:r w:rsidR="00DF1884" w:rsidRPr="00DF1884">
        <w:t xml:space="preserve"> </w:t>
      </w:r>
      <w:r w:rsidRPr="00DF1884">
        <w:br/>
        <w:t>HEDIS</w:t>
      </w:r>
      <w:r w:rsidR="00DF1884" w:rsidRPr="00DF1884">
        <w:t xml:space="preserve"> </w:t>
      </w:r>
      <w:r w:rsidRPr="00DF1884">
        <w:t>Measures</w:t>
      </w:r>
    </w:p>
    <w:p w14:paraId="0887D949" w14:textId="77777777" w:rsidR="00463667" w:rsidRPr="00DF1884" w:rsidRDefault="00463667" w:rsidP="00463667">
      <w:pPr>
        <w:sectPr w:rsidR="00463667" w:rsidRPr="00DF1884" w:rsidSect="0039781B">
          <w:headerReference w:type="even" r:id="rId121"/>
          <w:pgSz w:w="12240" w:h="15840" w:code="1"/>
          <w:pgMar w:top="1080" w:right="1080" w:bottom="1080" w:left="1440" w:header="720" w:footer="720" w:gutter="0"/>
          <w:pgNumType w:start="2"/>
          <w:cols w:space="720"/>
          <w:docGrid w:linePitch="360"/>
        </w:sectPr>
      </w:pPr>
    </w:p>
    <w:p w14:paraId="5EA773D3" w14:textId="759CE761" w:rsidR="00463667" w:rsidRPr="00DF1884" w:rsidRDefault="00463667" w:rsidP="00EF7C1A">
      <w:pPr>
        <w:spacing w:before="120"/>
        <w:jc w:val="center"/>
        <w:rPr>
          <w:b/>
          <w:sz w:val="32"/>
          <w:szCs w:val="32"/>
        </w:rPr>
      </w:pPr>
      <w:r w:rsidRPr="00DF1884">
        <w:rPr>
          <w:b/>
          <w:sz w:val="32"/>
          <w:szCs w:val="32"/>
        </w:rPr>
        <w:t>APPENDIX</w:t>
      </w:r>
      <w:r w:rsidR="00DF1884" w:rsidRPr="00DF1884">
        <w:rPr>
          <w:b/>
          <w:sz w:val="32"/>
          <w:szCs w:val="32"/>
        </w:rPr>
        <w:t xml:space="preserve"> </w:t>
      </w:r>
      <w:r w:rsidRPr="00DF1884">
        <w:rPr>
          <w:b/>
          <w:sz w:val="32"/>
          <w:szCs w:val="32"/>
        </w:rPr>
        <w:t>6</w:t>
      </w:r>
    </w:p>
    <w:p w14:paraId="5913493B" w14:textId="49AEAC28" w:rsidR="00463667" w:rsidRPr="00DF1884" w:rsidRDefault="00463667" w:rsidP="00EF7C1A">
      <w:pPr>
        <w:spacing w:before="120"/>
        <w:jc w:val="center"/>
        <w:rPr>
          <w:b/>
          <w:sz w:val="28"/>
        </w:rPr>
      </w:pPr>
      <w:r w:rsidRPr="00DF1884">
        <w:rPr>
          <w:b/>
          <w:sz w:val="28"/>
        </w:rPr>
        <w:t>ALPHABETIZED</w:t>
      </w:r>
      <w:r w:rsidR="00DF1884" w:rsidRPr="00DF1884">
        <w:rPr>
          <w:b/>
          <w:sz w:val="28"/>
        </w:rPr>
        <w:t xml:space="preserve"> </w:t>
      </w:r>
      <w:r w:rsidRPr="00DF1884">
        <w:rPr>
          <w:b/>
          <w:sz w:val="28"/>
        </w:rPr>
        <w:t>LIST</w:t>
      </w:r>
      <w:r w:rsidR="00DF1884" w:rsidRPr="00DF1884">
        <w:rPr>
          <w:b/>
          <w:sz w:val="28"/>
        </w:rPr>
        <w:t xml:space="preserve"> </w:t>
      </w:r>
      <w:r w:rsidRPr="00DF1884">
        <w:rPr>
          <w:b/>
          <w:sz w:val="28"/>
        </w:rPr>
        <w:t>OF</w:t>
      </w:r>
      <w:r w:rsidR="00DF1884" w:rsidRPr="00DF1884">
        <w:rPr>
          <w:b/>
          <w:sz w:val="28"/>
        </w:rPr>
        <w:t xml:space="preserve"> </w:t>
      </w:r>
      <w:r w:rsidRPr="00DF1884">
        <w:rPr>
          <w:b/>
          <w:sz w:val="28"/>
        </w:rPr>
        <w:t>HEDIS</w:t>
      </w:r>
      <w:r w:rsidR="00DF1884" w:rsidRPr="00DF1884">
        <w:rPr>
          <w:b/>
          <w:sz w:val="28"/>
        </w:rPr>
        <w:t xml:space="preserve"> </w:t>
      </w:r>
      <w:r w:rsidRPr="00DF1884">
        <w:rPr>
          <w:b/>
          <w:sz w:val="28"/>
        </w:rPr>
        <w:t>MEASURES</w:t>
      </w:r>
    </w:p>
    <w:p w14:paraId="53ED45A2" w14:textId="77777777" w:rsidR="00463667" w:rsidRPr="00DF1884" w:rsidRDefault="00463667" w:rsidP="00463667">
      <w:pPr>
        <w:pStyle w:val="Body"/>
        <w:tabs>
          <w:tab w:val="right" w:pos="9720"/>
        </w:tabs>
        <w:rPr>
          <w:b/>
          <w:i/>
          <w:sz w:val="22"/>
          <w:szCs w:val="22"/>
        </w:rPr>
      </w:pPr>
      <w:r w:rsidRPr="00DF1884">
        <w:rPr>
          <w:b/>
          <w:i/>
          <w:sz w:val="22"/>
          <w:szCs w:val="22"/>
        </w:rPr>
        <w:t>A</w:t>
      </w:r>
      <w:r w:rsidRPr="00DF1884">
        <w:rPr>
          <w:b/>
          <w:i/>
          <w:sz w:val="22"/>
          <w:szCs w:val="22"/>
        </w:rPr>
        <w:tab/>
        <w:t>Page</w:t>
      </w:r>
    </w:p>
    <w:p w14:paraId="50953297" w14:textId="47BF4183" w:rsidR="00463667" w:rsidRPr="00DF1884" w:rsidRDefault="00463667" w:rsidP="00463667">
      <w:pPr>
        <w:pStyle w:val="Body"/>
        <w:tabs>
          <w:tab w:val="right" w:leader="dot" w:pos="9720"/>
        </w:tabs>
        <w:spacing w:before="0"/>
      </w:pPr>
      <w:r w:rsidRPr="00DF1884">
        <w:t>Adherence</w:t>
      </w:r>
      <w:r w:rsidR="00DF1884" w:rsidRPr="00DF1884">
        <w:t xml:space="preserve"> </w:t>
      </w:r>
      <w:r w:rsidRPr="00DF1884">
        <w:t>to</w:t>
      </w:r>
      <w:r w:rsidR="00DF1884" w:rsidRPr="00DF1884">
        <w:t xml:space="preserve"> </w:t>
      </w:r>
      <w:r w:rsidRPr="00DF1884">
        <w:t>Antipsychotic</w:t>
      </w:r>
      <w:r w:rsidR="00DF1884" w:rsidRPr="00DF1884">
        <w:t xml:space="preserve"> </w:t>
      </w:r>
      <w:r w:rsidRPr="00DF1884">
        <w:t>Medications</w:t>
      </w:r>
      <w:r w:rsidR="00DF1884" w:rsidRPr="00DF1884">
        <w:t xml:space="preserve"> </w:t>
      </w:r>
      <w:r w:rsidRPr="00DF1884">
        <w:t>for</w:t>
      </w:r>
      <w:r w:rsidR="00DF1884" w:rsidRPr="00DF1884">
        <w:t xml:space="preserve"> </w:t>
      </w:r>
      <w:r w:rsidRPr="00DF1884">
        <w:t>Individuals</w:t>
      </w:r>
      <w:r w:rsidR="00DF1884" w:rsidRPr="00DF1884">
        <w:t xml:space="preserve"> </w:t>
      </w:r>
      <w:r w:rsidRPr="00DF1884">
        <w:t>With</w:t>
      </w:r>
      <w:r w:rsidR="00DF1884" w:rsidRPr="00DF1884">
        <w:t xml:space="preserve"> </w:t>
      </w:r>
      <w:r w:rsidRPr="00DF1884">
        <w:t>Schizophrenia</w:t>
      </w:r>
      <w:r w:rsidRPr="00DF1884">
        <w:tab/>
        <w:t>1</w:t>
      </w:r>
      <w:r w:rsidR="00FA44AE">
        <w:t>82</w:t>
      </w:r>
    </w:p>
    <w:p w14:paraId="06C2A36D" w14:textId="71A6B99A" w:rsidR="00463667" w:rsidRPr="00DF1884" w:rsidRDefault="00463667" w:rsidP="00463667">
      <w:pPr>
        <w:pStyle w:val="Body"/>
        <w:tabs>
          <w:tab w:val="right" w:leader="dot" w:pos="9720"/>
        </w:tabs>
        <w:spacing w:before="0"/>
      </w:pPr>
      <w:r w:rsidRPr="00DF1884">
        <w:t>Adolescent</w:t>
      </w:r>
      <w:r w:rsidR="00DF1884" w:rsidRPr="00DF1884">
        <w:t xml:space="preserve"> </w:t>
      </w:r>
      <w:r w:rsidRPr="00DF1884">
        <w:t>Well-Care</w:t>
      </w:r>
      <w:r w:rsidR="00DF1884" w:rsidRPr="00DF1884">
        <w:t xml:space="preserve"> </w:t>
      </w:r>
      <w:r w:rsidR="001732BF">
        <w:t>Visits</w:t>
      </w:r>
      <w:r w:rsidR="001732BF">
        <w:tab/>
        <w:t>287</w:t>
      </w:r>
    </w:p>
    <w:p w14:paraId="74043488" w14:textId="68E2AD39" w:rsidR="00463667" w:rsidRPr="00DF1884" w:rsidRDefault="00463667" w:rsidP="00463667">
      <w:pPr>
        <w:pStyle w:val="Body"/>
        <w:tabs>
          <w:tab w:val="right" w:leader="dot" w:pos="9720"/>
        </w:tabs>
        <w:spacing w:before="0"/>
      </w:pPr>
      <w:r w:rsidRPr="00DF1884">
        <w:t>Adult</w:t>
      </w:r>
      <w:r w:rsidR="00DF1884" w:rsidRPr="00DF1884">
        <w:t xml:space="preserve"> </w:t>
      </w:r>
      <w:r w:rsidRPr="00DF1884">
        <w:t>BMI</w:t>
      </w:r>
      <w:r w:rsidR="00DF1884" w:rsidRPr="00DF1884">
        <w:t xml:space="preserve"> </w:t>
      </w:r>
      <w:r w:rsidRPr="00DF1884">
        <w:t>Assessment</w:t>
      </w:r>
      <w:r w:rsidRPr="00DF1884">
        <w:tab/>
        <w:t>56</w:t>
      </w:r>
    </w:p>
    <w:p w14:paraId="60603E7D" w14:textId="39C0F51F" w:rsidR="00463667" w:rsidRPr="00DF1884" w:rsidRDefault="00463667" w:rsidP="00463667">
      <w:pPr>
        <w:pStyle w:val="Body"/>
        <w:tabs>
          <w:tab w:val="right" w:leader="dot" w:pos="9720"/>
        </w:tabs>
        <w:spacing w:before="0"/>
      </w:pPr>
      <w:r w:rsidRPr="00DF1884">
        <w:t>Adults’</w:t>
      </w:r>
      <w:r w:rsidR="00DF1884" w:rsidRPr="00DF1884">
        <w:t xml:space="preserve"> </w:t>
      </w:r>
      <w:r w:rsidRPr="00DF1884">
        <w:t>Access</w:t>
      </w:r>
      <w:r w:rsidR="00DF1884" w:rsidRPr="00DF1884">
        <w:t xml:space="preserve"> </w:t>
      </w:r>
      <w:r w:rsidRPr="00DF1884">
        <w:t>to</w:t>
      </w:r>
      <w:r w:rsidR="00DF1884" w:rsidRPr="00DF1884">
        <w:t xml:space="preserve"> </w:t>
      </w:r>
      <w:r w:rsidRPr="00DF1884">
        <w:t>Preventive/Ambulatory</w:t>
      </w:r>
      <w:r w:rsidR="00DF1884" w:rsidRPr="00DF1884">
        <w:t xml:space="preserve"> </w:t>
      </w:r>
      <w:r w:rsidRPr="00DF1884">
        <w:t>Health</w:t>
      </w:r>
      <w:r w:rsidR="00DF1884" w:rsidRPr="00DF1884">
        <w:t xml:space="preserve"> </w:t>
      </w:r>
      <w:r w:rsidR="00FA44AE">
        <w:t>Services</w:t>
      </w:r>
      <w:r w:rsidR="00FA44AE">
        <w:tab/>
        <w:t>241</w:t>
      </w:r>
    </w:p>
    <w:p w14:paraId="674A2FA1" w14:textId="2C03C428" w:rsidR="00463667" w:rsidRPr="00DF1884" w:rsidRDefault="00463667" w:rsidP="00463667">
      <w:pPr>
        <w:pStyle w:val="Body"/>
        <w:tabs>
          <w:tab w:val="right" w:leader="dot" w:pos="9720"/>
        </w:tabs>
        <w:spacing w:before="0"/>
      </w:pPr>
      <w:r w:rsidRPr="00DF1884">
        <w:t>Ambulatory</w:t>
      </w:r>
      <w:r w:rsidR="00DF1884" w:rsidRPr="00DF1884">
        <w:t xml:space="preserve"> </w:t>
      </w:r>
      <w:r w:rsidR="001732BF">
        <w:t>Care</w:t>
      </w:r>
      <w:r w:rsidR="001732BF">
        <w:tab/>
        <w:t>299</w:t>
      </w:r>
    </w:p>
    <w:p w14:paraId="241214BF" w14:textId="01645D25" w:rsidR="00463667" w:rsidRPr="00DF1884" w:rsidRDefault="00463667" w:rsidP="00463667">
      <w:pPr>
        <w:pStyle w:val="Body"/>
        <w:tabs>
          <w:tab w:val="right" w:leader="dot" w:pos="9720"/>
        </w:tabs>
        <w:spacing w:before="0"/>
      </w:pPr>
      <w:r w:rsidRPr="00DF1884">
        <w:t>Annual</w:t>
      </w:r>
      <w:r w:rsidR="00DF1884" w:rsidRPr="00DF1884">
        <w:t xml:space="preserve"> </w:t>
      </w:r>
      <w:r w:rsidRPr="00DF1884">
        <w:t>Dental</w:t>
      </w:r>
      <w:r w:rsidR="00DF1884" w:rsidRPr="00DF1884">
        <w:t xml:space="preserve"> </w:t>
      </w:r>
      <w:r w:rsidR="00FA44AE">
        <w:t>Visit</w:t>
      </w:r>
      <w:r w:rsidR="00FA44AE">
        <w:tab/>
        <w:t>245</w:t>
      </w:r>
    </w:p>
    <w:p w14:paraId="64B2B462" w14:textId="39079938" w:rsidR="00463667" w:rsidRPr="00DF1884" w:rsidRDefault="00463667" w:rsidP="00463667">
      <w:pPr>
        <w:pStyle w:val="Body"/>
        <w:tabs>
          <w:tab w:val="right" w:leader="dot" w:pos="9720"/>
        </w:tabs>
        <w:spacing w:before="0"/>
      </w:pPr>
      <w:r w:rsidRPr="00DF1884">
        <w:t>Annual</w:t>
      </w:r>
      <w:r w:rsidR="00DF1884" w:rsidRPr="00DF1884">
        <w:t xml:space="preserve"> </w:t>
      </w:r>
      <w:r w:rsidRPr="00DF1884">
        <w:t>Monitoring</w:t>
      </w:r>
      <w:r w:rsidR="00DF1884" w:rsidRPr="00DF1884">
        <w:t xml:space="preserve"> </w:t>
      </w:r>
      <w:r w:rsidRPr="00DF1884">
        <w:t>for</w:t>
      </w:r>
      <w:r w:rsidR="00DF1884" w:rsidRPr="00DF1884">
        <w:t xml:space="preserve"> </w:t>
      </w:r>
      <w:r w:rsidRPr="00DF1884">
        <w:t>Patients</w:t>
      </w:r>
      <w:r w:rsidR="00DF1884" w:rsidRPr="00DF1884">
        <w:t xml:space="preserve"> </w:t>
      </w:r>
      <w:r w:rsidRPr="00DF1884">
        <w:t>on</w:t>
      </w:r>
      <w:r w:rsidR="00DF1884" w:rsidRPr="00DF1884">
        <w:t xml:space="preserve"> </w:t>
      </w:r>
      <w:r w:rsidRPr="00DF1884">
        <w:t>Persistent</w:t>
      </w:r>
      <w:r w:rsidR="00DF1884" w:rsidRPr="00DF1884">
        <w:t xml:space="preserve"> </w:t>
      </w:r>
      <w:r w:rsidR="00FA44AE">
        <w:t>Medications</w:t>
      </w:r>
      <w:r w:rsidR="00FA44AE">
        <w:tab/>
        <w:t>190</w:t>
      </w:r>
    </w:p>
    <w:p w14:paraId="36BEFB01" w14:textId="4CE66A20" w:rsidR="00463667" w:rsidRPr="00DF1884" w:rsidRDefault="00463667" w:rsidP="00463667">
      <w:pPr>
        <w:pStyle w:val="Body"/>
        <w:tabs>
          <w:tab w:val="right" w:leader="dot" w:pos="9720"/>
        </w:tabs>
        <w:spacing w:before="0"/>
      </w:pPr>
      <w:r w:rsidRPr="00DF1884">
        <w:t>Antibiotic</w:t>
      </w:r>
      <w:r w:rsidR="00DF1884" w:rsidRPr="00DF1884">
        <w:t xml:space="preserve"> </w:t>
      </w:r>
      <w:r w:rsidR="001732BF">
        <w:t>Utilization</w:t>
      </w:r>
      <w:r w:rsidR="001732BF">
        <w:tab/>
        <w:t>314</w:t>
      </w:r>
    </w:p>
    <w:p w14:paraId="57B02250" w14:textId="14C92ABF" w:rsidR="00463667" w:rsidRPr="00DF1884" w:rsidRDefault="00463667" w:rsidP="00463667">
      <w:pPr>
        <w:pStyle w:val="Body"/>
        <w:tabs>
          <w:tab w:val="right" w:leader="dot" w:pos="9720"/>
        </w:tabs>
        <w:spacing w:before="0"/>
      </w:pPr>
      <w:r w:rsidRPr="00DF1884">
        <w:t>Antidepressant</w:t>
      </w:r>
      <w:r w:rsidR="00DF1884" w:rsidRPr="00DF1884">
        <w:t xml:space="preserve"> </w:t>
      </w:r>
      <w:r w:rsidRPr="00DF1884">
        <w:t>Medication</w:t>
      </w:r>
      <w:r w:rsidR="00DF1884" w:rsidRPr="00DF1884">
        <w:t xml:space="preserve"> </w:t>
      </w:r>
      <w:r w:rsidR="005A7288">
        <w:t>Management</w:t>
      </w:r>
      <w:r w:rsidR="005A7288">
        <w:tab/>
        <w:t>160</w:t>
      </w:r>
    </w:p>
    <w:p w14:paraId="1B2145CF" w14:textId="410E0A99" w:rsidR="00463667" w:rsidRPr="00DF1884" w:rsidRDefault="00463667" w:rsidP="00463667">
      <w:pPr>
        <w:pStyle w:val="Body"/>
        <w:tabs>
          <w:tab w:val="right" w:leader="dot" w:pos="9720"/>
        </w:tabs>
        <w:spacing w:before="0"/>
      </w:pPr>
      <w:r w:rsidRPr="00DF1884">
        <w:t>Appropriate</w:t>
      </w:r>
      <w:r w:rsidR="00DF1884" w:rsidRPr="00DF1884">
        <w:t xml:space="preserve"> </w:t>
      </w:r>
      <w:r w:rsidRPr="00DF1884">
        <w:t>Testing</w:t>
      </w:r>
      <w:r w:rsidR="00DF1884" w:rsidRPr="00DF1884">
        <w:t xml:space="preserve"> </w:t>
      </w:r>
      <w:r w:rsidRPr="00DF1884">
        <w:t>for</w:t>
      </w:r>
      <w:r w:rsidR="00DF1884" w:rsidRPr="00DF1884">
        <w:t xml:space="preserve"> </w:t>
      </w:r>
      <w:r w:rsidRPr="00DF1884">
        <w:t>Children</w:t>
      </w:r>
      <w:r w:rsidR="00DF1884" w:rsidRPr="00DF1884">
        <w:t xml:space="preserve"> </w:t>
      </w:r>
      <w:r w:rsidRPr="00DF1884">
        <w:t>With</w:t>
      </w:r>
      <w:r w:rsidR="00DF1884" w:rsidRPr="00DF1884">
        <w:t xml:space="preserve"> </w:t>
      </w:r>
      <w:r w:rsidR="005A7288">
        <w:t>Pharyngitis</w:t>
      </w:r>
      <w:r w:rsidR="005A7288">
        <w:tab/>
        <w:t>96</w:t>
      </w:r>
    </w:p>
    <w:p w14:paraId="667FDB82" w14:textId="2BB28111" w:rsidR="00463667" w:rsidRPr="00DF1884" w:rsidRDefault="00463667" w:rsidP="00463667">
      <w:pPr>
        <w:pStyle w:val="Body"/>
        <w:tabs>
          <w:tab w:val="right" w:leader="dot" w:pos="9720"/>
        </w:tabs>
        <w:spacing w:before="0"/>
      </w:pPr>
      <w:r w:rsidRPr="00DF1884">
        <w:t>Appropriate</w:t>
      </w:r>
      <w:r w:rsidR="00DF1884" w:rsidRPr="00DF1884">
        <w:t xml:space="preserve"> </w:t>
      </w:r>
      <w:r w:rsidRPr="00DF1884">
        <w:t>Treatment</w:t>
      </w:r>
      <w:r w:rsidR="00DF1884" w:rsidRPr="00DF1884">
        <w:t xml:space="preserve"> </w:t>
      </w:r>
      <w:r w:rsidRPr="00DF1884">
        <w:t>for</w:t>
      </w:r>
      <w:r w:rsidR="00DF1884" w:rsidRPr="00DF1884">
        <w:t xml:space="preserve"> </w:t>
      </w:r>
      <w:r w:rsidRPr="00DF1884">
        <w:t>Children</w:t>
      </w:r>
      <w:r w:rsidR="00DF1884" w:rsidRPr="00DF1884">
        <w:t xml:space="preserve"> </w:t>
      </w:r>
      <w:r w:rsidRPr="00DF1884">
        <w:t>With</w:t>
      </w:r>
      <w:r w:rsidR="00DF1884" w:rsidRPr="00DF1884">
        <w:t xml:space="preserve"> </w:t>
      </w:r>
      <w:r w:rsidRPr="00DF1884">
        <w:t>Upper</w:t>
      </w:r>
      <w:r w:rsidR="00DF1884" w:rsidRPr="00DF1884">
        <w:t xml:space="preserve"> </w:t>
      </w:r>
      <w:r w:rsidRPr="00DF1884">
        <w:t>Respiratory</w:t>
      </w:r>
      <w:r w:rsidR="00DF1884" w:rsidRPr="00DF1884">
        <w:t xml:space="preserve"> </w:t>
      </w:r>
      <w:r w:rsidR="005A7288">
        <w:t>Infection</w:t>
      </w:r>
      <w:r w:rsidR="005A7288">
        <w:tab/>
        <w:t>202</w:t>
      </w:r>
    </w:p>
    <w:p w14:paraId="5214E4BD" w14:textId="0D92E022" w:rsidR="00463667" w:rsidRPr="00DF1884" w:rsidRDefault="00463667" w:rsidP="00463667">
      <w:pPr>
        <w:pStyle w:val="Body"/>
        <w:tabs>
          <w:tab w:val="right" w:leader="dot" w:pos="9720"/>
        </w:tabs>
        <w:spacing w:before="0"/>
      </w:pPr>
      <w:r w:rsidRPr="00DF1884">
        <w:t>Aspirin</w:t>
      </w:r>
      <w:r w:rsidR="00DF1884" w:rsidRPr="00DF1884">
        <w:t xml:space="preserve"> </w:t>
      </w:r>
      <w:r w:rsidRPr="00DF1884">
        <w:t>Use</w:t>
      </w:r>
      <w:r w:rsidR="00DF1884" w:rsidRPr="00DF1884">
        <w:t xml:space="preserve"> </w:t>
      </w:r>
      <w:r w:rsidRPr="00DF1884">
        <w:t>and</w:t>
      </w:r>
      <w:r w:rsidR="00DF1884" w:rsidRPr="00DF1884">
        <w:t xml:space="preserve"> </w:t>
      </w:r>
      <w:r w:rsidR="005A7288">
        <w:t>Discussion</w:t>
      </w:r>
      <w:r w:rsidR="005A7288">
        <w:tab/>
        <w:t>234</w:t>
      </w:r>
    </w:p>
    <w:p w14:paraId="069810B0" w14:textId="4BF8BB61" w:rsidR="00463667" w:rsidRPr="00DF1884" w:rsidRDefault="00463667" w:rsidP="00463667">
      <w:pPr>
        <w:pStyle w:val="Body"/>
        <w:tabs>
          <w:tab w:val="right" w:leader="dot" w:pos="9720"/>
        </w:tabs>
        <w:spacing w:before="0"/>
      </w:pPr>
      <w:r w:rsidRPr="00DF1884">
        <w:t>Asthma</w:t>
      </w:r>
      <w:r w:rsidR="00DF1884" w:rsidRPr="00DF1884">
        <w:t xml:space="preserve"> </w:t>
      </w:r>
      <w:r w:rsidRPr="00DF1884">
        <w:t>Medication</w:t>
      </w:r>
      <w:r w:rsidR="00DF1884" w:rsidRPr="00DF1884">
        <w:t xml:space="preserve"> </w:t>
      </w:r>
      <w:r w:rsidR="005A7288">
        <w:t>Ratio</w:t>
      </w:r>
      <w:r w:rsidR="005A7288">
        <w:tab/>
        <w:t>111</w:t>
      </w:r>
    </w:p>
    <w:p w14:paraId="12C4E43E" w14:textId="506AEDD2" w:rsidR="00463667" w:rsidRPr="00DF1884" w:rsidRDefault="00463667" w:rsidP="00463667">
      <w:pPr>
        <w:pStyle w:val="Body"/>
        <w:tabs>
          <w:tab w:val="right" w:leader="dot" w:pos="9720"/>
        </w:tabs>
        <w:spacing w:before="0"/>
      </w:pPr>
      <w:r w:rsidRPr="00DF1884">
        <w:t>Avoidance</w:t>
      </w:r>
      <w:r w:rsidR="00DF1884" w:rsidRPr="00DF1884">
        <w:t xml:space="preserve"> </w:t>
      </w:r>
      <w:r w:rsidRPr="00DF1884">
        <w:t>of</w:t>
      </w:r>
      <w:r w:rsidR="00DF1884" w:rsidRPr="00DF1884">
        <w:t xml:space="preserve"> </w:t>
      </w:r>
      <w:r w:rsidRPr="00DF1884">
        <w:t>Antibiotic</w:t>
      </w:r>
      <w:r w:rsidR="00DF1884" w:rsidRPr="00DF1884">
        <w:t xml:space="preserve"> </w:t>
      </w:r>
      <w:r w:rsidRPr="00DF1884">
        <w:t>Treatment</w:t>
      </w:r>
      <w:r w:rsidR="00DF1884" w:rsidRPr="00DF1884">
        <w:t xml:space="preserve"> </w:t>
      </w:r>
      <w:r w:rsidRPr="00DF1884">
        <w:t>in</w:t>
      </w:r>
      <w:r w:rsidR="00DF1884" w:rsidRPr="00DF1884">
        <w:t xml:space="preserve"> </w:t>
      </w:r>
      <w:r w:rsidRPr="00DF1884">
        <w:t>Adults</w:t>
      </w:r>
      <w:r w:rsidR="00DF1884" w:rsidRPr="00DF1884">
        <w:t xml:space="preserve"> </w:t>
      </w:r>
      <w:r w:rsidRPr="00DF1884">
        <w:t>With</w:t>
      </w:r>
      <w:r w:rsidR="00DF1884" w:rsidRPr="00DF1884">
        <w:t xml:space="preserve"> </w:t>
      </w:r>
      <w:r w:rsidRPr="00DF1884">
        <w:t>Acute</w:t>
      </w:r>
      <w:r w:rsidR="00DF1884" w:rsidRPr="00DF1884">
        <w:t xml:space="preserve"> </w:t>
      </w:r>
      <w:r w:rsidR="005A7288">
        <w:t>Bronchitis</w:t>
      </w:r>
      <w:r w:rsidR="005A7288">
        <w:tab/>
        <w:t>205</w:t>
      </w:r>
    </w:p>
    <w:p w14:paraId="2674C9C2" w14:textId="77777777" w:rsidR="00463667" w:rsidRPr="00DF1884" w:rsidRDefault="00463667" w:rsidP="00463667">
      <w:pPr>
        <w:pBdr>
          <w:bottom w:val="single" w:sz="4" w:space="1" w:color="auto"/>
        </w:pBdr>
        <w:spacing w:before="120" w:after="120"/>
        <w:rPr>
          <w:rFonts w:cs="Arial"/>
          <w:szCs w:val="20"/>
        </w:rPr>
      </w:pPr>
    </w:p>
    <w:p w14:paraId="696CE9E5" w14:textId="77777777" w:rsidR="00463667" w:rsidRPr="00DF1884" w:rsidRDefault="00463667" w:rsidP="00463667">
      <w:pPr>
        <w:pStyle w:val="Body"/>
        <w:rPr>
          <w:b/>
          <w:i/>
          <w:sz w:val="22"/>
          <w:szCs w:val="22"/>
        </w:rPr>
      </w:pPr>
      <w:r w:rsidRPr="00DF1884">
        <w:rPr>
          <w:b/>
          <w:i/>
          <w:sz w:val="22"/>
          <w:szCs w:val="22"/>
        </w:rPr>
        <w:t>B</w:t>
      </w:r>
    </w:p>
    <w:p w14:paraId="1255EEE7" w14:textId="51DE2DE7" w:rsidR="00463667" w:rsidRPr="00DF1884" w:rsidRDefault="00463667" w:rsidP="00463667">
      <w:pPr>
        <w:pStyle w:val="Body"/>
        <w:tabs>
          <w:tab w:val="right" w:leader="dot" w:pos="9720"/>
        </w:tabs>
        <w:spacing w:before="0"/>
        <w:rPr>
          <w:u w:val="single"/>
        </w:rPr>
      </w:pPr>
      <w:r w:rsidRPr="00DF1884">
        <w:t>Board</w:t>
      </w:r>
      <w:r w:rsidR="00DF1884" w:rsidRPr="00DF1884">
        <w:t xml:space="preserve"> </w:t>
      </w:r>
      <w:r w:rsidR="001732BF">
        <w:t>Certification</w:t>
      </w:r>
      <w:r w:rsidR="001732BF">
        <w:tab/>
        <w:t>4</w:t>
      </w:r>
      <w:r w:rsidR="00924BE5">
        <w:t>18</w:t>
      </w:r>
    </w:p>
    <w:p w14:paraId="05BADF4D" w14:textId="0FF98267" w:rsidR="00463667" w:rsidRPr="00DF1884" w:rsidRDefault="00463667" w:rsidP="00463667">
      <w:pPr>
        <w:pStyle w:val="Body"/>
        <w:tabs>
          <w:tab w:val="right" w:leader="dot" w:pos="9720"/>
        </w:tabs>
        <w:spacing w:before="0"/>
      </w:pPr>
      <w:r w:rsidRPr="00DF1884">
        <w:t>Breast</w:t>
      </w:r>
      <w:r w:rsidR="00DF1884" w:rsidRPr="00DF1884">
        <w:t xml:space="preserve"> </w:t>
      </w:r>
      <w:r w:rsidRPr="00DF1884">
        <w:t>Cancer</w:t>
      </w:r>
      <w:r w:rsidR="00DF1884" w:rsidRPr="00DF1884">
        <w:t xml:space="preserve"> </w:t>
      </w:r>
      <w:r w:rsidR="00EA5DF8">
        <w:t>Screening</w:t>
      </w:r>
      <w:r w:rsidR="00EA5DF8">
        <w:tab/>
        <w:t>77</w:t>
      </w:r>
    </w:p>
    <w:p w14:paraId="6D15361B" w14:textId="77777777" w:rsidR="00463667" w:rsidRPr="00DF1884" w:rsidRDefault="00463667" w:rsidP="00463667">
      <w:pPr>
        <w:pBdr>
          <w:bottom w:val="single" w:sz="4" w:space="1" w:color="auto"/>
        </w:pBdr>
        <w:spacing w:before="120" w:after="120"/>
        <w:rPr>
          <w:rFonts w:cs="Arial"/>
          <w:szCs w:val="20"/>
        </w:rPr>
      </w:pPr>
    </w:p>
    <w:p w14:paraId="61C99F4B" w14:textId="77777777" w:rsidR="00463667" w:rsidRPr="00DF1884" w:rsidRDefault="00463667" w:rsidP="00463667">
      <w:pPr>
        <w:pStyle w:val="Body"/>
        <w:rPr>
          <w:b/>
          <w:i/>
          <w:sz w:val="22"/>
          <w:szCs w:val="22"/>
        </w:rPr>
      </w:pPr>
      <w:r w:rsidRPr="00DF1884">
        <w:rPr>
          <w:b/>
          <w:i/>
          <w:sz w:val="22"/>
          <w:szCs w:val="22"/>
        </w:rPr>
        <w:t>C</w:t>
      </w:r>
    </w:p>
    <w:p w14:paraId="0EF0F942" w14:textId="6259CC13" w:rsidR="00463667" w:rsidRPr="00DF1884" w:rsidRDefault="00463667" w:rsidP="00463667">
      <w:pPr>
        <w:pStyle w:val="Body"/>
        <w:tabs>
          <w:tab w:val="right" w:leader="dot" w:pos="9720"/>
        </w:tabs>
        <w:spacing w:before="0"/>
      </w:pPr>
      <w:r w:rsidRPr="00DF1884">
        <w:t>CAHPS</w:t>
      </w:r>
      <w:r w:rsidR="00DF1884" w:rsidRPr="00DF1884">
        <w:t xml:space="preserve"> </w:t>
      </w:r>
      <w:r w:rsidRPr="00DF1884">
        <w:t>Health</w:t>
      </w:r>
      <w:r w:rsidR="00DF1884" w:rsidRPr="00DF1884">
        <w:t xml:space="preserve"> </w:t>
      </w:r>
      <w:r w:rsidRPr="00DF1884">
        <w:t>Plan</w:t>
      </w:r>
      <w:r w:rsidR="00DF1884" w:rsidRPr="00DF1884">
        <w:t xml:space="preserve"> </w:t>
      </w:r>
      <w:r w:rsidRPr="00DF1884">
        <w:t>Survey</w:t>
      </w:r>
      <w:r w:rsidR="00DF1884" w:rsidRPr="00DF1884">
        <w:t xml:space="preserve"> </w:t>
      </w:r>
      <w:r w:rsidRPr="00DF1884">
        <w:t>5.0H,</w:t>
      </w:r>
      <w:r w:rsidR="00DF1884" w:rsidRPr="00DF1884">
        <w:t xml:space="preserve"> </w:t>
      </w:r>
      <w:r w:rsidRPr="00DF1884">
        <w:t>Adult</w:t>
      </w:r>
      <w:r w:rsidR="00DF1884" w:rsidRPr="00DF1884">
        <w:t xml:space="preserve"> </w:t>
      </w:r>
      <w:r w:rsidR="00EA5DF8">
        <w:t>Version</w:t>
      </w:r>
      <w:r w:rsidR="00EA5DF8">
        <w:tab/>
        <w:t>266</w:t>
      </w:r>
    </w:p>
    <w:p w14:paraId="4D9719DD" w14:textId="7CF01A7C" w:rsidR="00463667" w:rsidRPr="00DF1884" w:rsidRDefault="00463667" w:rsidP="00463667">
      <w:pPr>
        <w:pStyle w:val="Body"/>
        <w:tabs>
          <w:tab w:val="right" w:leader="dot" w:pos="9720"/>
        </w:tabs>
        <w:spacing w:before="0"/>
      </w:pPr>
      <w:r w:rsidRPr="00DF1884">
        <w:t>CAHPS</w:t>
      </w:r>
      <w:r w:rsidR="00DF1884" w:rsidRPr="00DF1884">
        <w:t xml:space="preserve"> </w:t>
      </w:r>
      <w:r w:rsidRPr="00DF1884">
        <w:t>Health</w:t>
      </w:r>
      <w:r w:rsidR="00DF1884" w:rsidRPr="00DF1884">
        <w:t xml:space="preserve"> </w:t>
      </w:r>
      <w:r w:rsidRPr="00DF1884">
        <w:t>Plan</w:t>
      </w:r>
      <w:r w:rsidR="00DF1884" w:rsidRPr="00DF1884">
        <w:t xml:space="preserve"> </w:t>
      </w:r>
      <w:r w:rsidRPr="00DF1884">
        <w:t>Survey</w:t>
      </w:r>
      <w:r w:rsidR="00DF1884" w:rsidRPr="00DF1884">
        <w:t xml:space="preserve"> </w:t>
      </w:r>
      <w:r w:rsidRPr="00DF1884">
        <w:t>5.0H,</w:t>
      </w:r>
      <w:r w:rsidR="00DF1884" w:rsidRPr="00DF1884">
        <w:t xml:space="preserve"> </w:t>
      </w:r>
      <w:r w:rsidRPr="00DF1884">
        <w:t>Child</w:t>
      </w:r>
      <w:r w:rsidR="00DF1884" w:rsidRPr="00DF1884">
        <w:t xml:space="preserve"> </w:t>
      </w:r>
      <w:r w:rsidR="00EA5DF8">
        <w:t>Version</w:t>
      </w:r>
      <w:r w:rsidR="00EA5DF8">
        <w:tab/>
        <w:t>267</w:t>
      </w:r>
    </w:p>
    <w:p w14:paraId="38C818AA" w14:textId="666CBF1E" w:rsidR="00463667" w:rsidRPr="00DF1884" w:rsidRDefault="00463667" w:rsidP="00463667">
      <w:pPr>
        <w:pStyle w:val="Body"/>
        <w:tabs>
          <w:tab w:val="right" w:leader="dot" w:pos="9720"/>
        </w:tabs>
        <w:spacing w:before="0"/>
      </w:pPr>
      <w:r w:rsidRPr="00DF1884">
        <w:t>Call</w:t>
      </w:r>
      <w:r w:rsidR="00DF1884" w:rsidRPr="00DF1884">
        <w:t xml:space="preserve"> </w:t>
      </w:r>
      <w:r w:rsidRPr="00DF1884">
        <w:t>Answer</w:t>
      </w:r>
      <w:r w:rsidR="00DF1884" w:rsidRPr="00DF1884">
        <w:t xml:space="preserve"> </w:t>
      </w:r>
      <w:r w:rsidR="00EA5DF8">
        <w:t>Timeliness</w:t>
      </w:r>
      <w:r w:rsidR="00EA5DF8">
        <w:tab/>
        <w:t>259</w:t>
      </w:r>
    </w:p>
    <w:p w14:paraId="6F670261" w14:textId="3B43D84E" w:rsidR="00463667" w:rsidRPr="00DF1884" w:rsidRDefault="00463667" w:rsidP="00463667">
      <w:pPr>
        <w:pStyle w:val="Body"/>
        <w:tabs>
          <w:tab w:val="right" w:leader="dot" w:pos="9720"/>
        </w:tabs>
        <w:spacing w:before="0"/>
      </w:pPr>
      <w:r w:rsidRPr="00DF1884">
        <w:rPr>
          <w:szCs w:val="20"/>
        </w:rPr>
        <w:t>Cardiovascular</w:t>
      </w:r>
      <w:r w:rsidR="00DF1884" w:rsidRPr="00DF1884">
        <w:rPr>
          <w:szCs w:val="20"/>
        </w:rPr>
        <w:t xml:space="preserve"> </w:t>
      </w:r>
      <w:r w:rsidRPr="00DF1884">
        <w:rPr>
          <w:szCs w:val="20"/>
        </w:rPr>
        <w:t>Monitoring</w:t>
      </w:r>
      <w:r w:rsidR="00DF1884" w:rsidRPr="00DF1884">
        <w:rPr>
          <w:szCs w:val="20"/>
        </w:rPr>
        <w:t xml:space="preserve"> </w:t>
      </w:r>
      <w:r w:rsidRPr="00DF1884">
        <w:rPr>
          <w:szCs w:val="20"/>
        </w:rPr>
        <w:t>for</w:t>
      </w:r>
      <w:r w:rsidR="00DF1884" w:rsidRPr="00DF1884">
        <w:rPr>
          <w:szCs w:val="20"/>
        </w:rPr>
        <w:t xml:space="preserve"> </w:t>
      </w:r>
      <w:r w:rsidRPr="00DF1884">
        <w:rPr>
          <w:szCs w:val="20"/>
        </w:rPr>
        <w:t>People</w:t>
      </w:r>
      <w:r w:rsidR="00DF1884" w:rsidRPr="00DF1884">
        <w:rPr>
          <w:szCs w:val="20"/>
        </w:rPr>
        <w:t xml:space="preserve"> </w:t>
      </w:r>
      <w:r w:rsidRPr="00DF1884">
        <w:rPr>
          <w:szCs w:val="20"/>
        </w:rPr>
        <w:t>With</w:t>
      </w:r>
      <w:r w:rsidR="00DF1884" w:rsidRPr="00DF1884">
        <w:rPr>
          <w:szCs w:val="20"/>
        </w:rPr>
        <w:t xml:space="preserve"> </w:t>
      </w:r>
      <w:r w:rsidRPr="00DF1884">
        <w:rPr>
          <w:szCs w:val="20"/>
        </w:rPr>
        <w:t>Cardiovascular</w:t>
      </w:r>
      <w:r w:rsidR="00DF1884" w:rsidRPr="00DF1884">
        <w:rPr>
          <w:szCs w:val="20"/>
        </w:rPr>
        <w:t xml:space="preserve"> </w:t>
      </w:r>
      <w:r w:rsidRPr="00DF1884">
        <w:rPr>
          <w:szCs w:val="20"/>
        </w:rPr>
        <w:t>Disease</w:t>
      </w:r>
      <w:r w:rsidR="00DF1884" w:rsidRPr="00DF1884">
        <w:rPr>
          <w:szCs w:val="20"/>
        </w:rPr>
        <w:t xml:space="preserve"> </w:t>
      </w:r>
      <w:r w:rsidRPr="00DF1884">
        <w:rPr>
          <w:szCs w:val="20"/>
        </w:rPr>
        <w:t>and</w:t>
      </w:r>
      <w:r w:rsidR="00DF1884" w:rsidRPr="00DF1884">
        <w:rPr>
          <w:szCs w:val="20"/>
        </w:rPr>
        <w:t xml:space="preserve"> </w:t>
      </w:r>
      <w:r w:rsidR="00EA5DF8">
        <w:rPr>
          <w:szCs w:val="20"/>
        </w:rPr>
        <w:t>Schizophrenia</w:t>
      </w:r>
      <w:r w:rsidR="00EA5DF8">
        <w:rPr>
          <w:szCs w:val="20"/>
        </w:rPr>
        <w:tab/>
        <w:t>179</w:t>
      </w:r>
    </w:p>
    <w:p w14:paraId="5DD32E29" w14:textId="2CA37EA1" w:rsidR="00463667" w:rsidRPr="00DF1884" w:rsidRDefault="00463667" w:rsidP="00463667">
      <w:pPr>
        <w:pStyle w:val="Body"/>
        <w:tabs>
          <w:tab w:val="right" w:leader="dot" w:pos="9720"/>
        </w:tabs>
        <w:spacing w:before="0"/>
      </w:pPr>
      <w:r w:rsidRPr="00DF1884">
        <w:t>Care</w:t>
      </w:r>
      <w:r w:rsidR="00DF1884" w:rsidRPr="00DF1884">
        <w:t xml:space="preserve"> </w:t>
      </w:r>
      <w:r w:rsidRPr="00DF1884">
        <w:t>for</w:t>
      </w:r>
      <w:r w:rsidR="00DF1884" w:rsidRPr="00DF1884">
        <w:t xml:space="preserve"> </w:t>
      </w:r>
      <w:r w:rsidRPr="00DF1884">
        <w:t>Older</w:t>
      </w:r>
      <w:r w:rsidR="00DF1884" w:rsidRPr="00DF1884">
        <w:t xml:space="preserve"> </w:t>
      </w:r>
      <w:r w:rsidR="00EA5DF8">
        <w:t>Adults</w:t>
      </w:r>
      <w:r w:rsidR="00EA5DF8">
        <w:tab/>
        <w:t>89</w:t>
      </w:r>
    </w:p>
    <w:p w14:paraId="099EBC88" w14:textId="5B8FE88A" w:rsidR="00463667" w:rsidRPr="00DF1884" w:rsidRDefault="00463667" w:rsidP="00463667">
      <w:pPr>
        <w:pStyle w:val="Body"/>
        <w:tabs>
          <w:tab w:val="right" w:leader="dot" w:pos="9720"/>
        </w:tabs>
        <w:spacing w:before="0"/>
      </w:pPr>
      <w:r w:rsidRPr="00DF1884">
        <w:t>Cervical</w:t>
      </w:r>
      <w:r w:rsidR="00DF1884" w:rsidRPr="00DF1884">
        <w:t xml:space="preserve"> </w:t>
      </w:r>
      <w:r w:rsidRPr="00DF1884">
        <w:t>Cancer</w:t>
      </w:r>
      <w:r w:rsidR="00DF1884" w:rsidRPr="00DF1884">
        <w:t xml:space="preserve"> </w:t>
      </w:r>
      <w:r w:rsidR="00EA5DF8">
        <w:t>Screening</w:t>
      </w:r>
      <w:r w:rsidR="00EA5DF8">
        <w:tab/>
        <w:t>79</w:t>
      </w:r>
    </w:p>
    <w:p w14:paraId="29B35485" w14:textId="39BA5700" w:rsidR="00463667" w:rsidRPr="00DF1884" w:rsidRDefault="00463667" w:rsidP="00463667">
      <w:pPr>
        <w:pStyle w:val="Body"/>
        <w:tabs>
          <w:tab w:val="right" w:leader="dot" w:pos="9720"/>
        </w:tabs>
        <w:spacing w:before="0"/>
      </w:pPr>
      <w:r w:rsidRPr="00DF1884">
        <w:t>Childhood</w:t>
      </w:r>
      <w:r w:rsidR="00DF1884" w:rsidRPr="00DF1884">
        <w:t xml:space="preserve"> </w:t>
      </w:r>
      <w:r w:rsidRPr="00DF1884">
        <w:t>Immunization</w:t>
      </w:r>
      <w:r w:rsidR="00DF1884" w:rsidRPr="00DF1884">
        <w:t xml:space="preserve"> </w:t>
      </w:r>
      <w:r w:rsidRPr="00DF1884">
        <w:t>Status</w:t>
      </w:r>
      <w:r w:rsidRPr="00DF1884">
        <w:tab/>
        <w:t>64</w:t>
      </w:r>
    </w:p>
    <w:p w14:paraId="5FBE451C" w14:textId="32FD56BF" w:rsidR="00463667" w:rsidRPr="00DF1884" w:rsidRDefault="00463667" w:rsidP="00463667">
      <w:pPr>
        <w:pStyle w:val="Body"/>
        <w:tabs>
          <w:tab w:val="right" w:leader="dot" w:pos="9720"/>
        </w:tabs>
        <w:spacing w:before="0"/>
      </w:pPr>
      <w:r w:rsidRPr="00DF1884">
        <w:t>Children</w:t>
      </w:r>
      <w:r w:rsidR="00DF1884" w:rsidRPr="00DF1884">
        <w:t xml:space="preserve"> </w:t>
      </w:r>
      <w:r w:rsidRPr="00DF1884">
        <w:t>and</w:t>
      </w:r>
      <w:r w:rsidR="00DF1884" w:rsidRPr="00DF1884">
        <w:t xml:space="preserve"> </w:t>
      </w:r>
      <w:r w:rsidRPr="00DF1884">
        <w:t>Adolescents’</w:t>
      </w:r>
      <w:r w:rsidR="00DF1884" w:rsidRPr="00DF1884">
        <w:t xml:space="preserve"> </w:t>
      </w:r>
      <w:r w:rsidRPr="00DF1884">
        <w:t>Access</w:t>
      </w:r>
      <w:r w:rsidR="00DF1884" w:rsidRPr="00DF1884">
        <w:t xml:space="preserve"> </w:t>
      </w:r>
      <w:r w:rsidRPr="00DF1884">
        <w:t>to</w:t>
      </w:r>
      <w:r w:rsidR="00DF1884" w:rsidRPr="00DF1884">
        <w:t xml:space="preserve"> </w:t>
      </w:r>
      <w:r w:rsidRPr="00DF1884">
        <w:t>Primary</w:t>
      </w:r>
      <w:r w:rsidR="00DF1884" w:rsidRPr="00DF1884">
        <w:t xml:space="preserve"> </w:t>
      </w:r>
      <w:r w:rsidRPr="00DF1884">
        <w:t>Care</w:t>
      </w:r>
      <w:r w:rsidR="00DF1884" w:rsidRPr="00DF1884">
        <w:t xml:space="preserve"> </w:t>
      </w:r>
      <w:r w:rsidR="00EA5DF8">
        <w:t>Practitioners</w:t>
      </w:r>
      <w:r w:rsidR="00EA5DF8">
        <w:tab/>
        <w:t>243</w:t>
      </w:r>
    </w:p>
    <w:p w14:paraId="216E385D" w14:textId="5A8ED43E" w:rsidR="00463667" w:rsidRPr="00DF1884" w:rsidRDefault="00463667" w:rsidP="00463667">
      <w:pPr>
        <w:pStyle w:val="Body"/>
        <w:tabs>
          <w:tab w:val="right" w:leader="dot" w:pos="9720"/>
        </w:tabs>
        <w:spacing w:before="0"/>
      </w:pPr>
      <w:r w:rsidRPr="00DF1884">
        <w:t>Children</w:t>
      </w:r>
      <w:r w:rsidR="00DF1884" w:rsidRPr="00DF1884">
        <w:t xml:space="preserve"> </w:t>
      </w:r>
      <w:r w:rsidRPr="00DF1884">
        <w:t>With</w:t>
      </w:r>
      <w:r w:rsidR="00DF1884" w:rsidRPr="00DF1884">
        <w:t xml:space="preserve"> </w:t>
      </w:r>
      <w:r w:rsidRPr="00DF1884">
        <w:t>Chronic</w:t>
      </w:r>
      <w:r w:rsidR="00DF1884" w:rsidRPr="00DF1884">
        <w:t xml:space="preserve"> </w:t>
      </w:r>
      <w:r w:rsidR="00EA5DF8">
        <w:t>Conditions</w:t>
      </w:r>
      <w:r w:rsidR="00EA5DF8">
        <w:tab/>
        <w:t>268</w:t>
      </w:r>
    </w:p>
    <w:p w14:paraId="1C74FE8F" w14:textId="780E9C73" w:rsidR="00463667" w:rsidRPr="00DF1884" w:rsidRDefault="00463667" w:rsidP="00463667">
      <w:pPr>
        <w:pStyle w:val="Body"/>
        <w:tabs>
          <w:tab w:val="right" w:leader="dot" w:pos="9720"/>
        </w:tabs>
        <w:spacing w:before="0"/>
      </w:pPr>
      <w:r w:rsidRPr="00DF1884">
        <w:t>Chlamydia</w:t>
      </w:r>
      <w:r w:rsidR="00DF1884" w:rsidRPr="00DF1884">
        <w:t xml:space="preserve"> </w:t>
      </w:r>
      <w:r w:rsidRPr="00DF1884">
        <w:t>Screening</w:t>
      </w:r>
      <w:r w:rsidR="00DF1884" w:rsidRPr="00DF1884">
        <w:t xml:space="preserve"> </w:t>
      </w:r>
      <w:r w:rsidRPr="00DF1884">
        <w:t>in</w:t>
      </w:r>
      <w:r w:rsidR="00DF1884" w:rsidRPr="00DF1884">
        <w:t xml:space="preserve"> </w:t>
      </w:r>
      <w:r w:rsidR="00EA5DF8">
        <w:t>Women</w:t>
      </w:r>
      <w:r w:rsidR="00EA5DF8">
        <w:tab/>
        <w:t>86</w:t>
      </w:r>
    </w:p>
    <w:p w14:paraId="4F568552" w14:textId="604FB40D" w:rsidR="00463667" w:rsidRPr="00DF1884" w:rsidRDefault="00463667" w:rsidP="00463667">
      <w:pPr>
        <w:pStyle w:val="Body"/>
        <w:tabs>
          <w:tab w:val="right" w:leader="dot" w:pos="9720"/>
        </w:tabs>
        <w:spacing w:before="0"/>
      </w:pPr>
      <w:r w:rsidRPr="00DF1884">
        <w:t>Colorectal</w:t>
      </w:r>
      <w:r w:rsidR="00DF1884" w:rsidRPr="00DF1884">
        <w:t xml:space="preserve"> </w:t>
      </w:r>
      <w:r w:rsidRPr="00DF1884">
        <w:t>Cancer</w:t>
      </w:r>
      <w:r w:rsidR="00DF1884" w:rsidRPr="00DF1884">
        <w:t xml:space="preserve"> </w:t>
      </w:r>
      <w:r w:rsidR="00EA5DF8">
        <w:t>Screening</w:t>
      </w:r>
      <w:r w:rsidR="00EA5DF8">
        <w:tab/>
        <w:t>83</w:t>
      </w:r>
    </w:p>
    <w:p w14:paraId="45457EAB" w14:textId="6941FC6F" w:rsidR="00463667" w:rsidRPr="00DF1884" w:rsidRDefault="00463667" w:rsidP="00463667">
      <w:pPr>
        <w:pStyle w:val="Body"/>
        <w:tabs>
          <w:tab w:val="right" w:leader="dot" w:pos="9720"/>
        </w:tabs>
        <w:spacing w:before="0"/>
      </w:pPr>
      <w:r w:rsidRPr="00DF1884">
        <w:t>Comprehensive</w:t>
      </w:r>
      <w:r w:rsidR="00DF1884" w:rsidRPr="00DF1884">
        <w:t xml:space="preserve"> </w:t>
      </w:r>
      <w:r w:rsidRPr="00DF1884">
        <w:t>Diabetes</w:t>
      </w:r>
      <w:r w:rsidR="00DF1884" w:rsidRPr="00DF1884">
        <w:t xml:space="preserve"> </w:t>
      </w:r>
      <w:r w:rsidR="00EA5DF8">
        <w:t>Care</w:t>
      </w:r>
      <w:r w:rsidR="00EA5DF8">
        <w:tab/>
        <w:t>132</w:t>
      </w:r>
    </w:p>
    <w:p w14:paraId="161944D5" w14:textId="361FF884" w:rsidR="00463667" w:rsidRPr="00DF1884" w:rsidRDefault="00463667" w:rsidP="00463667">
      <w:pPr>
        <w:pStyle w:val="Body"/>
        <w:tabs>
          <w:tab w:val="right" w:leader="dot" w:pos="9720"/>
        </w:tabs>
        <w:spacing w:before="0"/>
      </w:pPr>
      <w:r w:rsidRPr="00DF1884">
        <w:t>Controlling</w:t>
      </w:r>
      <w:r w:rsidR="00DF1884" w:rsidRPr="00DF1884">
        <w:t xml:space="preserve"> </w:t>
      </w:r>
      <w:r w:rsidRPr="00DF1884">
        <w:t>High</w:t>
      </w:r>
      <w:r w:rsidR="00DF1884" w:rsidRPr="00DF1884">
        <w:t xml:space="preserve"> </w:t>
      </w:r>
      <w:r w:rsidRPr="00DF1884">
        <w:t>Blood</w:t>
      </w:r>
      <w:r w:rsidR="00DF1884" w:rsidRPr="00DF1884">
        <w:t xml:space="preserve"> </w:t>
      </w:r>
      <w:r w:rsidR="00EA5DF8">
        <w:t>Pressure</w:t>
      </w:r>
      <w:r w:rsidR="00EA5DF8">
        <w:tab/>
        <w:t>116</w:t>
      </w:r>
    </w:p>
    <w:p w14:paraId="627269A2" w14:textId="77777777" w:rsidR="00463667" w:rsidRPr="00DF1884" w:rsidRDefault="00463667" w:rsidP="00463667">
      <w:pPr>
        <w:pBdr>
          <w:bottom w:val="single" w:sz="4" w:space="1" w:color="auto"/>
        </w:pBdr>
        <w:spacing w:before="120" w:after="120"/>
        <w:rPr>
          <w:rFonts w:cs="Arial"/>
          <w:szCs w:val="20"/>
        </w:rPr>
      </w:pPr>
    </w:p>
    <w:p w14:paraId="5A4B45EA" w14:textId="77777777" w:rsidR="00463667" w:rsidRPr="00DF1884" w:rsidRDefault="00463667" w:rsidP="00463667">
      <w:pPr>
        <w:pStyle w:val="Body"/>
        <w:rPr>
          <w:b/>
          <w:i/>
          <w:sz w:val="22"/>
          <w:szCs w:val="22"/>
        </w:rPr>
      </w:pPr>
      <w:r w:rsidRPr="00DF1884">
        <w:rPr>
          <w:b/>
          <w:i/>
          <w:sz w:val="22"/>
          <w:szCs w:val="22"/>
        </w:rPr>
        <w:t>D</w:t>
      </w:r>
    </w:p>
    <w:p w14:paraId="14C60896" w14:textId="0AF3115D" w:rsidR="00463667" w:rsidRPr="00DF1884" w:rsidRDefault="00463667" w:rsidP="00463667">
      <w:pPr>
        <w:pStyle w:val="Body"/>
        <w:tabs>
          <w:tab w:val="right" w:leader="dot" w:pos="9720"/>
        </w:tabs>
        <w:spacing w:before="0"/>
        <w:rPr>
          <w:szCs w:val="20"/>
        </w:rPr>
      </w:pPr>
      <w:r w:rsidRPr="00DF1884">
        <w:rPr>
          <w:szCs w:val="20"/>
        </w:rPr>
        <w:t>Diabetes</w:t>
      </w:r>
      <w:r w:rsidR="00DF1884" w:rsidRPr="00DF1884">
        <w:rPr>
          <w:szCs w:val="20"/>
        </w:rPr>
        <w:t xml:space="preserve"> </w:t>
      </w:r>
      <w:r w:rsidRPr="00DF1884">
        <w:rPr>
          <w:szCs w:val="20"/>
        </w:rPr>
        <w:t>Monitoring</w:t>
      </w:r>
      <w:r w:rsidR="00DF1884" w:rsidRPr="00DF1884">
        <w:rPr>
          <w:szCs w:val="20"/>
        </w:rPr>
        <w:t xml:space="preserve"> </w:t>
      </w:r>
      <w:r w:rsidRPr="00DF1884">
        <w:rPr>
          <w:szCs w:val="20"/>
        </w:rPr>
        <w:t>for</w:t>
      </w:r>
      <w:r w:rsidR="00DF1884" w:rsidRPr="00DF1884">
        <w:rPr>
          <w:szCs w:val="20"/>
        </w:rPr>
        <w:t xml:space="preserve"> </w:t>
      </w:r>
      <w:r w:rsidRPr="00DF1884">
        <w:rPr>
          <w:szCs w:val="20"/>
        </w:rPr>
        <w:t>People</w:t>
      </w:r>
      <w:r w:rsidR="00DF1884" w:rsidRPr="00DF1884">
        <w:rPr>
          <w:szCs w:val="20"/>
        </w:rPr>
        <w:t xml:space="preserve"> </w:t>
      </w:r>
      <w:r w:rsidRPr="00DF1884">
        <w:rPr>
          <w:szCs w:val="20"/>
        </w:rPr>
        <w:t>With</w:t>
      </w:r>
      <w:r w:rsidR="00DF1884" w:rsidRPr="00DF1884">
        <w:rPr>
          <w:szCs w:val="20"/>
        </w:rPr>
        <w:t xml:space="preserve"> </w:t>
      </w:r>
      <w:r w:rsidRPr="00DF1884">
        <w:rPr>
          <w:szCs w:val="20"/>
        </w:rPr>
        <w:t>Diabetes</w:t>
      </w:r>
      <w:r w:rsidR="00DF1884" w:rsidRPr="00DF1884">
        <w:rPr>
          <w:szCs w:val="20"/>
        </w:rPr>
        <w:t xml:space="preserve"> </w:t>
      </w:r>
      <w:r w:rsidRPr="00DF1884">
        <w:rPr>
          <w:szCs w:val="20"/>
        </w:rPr>
        <w:t>and</w:t>
      </w:r>
      <w:r w:rsidR="00DF1884" w:rsidRPr="00DF1884">
        <w:rPr>
          <w:szCs w:val="20"/>
        </w:rPr>
        <w:t xml:space="preserve"> </w:t>
      </w:r>
      <w:r w:rsidRPr="00DF1884">
        <w:rPr>
          <w:szCs w:val="20"/>
        </w:rPr>
        <w:t>Schizophrenia</w:t>
      </w:r>
      <w:r w:rsidR="00DF1884" w:rsidRPr="00DF1884">
        <w:rPr>
          <w:szCs w:val="20"/>
        </w:rPr>
        <w:t xml:space="preserve"> </w:t>
      </w:r>
      <w:r w:rsidR="001123ED">
        <w:rPr>
          <w:szCs w:val="20"/>
        </w:rPr>
        <w:tab/>
        <w:t>176</w:t>
      </w:r>
    </w:p>
    <w:p w14:paraId="0C442F86" w14:textId="23DCC632" w:rsidR="00463667" w:rsidRPr="00DF1884" w:rsidRDefault="00463667" w:rsidP="00463667">
      <w:pPr>
        <w:pStyle w:val="Body"/>
        <w:tabs>
          <w:tab w:val="right" w:leader="dot" w:pos="9720"/>
        </w:tabs>
        <w:spacing w:before="0"/>
        <w:ind w:left="360" w:hanging="360"/>
      </w:pPr>
      <w:r w:rsidRPr="00DF1884">
        <w:rPr>
          <w:szCs w:val="20"/>
        </w:rPr>
        <w:t>Diabetes</w:t>
      </w:r>
      <w:r w:rsidR="00DF1884" w:rsidRPr="00DF1884">
        <w:rPr>
          <w:szCs w:val="20"/>
        </w:rPr>
        <w:t xml:space="preserve"> </w:t>
      </w:r>
      <w:r w:rsidRPr="00DF1884">
        <w:rPr>
          <w:szCs w:val="20"/>
        </w:rPr>
        <w:t>Screening</w:t>
      </w:r>
      <w:r w:rsidR="00DF1884" w:rsidRPr="00DF1884">
        <w:rPr>
          <w:szCs w:val="20"/>
        </w:rPr>
        <w:t xml:space="preserve"> </w:t>
      </w:r>
      <w:r w:rsidRPr="00DF1884">
        <w:rPr>
          <w:szCs w:val="20"/>
        </w:rPr>
        <w:t>for</w:t>
      </w:r>
      <w:r w:rsidR="00DF1884" w:rsidRPr="00DF1884">
        <w:rPr>
          <w:szCs w:val="20"/>
        </w:rPr>
        <w:t xml:space="preserve"> </w:t>
      </w:r>
      <w:r w:rsidRPr="00DF1884">
        <w:rPr>
          <w:szCs w:val="20"/>
        </w:rPr>
        <w:t>People</w:t>
      </w:r>
      <w:r w:rsidR="00DF1884" w:rsidRPr="00DF1884">
        <w:rPr>
          <w:szCs w:val="20"/>
        </w:rPr>
        <w:t xml:space="preserve"> </w:t>
      </w:r>
      <w:r w:rsidRPr="00DF1884">
        <w:rPr>
          <w:szCs w:val="20"/>
        </w:rPr>
        <w:t>With</w:t>
      </w:r>
      <w:r w:rsidR="00DF1884" w:rsidRPr="00DF1884">
        <w:rPr>
          <w:szCs w:val="20"/>
        </w:rPr>
        <w:t xml:space="preserve"> </w:t>
      </w:r>
      <w:r w:rsidRPr="00DF1884">
        <w:rPr>
          <w:szCs w:val="20"/>
        </w:rPr>
        <w:t>Schizophrenia</w:t>
      </w:r>
      <w:r w:rsidR="00DF1884" w:rsidRPr="00DF1884">
        <w:rPr>
          <w:szCs w:val="20"/>
        </w:rPr>
        <w:t xml:space="preserve"> </w:t>
      </w:r>
      <w:r w:rsidRPr="00DF1884">
        <w:rPr>
          <w:szCs w:val="20"/>
        </w:rPr>
        <w:t>or</w:t>
      </w:r>
      <w:r w:rsidR="00DF1884" w:rsidRPr="00DF1884">
        <w:rPr>
          <w:szCs w:val="20"/>
        </w:rPr>
        <w:t xml:space="preserve"> </w:t>
      </w:r>
      <w:r w:rsidRPr="00DF1884">
        <w:rPr>
          <w:szCs w:val="20"/>
        </w:rPr>
        <w:t>Bipolar</w:t>
      </w:r>
      <w:r w:rsidR="00DF1884" w:rsidRPr="00DF1884">
        <w:rPr>
          <w:szCs w:val="20"/>
        </w:rPr>
        <w:t xml:space="preserve"> </w:t>
      </w:r>
      <w:r w:rsidRPr="00DF1884">
        <w:rPr>
          <w:szCs w:val="20"/>
        </w:rPr>
        <w:t>Disorder</w:t>
      </w:r>
      <w:r w:rsidR="00DF1884" w:rsidRPr="00DF1884">
        <w:rPr>
          <w:szCs w:val="20"/>
        </w:rPr>
        <w:t xml:space="preserve"> </w:t>
      </w:r>
      <w:r w:rsidRPr="00DF1884">
        <w:rPr>
          <w:szCs w:val="20"/>
        </w:rPr>
        <w:t>Who</w:t>
      </w:r>
      <w:r w:rsidR="00DF1884" w:rsidRPr="00DF1884">
        <w:rPr>
          <w:szCs w:val="20"/>
        </w:rPr>
        <w:t xml:space="preserve"> </w:t>
      </w:r>
      <w:r w:rsidRPr="00DF1884">
        <w:rPr>
          <w:szCs w:val="20"/>
        </w:rPr>
        <w:t>Are</w:t>
      </w:r>
      <w:r w:rsidR="00DF1884" w:rsidRPr="00DF1884">
        <w:rPr>
          <w:szCs w:val="20"/>
        </w:rPr>
        <w:t xml:space="preserve"> </w:t>
      </w:r>
      <w:r w:rsidRPr="00DF1884">
        <w:rPr>
          <w:szCs w:val="20"/>
        </w:rPr>
        <w:t>Using</w:t>
      </w:r>
      <w:r w:rsidR="00DF1884" w:rsidRPr="00DF1884">
        <w:rPr>
          <w:szCs w:val="20"/>
        </w:rPr>
        <w:t xml:space="preserve"> </w:t>
      </w:r>
      <w:r w:rsidRPr="00DF1884">
        <w:rPr>
          <w:szCs w:val="20"/>
        </w:rPr>
        <w:t>Antipsychotic</w:t>
      </w:r>
      <w:r w:rsidR="00DF1884" w:rsidRPr="00DF1884">
        <w:rPr>
          <w:szCs w:val="20"/>
        </w:rPr>
        <w:t xml:space="preserve"> </w:t>
      </w:r>
      <w:r w:rsidR="001123ED">
        <w:rPr>
          <w:szCs w:val="20"/>
        </w:rPr>
        <w:t>Medications</w:t>
      </w:r>
      <w:r w:rsidR="001123ED">
        <w:rPr>
          <w:szCs w:val="20"/>
        </w:rPr>
        <w:tab/>
        <w:t>172</w:t>
      </w:r>
    </w:p>
    <w:p w14:paraId="2EDFD0AB" w14:textId="5229BE08" w:rsidR="00463667" w:rsidRPr="00DF1884" w:rsidRDefault="00463667" w:rsidP="00463667">
      <w:pPr>
        <w:pStyle w:val="Body"/>
        <w:tabs>
          <w:tab w:val="right" w:leader="dot" w:pos="9720"/>
        </w:tabs>
        <w:spacing w:before="0"/>
      </w:pPr>
      <w:r w:rsidRPr="00DF1884">
        <w:t>Disease-Modifying</w:t>
      </w:r>
      <w:r w:rsidR="00DF1884" w:rsidRPr="00DF1884">
        <w:t xml:space="preserve"> </w:t>
      </w:r>
      <w:r w:rsidRPr="00DF1884">
        <w:t>Anti-Rheumatic</w:t>
      </w:r>
      <w:r w:rsidR="00DF1884" w:rsidRPr="00DF1884">
        <w:t xml:space="preserve"> </w:t>
      </w:r>
      <w:r w:rsidRPr="00DF1884">
        <w:t>Drug</w:t>
      </w:r>
      <w:r w:rsidR="00DF1884" w:rsidRPr="00DF1884">
        <w:t xml:space="preserve"> </w:t>
      </w:r>
      <w:r w:rsidRPr="00DF1884">
        <w:t>Therapy</w:t>
      </w:r>
      <w:r w:rsidR="00DF1884" w:rsidRPr="00DF1884">
        <w:t xml:space="preserve"> </w:t>
      </w:r>
      <w:r w:rsidRPr="00DF1884">
        <w:t>for</w:t>
      </w:r>
      <w:r w:rsidR="00DF1884" w:rsidRPr="00DF1884">
        <w:t xml:space="preserve"> </w:t>
      </w:r>
      <w:r w:rsidRPr="00DF1884">
        <w:t>Rheumatoid</w:t>
      </w:r>
      <w:r w:rsidR="00DF1884" w:rsidRPr="00DF1884">
        <w:t xml:space="preserve"> </w:t>
      </w:r>
      <w:r w:rsidR="001123ED">
        <w:t>Arthritis</w:t>
      </w:r>
      <w:r w:rsidR="001123ED">
        <w:tab/>
        <w:t>152</w:t>
      </w:r>
    </w:p>
    <w:p w14:paraId="5B54F14F" w14:textId="77777777" w:rsidR="00463667" w:rsidRPr="00DF1884" w:rsidRDefault="00463667" w:rsidP="00463667">
      <w:pPr>
        <w:pBdr>
          <w:bottom w:val="single" w:sz="4" w:space="1" w:color="auto"/>
        </w:pBdr>
        <w:spacing w:before="120" w:after="120"/>
        <w:rPr>
          <w:rFonts w:cs="Arial"/>
          <w:szCs w:val="20"/>
        </w:rPr>
      </w:pPr>
    </w:p>
    <w:p w14:paraId="64BA3E96" w14:textId="77777777" w:rsidR="00463667" w:rsidRPr="00DF1884" w:rsidRDefault="00463667" w:rsidP="00463667">
      <w:pPr>
        <w:pStyle w:val="Body"/>
        <w:rPr>
          <w:b/>
          <w:i/>
          <w:sz w:val="22"/>
          <w:szCs w:val="22"/>
        </w:rPr>
      </w:pPr>
      <w:r w:rsidRPr="00DF1884">
        <w:rPr>
          <w:b/>
          <w:i/>
          <w:sz w:val="22"/>
          <w:szCs w:val="22"/>
        </w:rPr>
        <w:t>E</w:t>
      </w:r>
    </w:p>
    <w:p w14:paraId="4C2E07E3" w14:textId="49399F10" w:rsidR="007756D8" w:rsidRPr="00DF1884" w:rsidRDefault="007756D8" w:rsidP="007756D8">
      <w:pPr>
        <w:pStyle w:val="Body"/>
        <w:tabs>
          <w:tab w:val="right" w:leader="dot" w:pos="9720"/>
        </w:tabs>
        <w:spacing w:before="0"/>
      </w:pPr>
      <w:r>
        <w:t>Emergency Department Utilization</w:t>
      </w:r>
      <w:r w:rsidRPr="00DF1884">
        <w:tab/>
      </w:r>
      <w:r w:rsidR="001732BF">
        <w:t>347</w:t>
      </w:r>
    </w:p>
    <w:p w14:paraId="57FFE6FE" w14:textId="6C1244BD" w:rsidR="00463667" w:rsidRPr="00DF1884" w:rsidRDefault="00463667" w:rsidP="00463667">
      <w:pPr>
        <w:pStyle w:val="Body"/>
        <w:tabs>
          <w:tab w:val="right" w:leader="dot" w:pos="9720"/>
        </w:tabs>
        <w:spacing w:before="0"/>
      </w:pPr>
      <w:r w:rsidRPr="00DF1884">
        <w:t>Enrollment</w:t>
      </w:r>
      <w:r w:rsidR="00DF1884" w:rsidRPr="00DF1884">
        <w:t xml:space="preserve"> </w:t>
      </w:r>
      <w:r w:rsidRPr="00DF1884">
        <w:t>by</w:t>
      </w:r>
      <w:r w:rsidR="00DF1884" w:rsidRPr="00DF1884">
        <w:t xml:space="preserve"> </w:t>
      </w:r>
      <w:r w:rsidRPr="00DF1884">
        <w:t>Product</w:t>
      </w:r>
      <w:r w:rsidR="00DF1884" w:rsidRPr="00DF1884">
        <w:t xml:space="preserve"> </w:t>
      </w:r>
      <w:r w:rsidR="00924BE5">
        <w:t>Line</w:t>
      </w:r>
      <w:r w:rsidR="00924BE5">
        <w:tab/>
        <w:t>422</w:t>
      </w:r>
    </w:p>
    <w:p w14:paraId="0F4D8AB3" w14:textId="2360B5CB" w:rsidR="00463667" w:rsidRPr="00DF1884" w:rsidRDefault="00463667" w:rsidP="00463667">
      <w:pPr>
        <w:pStyle w:val="Body"/>
        <w:tabs>
          <w:tab w:val="right" w:leader="dot" w:pos="9720"/>
        </w:tabs>
        <w:spacing w:before="0"/>
        <w:sectPr w:rsidR="00463667" w:rsidRPr="00DF1884" w:rsidSect="0039781B">
          <w:headerReference w:type="even" r:id="rId122"/>
          <w:headerReference w:type="default" r:id="rId123"/>
          <w:footerReference w:type="default" r:id="rId124"/>
          <w:type w:val="oddPage"/>
          <w:pgSz w:w="12240" w:h="15840" w:code="1"/>
          <w:pgMar w:top="1080" w:right="1080" w:bottom="1080" w:left="1440" w:header="720" w:footer="720" w:gutter="0"/>
          <w:pgNumType w:start="1"/>
          <w:cols w:space="720"/>
          <w:docGrid w:linePitch="360"/>
        </w:sectPr>
      </w:pPr>
      <w:r w:rsidRPr="00DF1884">
        <w:t>Enrollment</w:t>
      </w:r>
      <w:r w:rsidR="00DF1884" w:rsidRPr="00DF1884">
        <w:t xml:space="preserve"> </w:t>
      </w:r>
      <w:r w:rsidRPr="00DF1884">
        <w:t>by</w:t>
      </w:r>
      <w:r w:rsidR="00DF1884" w:rsidRPr="00DF1884">
        <w:t xml:space="preserve"> </w:t>
      </w:r>
      <w:r w:rsidR="00924BE5">
        <w:t>State</w:t>
      </w:r>
      <w:r w:rsidR="00924BE5">
        <w:tab/>
        <w:t>426</w:t>
      </w:r>
    </w:p>
    <w:p w14:paraId="2CCEA223" w14:textId="77777777" w:rsidR="00463667" w:rsidRPr="00DF1884" w:rsidRDefault="00463667" w:rsidP="00463667">
      <w:pPr>
        <w:pStyle w:val="Body"/>
        <w:tabs>
          <w:tab w:val="right" w:pos="9720"/>
        </w:tabs>
        <w:spacing w:before="0"/>
        <w:rPr>
          <w:b/>
          <w:i/>
          <w:sz w:val="22"/>
          <w:szCs w:val="22"/>
        </w:rPr>
      </w:pPr>
      <w:r w:rsidRPr="00DF1884">
        <w:rPr>
          <w:b/>
          <w:i/>
          <w:sz w:val="22"/>
          <w:szCs w:val="22"/>
        </w:rPr>
        <w:t>F</w:t>
      </w:r>
      <w:r w:rsidRPr="00DF1884">
        <w:rPr>
          <w:b/>
          <w:i/>
          <w:sz w:val="22"/>
          <w:szCs w:val="22"/>
        </w:rPr>
        <w:tab/>
        <w:t>Page</w:t>
      </w:r>
    </w:p>
    <w:p w14:paraId="0E2ED988" w14:textId="31E2E4F5" w:rsidR="00463667" w:rsidRPr="00DF1884" w:rsidRDefault="00463667" w:rsidP="00463667">
      <w:pPr>
        <w:pStyle w:val="Body"/>
        <w:tabs>
          <w:tab w:val="right" w:leader="dot" w:pos="9720"/>
        </w:tabs>
        <w:spacing w:before="0"/>
      </w:pPr>
      <w:r w:rsidRPr="00DF1884">
        <w:t>Fall</w:t>
      </w:r>
      <w:r w:rsidR="00DF1884" w:rsidRPr="00DF1884">
        <w:t xml:space="preserve"> </w:t>
      </w:r>
      <w:r w:rsidRPr="00DF1884">
        <w:t>Risk</w:t>
      </w:r>
      <w:r w:rsidR="00DF1884" w:rsidRPr="00DF1884">
        <w:t xml:space="preserve"> </w:t>
      </w:r>
      <w:r w:rsidRPr="00DF1884">
        <w:t>Management</w:t>
      </w:r>
      <w:r w:rsidR="001123ED">
        <w:tab/>
        <w:t>229</w:t>
      </w:r>
    </w:p>
    <w:p w14:paraId="365BEE74" w14:textId="1ED41D7E" w:rsidR="00463667" w:rsidRPr="00DF1884" w:rsidRDefault="00463667" w:rsidP="00463667">
      <w:pPr>
        <w:pStyle w:val="Body"/>
        <w:tabs>
          <w:tab w:val="right" w:leader="dot" w:pos="9720"/>
        </w:tabs>
        <w:spacing w:before="0"/>
      </w:pPr>
      <w:r w:rsidRPr="00DF1884">
        <w:t>Flu</w:t>
      </w:r>
      <w:r w:rsidR="00DF1884" w:rsidRPr="00DF1884">
        <w:t xml:space="preserve"> </w:t>
      </w:r>
      <w:r w:rsidRPr="00DF1884">
        <w:t>Vaccinations</w:t>
      </w:r>
      <w:r w:rsidR="00DF1884" w:rsidRPr="00DF1884">
        <w:t xml:space="preserve"> </w:t>
      </w:r>
      <w:r w:rsidRPr="00DF1884">
        <w:t>for</w:t>
      </w:r>
      <w:r w:rsidR="00DF1884" w:rsidRPr="00DF1884">
        <w:t xml:space="preserve"> </w:t>
      </w:r>
      <w:r w:rsidRPr="00DF1884">
        <w:t>Adults</w:t>
      </w:r>
      <w:r w:rsidR="00DF1884" w:rsidRPr="00DF1884">
        <w:t xml:space="preserve"> </w:t>
      </w:r>
      <w:r w:rsidRPr="00DF1884">
        <w:t>Ages</w:t>
      </w:r>
      <w:r w:rsidR="00DF1884" w:rsidRPr="00DF1884">
        <w:t xml:space="preserve"> </w:t>
      </w:r>
      <w:r w:rsidR="001123ED">
        <w:t>18–64</w:t>
      </w:r>
      <w:r w:rsidR="001123ED">
        <w:tab/>
        <w:t>235</w:t>
      </w:r>
    </w:p>
    <w:p w14:paraId="7FD7ACE2" w14:textId="16E08C14" w:rsidR="00463667" w:rsidRPr="00DF1884" w:rsidRDefault="00463667" w:rsidP="00463667">
      <w:pPr>
        <w:pStyle w:val="Body"/>
        <w:tabs>
          <w:tab w:val="right" w:leader="dot" w:pos="9720"/>
        </w:tabs>
        <w:spacing w:before="0"/>
      </w:pPr>
      <w:r w:rsidRPr="00DF1884">
        <w:t>Flu</w:t>
      </w:r>
      <w:r w:rsidR="00DF1884" w:rsidRPr="00DF1884">
        <w:t xml:space="preserve"> </w:t>
      </w:r>
      <w:r w:rsidRPr="00DF1884">
        <w:t>Vaccinations</w:t>
      </w:r>
      <w:r w:rsidR="00DF1884" w:rsidRPr="00DF1884">
        <w:t xml:space="preserve"> </w:t>
      </w:r>
      <w:r w:rsidRPr="00DF1884">
        <w:t>for</w:t>
      </w:r>
      <w:r w:rsidR="00DF1884" w:rsidRPr="00DF1884">
        <w:t xml:space="preserve"> </w:t>
      </w:r>
      <w:r w:rsidRPr="00DF1884">
        <w:t>Adults</w:t>
      </w:r>
      <w:r w:rsidR="00DF1884" w:rsidRPr="00DF1884">
        <w:t xml:space="preserve"> </w:t>
      </w:r>
      <w:r w:rsidRPr="00DF1884">
        <w:t>Ages</w:t>
      </w:r>
      <w:r w:rsidR="00DF1884" w:rsidRPr="00DF1884">
        <w:t xml:space="preserve"> </w:t>
      </w:r>
      <w:r w:rsidRPr="00DF1884">
        <w:t>65</w:t>
      </w:r>
      <w:r w:rsidR="00DF1884" w:rsidRPr="00DF1884">
        <w:t xml:space="preserve"> </w:t>
      </w:r>
      <w:r w:rsidRPr="00DF1884">
        <w:t>and</w:t>
      </w:r>
      <w:r w:rsidR="00DF1884" w:rsidRPr="00DF1884">
        <w:t xml:space="preserve"> </w:t>
      </w:r>
      <w:r w:rsidR="001123ED">
        <w:t>Older</w:t>
      </w:r>
      <w:r w:rsidR="001123ED">
        <w:tab/>
        <w:t>236</w:t>
      </w:r>
    </w:p>
    <w:p w14:paraId="101044A7" w14:textId="798AB74F" w:rsidR="00463667" w:rsidRPr="00DF1884" w:rsidRDefault="00463667" w:rsidP="00463667">
      <w:pPr>
        <w:pStyle w:val="Body"/>
        <w:tabs>
          <w:tab w:val="right" w:leader="dot" w:pos="9720"/>
        </w:tabs>
        <w:spacing w:before="0"/>
      </w:pPr>
      <w:r w:rsidRPr="00DF1884">
        <w:t>Follow-Up</w:t>
      </w:r>
      <w:r w:rsidR="00DF1884" w:rsidRPr="00DF1884">
        <w:t xml:space="preserve"> </w:t>
      </w:r>
      <w:r w:rsidRPr="00DF1884">
        <w:t>After</w:t>
      </w:r>
      <w:r w:rsidR="00DF1884" w:rsidRPr="00DF1884">
        <w:t xml:space="preserve"> </w:t>
      </w:r>
      <w:r w:rsidRPr="00DF1884">
        <w:t>Hospitalization</w:t>
      </w:r>
      <w:r w:rsidR="00DF1884" w:rsidRPr="00DF1884">
        <w:t xml:space="preserve"> </w:t>
      </w:r>
      <w:r w:rsidRPr="00DF1884">
        <w:t>for</w:t>
      </w:r>
      <w:r w:rsidR="00DF1884" w:rsidRPr="00DF1884">
        <w:t xml:space="preserve"> </w:t>
      </w:r>
      <w:r w:rsidRPr="00DF1884">
        <w:t>Mental</w:t>
      </w:r>
      <w:r w:rsidR="00DF1884" w:rsidRPr="00DF1884">
        <w:t xml:space="preserve"> </w:t>
      </w:r>
      <w:r w:rsidR="001123ED">
        <w:t>Illness</w:t>
      </w:r>
      <w:r w:rsidR="001123ED">
        <w:tab/>
        <w:t>169</w:t>
      </w:r>
    </w:p>
    <w:p w14:paraId="5B267988" w14:textId="00C4B647" w:rsidR="00463667" w:rsidRPr="00DF1884" w:rsidRDefault="00463667" w:rsidP="00463667">
      <w:pPr>
        <w:pStyle w:val="Body"/>
        <w:tabs>
          <w:tab w:val="right" w:leader="dot" w:pos="9720"/>
        </w:tabs>
        <w:spacing w:before="0"/>
      </w:pPr>
      <w:r w:rsidRPr="00DF1884">
        <w:t>Follow-Up</w:t>
      </w:r>
      <w:r w:rsidR="00DF1884" w:rsidRPr="00DF1884">
        <w:t xml:space="preserve"> </w:t>
      </w:r>
      <w:r w:rsidRPr="00DF1884">
        <w:t>Care</w:t>
      </w:r>
      <w:r w:rsidR="00DF1884" w:rsidRPr="00DF1884">
        <w:t xml:space="preserve"> </w:t>
      </w:r>
      <w:r w:rsidRPr="00DF1884">
        <w:t>for</w:t>
      </w:r>
      <w:r w:rsidR="00DF1884" w:rsidRPr="00DF1884">
        <w:t xml:space="preserve"> </w:t>
      </w:r>
      <w:r w:rsidRPr="00DF1884">
        <w:t>Children</w:t>
      </w:r>
      <w:r w:rsidR="00DF1884" w:rsidRPr="00DF1884">
        <w:t xml:space="preserve"> </w:t>
      </w:r>
      <w:r w:rsidRPr="00DF1884">
        <w:t>Prescribed</w:t>
      </w:r>
      <w:r w:rsidR="00DF1884" w:rsidRPr="00DF1884">
        <w:t xml:space="preserve"> </w:t>
      </w:r>
      <w:r w:rsidRPr="00DF1884">
        <w:t>ADHD</w:t>
      </w:r>
      <w:r w:rsidR="00DF1884" w:rsidRPr="00DF1884">
        <w:t xml:space="preserve"> </w:t>
      </w:r>
      <w:r w:rsidR="001123ED">
        <w:t>Medication</w:t>
      </w:r>
      <w:r w:rsidR="001123ED">
        <w:tab/>
        <w:t>164</w:t>
      </w:r>
    </w:p>
    <w:p w14:paraId="6E113F74" w14:textId="35CCE4CA" w:rsidR="00463667" w:rsidRPr="00DF1884" w:rsidRDefault="00463667" w:rsidP="00463667">
      <w:pPr>
        <w:pStyle w:val="Body"/>
        <w:tabs>
          <w:tab w:val="right" w:leader="dot" w:pos="9720"/>
        </w:tabs>
        <w:spacing w:before="0"/>
      </w:pPr>
      <w:r w:rsidRPr="00DF1884">
        <w:t>Frequency</w:t>
      </w:r>
      <w:r w:rsidR="00DF1884" w:rsidRPr="00DF1884">
        <w:t xml:space="preserve"> </w:t>
      </w:r>
      <w:r w:rsidRPr="00DF1884">
        <w:t>of</w:t>
      </w:r>
      <w:r w:rsidR="00DF1884" w:rsidRPr="00DF1884">
        <w:t xml:space="preserve"> </w:t>
      </w:r>
      <w:r w:rsidRPr="00DF1884">
        <w:t>Ongoing</w:t>
      </w:r>
      <w:r w:rsidR="00DF1884" w:rsidRPr="00DF1884">
        <w:t xml:space="preserve"> </w:t>
      </w:r>
      <w:r w:rsidRPr="00DF1884">
        <w:t>Prenatal</w:t>
      </w:r>
      <w:r w:rsidR="00DF1884" w:rsidRPr="00DF1884">
        <w:t xml:space="preserve"> </w:t>
      </w:r>
      <w:r w:rsidR="001732BF">
        <w:t>Care</w:t>
      </w:r>
      <w:r w:rsidR="001732BF">
        <w:tab/>
        <w:t>275</w:t>
      </w:r>
    </w:p>
    <w:p w14:paraId="26BC384F" w14:textId="7F92379B" w:rsidR="00463667" w:rsidRPr="00DF1884" w:rsidRDefault="00463667" w:rsidP="00463667">
      <w:pPr>
        <w:pStyle w:val="Body"/>
        <w:tabs>
          <w:tab w:val="right" w:leader="dot" w:pos="9720"/>
        </w:tabs>
        <w:spacing w:before="0"/>
      </w:pPr>
      <w:r w:rsidRPr="00DF1884">
        <w:t>Frequency</w:t>
      </w:r>
      <w:r w:rsidR="00DF1884" w:rsidRPr="00DF1884">
        <w:t xml:space="preserve"> </w:t>
      </w:r>
      <w:r w:rsidRPr="00DF1884">
        <w:t>of</w:t>
      </w:r>
      <w:r w:rsidR="00DF1884" w:rsidRPr="00DF1884">
        <w:t xml:space="preserve"> </w:t>
      </w:r>
      <w:r w:rsidRPr="00DF1884">
        <w:t>Selected</w:t>
      </w:r>
      <w:r w:rsidR="00DF1884" w:rsidRPr="00DF1884">
        <w:t xml:space="preserve"> </w:t>
      </w:r>
      <w:r w:rsidR="001732BF">
        <w:t>Procedures</w:t>
      </w:r>
      <w:r w:rsidR="001732BF">
        <w:tab/>
        <w:t>290</w:t>
      </w:r>
    </w:p>
    <w:p w14:paraId="1DC8E938" w14:textId="77777777" w:rsidR="00463667" w:rsidRPr="00DF1884" w:rsidRDefault="00463667" w:rsidP="00463667">
      <w:pPr>
        <w:pBdr>
          <w:bottom w:val="single" w:sz="4" w:space="1" w:color="auto"/>
        </w:pBdr>
        <w:spacing w:before="120" w:after="120"/>
        <w:rPr>
          <w:rFonts w:cs="Arial"/>
          <w:szCs w:val="20"/>
        </w:rPr>
      </w:pPr>
    </w:p>
    <w:p w14:paraId="3FA7DDDD" w14:textId="77777777" w:rsidR="00463667" w:rsidRPr="00DF1884" w:rsidRDefault="00463667" w:rsidP="00463667">
      <w:pPr>
        <w:pStyle w:val="Body"/>
        <w:rPr>
          <w:b/>
          <w:i/>
          <w:sz w:val="22"/>
          <w:szCs w:val="22"/>
        </w:rPr>
      </w:pPr>
      <w:r w:rsidRPr="00DF1884">
        <w:rPr>
          <w:b/>
          <w:i/>
          <w:sz w:val="22"/>
          <w:szCs w:val="22"/>
        </w:rPr>
        <w:t>H</w:t>
      </w:r>
    </w:p>
    <w:p w14:paraId="54D0CB75" w14:textId="7E870629" w:rsidR="007756D8" w:rsidRPr="007756D8" w:rsidRDefault="007756D8" w:rsidP="00463667">
      <w:pPr>
        <w:pStyle w:val="Body"/>
        <w:tabs>
          <w:tab w:val="right" w:leader="dot" w:pos="9720"/>
        </w:tabs>
        <w:spacing w:before="0"/>
      </w:pPr>
      <w:r>
        <w:t>Hospitalization for Potentially Preventable Complications</w:t>
      </w:r>
      <w:r w:rsidRPr="00DF1884">
        <w:tab/>
      </w:r>
      <w:r w:rsidR="001732BF">
        <w:t>354</w:t>
      </w:r>
    </w:p>
    <w:p w14:paraId="25F73CEE" w14:textId="35F38060" w:rsidR="00463667" w:rsidRPr="00DF1884" w:rsidRDefault="00463667" w:rsidP="00463667">
      <w:pPr>
        <w:pStyle w:val="Body"/>
        <w:tabs>
          <w:tab w:val="right" w:leader="dot" w:pos="9720"/>
        </w:tabs>
        <w:spacing w:before="0"/>
      </w:pPr>
      <w:r w:rsidRPr="00DF1884">
        <w:rPr>
          <w:rFonts w:cs="Arial"/>
        </w:rPr>
        <w:t>Human</w:t>
      </w:r>
      <w:r w:rsidR="00DF1884" w:rsidRPr="00DF1884">
        <w:rPr>
          <w:rFonts w:cs="Arial"/>
        </w:rPr>
        <w:t xml:space="preserve"> </w:t>
      </w:r>
      <w:r w:rsidRPr="00DF1884">
        <w:rPr>
          <w:rFonts w:cs="Arial"/>
        </w:rPr>
        <w:t>Papillomavirus</w:t>
      </w:r>
      <w:r w:rsidR="00DF1884" w:rsidRPr="00DF1884">
        <w:rPr>
          <w:rFonts w:cs="Arial"/>
        </w:rPr>
        <w:t xml:space="preserve"> </w:t>
      </w:r>
      <w:r w:rsidRPr="00DF1884">
        <w:rPr>
          <w:rFonts w:cs="Arial"/>
        </w:rPr>
        <w:t>Vaccine</w:t>
      </w:r>
      <w:r w:rsidR="00DF1884" w:rsidRPr="00DF1884">
        <w:rPr>
          <w:rFonts w:cs="Arial"/>
        </w:rPr>
        <w:t xml:space="preserve"> </w:t>
      </w:r>
      <w:r w:rsidRPr="00DF1884">
        <w:rPr>
          <w:rFonts w:cs="Arial"/>
        </w:rPr>
        <w:t>for</w:t>
      </w:r>
      <w:r w:rsidR="00DF1884" w:rsidRPr="00DF1884">
        <w:rPr>
          <w:rFonts w:cs="Arial"/>
        </w:rPr>
        <w:t xml:space="preserve"> </w:t>
      </w:r>
      <w:r w:rsidRPr="00DF1884">
        <w:rPr>
          <w:rFonts w:cs="Arial"/>
        </w:rPr>
        <w:t>Female</w:t>
      </w:r>
      <w:r w:rsidR="00DF1884" w:rsidRPr="00DF1884">
        <w:rPr>
          <w:rFonts w:cs="Arial"/>
        </w:rPr>
        <w:t xml:space="preserve"> </w:t>
      </w:r>
      <w:r w:rsidRPr="00DF1884">
        <w:rPr>
          <w:rFonts w:cs="Arial"/>
        </w:rPr>
        <w:t>Adolescents</w:t>
      </w:r>
      <w:r w:rsidR="001123ED">
        <w:tab/>
        <w:t>72</w:t>
      </w:r>
    </w:p>
    <w:p w14:paraId="18E9418B" w14:textId="77777777" w:rsidR="00463667" w:rsidRPr="00DF1884" w:rsidRDefault="00463667" w:rsidP="00463667">
      <w:pPr>
        <w:pBdr>
          <w:bottom w:val="single" w:sz="4" w:space="1" w:color="auto"/>
        </w:pBdr>
        <w:spacing w:before="120" w:after="120"/>
        <w:rPr>
          <w:rFonts w:cs="Arial"/>
          <w:szCs w:val="20"/>
        </w:rPr>
      </w:pPr>
    </w:p>
    <w:p w14:paraId="4784251F" w14:textId="77777777" w:rsidR="00463667" w:rsidRPr="00DF1884" w:rsidRDefault="00463667" w:rsidP="00463667">
      <w:pPr>
        <w:pStyle w:val="Body"/>
        <w:rPr>
          <w:b/>
          <w:i/>
          <w:sz w:val="22"/>
          <w:szCs w:val="22"/>
        </w:rPr>
      </w:pPr>
      <w:r w:rsidRPr="00DF1884">
        <w:rPr>
          <w:b/>
          <w:i/>
          <w:sz w:val="22"/>
          <w:szCs w:val="22"/>
        </w:rPr>
        <w:t>I</w:t>
      </w:r>
    </w:p>
    <w:p w14:paraId="3390F5DF" w14:textId="4B8FC569" w:rsidR="00463667" w:rsidRPr="00DF1884" w:rsidRDefault="00463667" w:rsidP="00463667">
      <w:pPr>
        <w:pStyle w:val="Body"/>
        <w:tabs>
          <w:tab w:val="right" w:leader="dot" w:pos="9720"/>
        </w:tabs>
        <w:spacing w:before="0"/>
      </w:pPr>
      <w:r w:rsidRPr="00DF1884">
        <w:t>Identification</w:t>
      </w:r>
      <w:r w:rsidR="00DF1884" w:rsidRPr="00DF1884">
        <w:t xml:space="preserve"> </w:t>
      </w:r>
      <w:r w:rsidRPr="00DF1884">
        <w:t>of</w:t>
      </w:r>
      <w:r w:rsidR="00DF1884" w:rsidRPr="00DF1884">
        <w:t xml:space="preserve"> </w:t>
      </w:r>
      <w:r w:rsidRPr="00DF1884">
        <w:t>Alcohol</w:t>
      </w:r>
      <w:r w:rsidR="00DF1884" w:rsidRPr="00DF1884">
        <w:t xml:space="preserve"> </w:t>
      </w:r>
      <w:r w:rsidRPr="00DF1884">
        <w:t>and</w:t>
      </w:r>
      <w:r w:rsidR="00DF1884" w:rsidRPr="00DF1884">
        <w:t xml:space="preserve"> </w:t>
      </w:r>
      <w:r w:rsidRPr="00DF1884">
        <w:t>Other</w:t>
      </w:r>
      <w:r w:rsidR="00DF1884" w:rsidRPr="00DF1884">
        <w:t xml:space="preserve"> </w:t>
      </w:r>
      <w:r w:rsidRPr="00DF1884">
        <w:t>Drug</w:t>
      </w:r>
      <w:r w:rsidR="00DF1884" w:rsidRPr="00DF1884">
        <w:t xml:space="preserve"> </w:t>
      </w:r>
      <w:r w:rsidR="001732BF">
        <w:t>Services</w:t>
      </w:r>
      <w:r w:rsidR="001732BF">
        <w:tab/>
        <w:t>307</w:t>
      </w:r>
    </w:p>
    <w:p w14:paraId="5B353D28" w14:textId="63479CB4" w:rsidR="00463667" w:rsidRPr="00DF1884" w:rsidRDefault="00463667" w:rsidP="00463667">
      <w:pPr>
        <w:pStyle w:val="Body"/>
        <w:tabs>
          <w:tab w:val="right" w:leader="dot" w:pos="9720"/>
        </w:tabs>
        <w:spacing w:before="0"/>
      </w:pPr>
      <w:r w:rsidRPr="00DF1884">
        <w:t>Immunizations</w:t>
      </w:r>
      <w:r w:rsidR="00DF1884" w:rsidRPr="00DF1884">
        <w:t xml:space="preserve"> </w:t>
      </w:r>
      <w:r w:rsidRPr="00DF1884">
        <w:t>for</w:t>
      </w:r>
      <w:r w:rsidR="00DF1884" w:rsidRPr="00DF1884">
        <w:t xml:space="preserve"> </w:t>
      </w:r>
      <w:r w:rsidR="001123ED">
        <w:t>Adolescents</w:t>
      </w:r>
      <w:r w:rsidR="001123ED">
        <w:tab/>
        <w:t>69</w:t>
      </w:r>
    </w:p>
    <w:p w14:paraId="24781CDF" w14:textId="19195707" w:rsidR="00463667" w:rsidRPr="00DF1884" w:rsidRDefault="00463667" w:rsidP="00463667">
      <w:pPr>
        <w:pStyle w:val="Body"/>
        <w:tabs>
          <w:tab w:val="right" w:leader="dot" w:pos="9720"/>
        </w:tabs>
        <w:spacing w:before="0"/>
      </w:pPr>
      <w:r w:rsidRPr="00DF1884">
        <w:t>Initiation</w:t>
      </w:r>
      <w:r w:rsidR="00DF1884" w:rsidRPr="00DF1884">
        <w:t xml:space="preserve"> </w:t>
      </w:r>
      <w:r w:rsidRPr="00DF1884">
        <w:t>and</w:t>
      </w:r>
      <w:r w:rsidR="00DF1884" w:rsidRPr="00DF1884">
        <w:t xml:space="preserve"> </w:t>
      </w:r>
      <w:r w:rsidRPr="00DF1884">
        <w:t>Engagement</w:t>
      </w:r>
      <w:r w:rsidR="00DF1884" w:rsidRPr="00DF1884">
        <w:t xml:space="preserve"> </w:t>
      </w:r>
      <w:r w:rsidRPr="00DF1884">
        <w:t>of</w:t>
      </w:r>
      <w:r w:rsidR="00DF1884" w:rsidRPr="00DF1884">
        <w:t xml:space="preserve"> </w:t>
      </w:r>
      <w:r w:rsidRPr="00DF1884">
        <w:t>Alcohol</w:t>
      </w:r>
      <w:r w:rsidR="00DF1884" w:rsidRPr="00DF1884">
        <w:t xml:space="preserve"> </w:t>
      </w:r>
      <w:r w:rsidRPr="00DF1884">
        <w:t>and</w:t>
      </w:r>
      <w:r w:rsidR="00DF1884" w:rsidRPr="00DF1884">
        <w:t xml:space="preserve"> </w:t>
      </w:r>
      <w:r w:rsidRPr="00DF1884">
        <w:t>Other</w:t>
      </w:r>
      <w:r w:rsidR="00DF1884" w:rsidRPr="00DF1884">
        <w:t xml:space="preserve"> </w:t>
      </w:r>
      <w:r w:rsidRPr="00DF1884">
        <w:t>Drug</w:t>
      </w:r>
      <w:r w:rsidR="00DF1884" w:rsidRPr="00DF1884">
        <w:t xml:space="preserve"> </w:t>
      </w:r>
      <w:r w:rsidRPr="00DF1884">
        <w:t>Dependence</w:t>
      </w:r>
      <w:r w:rsidR="00DF1884" w:rsidRPr="00DF1884">
        <w:t xml:space="preserve"> </w:t>
      </w:r>
      <w:r w:rsidR="001123ED">
        <w:t>Treatment</w:t>
      </w:r>
      <w:r w:rsidR="001123ED">
        <w:tab/>
        <w:t>247</w:t>
      </w:r>
    </w:p>
    <w:p w14:paraId="4A1BEAD3" w14:textId="25F703DE" w:rsidR="007756D8" w:rsidRPr="00DF1884" w:rsidRDefault="007756D8" w:rsidP="007756D8">
      <w:pPr>
        <w:pStyle w:val="Body"/>
        <w:tabs>
          <w:tab w:val="right" w:leader="dot" w:pos="9720"/>
        </w:tabs>
        <w:spacing w:before="0"/>
      </w:pPr>
      <w:r>
        <w:t>Inpatient Hospital Utilization</w:t>
      </w:r>
      <w:r w:rsidRPr="00DF1884">
        <w:tab/>
      </w:r>
      <w:r w:rsidR="001732BF">
        <w:t>337</w:t>
      </w:r>
    </w:p>
    <w:p w14:paraId="2EF85BB9" w14:textId="39C24D82" w:rsidR="00463667" w:rsidRPr="00DF1884" w:rsidRDefault="00463667" w:rsidP="00463667">
      <w:pPr>
        <w:pStyle w:val="Body"/>
        <w:tabs>
          <w:tab w:val="right" w:leader="dot" w:pos="9720"/>
        </w:tabs>
        <w:spacing w:before="0"/>
      </w:pPr>
      <w:r w:rsidRPr="00DF1884">
        <w:t>Inpatient</w:t>
      </w:r>
      <w:r w:rsidR="00DF1884" w:rsidRPr="00DF1884">
        <w:t xml:space="preserve"> </w:t>
      </w:r>
      <w:r w:rsidRPr="00DF1884">
        <w:t>Utilization—General</w:t>
      </w:r>
      <w:r w:rsidR="00DF1884" w:rsidRPr="00DF1884">
        <w:t xml:space="preserve"> </w:t>
      </w:r>
      <w:r w:rsidRPr="00DF1884">
        <w:t>Hospital/Acute</w:t>
      </w:r>
      <w:r w:rsidR="00DF1884" w:rsidRPr="00DF1884">
        <w:t xml:space="preserve"> </w:t>
      </w:r>
      <w:r w:rsidR="001732BF">
        <w:t>Care</w:t>
      </w:r>
      <w:r w:rsidR="001732BF">
        <w:tab/>
        <w:t>302</w:t>
      </w:r>
    </w:p>
    <w:p w14:paraId="08E39157" w14:textId="77777777" w:rsidR="00463667" w:rsidRPr="00DF1884" w:rsidRDefault="00463667" w:rsidP="00463667">
      <w:pPr>
        <w:pBdr>
          <w:bottom w:val="single" w:sz="4" w:space="1" w:color="auto"/>
        </w:pBdr>
        <w:spacing w:before="120" w:after="120"/>
        <w:rPr>
          <w:rFonts w:cs="Arial"/>
          <w:szCs w:val="20"/>
        </w:rPr>
      </w:pPr>
    </w:p>
    <w:p w14:paraId="1D4B74E0" w14:textId="77777777" w:rsidR="00463667" w:rsidRPr="00DF1884" w:rsidRDefault="00463667" w:rsidP="00463667">
      <w:pPr>
        <w:pStyle w:val="Body"/>
        <w:rPr>
          <w:b/>
          <w:i/>
          <w:sz w:val="22"/>
          <w:szCs w:val="22"/>
        </w:rPr>
      </w:pPr>
      <w:r w:rsidRPr="00DF1884">
        <w:rPr>
          <w:b/>
          <w:i/>
          <w:sz w:val="22"/>
          <w:szCs w:val="22"/>
        </w:rPr>
        <w:t>L</w:t>
      </w:r>
    </w:p>
    <w:p w14:paraId="72CF66AD" w14:textId="1CAB858C" w:rsidR="00463667" w:rsidRPr="00DF1884" w:rsidRDefault="00463667" w:rsidP="00463667">
      <w:pPr>
        <w:pStyle w:val="Body"/>
        <w:tabs>
          <w:tab w:val="right" w:leader="dot" w:pos="9720"/>
        </w:tabs>
        <w:spacing w:before="0"/>
        <w:rPr>
          <w:u w:val="single"/>
        </w:rPr>
      </w:pPr>
      <w:r w:rsidRPr="00DF1884">
        <w:t>Language</w:t>
      </w:r>
      <w:r w:rsidR="00DF1884" w:rsidRPr="00DF1884">
        <w:t xml:space="preserve"> </w:t>
      </w:r>
      <w:r w:rsidRPr="00DF1884">
        <w:t>Diversity</w:t>
      </w:r>
      <w:r w:rsidR="00DF1884" w:rsidRPr="00DF1884">
        <w:t xml:space="preserve"> </w:t>
      </w:r>
      <w:r w:rsidRPr="00DF1884">
        <w:t>of</w:t>
      </w:r>
      <w:r w:rsidR="00DF1884" w:rsidRPr="00DF1884">
        <w:t xml:space="preserve"> </w:t>
      </w:r>
      <w:r w:rsidR="00924BE5">
        <w:t>Membership</w:t>
      </w:r>
      <w:r w:rsidR="00924BE5">
        <w:tab/>
        <w:t>427</w:t>
      </w:r>
    </w:p>
    <w:p w14:paraId="19A2E89F" w14:textId="2790F0E2" w:rsidR="00463667" w:rsidRPr="00DF1884" w:rsidRDefault="00463667" w:rsidP="00463667">
      <w:pPr>
        <w:pStyle w:val="Body"/>
        <w:tabs>
          <w:tab w:val="right" w:leader="dot" w:pos="9720"/>
        </w:tabs>
        <w:spacing w:before="0"/>
      </w:pPr>
      <w:r w:rsidRPr="00DF1884">
        <w:t>Lead</w:t>
      </w:r>
      <w:r w:rsidR="00DF1884" w:rsidRPr="00DF1884">
        <w:t xml:space="preserve"> </w:t>
      </w:r>
      <w:r w:rsidRPr="00DF1884">
        <w:t>Screening</w:t>
      </w:r>
      <w:r w:rsidR="00DF1884" w:rsidRPr="00DF1884">
        <w:t xml:space="preserve"> </w:t>
      </w:r>
      <w:r w:rsidRPr="00DF1884">
        <w:t>in</w:t>
      </w:r>
      <w:r w:rsidR="00DF1884" w:rsidRPr="00DF1884">
        <w:t xml:space="preserve"> </w:t>
      </w:r>
      <w:r w:rsidR="001123ED">
        <w:t>Children</w:t>
      </w:r>
      <w:r w:rsidR="001123ED">
        <w:tab/>
        <w:t>75</w:t>
      </w:r>
    </w:p>
    <w:p w14:paraId="19C2D349" w14:textId="77777777" w:rsidR="00463667" w:rsidRPr="00DF1884" w:rsidRDefault="00463667" w:rsidP="00463667">
      <w:pPr>
        <w:pBdr>
          <w:bottom w:val="single" w:sz="4" w:space="1" w:color="auto"/>
        </w:pBdr>
        <w:spacing w:before="120" w:after="120"/>
        <w:rPr>
          <w:rFonts w:cs="Arial"/>
          <w:szCs w:val="20"/>
        </w:rPr>
      </w:pPr>
    </w:p>
    <w:p w14:paraId="623061D9" w14:textId="77777777" w:rsidR="00463667" w:rsidRPr="00DF1884" w:rsidRDefault="00463667" w:rsidP="00463667">
      <w:pPr>
        <w:pStyle w:val="Body"/>
        <w:rPr>
          <w:b/>
          <w:i/>
          <w:sz w:val="22"/>
          <w:szCs w:val="22"/>
        </w:rPr>
      </w:pPr>
      <w:r w:rsidRPr="00DF1884">
        <w:rPr>
          <w:b/>
          <w:i/>
          <w:sz w:val="22"/>
          <w:szCs w:val="22"/>
        </w:rPr>
        <w:t>M</w:t>
      </w:r>
    </w:p>
    <w:p w14:paraId="7526A2DC" w14:textId="0C38DB43" w:rsidR="00463667" w:rsidRPr="00DF1884" w:rsidRDefault="00463667" w:rsidP="00463667">
      <w:pPr>
        <w:pStyle w:val="Body"/>
        <w:tabs>
          <w:tab w:val="right" w:leader="dot" w:pos="9720"/>
        </w:tabs>
        <w:spacing w:before="0"/>
      </w:pPr>
      <w:r w:rsidRPr="00DF1884">
        <w:t>Management</w:t>
      </w:r>
      <w:r w:rsidR="00DF1884" w:rsidRPr="00DF1884">
        <w:t xml:space="preserve"> </w:t>
      </w:r>
      <w:r w:rsidRPr="00DF1884">
        <w:t>of</w:t>
      </w:r>
      <w:r w:rsidR="00DF1884" w:rsidRPr="00DF1884">
        <w:t xml:space="preserve"> </w:t>
      </w:r>
      <w:r w:rsidRPr="00DF1884">
        <w:t>Urinary</w:t>
      </w:r>
      <w:r w:rsidR="00DF1884" w:rsidRPr="00DF1884">
        <w:t xml:space="preserve"> </w:t>
      </w:r>
      <w:r w:rsidRPr="00DF1884">
        <w:t>Incontinence</w:t>
      </w:r>
      <w:r w:rsidR="00DF1884" w:rsidRPr="00DF1884">
        <w:t xml:space="preserve"> </w:t>
      </w:r>
      <w:r w:rsidRPr="00DF1884">
        <w:t>in</w:t>
      </w:r>
      <w:r w:rsidR="00DF1884" w:rsidRPr="00DF1884">
        <w:t xml:space="preserve"> </w:t>
      </w:r>
      <w:r w:rsidRPr="00DF1884">
        <w:t>Older</w:t>
      </w:r>
      <w:r w:rsidR="00DF1884" w:rsidRPr="00DF1884">
        <w:t xml:space="preserve"> </w:t>
      </w:r>
      <w:r w:rsidR="001123ED">
        <w:t>Adults</w:t>
      </w:r>
      <w:r w:rsidR="001123ED">
        <w:tab/>
        <w:t>230</w:t>
      </w:r>
    </w:p>
    <w:p w14:paraId="6642DABD" w14:textId="48F5496D" w:rsidR="00463667" w:rsidRPr="00DF1884" w:rsidRDefault="00463667" w:rsidP="00463667">
      <w:pPr>
        <w:pStyle w:val="Body"/>
        <w:tabs>
          <w:tab w:val="right" w:leader="dot" w:pos="9720"/>
        </w:tabs>
        <w:spacing w:before="0"/>
      </w:pPr>
      <w:r w:rsidRPr="00DF1884">
        <w:t>Medical</w:t>
      </w:r>
      <w:r w:rsidR="00DF1884" w:rsidRPr="00DF1884">
        <w:t xml:space="preserve"> </w:t>
      </w:r>
      <w:r w:rsidRPr="00DF1884">
        <w:t>Assistance</w:t>
      </w:r>
      <w:r w:rsidR="00DF1884" w:rsidRPr="00DF1884">
        <w:t xml:space="preserve"> </w:t>
      </w:r>
      <w:r w:rsidRPr="00DF1884">
        <w:t>With</w:t>
      </w:r>
      <w:r w:rsidR="00DF1884" w:rsidRPr="00DF1884">
        <w:t xml:space="preserve"> </w:t>
      </w:r>
      <w:r w:rsidRPr="00DF1884">
        <w:t>Smoking</w:t>
      </w:r>
      <w:r w:rsidR="00DF1884" w:rsidRPr="00DF1884">
        <w:t xml:space="preserve"> </w:t>
      </w:r>
      <w:r w:rsidRPr="00DF1884">
        <w:t>and</w:t>
      </w:r>
      <w:r w:rsidR="00DF1884" w:rsidRPr="00DF1884">
        <w:t xml:space="preserve"> </w:t>
      </w:r>
      <w:r w:rsidRPr="00DF1884">
        <w:t>Tobacco</w:t>
      </w:r>
      <w:r w:rsidR="00DF1884" w:rsidRPr="00DF1884">
        <w:t xml:space="preserve"> </w:t>
      </w:r>
      <w:r w:rsidRPr="00DF1884">
        <w:t>Use</w:t>
      </w:r>
      <w:r w:rsidR="00DF1884" w:rsidRPr="00DF1884">
        <w:t xml:space="preserve"> </w:t>
      </w:r>
      <w:r w:rsidR="001123ED">
        <w:t>Cessation</w:t>
      </w:r>
      <w:r w:rsidR="001123ED">
        <w:tab/>
        <w:t>237</w:t>
      </w:r>
    </w:p>
    <w:p w14:paraId="2DCE7893" w14:textId="2112F404" w:rsidR="00463667" w:rsidRPr="00DF1884" w:rsidRDefault="00463667" w:rsidP="00463667">
      <w:pPr>
        <w:pStyle w:val="Body"/>
        <w:tabs>
          <w:tab w:val="right" w:leader="dot" w:pos="9720"/>
        </w:tabs>
        <w:spacing w:before="0"/>
      </w:pPr>
      <w:r w:rsidRPr="00DF1884">
        <w:t>Medicare</w:t>
      </w:r>
      <w:r w:rsidR="00DF1884" w:rsidRPr="00DF1884">
        <w:t xml:space="preserve"> </w:t>
      </w:r>
      <w:r w:rsidRPr="00DF1884">
        <w:t>Health</w:t>
      </w:r>
      <w:r w:rsidR="00DF1884" w:rsidRPr="00DF1884">
        <w:t xml:space="preserve"> </w:t>
      </w:r>
      <w:r w:rsidRPr="00DF1884">
        <w:t>Outcomes</w:t>
      </w:r>
      <w:r w:rsidR="00DF1884" w:rsidRPr="00DF1884">
        <w:t xml:space="preserve"> </w:t>
      </w:r>
      <w:r w:rsidR="001123ED">
        <w:t>Survey</w:t>
      </w:r>
      <w:r w:rsidR="001123ED">
        <w:tab/>
        <w:t>228</w:t>
      </w:r>
    </w:p>
    <w:p w14:paraId="64F4792A" w14:textId="6C975202" w:rsidR="00463667" w:rsidRPr="00DF1884" w:rsidRDefault="00463667" w:rsidP="00463667">
      <w:pPr>
        <w:pStyle w:val="Body"/>
        <w:tabs>
          <w:tab w:val="right" w:leader="dot" w:pos="9720"/>
        </w:tabs>
        <w:spacing w:before="0"/>
      </w:pPr>
      <w:r w:rsidRPr="00DF1884">
        <w:t>Medication</w:t>
      </w:r>
      <w:r w:rsidR="00DF1884" w:rsidRPr="00DF1884">
        <w:t xml:space="preserve"> </w:t>
      </w:r>
      <w:r w:rsidRPr="00DF1884">
        <w:t>Management</w:t>
      </w:r>
      <w:r w:rsidR="00DF1884" w:rsidRPr="00DF1884">
        <w:t xml:space="preserve"> </w:t>
      </w:r>
      <w:r w:rsidRPr="00DF1884">
        <w:t>for</w:t>
      </w:r>
      <w:r w:rsidR="00DF1884" w:rsidRPr="00DF1884">
        <w:t xml:space="preserve"> </w:t>
      </w:r>
      <w:r w:rsidRPr="00DF1884">
        <w:t>People</w:t>
      </w:r>
      <w:r w:rsidR="00DF1884" w:rsidRPr="00DF1884">
        <w:t xml:space="preserve"> </w:t>
      </w:r>
      <w:r w:rsidRPr="00DF1884">
        <w:t>With</w:t>
      </w:r>
      <w:r w:rsidR="00DF1884" w:rsidRPr="00DF1884">
        <w:t xml:space="preserve"> </w:t>
      </w:r>
      <w:r w:rsidR="001123ED">
        <w:t>Asthma</w:t>
      </w:r>
      <w:r w:rsidR="001123ED">
        <w:tab/>
        <w:t>106</w:t>
      </w:r>
    </w:p>
    <w:p w14:paraId="11D93154" w14:textId="0C902949" w:rsidR="00463667" w:rsidRPr="00DF1884" w:rsidRDefault="00463667" w:rsidP="00463667">
      <w:pPr>
        <w:pStyle w:val="Body"/>
        <w:tabs>
          <w:tab w:val="right" w:leader="dot" w:pos="9720"/>
        </w:tabs>
        <w:spacing w:before="0"/>
      </w:pPr>
      <w:r w:rsidRPr="00DF1884">
        <w:t>Medication</w:t>
      </w:r>
      <w:r w:rsidR="00DF1884" w:rsidRPr="00DF1884">
        <w:t xml:space="preserve"> </w:t>
      </w:r>
      <w:r w:rsidRPr="00DF1884">
        <w:t>Reconciliation</w:t>
      </w:r>
      <w:r w:rsidR="00DF1884" w:rsidRPr="00DF1884">
        <w:t xml:space="preserve"> </w:t>
      </w:r>
      <w:r w:rsidR="001123ED">
        <w:t>Post-Discharge</w:t>
      </w:r>
      <w:r w:rsidR="001123ED">
        <w:tab/>
        <w:t>194</w:t>
      </w:r>
    </w:p>
    <w:p w14:paraId="54461AA9" w14:textId="18E8A357" w:rsidR="00463667" w:rsidRPr="00DF1884" w:rsidRDefault="00463667" w:rsidP="00463667">
      <w:pPr>
        <w:pStyle w:val="Body"/>
        <w:tabs>
          <w:tab w:val="right" w:leader="dot" w:pos="9720"/>
        </w:tabs>
        <w:spacing w:before="0"/>
      </w:pPr>
      <w:r w:rsidRPr="00DF1884">
        <w:t>Mental</w:t>
      </w:r>
      <w:r w:rsidR="00DF1884" w:rsidRPr="00DF1884">
        <w:t xml:space="preserve"> </w:t>
      </w:r>
      <w:r w:rsidRPr="00DF1884">
        <w:t>Health</w:t>
      </w:r>
      <w:r w:rsidR="00DF1884" w:rsidRPr="00DF1884">
        <w:t xml:space="preserve"> </w:t>
      </w:r>
      <w:r w:rsidR="001732BF">
        <w:t>Utilization</w:t>
      </w:r>
      <w:r w:rsidR="001732BF">
        <w:tab/>
        <w:t>311</w:t>
      </w:r>
    </w:p>
    <w:p w14:paraId="2079B99C" w14:textId="218FACC4" w:rsidR="00463667" w:rsidRPr="00DF1884" w:rsidRDefault="00463667" w:rsidP="00463667">
      <w:pPr>
        <w:pStyle w:val="Body"/>
        <w:tabs>
          <w:tab w:val="right" w:leader="dot" w:pos="9720"/>
        </w:tabs>
        <w:spacing w:before="0"/>
        <w:rPr>
          <w:u w:val="single"/>
        </w:rPr>
      </w:pPr>
      <w:r w:rsidRPr="00DF1884">
        <w:t>Metabolic</w:t>
      </w:r>
      <w:r w:rsidR="00DF1884" w:rsidRPr="00DF1884">
        <w:t xml:space="preserve"> </w:t>
      </w:r>
      <w:r w:rsidRPr="00DF1884">
        <w:t>Monitoring</w:t>
      </w:r>
      <w:r w:rsidR="00DF1884" w:rsidRPr="00DF1884">
        <w:t xml:space="preserve"> </w:t>
      </w:r>
      <w:r w:rsidRPr="00DF1884">
        <w:t>for</w:t>
      </w:r>
      <w:r w:rsidR="00DF1884" w:rsidRPr="00DF1884">
        <w:t xml:space="preserve"> </w:t>
      </w:r>
      <w:r w:rsidRPr="00DF1884">
        <w:t>Children</w:t>
      </w:r>
      <w:r w:rsidR="00DF1884" w:rsidRPr="00DF1884">
        <w:t xml:space="preserve"> </w:t>
      </w:r>
      <w:r w:rsidRPr="00DF1884">
        <w:t>and</w:t>
      </w:r>
      <w:r w:rsidR="00DF1884" w:rsidRPr="00DF1884">
        <w:t xml:space="preserve"> </w:t>
      </w:r>
      <w:r w:rsidRPr="00DF1884">
        <w:t>Adolescents</w:t>
      </w:r>
      <w:r w:rsidR="00DF1884" w:rsidRPr="00DF1884">
        <w:t xml:space="preserve"> </w:t>
      </w:r>
      <w:r w:rsidRPr="00DF1884">
        <w:t>on</w:t>
      </w:r>
      <w:r w:rsidR="00DF1884" w:rsidRPr="00DF1884">
        <w:t xml:space="preserve"> </w:t>
      </w:r>
      <w:r w:rsidR="001123ED">
        <w:t>Antipsychotics</w:t>
      </w:r>
      <w:r w:rsidR="001123ED">
        <w:tab/>
        <w:t>186</w:t>
      </w:r>
    </w:p>
    <w:p w14:paraId="78D264F1" w14:textId="77777777" w:rsidR="00463667" w:rsidRPr="00DF1884" w:rsidRDefault="00463667" w:rsidP="00463667">
      <w:pPr>
        <w:pBdr>
          <w:bottom w:val="single" w:sz="4" w:space="1" w:color="auto"/>
        </w:pBdr>
        <w:spacing w:before="120" w:after="120"/>
        <w:rPr>
          <w:rFonts w:cs="Arial"/>
          <w:szCs w:val="20"/>
        </w:rPr>
      </w:pPr>
    </w:p>
    <w:p w14:paraId="3A77787F" w14:textId="77777777" w:rsidR="00463667" w:rsidRPr="00DF1884" w:rsidRDefault="00463667" w:rsidP="00463667">
      <w:pPr>
        <w:pStyle w:val="Body"/>
        <w:rPr>
          <w:b/>
          <w:i/>
          <w:sz w:val="22"/>
          <w:szCs w:val="22"/>
        </w:rPr>
      </w:pPr>
      <w:r w:rsidRPr="00DF1884">
        <w:rPr>
          <w:b/>
          <w:i/>
          <w:sz w:val="22"/>
          <w:szCs w:val="22"/>
        </w:rPr>
        <w:t>N</w:t>
      </w:r>
    </w:p>
    <w:p w14:paraId="14567F39" w14:textId="7CED40F1" w:rsidR="00463667" w:rsidRPr="00DF1884" w:rsidRDefault="00463667" w:rsidP="00463667">
      <w:pPr>
        <w:pStyle w:val="Body"/>
        <w:tabs>
          <w:tab w:val="right" w:leader="dot" w:pos="9720"/>
        </w:tabs>
        <w:spacing w:before="0"/>
      </w:pPr>
      <w:r w:rsidRPr="00DF1884">
        <w:t>Non-Recommended</w:t>
      </w:r>
      <w:r w:rsidR="00DF1884" w:rsidRPr="00DF1884">
        <w:t xml:space="preserve"> </w:t>
      </w:r>
      <w:r w:rsidRPr="00DF1884">
        <w:t>Cervical</w:t>
      </w:r>
      <w:r w:rsidR="00DF1884" w:rsidRPr="00DF1884">
        <w:t xml:space="preserve"> </w:t>
      </w:r>
      <w:r w:rsidRPr="00DF1884">
        <w:t>Cancer</w:t>
      </w:r>
      <w:r w:rsidR="00DF1884" w:rsidRPr="00DF1884">
        <w:t xml:space="preserve"> </w:t>
      </w:r>
      <w:r w:rsidRPr="00DF1884">
        <w:t>Screening</w:t>
      </w:r>
      <w:r w:rsidR="00DF1884" w:rsidRPr="00DF1884">
        <w:t xml:space="preserve"> </w:t>
      </w:r>
      <w:r w:rsidRPr="00DF1884">
        <w:t>in</w:t>
      </w:r>
      <w:r w:rsidR="00DF1884" w:rsidRPr="00DF1884">
        <w:t xml:space="preserve"> </w:t>
      </w:r>
      <w:r w:rsidRPr="00DF1884">
        <w:t>Adolescent</w:t>
      </w:r>
      <w:r w:rsidR="00DF1884" w:rsidRPr="00DF1884">
        <w:t xml:space="preserve"> </w:t>
      </w:r>
      <w:r w:rsidR="001123ED">
        <w:t>Females</w:t>
      </w:r>
      <w:r w:rsidR="001123ED">
        <w:tab/>
        <w:t>198</w:t>
      </w:r>
    </w:p>
    <w:p w14:paraId="555B7470" w14:textId="440D4FEA" w:rsidR="00463667" w:rsidRPr="00DF1884" w:rsidRDefault="00463667" w:rsidP="00463667">
      <w:pPr>
        <w:pStyle w:val="Body"/>
        <w:tabs>
          <w:tab w:val="right" w:leader="dot" w:pos="9720"/>
        </w:tabs>
        <w:spacing w:before="0"/>
        <w:rPr>
          <w:u w:val="single"/>
        </w:rPr>
      </w:pPr>
      <w:r w:rsidRPr="00DF1884">
        <w:t>Non-Recommended</w:t>
      </w:r>
      <w:r w:rsidR="00DF1884" w:rsidRPr="00DF1884">
        <w:t xml:space="preserve"> </w:t>
      </w:r>
      <w:r w:rsidRPr="00DF1884">
        <w:t>PSA-Based</w:t>
      </w:r>
      <w:r w:rsidR="00DF1884" w:rsidRPr="00DF1884">
        <w:t xml:space="preserve"> </w:t>
      </w:r>
      <w:r w:rsidRPr="00DF1884">
        <w:t>Screening</w:t>
      </w:r>
      <w:r w:rsidR="00DF1884" w:rsidRPr="00DF1884">
        <w:t xml:space="preserve"> </w:t>
      </w:r>
      <w:r w:rsidRPr="00DF1884">
        <w:t>in</w:t>
      </w:r>
      <w:r w:rsidR="00DF1884" w:rsidRPr="00DF1884">
        <w:t xml:space="preserve"> </w:t>
      </w:r>
      <w:r w:rsidRPr="00DF1884">
        <w:t>Older</w:t>
      </w:r>
      <w:r w:rsidR="00DF1884" w:rsidRPr="00DF1884">
        <w:t xml:space="preserve"> </w:t>
      </w:r>
      <w:r w:rsidR="001123ED">
        <w:t>Men</w:t>
      </w:r>
      <w:r w:rsidR="001123ED">
        <w:tab/>
        <w:t>200</w:t>
      </w:r>
    </w:p>
    <w:p w14:paraId="308ED883" w14:textId="77777777" w:rsidR="00463667" w:rsidRPr="00DF1884" w:rsidRDefault="00463667" w:rsidP="00463667">
      <w:pPr>
        <w:pBdr>
          <w:bottom w:val="single" w:sz="4" w:space="1" w:color="auto"/>
        </w:pBdr>
        <w:spacing w:before="120" w:after="120"/>
        <w:rPr>
          <w:rFonts w:cs="Arial"/>
          <w:szCs w:val="20"/>
        </w:rPr>
      </w:pPr>
    </w:p>
    <w:p w14:paraId="7314DBAC" w14:textId="77777777" w:rsidR="00463667" w:rsidRPr="00DF1884" w:rsidRDefault="00463667" w:rsidP="00463667">
      <w:pPr>
        <w:pStyle w:val="Body"/>
        <w:rPr>
          <w:b/>
          <w:i/>
          <w:sz w:val="22"/>
          <w:szCs w:val="22"/>
        </w:rPr>
      </w:pPr>
      <w:r w:rsidRPr="00DF1884">
        <w:rPr>
          <w:b/>
          <w:i/>
          <w:sz w:val="22"/>
          <w:szCs w:val="22"/>
        </w:rPr>
        <w:t>O</w:t>
      </w:r>
    </w:p>
    <w:p w14:paraId="023C5DA2" w14:textId="494E5411" w:rsidR="00463667" w:rsidRPr="00DF1884" w:rsidRDefault="00463667" w:rsidP="00463667">
      <w:pPr>
        <w:pStyle w:val="Body"/>
        <w:tabs>
          <w:tab w:val="right" w:leader="dot" w:pos="9720"/>
        </w:tabs>
        <w:spacing w:before="0"/>
      </w:pPr>
      <w:r w:rsidRPr="00DF1884">
        <w:t>Osteoporosis</w:t>
      </w:r>
      <w:r w:rsidR="00DF1884" w:rsidRPr="00DF1884">
        <w:t xml:space="preserve"> </w:t>
      </w:r>
      <w:r w:rsidRPr="00DF1884">
        <w:t>Management</w:t>
      </w:r>
      <w:r w:rsidR="00DF1884" w:rsidRPr="00DF1884">
        <w:t xml:space="preserve"> </w:t>
      </w:r>
      <w:r w:rsidRPr="00DF1884">
        <w:t>in</w:t>
      </w:r>
      <w:r w:rsidR="00DF1884" w:rsidRPr="00DF1884">
        <w:t xml:space="preserve"> </w:t>
      </w:r>
      <w:r w:rsidRPr="00DF1884">
        <w:t>Women</w:t>
      </w:r>
      <w:r w:rsidR="00DF1884" w:rsidRPr="00DF1884">
        <w:t xml:space="preserve"> </w:t>
      </w:r>
      <w:r w:rsidRPr="00DF1884">
        <w:t>Who</w:t>
      </w:r>
      <w:r w:rsidR="00DF1884" w:rsidRPr="00DF1884">
        <w:t xml:space="preserve"> </w:t>
      </w:r>
      <w:r w:rsidRPr="00DF1884">
        <w:t>Had</w:t>
      </w:r>
      <w:r w:rsidR="00DF1884" w:rsidRPr="00DF1884">
        <w:t xml:space="preserve"> </w:t>
      </w:r>
      <w:r w:rsidRPr="00DF1884">
        <w:t>a</w:t>
      </w:r>
      <w:r w:rsidR="00DF1884" w:rsidRPr="00DF1884">
        <w:t xml:space="preserve"> </w:t>
      </w:r>
      <w:r w:rsidR="001123ED">
        <w:t>Fracture</w:t>
      </w:r>
      <w:r w:rsidR="001123ED">
        <w:tab/>
        <w:t>155</w:t>
      </w:r>
    </w:p>
    <w:p w14:paraId="60E0C4F9" w14:textId="47B20899" w:rsidR="00463667" w:rsidRPr="00DF1884" w:rsidRDefault="00463667" w:rsidP="00463667">
      <w:pPr>
        <w:pStyle w:val="Body"/>
        <w:tabs>
          <w:tab w:val="right" w:leader="dot" w:pos="9720"/>
        </w:tabs>
        <w:spacing w:before="0"/>
      </w:pPr>
      <w:r w:rsidRPr="00DF1884">
        <w:t>Osteoporosis</w:t>
      </w:r>
      <w:r w:rsidR="00DF1884" w:rsidRPr="00DF1884">
        <w:t xml:space="preserve"> </w:t>
      </w:r>
      <w:r w:rsidRPr="00DF1884">
        <w:t>Testing</w:t>
      </w:r>
      <w:r w:rsidR="00DF1884" w:rsidRPr="00DF1884">
        <w:t xml:space="preserve"> </w:t>
      </w:r>
      <w:r w:rsidRPr="00DF1884">
        <w:t>in</w:t>
      </w:r>
      <w:r w:rsidR="00DF1884" w:rsidRPr="00DF1884">
        <w:t xml:space="preserve"> </w:t>
      </w:r>
      <w:r w:rsidRPr="00DF1884">
        <w:t>Older</w:t>
      </w:r>
      <w:r w:rsidR="00DF1884" w:rsidRPr="00DF1884">
        <w:t xml:space="preserve"> </w:t>
      </w:r>
      <w:r w:rsidR="001123ED">
        <w:t>Women</w:t>
      </w:r>
      <w:r w:rsidR="001123ED">
        <w:tab/>
        <w:t>231</w:t>
      </w:r>
    </w:p>
    <w:p w14:paraId="29F17C59" w14:textId="77777777" w:rsidR="00463667" w:rsidRPr="00DF1884" w:rsidRDefault="00463667" w:rsidP="00463667">
      <w:pPr>
        <w:pBdr>
          <w:bottom w:val="single" w:sz="4" w:space="1" w:color="auto"/>
        </w:pBdr>
        <w:spacing w:before="120" w:after="120"/>
        <w:rPr>
          <w:rFonts w:cs="Arial"/>
          <w:szCs w:val="20"/>
        </w:rPr>
        <w:sectPr w:rsidR="00463667" w:rsidRPr="00DF1884" w:rsidSect="0039781B">
          <w:pgSz w:w="12240" w:h="15840" w:code="1"/>
          <w:pgMar w:top="1080" w:right="1080" w:bottom="1080" w:left="1440" w:header="720" w:footer="720" w:gutter="0"/>
          <w:cols w:space="720"/>
          <w:docGrid w:linePitch="360"/>
        </w:sectPr>
      </w:pPr>
    </w:p>
    <w:p w14:paraId="303C1E6D" w14:textId="418498AB" w:rsidR="00463667" w:rsidRPr="00DF1884" w:rsidRDefault="00463667" w:rsidP="00463667">
      <w:pPr>
        <w:pStyle w:val="Body"/>
        <w:tabs>
          <w:tab w:val="right" w:pos="9720"/>
        </w:tabs>
        <w:spacing w:before="0"/>
        <w:rPr>
          <w:b/>
          <w:i/>
          <w:sz w:val="22"/>
          <w:szCs w:val="22"/>
        </w:rPr>
      </w:pPr>
      <w:r w:rsidRPr="00DF1884">
        <w:rPr>
          <w:b/>
          <w:i/>
          <w:sz w:val="22"/>
          <w:szCs w:val="22"/>
        </w:rPr>
        <w:t>P</w:t>
      </w:r>
      <w:r w:rsidR="00DF1884" w:rsidRPr="00DF1884">
        <w:rPr>
          <w:b/>
          <w:i/>
          <w:sz w:val="22"/>
          <w:szCs w:val="22"/>
        </w:rPr>
        <w:t xml:space="preserve"> </w:t>
      </w:r>
      <w:r w:rsidRPr="00DF1884">
        <w:rPr>
          <w:b/>
          <w:i/>
          <w:sz w:val="22"/>
          <w:szCs w:val="22"/>
        </w:rPr>
        <w:tab/>
        <w:t>Page</w:t>
      </w:r>
    </w:p>
    <w:p w14:paraId="0D680901" w14:textId="7AA6E4C6" w:rsidR="00463667" w:rsidRPr="00DF1884" w:rsidRDefault="00463667" w:rsidP="00463667">
      <w:pPr>
        <w:pStyle w:val="Body"/>
        <w:tabs>
          <w:tab w:val="right" w:leader="dot" w:pos="9720"/>
        </w:tabs>
        <w:spacing w:before="0"/>
      </w:pPr>
      <w:r w:rsidRPr="00DF1884">
        <w:t>Persistence</w:t>
      </w:r>
      <w:r w:rsidR="00DF1884" w:rsidRPr="00DF1884">
        <w:t xml:space="preserve"> </w:t>
      </w:r>
      <w:r w:rsidRPr="00DF1884">
        <w:t>of</w:t>
      </w:r>
      <w:r w:rsidR="00DF1884" w:rsidRPr="00DF1884">
        <w:t xml:space="preserve"> </w:t>
      </w:r>
      <w:r w:rsidRPr="00DF1884">
        <w:t>Beta-Blocker</w:t>
      </w:r>
      <w:r w:rsidR="00DF1884" w:rsidRPr="00DF1884">
        <w:t xml:space="preserve"> </w:t>
      </w:r>
      <w:r w:rsidRPr="00DF1884">
        <w:t>Treatment</w:t>
      </w:r>
      <w:r w:rsidR="00DF1884" w:rsidRPr="00DF1884">
        <w:t xml:space="preserve"> </w:t>
      </w:r>
      <w:r w:rsidRPr="00DF1884">
        <w:t>After</w:t>
      </w:r>
      <w:r w:rsidR="00DF1884" w:rsidRPr="00DF1884">
        <w:t xml:space="preserve"> </w:t>
      </w:r>
      <w:r w:rsidRPr="00DF1884">
        <w:t>a</w:t>
      </w:r>
      <w:r w:rsidR="00DF1884" w:rsidRPr="00DF1884">
        <w:t xml:space="preserve"> </w:t>
      </w:r>
      <w:r w:rsidRPr="00DF1884">
        <w:t>Heart</w:t>
      </w:r>
      <w:r w:rsidR="00DF1884" w:rsidRPr="00DF1884">
        <w:t xml:space="preserve"> </w:t>
      </w:r>
      <w:r w:rsidR="001123ED">
        <w:t>Attack</w:t>
      </w:r>
      <w:r w:rsidR="001123ED">
        <w:tab/>
        <w:t>122</w:t>
      </w:r>
    </w:p>
    <w:p w14:paraId="6B2E10D3" w14:textId="6B21B095" w:rsidR="00463667" w:rsidRPr="00DF1884" w:rsidRDefault="00463667" w:rsidP="00463667">
      <w:pPr>
        <w:pStyle w:val="Body"/>
        <w:tabs>
          <w:tab w:val="right" w:leader="dot" w:pos="9720"/>
        </w:tabs>
        <w:spacing w:before="0"/>
      </w:pPr>
      <w:r w:rsidRPr="00DF1884">
        <w:t>Pharmacotherapy</w:t>
      </w:r>
      <w:r w:rsidR="00DF1884" w:rsidRPr="00DF1884">
        <w:t xml:space="preserve"> </w:t>
      </w:r>
      <w:r w:rsidRPr="00DF1884">
        <w:t>Management</w:t>
      </w:r>
      <w:r w:rsidR="00DF1884" w:rsidRPr="00DF1884">
        <w:t xml:space="preserve"> </w:t>
      </w:r>
      <w:r w:rsidRPr="00DF1884">
        <w:t>of</w:t>
      </w:r>
      <w:r w:rsidR="00DF1884" w:rsidRPr="00DF1884">
        <w:t xml:space="preserve"> </w:t>
      </w:r>
      <w:r w:rsidRPr="00DF1884">
        <w:t>COPD</w:t>
      </w:r>
      <w:r w:rsidR="00DF1884" w:rsidRPr="00DF1884">
        <w:t xml:space="preserve"> </w:t>
      </w:r>
      <w:r w:rsidR="001123ED">
        <w:t>Exacerbation</w:t>
      </w:r>
      <w:r w:rsidR="001123ED">
        <w:tab/>
        <w:t>103</w:t>
      </w:r>
    </w:p>
    <w:p w14:paraId="614867F6" w14:textId="7D85F3C4" w:rsidR="00463667" w:rsidRPr="00DF1884" w:rsidRDefault="00463667" w:rsidP="00463667">
      <w:pPr>
        <w:pStyle w:val="Body"/>
        <w:tabs>
          <w:tab w:val="right" w:leader="dot" w:pos="9720"/>
        </w:tabs>
        <w:spacing w:before="0"/>
      </w:pPr>
      <w:r w:rsidRPr="00DF1884">
        <w:t>Physical</w:t>
      </w:r>
      <w:r w:rsidR="00DF1884" w:rsidRPr="00DF1884">
        <w:t xml:space="preserve"> </w:t>
      </w:r>
      <w:r w:rsidRPr="00DF1884">
        <w:t>Activity</w:t>
      </w:r>
      <w:r w:rsidR="00DF1884" w:rsidRPr="00DF1884">
        <w:t xml:space="preserve"> </w:t>
      </w:r>
      <w:r w:rsidRPr="00DF1884">
        <w:t>in</w:t>
      </w:r>
      <w:r w:rsidR="00DF1884" w:rsidRPr="00DF1884">
        <w:t xml:space="preserve"> </w:t>
      </w:r>
      <w:r w:rsidRPr="00DF1884">
        <w:t>Older</w:t>
      </w:r>
      <w:r w:rsidR="00DF1884" w:rsidRPr="00DF1884">
        <w:t xml:space="preserve"> </w:t>
      </w:r>
      <w:r w:rsidR="001123ED">
        <w:t>Adults</w:t>
      </w:r>
      <w:r w:rsidR="001123ED">
        <w:tab/>
        <w:t>232</w:t>
      </w:r>
    </w:p>
    <w:p w14:paraId="31C92534" w14:textId="3062A7B8" w:rsidR="00463667" w:rsidRPr="00DF1884" w:rsidRDefault="00463667" w:rsidP="00463667">
      <w:pPr>
        <w:pStyle w:val="Body"/>
        <w:tabs>
          <w:tab w:val="right" w:leader="dot" w:pos="9720"/>
        </w:tabs>
        <w:spacing w:before="0"/>
      </w:pPr>
      <w:r w:rsidRPr="00DF1884">
        <w:t>Plan</w:t>
      </w:r>
      <w:r w:rsidR="00DF1884" w:rsidRPr="00DF1884">
        <w:t xml:space="preserve"> </w:t>
      </w:r>
      <w:r w:rsidRPr="00DF1884">
        <w:t>All-Cause</w:t>
      </w:r>
      <w:r w:rsidR="00DF1884" w:rsidRPr="00DF1884">
        <w:t xml:space="preserve"> </w:t>
      </w:r>
      <w:r w:rsidR="001732BF">
        <w:t>Readmissions</w:t>
      </w:r>
      <w:r w:rsidR="001732BF">
        <w:tab/>
        <w:t>326</w:t>
      </w:r>
    </w:p>
    <w:p w14:paraId="0CA517C2" w14:textId="0671FE68" w:rsidR="00463667" w:rsidRPr="00DF1884" w:rsidRDefault="00463667" w:rsidP="00463667">
      <w:pPr>
        <w:pStyle w:val="Body"/>
        <w:tabs>
          <w:tab w:val="right" w:leader="dot" w:pos="9720"/>
        </w:tabs>
        <w:spacing w:before="0"/>
      </w:pPr>
      <w:r w:rsidRPr="00DF1884">
        <w:t>Pneumococcal</w:t>
      </w:r>
      <w:r w:rsidR="00DF1884" w:rsidRPr="00DF1884">
        <w:t xml:space="preserve"> </w:t>
      </w:r>
      <w:r w:rsidRPr="00DF1884">
        <w:t>Vaccination</w:t>
      </w:r>
      <w:r w:rsidR="00DF1884" w:rsidRPr="00DF1884">
        <w:t xml:space="preserve"> </w:t>
      </w:r>
      <w:r w:rsidRPr="00DF1884">
        <w:t>Status</w:t>
      </w:r>
      <w:r w:rsidR="00DF1884" w:rsidRPr="00DF1884">
        <w:t xml:space="preserve"> </w:t>
      </w:r>
      <w:r w:rsidRPr="00DF1884">
        <w:t>for</w:t>
      </w:r>
      <w:r w:rsidR="00DF1884" w:rsidRPr="00DF1884">
        <w:t xml:space="preserve"> </w:t>
      </w:r>
      <w:r w:rsidRPr="00DF1884">
        <w:t>Older</w:t>
      </w:r>
      <w:r w:rsidR="00DF1884" w:rsidRPr="00DF1884">
        <w:t xml:space="preserve"> </w:t>
      </w:r>
      <w:r w:rsidR="001123ED">
        <w:t>Adults</w:t>
      </w:r>
      <w:r w:rsidR="001123ED">
        <w:tab/>
        <w:t>238</w:t>
      </w:r>
    </w:p>
    <w:p w14:paraId="348D151D" w14:textId="5F903BC9" w:rsidR="00463667" w:rsidRPr="00DF1884" w:rsidRDefault="00463667" w:rsidP="00463667">
      <w:pPr>
        <w:pStyle w:val="Body"/>
        <w:tabs>
          <w:tab w:val="right" w:leader="dot" w:pos="9720"/>
        </w:tabs>
        <w:spacing w:before="0"/>
      </w:pPr>
      <w:r w:rsidRPr="00DF1884">
        <w:t>Potentially</w:t>
      </w:r>
      <w:r w:rsidR="00DF1884" w:rsidRPr="00DF1884">
        <w:t xml:space="preserve"> </w:t>
      </w:r>
      <w:r w:rsidRPr="00DF1884">
        <w:t>Harmful</w:t>
      </w:r>
      <w:r w:rsidR="00DF1884" w:rsidRPr="00DF1884">
        <w:t xml:space="preserve"> </w:t>
      </w:r>
      <w:r w:rsidRPr="00DF1884">
        <w:t>Drug-Disease</w:t>
      </w:r>
      <w:r w:rsidR="00DF1884" w:rsidRPr="00DF1884">
        <w:t xml:space="preserve"> </w:t>
      </w:r>
      <w:r w:rsidRPr="00DF1884">
        <w:t>Interactions</w:t>
      </w:r>
      <w:r w:rsidR="00DF1884" w:rsidRPr="00DF1884">
        <w:t xml:space="preserve"> </w:t>
      </w:r>
      <w:r w:rsidRPr="00DF1884">
        <w:t>in</w:t>
      </w:r>
      <w:r w:rsidR="00DF1884" w:rsidRPr="00DF1884">
        <w:t xml:space="preserve"> </w:t>
      </w:r>
      <w:r w:rsidRPr="00DF1884">
        <w:t>the</w:t>
      </w:r>
      <w:r w:rsidR="00DF1884" w:rsidRPr="00DF1884">
        <w:t xml:space="preserve"> </w:t>
      </w:r>
      <w:r w:rsidR="001123ED">
        <w:t>Elderly</w:t>
      </w:r>
      <w:r w:rsidR="001123ED">
        <w:tab/>
        <w:t>217</w:t>
      </w:r>
    </w:p>
    <w:p w14:paraId="236FD6BF" w14:textId="688039E1" w:rsidR="00463667" w:rsidRPr="00DF1884" w:rsidRDefault="00463667" w:rsidP="00463667">
      <w:pPr>
        <w:pStyle w:val="Body"/>
        <w:tabs>
          <w:tab w:val="right" w:leader="dot" w:pos="9720"/>
        </w:tabs>
        <w:spacing w:before="0"/>
      </w:pPr>
      <w:r w:rsidRPr="00DF1884">
        <w:t>Prenatal</w:t>
      </w:r>
      <w:r w:rsidR="00DF1884" w:rsidRPr="00DF1884">
        <w:t xml:space="preserve"> </w:t>
      </w:r>
      <w:r w:rsidRPr="00DF1884">
        <w:t>and</w:t>
      </w:r>
      <w:r w:rsidR="00DF1884" w:rsidRPr="00DF1884">
        <w:t xml:space="preserve"> </w:t>
      </w:r>
      <w:r w:rsidRPr="00DF1884">
        <w:t>Postpartum</w:t>
      </w:r>
      <w:r w:rsidR="00DF1884" w:rsidRPr="00DF1884">
        <w:t xml:space="preserve"> </w:t>
      </w:r>
      <w:r w:rsidR="001123ED">
        <w:t>Care</w:t>
      </w:r>
      <w:r w:rsidR="001123ED">
        <w:tab/>
        <w:t>251</w:t>
      </w:r>
    </w:p>
    <w:p w14:paraId="148E35BB" w14:textId="77777777" w:rsidR="00463667" w:rsidRPr="00DF1884" w:rsidRDefault="00463667" w:rsidP="00463667">
      <w:pPr>
        <w:pBdr>
          <w:bottom w:val="single" w:sz="4" w:space="1" w:color="auto"/>
        </w:pBdr>
        <w:spacing w:before="120" w:after="120"/>
        <w:rPr>
          <w:rFonts w:cs="Arial"/>
          <w:szCs w:val="20"/>
        </w:rPr>
      </w:pPr>
    </w:p>
    <w:p w14:paraId="2EB00054" w14:textId="77777777" w:rsidR="00463667" w:rsidRPr="00DF1884" w:rsidRDefault="00463667" w:rsidP="00463667">
      <w:pPr>
        <w:pStyle w:val="Body"/>
        <w:tabs>
          <w:tab w:val="right" w:pos="9720"/>
        </w:tabs>
        <w:spacing w:before="120"/>
        <w:rPr>
          <w:b/>
          <w:i/>
          <w:sz w:val="22"/>
          <w:szCs w:val="22"/>
        </w:rPr>
      </w:pPr>
      <w:r w:rsidRPr="00DF1884">
        <w:rPr>
          <w:b/>
          <w:i/>
          <w:sz w:val="22"/>
          <w:szCs w:val="22"/>
        </w:rPr>
        <w:t>R</w:t>
      </w:r>
      <w:r w:rsidRPr="00DF1884">
        <w:rPr>
          <w:b/>
          <w:i/>
          <w:sz w:val="22"/>
          <w:szCs w:val="22"/>
        </w:rPr>
        <w:tab/>
      </w:r>
    </w:p>
    <w:p w14:paraId="3109759A" w14:textId="578FFAAF" w:rsidR="00463667" w:rsidRPr="00DF1884" w:rsidRDefault="00463667" w:rsidP="00463667">
      <w:pPr>
        <w:pStyle w:val="Body"/>
        <w:tabs>
          <w:tab w:val="right" w:leader="dot" w:pos="9720"/>
        </w:tabs>
        <w:spacing w:before="0"/>
      </w:pPr>
      <w:r w:rsidRPr="00DF1884">
        <w:t>Race/Ethnicity</w:t>
      </w:r>
      <w:r w:rsidR="00DF1884" w:rsidRPr="00DF1884">
        <w:t xml:space="preserve"> </w:t>
      </w:r>
      <w:r w:rsidRPr="00DF1884">
        <w:t>Diversity</w:t>
      </w:r>
      <w:r w:rsidR="00DF1884" w:rsidRPr="00DF1884">
        <w:t xml:space="preserve"> </w:t>
      </w:r>
      <w:r w:rsidRPr="00DF1884">
        <w:t>of</w:t>
      </w:r>
      <w:r w:rsidR="00DF1884" w:rsidRPr="00DF1884">
        <w:t xml:space="preserve"> </w:t>
      </w:r>
      <w:r w:rsidR="00924BE5">
        <w:t>Membership</w:t>
      </w:r>
      <w:r w:rsidR="00924BE5">
        <w:tab/>
        <w:t>430</w:t>
      </w:r>
    </w:p>
    <w:p w14:paraId="52F15BAD" w14:textId="3020416E" w:rsidR="00463667" w:rsidRPr="00DF1884" w:rsidRDefault="00463667" w:rsidP="00463667">
      <w:pPr>
        <w:pStyle w:val="Body"/>
        <w:tabs>
          <w:tab w:val="right" w:leader="dot" w:pos="9720"/>
        </w:tabs>
        <w:spacing w:before="0"/>
      </w:pPr>
      <w:r w:rsidRPr="00DF1884">
        <w:t>Relative</w:t>
      </w:r>
      <w:r w:rsidR="00DF1884" w:rsidRPr="00DF1884">
        <w:t xml:space="preserve"> </w:t>
      </w:r>
      <w:r w:rsidRPr="00DF1884">
        <w:t>Resource</w:t>
      </w:r>
      <w:r w:rsidR="00DF1884" w:rsidRPr="00DF1884">
        <w:t xml:space="preserve"> </w:t>
      </w:r>
      <w:r w:rsidRPr="00DF1884">
        <w:t>Use</w:t>
      </w:r>
      <w:r w:rsidR="00DF1884" w:rsidRPr="00DF1884">
        <w:t xml:space="preserve"> </w:t>
      </w:r>
      <w:r w:rsidRPr="00DF1884">
        <w:t>for</w:t>
      </w:r>
      <w:r w:rsidR="00DF1884" w:rsidRPr="00DF1884">
        <w:t xml:space="preserve"> </w:t>
      </w:r>
      <w:r w:rsidRPr="00DF1884">
        <w:t>People</w:t>
      </w:r>
      <w:r w:rsidR="00DF1884" w:rsidRPr="00DF1884">
        <w:t xml:space="preserve"> </w:t>
      </w:r>
      <w:r w:rsidRPr="00DF1884">
        <w:t>With</w:t>
      </w:r>
      <w:r w:rsidR="00DF1884" w:rsidRPr="00DF1884">
        <w:t xml:space="preserve"> </w:t>
      </w:r>
      <w:r w:rsidR="001732BF">
        <w:t>Asthma</w:t>
      </w:r>
      <w:r w:rsidR="001732BF">
        <w:tab/>
        <w:t>410</w:t>
      </w:r>
    </w:p>
    <w:p w14:paraId="1056E7AC" w14:textId="64E19540" w:rsidR="00463667" w:rsidRPr="00DF1884" w:rsidRDefault="00463667" w:rsidP="00463667">
      <w:pPr>
        <w:pStyle w:val="Body"/>
        <w:tabs>
          <w:tab w:val="right" w:leader="dot" w:pos="9720"/>
        </w:tabs>
        <w:spacing w:before="0"/>
      </w:pPr>
      <w:r w:rsidRPr="00DF1884">
        <w:t>Relative</w:t>
      </w:r>
      <w:r w:rsidR="00DF1884" w:rsidRPr="00DF1884">
        <w:t xml:space="preserve"> </w:t>
      </w:r>
      <w:r w:rsidRPr="00DF1884">
        <w:t>Resource</w:t>
      </w:r>
      <w:r w:rsidR="00DF1884" w:rsidRPr="00DF1884">
        <w:t xml:space="preserve"> </w:t>
      </w:r>
      <w:r w:rsidRPr="00DF1884">
        <w:t>Use</w:t>
      </w:r>
      <w:r w:rsidR="00DF1884" w:rsidRPr="00DF1884">
        <w:t xml:space="preserve"> </w:t>
      </w:r>
      <w:r w:rsidRPr="00DF1884">
        <w:t>for</w:t>
      </w:r>
      <w:r w:rsidR="00DF1884" w:rsidRPr="00DF1884">
        <w:t xml:space="preserve"> </w:t>
      </w:r>
      <w:r w:rsidRPr="00DF1884">
        <w:t>People</w:t>
      </w:r>
      <w:r w:rsidR="00DF1884" w:rsidRPr="00DF1884">
        <w:t xml:space="preserve"> </w:t>
      </w:r>
      <w:r w:rsidRPr="00DF1884">
        <w:t>With</w:t>
      </w:r>
      <w:r w:rsidR="00DF1884" w:rsidRPr="00DF1884">
        <w:t xml:space="preserve"> </w:t>
      </w:r>
      <w:r w:rsidRPr="00DF1884">
        <w:t>Cardiovascular</w:t>
      </w:r>
      <w:r w:rsidR="00DF1884" w:rsidRPr="00DF1884">
        <w:t xml:space="preserve"> </w:t>
      </w:r>
      <w:r w:rsidR="001732BF">
        <w:t>Conditions</w:t>
      </w:r>
      <w:r w:rsidR="001732BF">
        <w:tab/>
        <w:t>394</w:t>
      </w:r>
    </w:p>
    <w:p w14:paraId="71027392" w14:textId="34EAEDB2" w:rsidR="00463667" w:rsidRPr="00DF1884" w:rsidRDefault="00463667" w:rsidP="00463667">
      <w:pPr>
        <w:pStyle w:val="Body"/>
        <w:tabs>
          <w:tab w:val="right" w:leader="dot" w:pos="9720"/>
        </w:tabs>
        <w:spacing w:before="0"/>
      </w:pPr>
      <w:r w:rsidRPr="00DF1884">
        <w:t>Relative</w:t>
      </w:r>
      <w:r w:rsidR="00DF1884" w:rsidRPr="00DF1884">
        <w:t xml:space="preserve"> </w:t>
      </w:r>
      <w:r w:rsidRPr="00DF1884">
        <w:t>Resource</w:t>
      </w:r>
      <w:r w:rsidR="00DF1884" w:rsidRPr="00DF1884">
        <w:t xml:space="preserve"> </w:t>
      </w:r>
      <w:r w:rsidRPr="00DF1884">
        <w:t>Use</w:t>
      </w:r>
      <w:r w:rsidR="00DF1884" w:rsidRPr="00DF1884">
        <w:t xml:space="preserve"> </w:t>
      </w:r>
      <w:r w:rsidRPr="00DF1884">
        <w:t>for</w:t>
      </w:r>
      <w:r w:rsidR="00DF1884" w:rsidRPr="00DF1884">
        <w:t xml:space="preserve"> </w:t>
      </w:r>
      <w:r w:rsidRPr="00DF1884">
        <w:t>People</w:t>
      </w:r>
      <w:r w:rsidR="00DF1884" w:rsidRPr="00DF1884">
        <w:t xml:space="preserve"> </w:t>
      </w:r>
      <w:r w:rsidRPr="00DF1884">
        <w:t>With</w:t>
      </w:r>
      <w:r w:rsidR="00DF1884" w:rsidRPr="00DF1884">
        <w:t xml:space="preserve"> </w:t>
      </w:r>
      <w:r w:rsidR="001732BF">
        <w:t>COPD</w:t>
      </w:r>
      <w:r w:rsidR="001732BF">
        <w:tab/>
        <w:t>405</w:t>
      </w:r>
    </w:p>
    <w:p w14:paraId="061889D3" w14:textId="279060BE" w:rsidR="00463667" w:rsidRPr="00DF1884" w:rsidRDefault="00463667" w:rsidP="00463667">
      <w:pPr>
        <w:pStyle w:val="Body"/>
        <w:tabs>
          <w:tab w:val="right" w:leader="dot" w:pos="9720"/>
        </w:tabs>
        <w:spacing w:before="0"/>
      </w:pPr>
      <w:r w:rsidRPr="00DF1884">
        <w:t>Relative</w:t>
      </w:r>
      <w:r w:rsidR="00DF1884" w:rsidRPr="00DF1884">
        <w:t xml:space="preserve"> </w:t>
      </w:r>
      <w:r w:rsidRPr="00DF1884">
        <w:t>Resource</w:t>
      </w:r>
      <w:r w:rsidR="00DF1884" w:rsidRPr="00DF1884">
        <w:t xml:space="preserve"> </w:t>
      </w:r>
      <w:r w:rsidRPr="00DF1884">
        <w:t>Use</w:t>
      </w:r>
      <w:r w:rsidR="00DF1884" w:rsidRPr="00DF1884">
        <w:t xml:space="preserve"> </w:t>
      </w:r>
      <w:r w:rsidRPr="00DF1884">
        <w:t>for</w:t>
      </w:r>
      <w:r w:rsidR="00DF1884" w:rsidRPr="00DF1884">
        <w:t xml:space="preserve"> </w:t>
      </w:r>
      <w:r w:rsidRPr="00DF1884">
        <w:t>People</w:t>
      </w:r>
      <w:r w:rsidR="00DF1884" w:rsidRPr="00DF1884">
        <w:t xml:space="preserve"> </w:t>
      </w:r>
      <w:r w:rsidRPr="00DF1884">
        <w:t>With</w:t>
      </w:r>
      <w:r w:rsidR="00DF1884" w:rsidRPr="00DF1884">
        <w:t xml:space="preserve"> </w:t>
      </w:r>
      <w:r w:rsidR="001732BF">
        <w:t>Diabetes</w:t>
      </w:r>
      <w:r w:rsidR="001732BF">
        <w:tab/>
        <w:t>388</w:t>
      </w:r>
    </w:p>
    <w:p w14:paraId="766C18C6" w14:textId="60C66EE8" w:rsidR="00463667" w:rsidRPr="00DF1884" w:rsidRDefault="00463667" w:rsidP="00463667">
      <w:pPr>
        <w:pStyle w:val="Body"/>
        <w:tabs>
          <w:tab w:val="right" w:leader="dot" w:pos="9720"/>
        </w:tabs>
        <w:spacing w:before="0"/>
      </w:pPr>
      <w:r w:rsidRPr="00DF1884">
        <w:t>Relative</w:t>
      </w:r>
      <w:r w:rsidR="00DF1884" w:rsidRPr="00DF1884">
        <w:t xml:space="preserve"> </w:t>
      </w:r>
      <w:r w:rsidRPr="00DF1884">
        <w:t>Resource</w:t>
      </w:r>
      <w:r w:rsidR="00DF1884" w:rsidRPr="00DF1884">
        <w:t xml:space="preserve"> </w:t>
      </w:r>
      <w:r w:rsidRPr="00DF1884">
        <w:t>Use</w:t>
      </w:r>
      <w:r w:rsidR="00DF1884" w:rsidRPr="00DF1884">
        <w:t xml:space="preserve"> </w:t>
      </w:r>
      <w:r w:rsidRPr="00DF1884">
        <w:t>for</w:t>
      </w:r>
      <w:r w:rsidR="00DF1884" w:rsidRPr="00DF1884">
        <w:t xml:space="preserve"> </w:t>
      </w:r>
      <w:r w:rsidRPr="00DF1884">
        <w:t>People</w:t>
      </w:r>
      <w:r w:rsidR="00DF1884" w:rsidRPr="00DF1884">
        <w:t xml:space="preserve"> </w:t>
      </w:r>
      <w:r w:rsidRPr="00DF1884">
        <w:t>With</w:t>
      </w:r>
      <w:r w:rsidR="00DF1884" w:rsidRPr="00DF1884">
        <w:t xml:space="preserve"> </w:t>
      </w:r>
      <w:r w:rsidR="001732BF">
        <w:t>Hypertension</w:t>
      </w:r>
      <w:r w:rsidR="001732BF">
        <w:tab/>
        <w:t>400</w:t>
      </w:r>
    </w:p>
    <w:p w14:paraId="49DC23D4" w14:textId="77777777" w:rsidR="007756D8" w:rsidRPr="00DF1884" w:rsidRDefault="007756D8" w:rsidP="007756D8">
      <w:pPr>
        <w:pBdr>
          <w:bottom w:val="single" w:sz="4" w:space="1" w:color="auto"/>
        </w:pBdr>
        <w:spacing w:before="120" w:after="120"/>
        <w:rPr>
          <w:rFonts w:cs="Arial"/>
          <w:szCs w:val="20"/>
        </w:rPr>
      </w:pPr>
    </w:p>
    <w:p w14:paraId="1D5752C9" w14:textId="09AABD73" w:rsidR="007756D8" w:rsidRPr="00DF1884" w:rsidRDefault="007756D8" w:rsidP="007756D8">
      <w:pPr>
        <w:pStyle w:val="Body"/>
        <w:tabs>
          <w:tab w:val="right" w:pos="9720"/>
        </w:tabs>
        <w:spacing w:before="120"/>
        <w:rPr>
          <w:b/>
          <w:i/>
          <w:sz w:val="22"/>
          <w:szCs w:val="22"/>
        </w:rPr>
      </w:pPr>
      <w:r>
        <w:rPr>
          <w:b/>
          <w:i/>
          <w:sz w:val="22"/>
          <w:szCs w:val="22"/>
        </w:rPr>
        <w:t>S</w:t>
      </w:r>
      <w:r w:rsidRPr="00DF1884">
        <w:rPr>
          <w:b/>
          <w:i/>
          <w:sz w:val="22"/>
          <w:szCs w:val="22"/>
        </w:rPr>
        <w:tab/>
      </w:r>
    </w:p>
    <w:p w14:paraId="3A0FA989" w14:textId="09F709BC" w:rsidR="007756D8" w:rsidRPr="00DF1884" w:rsidRDefault="007756D8" w:rsidP="007756D8">
      <w:pPr>
        <w:pStyle w:val="Body"/>
        <w:tabs>
          <w:tab w:val="right" w:leader="dot" w:pos="9720"/>
        </w:tabs>
        <w:spacing w:before="0"/>
      </w:pPr>
      <w:r>
        <w:t xml:space="preserve">Statin Therapy for Patients With </w:t>
      </w:r>
      <w:r w:rsidR="001123ED">
        <w:t>Cardiovascular Disease</w:t>
      </w:r>
      <w:r w:rsidR="001123ED">
        <w:tab/>
        <w:t>125</w:t>
      </w:r>
    </w:p>
    <w:p w14:paraId="05E7AF4F" w14:textId="763FAB85" w:rsidR="007756D8" w:rsidRPr="00DF1884" w:rsidRDefault="007756D8" w:rsidP="007756D8">
      <w:pPr>
        <w:pStyle w:val="Body"/>
        <w:tabs>
          <w:tab w:val="right" w:leader="dot" w:pos="9720"/>
        </w:tabs>
        <w:spacing w:before="0"/>
      </w:pPr>
      <w:r>
        <w:t>Statin Therap</w:t>
      </w:r>
      <w:r w:rsidR="001123ED">
        <w:t>y for Patients With Diabetes</w:t>
      </w:r>
      <w:r w:rsidR="001123ED">
        <w:tab/>
        <w:t>146</w:t>
      </w:r>
    </w:p>
    <w:p w14:paraId="2BFF5BD1" w14:textId="77777777" w:rsidR="00463667" w:rsidRPr="00DF1884" w:rsidRDefault="00463667" w:rsidP="00463667">
      <w:pPr>
        <w:pBdr>
          <w:bottom w:val="single" w:sz="4" w:space="1" w:color="auto"/>
        </w:pBdr>
        <w:spacing w:before="120" w:after="120"/>
        <w:rPr>
          <w:rFonts w:cs="Arial"/>
          <w:szCs w:val="20"/>
        </w:rPr>
      </w:pPr>
    </w:p>
    <w:p w14:paraId="7E722C60" w14:textId="77777777" w:rsidR="00463667" w:rsidRPr="00DF1884" w:rsidRDefault="00463667" w:rsidP="00463667">
      <w:pPr>
        <w:pStyle w:val="Body"/>
        <w:tabs>
          <w:tab w:val="right" w:pos="9720"/>
        </w:tabs>
        <w:spacing w:before="0"/>
        <w:rPr>
          <w:b/>
          <w:i/>
          <w:sz w:val="22"/>
          <w:szCs w:val="22"/>
        </w:rPr>
      </w:pPr>
      <w:r w:rsidRPr="00DF1884">
        <w:rPr>
          <w:b/>
          <w:i/>
          <w:sz w:val="22"/>
          <w:szCs w:val="22"/>
        </w:rPr>
        <w:t>T</w:t>
      </w:r>
    </w:p>
    <w:p w14:paraId="7D1D5BB4" w14:textId="5AD4361B" w:rsidR="00463667" w:rsidRPr="00DF1884" w:rsidRDefault="00463667" w:rsidP="00463667">
      <w:pPr>
        <w:pStyle w:val="Body"/>
        <w:tabs>
          <w:tab w:val="right" w:leader="dot" w:pos="9720"/>
        </w:tabs>
        <w:spacing w:before="0"/>
      </w:pPr>
      <w:r w:rsidRPr="00DF1884">
        <w:t>Total</w:t>
      </w:r>
      <w:r w:rsidR="00DF1884" w:rsidRPr="00DF1884">
        <w:t xml:space="preserve"> </w:t>
      </w:r>
      <w:r w:rsidR="00924BE5">
        <w:t>Membership</w:t>
      </w:r>
      <w:r w:rsidR="00924BE5">
        <w:tab/>
        <w:t>438</w:t>
      </w:r>
    </w:p>
    <w:p w14:paraId="6A53F9E8" w14:textId="77777777" w:rsidR="00463667" w:rsidRPr="00DF1884" w:rsidRDefault="00463667" w:rsidP="00463667">
      <w:pPr>
        <w:pBdr>
          <w:bottom w:val="single" w:sz="4" w:space="1" w:color="auto"/>
        </w:pBdr>
        <w:spacing w:before="120" w:after="120"/>
        <w:rPr>
          <w:rFonts w:cs="Arial"/>
          <w:szCs w:val="20"/>
        </w:rPr>
      </w:pPr>
    </w:p>
    <w:p w14:paraId="32A71A51" w14:textId="77777777" w:rsidR="00463667" w:rsidRPr="00DF1884" w:rsidRDefault="00463667" w:rsidP="00463667">
      <w:pPr>
        <w:pStyle w:val="Body"/>
        <w:rPr>
          <w:b/>
          <w:i/>
          <w:sz w:val="22"/>
          <w:szCs w:val="22"/>
        </w:rPr>
      </w:pPr>
      <w:r w:rsidRPr="00DF1884">
        <w:rPr>
          <w:b/>
          <w:i/>
          <w:sz w:val="22"/>
          <w:szCs w:val="22"/>
        </w:rPr>
        <w:t>U</w:t>
      </w:r>
    </w:p>
    <w:p w14:paraId="2DA928B8" w14:textId="672E0B08" w:rsidR="00463667" w:rsidRPr="00DF1884" w:rsidRDefault="00463667" w:rsidP="00463667">
      <w:pPr>
        <w:pStyle w:val="Body"/>
        <w:tabs>
          <w:tab w:val="right" w:leader="dot" w:pos="9720"/>
        </w:tabs>
        <w:spacing w:before="0"/>
        <w:rPr>
          <w:u w:val="single"/>
        </w:rPr>
      </w:pPr>
      <w:r w:rsidRPr="00DF1884">
        <w:t>Use</w:t>
      </w:r>
      <w:r w:rsidR="00DF1884" w:rsidRPr="00DF1884">
        <w:t xml:space="preserve"> </w:t>
      </w:r>
      <w:r w:rsidRPr="00DF1884">
        <w:t>of</w:t>
      </w:r>
      <w:r w:rsidR="00DF1884" w:rsidRPr="00DF1884">
        <w:t xml:space="preserve"> </w:t>
      </w:r>
      <w:r w:rsidRPr="00DF1884">
        <w:t>First-Line</w:t>
      </w:r>
      <w:r w:rsidR="00DF1884" w:rsidRPr="00DF1884">
        <w:t xml:space="preserve"> </w:t>
      </w:r>
      <w:r w:rsidRPr="00DF1884">
        <w:t>Psychosocial</w:t>
      </w:r>
      <w:r w:rsidR="00DF1884" w:rsidRPr="00DF1884">
        <w:t xml:space="preserve"> </w:t>
      </w:r>
      <w:r w:rsidRPr="00DF1884">
        <w:t>Care</w:t>
      </w:r>
      <w:r w:rsidR="00DF1884" w:rsidRPr="00DF1884">
        <w:t xml:space="preserve"> </w:t>
      </w:r>
      <w:r w:rsidRPr="00DF1884">
        <w:t>for</w:t>
      </w:r>
      <w:r w:rsidR="00DF1884" w:rsidRPr="00DF1884">
        <w:t xml:space="preserve"> </w:t>
      </w:r>
      <w:r w:rsidRPr="00DF1884">
        <w:t>Children</w:t>
      </w:r>
      <w:r w:rsidR="00DF1884" w:rsidRPr="00DF1884">
        <w:t xml:space="preserve"> </w:t>
      </w:r>
      <w:r w:rsidRPr="00DF1884">
        <w:t>and</w:t>
      </w:r>
      <w:r w:rsidR="00DF1884" w:rsidRPr="00DF1884">
        <w:t xml:space="preserve"> </w:t>
      </w:r>
      <w:r w:rsidRPr="00DF1884">
        <w:t>Adolescents</w:t>
      </w:r>
      <w:r w:rsidR="00DF1884" w:rsidRPr="00DF1884">
        <w:t xml:space="preserve"> </w:t>
      </w:r>
      <w:r w:rsidRPr="00DF1884">
        <w:t>on</w:t>
      </w:r>
      <w:r w:rsidR="00DF1884" w:rsidRPr="00DF1884">
        <w:t xml:space="preserve"> </w:t>
      </w:r>
      <w:r w:rsidR="00A4474D">
        <w:t>Antipsychotics</w:t>
      </w:r>
      <w:r w:rsidR="00A4474D">
        <w:tab/>
        <w:t>261</w:t>
      </w:r>
    </w:p>
    <w:p w14:paraId="4D8BE6AC" w14:textId="3F2B63B3" w:rsidR="00463667" w:rsidRPr="00DF1884" w:rsidRDefault="00463667" w:rsidP="00463667">
      <w:pPr>
        <w:pStyle w:val="Body"/>
        <w:tabs>
          <w:tab w:val="right" w:leader="dot" w:pos="9720"/>
        </w:tabs>
        <w:spacing w:before="0"/>
      </w:pPr>
      <w:r w:rsidRPr="00DF1884">
        <w:t>Use</w:t>
      </w:r>
      <w:r w:rsidR="00DF1884" w:rsidRPr="00DF1884">
        <w:t xml:space="preserve"> </w:t>
      </w:r>
      <w:r w:rsidRPr="00DF1884">
        <w:t>of</w:t>
      </w:r>
      <w:r w:rsidR="00DF1884" w:rsidRPr="00DF1884">
        <w:t xml:space="preserve"> </w:t>
      </w:r>
      <w:r w:rsidRPr="00DF1884">
        <w:t>High-Risk</w:t>
      </w:r>
      <w:r w:rsidR="00DF1884" w:rsidRPr="00DF1884">
        <w:t xml:space="preserve"> </w:t>
      </w:r>
      <w:r w:rsidRPr="00DF1884">
        <w:t>Medications</w:t>
      </w:r>
      <w:r w:rsidR="00DF1884" w:rsidRPr="00DF1884">
        <w:t xml:space="preserve"> </w:t>
      </w:r>
      <w:r w:rsidRPr="00DF1884">
        <w:t>in</w:t>
      </w:r>
      <w:r w:rsidR="00DF1884" w:rsidRPr="00DF1884">
        <w:t xml:space="preserve"> </w:t>
      </w:r>
      <w:r w:rsidRPr="00DF1884">
        <w:t>the</w:t>
      </w:r>
      <w:r w:rsidR="00DF1884" w:rsidRPr="00DF1884">
        <w:t xml:space="preserve"> </w:t>
      </w:r>
      <w:r w:rsidR="00A4474D">
        <w:t>Elderly</w:t>
      </w:r>
      <w:r w:rsidR="00A4474D">
        <w:tab/>
        <w:t>222</w:t>
      </w:r>
    </w:p>
    <w:p w14:paraId="0B1D276F" w14:textId="5B1C03C0" w:rsidR="00463667" w:rsidRPr="00DF1884" w:rsidRDefault="00463667" w:rsidP="00463667">
      <w:pPr>
        <w:pStyle w:val="Body"/>
        <w:tabs>
          <w:tab w:val="right" w:leader="dot" w:pos="9720"/>
        </w:tabs>
        <w:spacing w:before="0"/>
      </w:pPr>
      <w:r w:rsidRPr="00DF1884">
        <w:t>Use</w:t>
      </w:r>
      <w:r w:rsidR="00DF1884" w:rsidRPr="00DF1884">
        <w:t xml:space="preserve"> </w:t>
      </w:r>
      <w:r w:rsidRPr="00DF1884">
        <w:t>of</w:t>
      </w:r>
      <w:r w:rsidR="00DF1884" w:rsidRPr="00DF1884">
        <w:t xml:space="preserve"> </w:t>
      </w:r>
      <w:r w:rsidRPr="00DF1884">
        <w:t>Imaging</w:t>
      </w:r>
      <w:r w:rsidR="00DF1884" w:rsidRPr="00DF1884">
        <w:t xml:space="preserve"> </w:t>
      </w:r>
      <w:r w:rsidRPr="00DF1884">
        <w:t>Studies</w:t>
      </w:r>
      <w:r w:rsidR="00DF1884" w:rsidRPr="00DF1884">
        <w:t xml:space="preserve"> </w:t>
      </w:r>
      <w:r w:rsidRPr="00DF1884">
        <w:t>for</w:t>
      </w:r>
      <w:r w:rsidR="00DF1884" w:rsidRPr="00DF1884">
        <w:t xml:space="preserve"> </w:t>
      </w:r>
      <w:r w:rsidRPr="00DF1884">
        <w:t>Low</w:t>
      </w:r>
      <w:r w:rsidR="00DF1884" w:rsidRPr="00DF1884">
        <w:t xml:space="preserve"> </w:t>
      </w:r>
      <w:r w:rsidRPr="00DF1884">
        <w:t>Back</w:t>
      </w:r>
      <w:r w:rsidR="00DF1884" w:rsidRPr="00DF1884">
        <w:t xml:space="preserve"> </w:t>
      </w:r>
      <w:r w:rsidR="00A4474D">
        <w:t>Pain</w:t>
      </w:r>
      <w:r w:rsidR="00A4474D">
        <w:tab/>
        <w:t>210</w:t>
      </w:r>
    </w:p>
    <w:p w14:paraId="787E83B8" w14:textId="1B4B0DF1" w:rsidR="00463667" w:rsidRPr="00DF1884" w:rsidRDefault="00463667" w:rsidP="00463667">
      <w:pPr>
        <w:pStyle w:val="Body"/>
        <w:tabs>
          <w:tab w:val="right" w:leader="dot" w:pos="9720"/>
        </w:tabs>
        <w:spacing w:before="0"/>
        <w:rPr>
          <w:u w:val="single"/>
        </w:rPr>
      </w:pPr>
      <w:r w:rsidRPr="00DF1884">
        <w:t>Use</w:t>
      </w:r>
      <w:r w:rsidR="00DF1884" w:rsidRPr="00DF1884">
        <w:t xml:space="preserve"> </w:t>
      </w:r>
      <w:r w:rsidRPr="00DF1884">
        <w:t>of</w:t>
      </w:r>
      <w:r w:rsidR="00DF1884" w:rsidRPr="00DF1884">
        <w:t xml:space="preserve"> </w:t>
      </w:r>
      <w:r w:rsidRPr="00DF1884">
        <w:t>Multiple</w:t>
      </w:r>
      <w:r w:rsidR="00DF1884" w:rsidRPr="00DF1884">
        <w:t xml:space="preserve"> </w:t>
      </w:r>
      <w:r w:rsidRPr="00DF1884">
        <w:t>Concurrent</w:t>
      </w:r>
      <w:r w:rsidR="00DF1884" w:rsidRPr="00DF1884">
        <w:t xml:space="preserve"> </w:t>
      </w:r>
      <w:r w:rsidRPr="00DF1884">
        <w:t>Antipsychotics</w:t>
      </w:r>
      <w:r w:rsidR="00DF1884" w:rsidRPr="00DF1884">
        <w:t xml:space="preserve"> </w:t>
      </w:r>
      <w:r w:rsidRPr="00DF1884">
        <w:t>in</w:t>
      </w:r>
      <w:r w:rsidR="00DF1884" w:rsidRPr="00DF1884">
        <w:t xml:space="preserve"> </w:t>
      </w:r>
      <w:r w:rsidRPr="00DF1884">
        <w:t>Children</w:t>
      </w:r>
      <w:r w:rsidR="00DF1884" w:rsidRPr="00DF1884">
        <w:t xml:space="preserve"> </w:t>
      </w:r>
      <w:r w:rsidRPr="00DF1884">
        <w:t>and</w:t>
      </w:r>
      <w:r w:rsidR="00DF1884" w:rsidRPr="00DF1884">
        <w:t xml:space="preserve"> </w:t>
      </w:r>
      <w:r w:rsidR="00A4474D">
        <w:t>Adolescents</w:t>
      </w:r>
      <w:r w:rsidR="00A4474D">
        <w:tab/>
        <w:t>213</w:t>
      </w:r>
    </w:p>
    <w:p w14:paraId="2890251A" w14:textId="492A089B" w:rsidR="00463667" w:rsidRDefault="00463667" w:rsidP="00463667">
      <w:pPr>
        <w:pStyle w:val="Body"/>
        <w:tabs>
          <w:tab w:val="right" w:leader="dot" w:pos="9720"/>
        </w:tabs>
        <w:spacing w:before="0"/>
      </w:pPr>
      <w:r w:rsidRPr="00DF1884">
        <w:t>Use</w:t>
      </w:r>
      <w:r w:rsidR="00DF1884" w:rsidRPr="00DF1884">
        <w:t xml:space="preserve"> </w:t>
      </w:r>
      <w:r w:rsidRPr="00DF1884">
        <w:t>of</w:t>
      </w:r>
      <w:r w:rsidR="00DF1884" w:rsidRPr="00DF1884">
        <w:t xml:space="preserve"> </w:t>
      </w:r>
      <w:r w:rsidRPr="00DF1884">
        <w:t>Spirometry</w:t>
      </w:r>
      <w:r w:rsidR="00DF1884" w:rsidRPr="00DF1884">
        <w:t xml:space="preserve"> </w:t>
      </w:r>
      <w:r w:rsidRPr="00DF1884">
        <w:t>Testing</w:t>
      </w:r>
      <w:r w:rsidR="00DF1884" w:rsidRPr="00DF1884">
        <w:t xml:space="preserve"> </w:t>
      </w:r>
      <w:r w:rsidRPr="00DF1884">
        <w:t>in</w:t>
      </w:r>
      <w:r w:rsidR="00DF1884" w:rsidRPr="00DF1884">
        <w:t xml:space="preserve"> </w:t>
      </w:r>
      <w:r w:rsidRPr="00DF1884">
        <w:t>the</w:t>
      </w:r>
      <w:r w:rsidR="00DF1884" w:rsidRPr="00DF1884">
        <w:t xml:space="preserve"> </w:t>
      </w:r>
      <w:r w:rsidRPr="00DF1884">
        <w:t>Assessment</w:t>
      </w:r>
      <w:r w:rsidR="00DF1884" w:rsidRPr="00DF1884">
        <w:t xml:space="preserve"> </w:t>
      </w:r>
      <w:r w:rsidRPr="00DF1884">
        <w:t>and</w:t>
      </w:r>
      <w:r w:rsidR="00DF1884" w:rsidRPr="00DF1884">
        <w:t xml:space="preserve"> </w:t>
      </w:r>
      <w:r w:rsidRPr="00DF1884">
        <w:t>Diagnosis</w:t>
      </w:r>
      <w:r w:rsidR="00DF1884" w:rsidRPr="00DF1884">
        <w:t xml:space="preserve"> </w:t>
      </w:r>
      <w:r w:rsidRPr="00DF1884">
        <w:t>of</w:t>
      </w:r>
      <w:r w:rsidR="00DF1884" w:rsidRPr="00DF1884">
        <w:t xml:space="preserve"> </w:t>
      </w:r>
      <w:r w:rsidR="00A4474D">
        <w:t>COPD</w:t>
      </w:r>
      <w:r w:rsidR="00A4474D">
        <w:tab/>
        <w:t>100</w:t>
      </w:r>
    </w:p>
    <w:p w14:paraId="0A56D65C" w14:textId="381C907A" w:rsidR="007756D8" w:rsidRPr="00DF1884" w:rsidRDefault="007756D8" w:rsidP="00463667">
      <w:pPr>
        <w:pStyle w:val="Body"/>
        <w:tabs>
          <w:tab w:val="right" w:leader="dot" w:pos="9720"/>
        </w:tabs>
        <w:spacing w:before="0"/>
      </w:pPr>
      <w:r>
        <w:t>Utilization of the PHQ-9 to Monitor Depression Symptom</w:t>
      </w:r>
      <w:r w:rsidR="00A4474D">
        <w:t>s for Adolescents and Adults</w:t>
      </w:r>
      <w:r w:rsidR="00924BE5">
        <w:tab/>
        <w:t>445</w:t>
      </w:r>
    </w:p>
    <w:p w14:paraId="3CEC28A4" w14:textId="77777777" w:rsidR="00463667" w:rsidRPr="00DF1884" w:rsidRDefault="00463667" w:rsidP="00463667">
      <w:pPr>
        <w:pBdr>
          <w:bottom w:val="single" w:sz="4" w:space="1" w:color="auto"/>
        </w:pBdr>
        <w:spacing w:before="120" w:after="120"/>
        <w:rPr>
          <w:rFonts w:cs="Arial"/>
          <w:szCs w:val="20"/>
        </w:rPr>
      </w:pPr>
    </w:p>
    <w:p w14:paraId="4ADFFF62" w14:textId="77777777" w:rsidR="00463667" w:rsidRPr="00DF1884" w:rsidRDefault="00463667" w:rsidP="00463667">
      <w:pPr>
        <w:pStyle w:val="Body"/>
        <w:rPr>
          <w:b/>
          <w:i/>
          <w:sz w:val="22"/>
          <w:szCs w:val="22"/>
        </w:rPr>
      </w:pPr>
      <w:r w:rsidRPr="00DF1884">
        <w:rPr>
          <w:b/>
          <w:i/>
          <w:sz w:val="22"/>
          <w:szCs w:val="22"/>
        </w:rPr>
        <w:t>W</w:t>
      </w:r>
    </w:p>
    <w:p w14:paraId="0E552A59" w14:textId="2A6D5215" w:rsidR="00463667" w:rsidRPr="00DF1884" w:rsidRDefault="00463667" w:rsidP="00463667">
      <w:pPr>
        <w:pStyle w:val="Body"/>
        <w:tabs>
          <w:tab w:val="right" w:leader="dot" w:pos="9720"/>
        </w:tabs>
        <w:spacing w:before="0"/>
        <w:rPr>
          <w:u w:val="single"/>
        </w:rPr>
      </w:pPr>
      <w:r w:rsidRPr="00DF1884">
        <w:t>Weeks</w:t>
      </w:r>
      <w:r w:rsidR="00DF1884" w:rsidRPr="00DF1884">
        <w:t xml:space="preserve"> </w:t>
      </w:r>
      <w:r w:rsidRPr="00DF1884">
        <w:t>of</w:t>
      </w:r>
      <w:r w:rsidR="00DF1884" w:rsidRPr="00DF1884">
        <w:t xml:space="preserve"> </w:t>
      </w:r>
      <w:r w:rsidRPr="00DF1884">
        <w:t>Pregnancy</w:t>
      </w:r>
      <w:r w:rsidR="00DF1884" w:rsidRPr="00DF1884">
        <w:t xml:space="preserve"> </w:t>
      </w:r>
      <w:r w:rsidRPr="00DF1884">
        <w:t>at</w:t>
      </w:r>
      <w:r w:rsidR="00DF1884" w:rsidRPr="00DF1884">
        <w:t xml:space="preserve"> </w:t>
      </w:r>
      <w:r w:rsidRPr="00DF1884">
        <w:t>Time</w:t>
      </w:r>
      <w:r w:rsidR="00DF1884" w:rsidRPr="00DF1884">
        <w:t xml:space="preserve"> </w:t>
      </w:r>
      <w:r w:rsidRPr="00DF1884">
        <w:t>of</w:t>
      </w:r>
      <w:r w:rsidR="00DF1884" w:rsidRPr="00DF1884">
        <w:t xml:space="preserve"> </w:t>
      </w:r>
      <w:r w:rsidR="00924BE5">
        <w:t>Enrollment</w:t>
      </w:r>
      <w:r w:rsidR="00924BE5">
        <w:tab/>
        <w:t>435</w:t>
      </w:r>
    </w:p>
    <w:p w14:paraId="74464057" w14:textId="30BD746F" w:rsidR="00463667" w:rsidRPr="00DF1884" w:rsidRDefault="00463667" w:rsidP="00463667">
      <w:pPr>
        <w:pStyle w:val="Body"/>
        <w:tabs>
          <w:tab w:val="right" w:leader="dot" w:pos="9720"/>
        </w:tabs>
        <w:spacing w:before="0"/>
      </w:pPr>
      <w:r w:rsidRPr="00DF1884">
        <w:t>Weight</w:t>
      </w:r>
      <w:r w:rsidR="00DF1884" w:rsidRPr="00DF1884">
        <w:t xml:space="preserve"> </w:t>
      </w:r>
      <w:r w:rsidRPr="00DF1884">
        <w:t>Assessment</w:t>
      </w:r>
      <w:r w:rsidR="00DF1884" w:rsidRPr="00DF1884">
        <w:t xml:space="preserve"> </w:t>
      </w:r>
      <w:r w:rsidRPr="00DF1884">
        <w:t>and</w:t>
      </w:r>
      <w:r w:rsidR="00DF1884" w:rsidRPr="00DF1884">
        <w:t xml:space="preserve"> </w:t>
      </w:r>
      <w:r w:rsidRPr="00DF1884">
        <w:t>Counseling</w:t>
      </w:r>
      <w:r w:rsidR="00DF1884" w:rsidRPr="00DF1884">
        <w:t xml:space="preserve"> </w:t>
      </w:r>
      <w:r w:rsidRPr="00DF1884">
        <w:t>for</w:t>
      </w:r>
      <w:r w:rsidR="00DF1884" w:rsidRPr="00DF1884">
        <w:t xml:space="preserve"> </w:t>
      </w:r>
      <w:r w:rsidRPr="00DF1884">
        <w:t>Nutrition</w:t>
      </w:r>
      <w:r w:rsidR="00DF1884" w:rsidRPr="00DF1884">
        <w:t xml:space="preserve"> </w:t>
      </w:r>
      <w:r w:rsidRPr="00DF1884">
        <w:t>and</w:t>
      </w:r>
      <w:r w:rsidR="00DF1884" w:rsidRPr="00DF1884">
        <w:t xml:space="preserve"> </w:t>
      </w:r>
      <w:r w:rsidRPr="00DF1884">
        <w:t>Physical</w:t>
      </w:r>
      <w:r w:rsidR="00DF1884" w:rsidRPr="00DF1884">
        <w:t xml:space="preserve"> </w:t>
      </w:r>
      <w:r w:rsidRPr="00DF1884">
        <w:t>Activity</w:t>
      </w:r>
      <w:r w:rsidR="00DF1884" w:rsidRPr="00DF1884">
        <w:t xml:space="preserve"> </w:t>
      </w:r>
      <w:r w:rsidRPr="00DF1884">
        <w:t>for</w:t>
      </w:r>
      <w:r w:rsidR="00DF1884" w:rsidRPr="00DF1884">
        <w:t xml:space="preserve"> </w:t>
      </w:r>
      <w:r w:rsidRPr="00DF1884">
        <w:t>Children/Adolescents</w:t>
      </w:r>
      <w:r w:rsidRPr="00DF1884">
        <w:tab/>
        <w:t>59</w:t>
      </w:r>
    </w:p>
    <w:p w14:paraId="461F49A8" w14:textId="7903BD4F" w:rsidR="00463667" w:rsidRPr="00DF1884" w:rsidRDefault="00463667" w:rsidP="00463667">
      <w:pPr>
        <w:pStyle w:val="Body"/>
        <w:tabs>
          <w:tab w:val="right" w:leader="dot" w:pos="9720"/>
        </w:tabs>
        <w:spacing w:before="0"/>
      </w:pPr>
      <w:r w:rsidRPr="00DF1884">
        <w:t>Well-Child</w:t>
      </w:r>
      <w:r w:rsidR="00DF1884" w:rsidRPr="00DF1884">
        <w:t xml:space="preserve"> </w:t>
      </w:r>
      <w:r w:rsidRPr="00DF1884">
        <w:t>Visits</w:t>
      </w:r>
      <w:r w:rsidR="00DF1884" w:rsidRPr="00DF1884">
        <w:t xml:space="preserve"> </w:t>
      </w:r>
      <w:r w:rsidRPr="00DF1884">
        <w:t>in</w:t>
      </w:r>
      <w:r w:rsidR="00DF1884" w:rsidRPr="00DF1884">
        <w:t xml:space="preserve"> </w:t>
      </w:r>
      <w:r w:rsidRPr="00DF1884">
        <w:t>the</w:t>
      </w:r>
      <w:r w:rsidR="00DF1884" w:rsidRPr="00DF1884">
        <w:t xml:space="preserve"> </w:t>
      </w:r>
      <w:r w:rsidRPr="00DF1884">
        <w:t>First</w:t>
      </w:r>
      <w:r w:rsidR="00DF1884" w:rsidRPr="00DF1884">
        <w:t xml:space="preserve"> </w:t>
      </w:r>
      <w:r w:rsidRPr="00DF1884">
        <w:t>15</w:t>
      </w:r>
      <w:r w:rsidR="00DF1884" w:rsidRPr="00DF1884">
        <w:t xml:space="preserve"> </w:t>
      </w:r>
      <w:r w:rsidRPr="00DF1884">
        <w:t>Months</w:t>
      </w:r>
      <w:r w:rsidR="00DF1884" w:rsidRPr="00DF1884">
        <w:t xml:space="preserve"> </w:t>
      </w:r>
      <w:r w:rsidRPr="00DF1884">
        <w:t>of</w:t>
      </w:r>
      <w:r w:rsidR="00DF1884" w:rsidRPr="00DF1884">
        <w:t xml:space="preserve"> </w:t>
      </w:r>
      <w:r w:rsidR="001732BF">
        <w:t>Life</w:t>
      </w:r>
      <w:r w:rsidR="001732BF">
        <w:tab/>
        <w:t>281</w:t>
      </w:r>
    </w:p>
    <w:p w14:paraId="39599C35" w14:textId="69F36F5F" w:rsidR="00463667" w:rsidRPr="00DF1884" w:rsidRDefault="00463667" w:rsidP="00463667">
      <w:pPr>
        <w:pStyle w:val="Body"/>
        <w:tabs>
          <w:tab w:val="right" w:leader="dot" w:pos="9720"/>
        </w:tabs>
        <w:spacing w:before="0"/>
      </w:pPr>
      <w:r w:rsidRPr="00DF1884">
        <w:t>Well-Child</w:t>
      </w:r>
      <w:r w:rsidR="00DF1884" w:rsidRPr="00DF1884">
        <w:t xml:space="preserve"> </w:t>
      </w:r>
      <w:r w:rsidRPr="00DF1884">
        <w:t>Visits</w:t>
      </w:r>
      <w:r w:rsidR="00DF1884" w:rsidRPr="00DF1884">
        <w:t xml:space="preserve"> </w:t>
      </w:r>
      <w:r w:rsidRPr="00DF1884">
        <w:t>in</w:t>
      </w:r>
      <w:r w:rsidR="00DF1884" w:rsidRPr="00DF1884">
        <w:t xml:space="preserve"> </w:t>
      </w:r>
      <w:r w:rsidRPr="00DF1884">
        <w:t>the</w:t>
      </w:r>
      <w:r w:rsidR="00DF1884" w:rsidRPr="00DF1884">
        <w:t xml:space="preserve"> </w:t>
      </w:r>
      <w:r w:rsidRPr="00DF1884">
        <w:t>Third,</w:t>
      </w:r>
      <w:r w:rsidR="00DF1884" w:rsidRPr="00DF1884">
        <w:t xml:space="preserve"> </w:t>
      </w:r>
      <w:r w:rsidRPr="00DF1884">
        <w:t>Fourth,</w:t>
      </w:r>
      <w:r w:rsidR="00DF1884" w:rsidRPr="00DF1884">
        <w:t xml:space="preserve"> </w:t>
      </w:r>
      <w:r w:rsidRPr="00DF1884">
        <w:t>Fifth</w:t>
      </w:r>
      <w:r w:rsidR="00DF1884" w:rsidRPr="00DF1884">
        <w:t xml:space="preserve"> </w:t>
      </w:r>
      <w:r w:rsidRPr="00DF1884">
        <w:t>and</w:t>
      </w:r>
      <w:r w:rsidR="00DF1884" w:rsidRPr="00DF1884">
        <w:t xml:space="preserve"> </w:t>
      </w:r>
      <w:r w:rsidRPr="00DF1884">
        <w:t>Sixth</w:t>
      </w:r>
      <w:r w:rsidR="00DF1884" w:rsidRPr="00DF1884">
        <w:t xml:space="preserve"> </w:t>
      </w:r>
      <w:r w:rsidRPr="00DF1884">
        <w:t>Years</w:t>
      </w:r>
      <w:r w:rsidR="00DF1884" w:rsidRPr="00DF1884">
        <w:t xml:space="preserve"> </w:t>
      </w:r>
      <w:r w:rsidRPr="00DF1884">
        <w:t>of</w:t>
      </w:r>
      <w:r w:rsidR="00DF1884" w:rsidRPr="00DF1884">
        <w:t xml:space="preserve"> </w:t>
      </w:r>
      <w:r w:rsidR="001732BF">
        <w:t>Life</w:t>
      </w:r>
      <w:r w:rsidR="001732BF">
        <w:tab/>
        <w:t>284</w:t>
      </w:r>
    </w:p>
    <w:p w14:paraId="3DCA5F7E" w14:textId="77777777" w:rsidR="00463667" w:rsidRPr="00DF1884" w:rsidRDefault="00463667" w:rsidP="00463667">
      <w:pPr>
        <w:pStyle w:val="Body"/>
        <w:tabs>
          <w:tab w:val="right" w:leader="dot" w:pos="9720"/>
        </w:tabs>
        <w:spacing w:before="0"/>
      </w:pPr>
    </w:p>
    <w:p w14:paraId="17BE2E22" w14:textId="77777777" w:rsidR="00463667" w:rsidRPr="00DF1884" w:rsidRDefault="00463667" w:rsidP="00463667">
      <w:pPr>
        <w:pStyle w:val="Body"/>
        <w:tabs>
          <w:tab w:val="right" w:leader="dot" w:pos="9720"/>
        </w:tabs>
        <w:spacing w:before="0"/>
        <w:sectPr w:rsidR="00463667" w:rsidRPr="00DF1884" w:rsidSect="0039781B">
          <w:pgSz w:w="12240" w:h="15840" w:code="1"/>
          <w:pgMar w:top="1080" w:right="1080" w:bottom="1080" w:left="1440" w:header="720" w:footer="720" w:gutter="0"/>
          <w:cols w:space="720"/>
          <w:docGrid w:linePitch="360"/>
        </w:sectPr>
      </w:pPr>
    </w:p>
    <w:p w14:paraId="11D66286" w14:textId="77777777" w:rsidR="00F47C09" w:rsidRPr="00DF1884" w:rsidRDefault="00F47C09" w:rsidP="00463667">
      <w:pPr>
        <w:pStyle w:val="Body"/>
        <w:tabs>
          <w:tab w:val="right" w:leader="dot" w:pos="9720"/>
        </w:tabs>
        <w:spacing w:before="0"/>
        <w:sectPr w:rsidR="00F47C09" w:rsidRPr="00DF1884" w:rsidSect="0039781B">
          <w:headerReference w:type="even" r:id="rId125"/>
          <w:headerReference w:type="default" r:id="rId126"/>
          <w:footerReference w:type="even" r:id="rId127"/>
          <w:headerReference w:type="first" r:id="rId128"/>
          <w:footerReference w:type="first" r:id="rId129"/>
          <w:type w:val="evenPage"/>
          <w:pgSz w:w="12240" w:h="15840" w:code="1"/>
          <w:pgMar w:top="1080" w:right="1080" w:bottom="1080" w:left="1440" w:header="720" w:footer="720" w:gutter="0"/>
          <w:cols w:space="720"/>
        </w:sectPr>
      </w:pPr>
    </w:p>
    <w:p w14:paraId="75FC7B28" w14:textId="6E60C79A" w:rsidR="00463667" w:rsidRPr="00DF1884" w:rsidRDefault="00463667" w:rsidP="00F47C09">
      <w:pPr>
        <w:pStyle w:val="Breakpage"/>
      </w:pPr>
    </w:p>
    <w:p w14:paraId="11C07FC2" w14:textId="77777777" w:rsidR="00F47C09" w:rsidRPr="00DF1884" w:rsidRDefault="00F47C09" w:rsidP="00F47C09">
      <w:pPr>
        <w:pStyle w:val="Breakpage"/>
      </w:pPr>
    </w:p>
    <w:p w14:paraId="413A759F" w14:textId="77777777" w:rsidR="00F47C09" w:rsidRPr="00DF1884" w:rsidRDefault="00F47C09" w:rsidP="00F47C09">
      <w:pPr>
        <w:pStyle w:val="Breakpage"/>
      </w:pPr>
    </w:p>
    <w:p w14:paraId="6436091A" w14:textId="77777777" w:rsidR="00A56F37" w:rsidRPr="00DF1884" w:rsidRDefault="00A56F37" w:rsidP="00F47C09">
      <w:pPr>
        <w:pStyle w:val="Breakpage"/>
      </w:pPr>
    </w:p>
    <w:p w14:paraId="5F8A1F22" w14:textId="77777777" w:rsidR="009604F5" w:rsidRPr="00DF1884" w:rsidRDefault="009604F5" w:rsidP="00F47C09">
      <w:pPr>
        <w:pStyle w:val="Breakpage"/>
      </w:pPr>
    </w:p>
    <w:p w14:paraId="1409F397" w14:textId="17364588" w:rsidR="009604F5" w:rsidRPr="00DF1884" w:rsidRDefault="009604F5" w:rsidP="00F47C09">
      <w:pPr>
        <w:pStyle w:val="Breakpage"/>
      </w:pPr>
      <w:r w:rsidRPr="00DF1884">
        <w:t>Appendix</w:t>
      </w:r>
      <w:r w:rsidR="00DF1884" w:rsidRPr="00DF1884">
        <w:t xml:space="preserve"> </w:t>
      </w:r>
      <w:r w:rsidRPr="00DF1884">
        <w:t>7</w:t>
      </w:r>
    </w:p>
    <w:p w14:paraId="5CD29E7A" w14:textId="77777777" w:rsidR="009604F5" w:rsidRPr="00DF1884" w:rsidRDefault="009604F5" w:rsidP="009604F5">
      <w:pPr>
        <w:pStyle w:val="Breakpage"/>
      </w:pPr>
    </w:p>
    <w:p w14:paraId="1716981F" w14:textId="276C8430" w:rsidR="009604F5" w:rsidRPr="00DF1884" w:rsidRDefault="009604F5" w:rsidP="009604F5">
      <w:pPr>
        <w:pStyle w:val="Breakpage"/>
      </w:pPr>
      <w:r w:rsidRPr="00DF1884">
        <w:t>Logical</w:t>
      </w:r>
      <w:r w:rsidR="00DF1884" w:rsidRPr="00DF1884">
        <w:t xml:space="preserve"> </w:t>
      </w:r>
      <w:r w:rsidR="00C13A66" w:rsidRPr="00DF1884">
        <w:t>Measure</w:t>
      </w:r>
      <w:r w:rsidR="00DF1884" w:rsidRPr="00DF1884">
        <w:t xml:space="preserve"> </w:t>
      </w:r>
      <w:r w:rsidRPr="00DF1884">
        <w:t>Group</w:t>
      </w:r>
      <w:r w:rsidR="00C13A66" w:rsidRPr="00DF1884">
        <w:t>s</w:t>
      </w:r>
    </w:p>
    <w:p w14:paraId="03711C97" w14:textId="77777777" w:rsidR="00A56F37" w:rsidRPr="00DF1884" w:rsidRDefault="00A56F37" w:rsidP="009604F5">
      <w:pPr>
        <w:pStyle w:val="Breakpage"/>
        <w:sectPr w:rsidR="00A56F37" w:rsidRPr="00DF1884" w:rsidSect="0039781B">
          <w:headerReference w:type="default" r:id="rId130"/>
          <w:footerReference w:type="default" r:id="rId131"/>
          <w:pgSz w:w="12240" w:h="15840" w:code="1"/>
          <w:pgMar w:top="1080" w:right="1080" w:bottom="1080" w:left="1440" w:header="720" w:footer="720" w:gutter="0"/>
          <w:pgNumType w:start="1"/>
          <w:cols w:space="720"/>
        </w:sectPr>
      </w:pPr>
    </w:p>
    <w:p w14:paraId="4368CE79" w14:textId="30C7FE3C" w:rsidR="00A56F37" w:rsidRPr="00DF1884" w:rsidRDefault="00A56F37" w:rsidP="00A56F37"/>
    <w:p w14:paraId="58D6A305" w14:textId="77777777" w:rsidR="009604F5" w:rsidRPr="00DF1884" w:rsidRDefault="009604F5" w:rsidP="00A56F37">
      <w:pPr>
        <w:sectPr w:rsidR="009604F5" w:rsidRPr="00DF1884" w:rsidSect="0039781B">
          <w:headerReference w:type="even" r:id="rId132"/>
          <w:headerReference w:type="default" r:id="rId133"/>
          <w:type w:val="evenPage"/>
          <w:pgSz w:w="12240" w:h="15840" w:code="1"/>
          <w:pgMar w:top="1080" w:right="1080" w:bottom="1080" w:left="1440" w:header="720" w:footer="720" w:gutter="0"/>
          <w:pgNumType w:start="1"/>
          <w:cols w:space="720"/>
        </w:sectPr>
      </w:pPr>
    </w:p>
    <w:p w14:paraId="5BEE6230" w14:textId="1D3F2B20" w:rsidR="009604F5" w:rsidRPr="00DF1884" w:rsidRDefault="009604F5" w:rsidP="009604F5">
      <w:pPr>
        <w:pStyle w:val="SectionHead"/>
        <w:spacing w:after="120"/>
      </w:pPr>
      <w:r w:rsidRPr="00DF1884">
        <w:t>APPENDIX</w:t>
      </w:r>
      <w:r w:rsidR="00DF1884" w:rsidRPr="00DF1884">
        <w:t xml:space="preserve"> </w:t>
      </w:r>
      <w:r w:rsidRPr="00DF1884">
        <w:t>7</w:t>
      </w:r>
    </w:p>
    <w:p w14:paraId="6339A2BA" w14:textId="58FE34BE" w:rsidR="009604F5" w:rsidRPr="00DF1884" w:rsidRDefault="009604F5" w:rsidP="009604F5">
      <w:pPr>
        <w:pStyle w:val="SectionHead"/>
        <w:rPr>
          <w:sz w:val="28"/>
        </w:rPr>
      </w:pPr>
      <w:r w:rsidRPr="00DF1884">
        <w:rPr>
          <w:sz w:val="28"/>
        </w:rPr>
        <w:t>LOGICAL</w:t>
      </w:r>
      <w:r w:rsidR="00DF1884" w:rsidRPr="00DF1884">
        <w:rPr>
          <w:sz w:val="28"/>
        </w:rPr>
        <w:t xml:space="preserve"> </w:t>
      </w:r>
      <w:r w:rsidRPr="00DF1884">
        <w:rPr>
          <w:sz w:val="28"/>
        </w:rPr>
        <w:t>MEASURE</w:t>
      </w:r>
      <w:r w:rsidR="00DF1884" w:rsidRPr="00DF1884">
        <w:rPr>
          <w:sz w:val="28"/>
        </w:rPr>
        <w:t xml:space="preserve"> </w:t>
      </w:r>
      <w:r w:rsidR="00C13A66" w:rsidRPr="00DF1884">
        <w:rPr>
          <w:sz w:val="28"/>
        </w:rPr>
        <w:t>GROUPS</w:t>
      </w:r>
    </w:p>
    <w:tbl>
      <w:tblPr>
        <w:tblW w:w="9712" w:type="dxa"/>
        <w:tblLayout w:type="fixed"/>
        <w:tblLook w:val="0000" w:firstRow="0" w:lastRow="0" w:firstColumn="0" w:lastColumn="0" w:noHBand="0" w:noVBand="0"/>
      </w:tblPr>
      <w:tblGrid>
        <w:gridCol w:w="1753"/>
        <w:gridCol w:w="468"/>
        <w:gridCol w:w="468"/>
        <w:gridCol w:w="468"/>
        <w:gridCol w:w="468"/>
        <w:gridCol w:w="468"/>
        <w:gridCol w:w="469"/>
        <w:gridCol w:w="468"/>
        <w:gridCol w:w="468"/>
        <w:gridCol w:w="468"/>
        <w:gridCol w:w="468"/>
        <w:gridCol w:w="468"/>
        <w:gridCol w:w="469"/>
        <w:gridCol w:w="468"/>
        <w:gridCol w:w="468"/>
        <w:gridCol w:w="468"/>
        <w:gridCol w:w="468"/>
        <w:gridCol w:w="469"/>
      </w:tblGrid>
      <w:tr w:rsidR="004414AB" w:rsidRPr="00DF1884" w14:paraId="6CCF4717" w14:textId="77777777" w:rsidTr="003869BD">
        <w:trPr>
          <w:cantSplit/>
        </w:trPr>
        <w:tc>
          <w:tcPr>
            <w:tcW w:w="9712" w:type="dxa"/>
            <w:gridSpan w:val="18"/>
            <w:tcBorders>
              <w:top w:val="single" w:sz="4" w:space="0" w:color="FFFFFF"/>
              <w:left w:val="single" w:sz="6" w:space="0" w:color="auto"/>
              <w:bottom w:val="single" w:sz="6" w:space="0" w:color="FFFFFF" w:themeColor="background1"/>
              <w:right w:val="single" w:sz="6" w:space="0" w:color="000000" w:themeColor="text1"/>
            </w:tcBorders>
            <w:shd w:val="clear" w:color="auto" w:fill="000000"/>
          </w:tcPr>
          <w:p w14:paraId="5ABBAC56" w14:textId="3979DB2D" w:rsidR="004414AB" w:rsidRPr="00DF1884" w:rsidRDefault="004414AB" w:rsidP="00E9531F">
            <w:pPr>
              <w:pStyle w:val="TableHead"/>
              <w:rPr>
                <w:color w:val="auto"/>
              </w:rPr>
            </w:pPr>
            <w:r w:rsidRPr="00DF1884">
              <w:rPr>
                <w:color w:val="auto"/>
              </w:rPr>
              <w:t xml:space="preserve">EFFECTIVENESS OF CARE MEASURES </w:t>
            </w:r>
          </w:p>
        </w:tc>
      </w:tr>
      <w:tr w:rsidR="004414AB" w:rsidRPr="00DF1884" w14:paraId="2AB00E97" w14:textId="77777777" w:rsidTr="004414AB">
        <w:trPr>
          <w:cantSplit/>
          <w:trHeight w:val="575"/>
        </w:trPr>
        <w:tc>
          <w:tcPr>
            <w:tcW w:w="1753" w:type="dxa"/>
            <w:tcBorders>
              <w:top w:val="single" w:sz="6" w:space="0" w:color="FFFFFF" w:themeColor="background1"/>
              <w:left w:val="single" w:sz="6" w:space="0" w:color="auto"/>
              <w:bottom w:val="single" w:sz="6" w:space="0" w:color="auto"/>
              <w:right w:val="single" w:sz="6" w:space="0" w:color="FFFFFF"/>
            </w:tcBorders>
            <w:shd w:val="clear" w:color="auto" w:fill="000000"/>
            <w:tcMar>
              <w:left w:w="43" w:type="dxa"/>
              <w:right w:w="43" w:type="dxa"/>
            </w:tcMar>
            <w:vAlign w:val="bottom"/>
          </w:tcPr>
          <w:p w14:paraId="66E7341D" w14:textId="531BD0C5" w:rsidR="004414AB" w:rsidRPr="00DF1884" w:rsidRDefault="004414AB" w:rsidP="00E9531F">
            <w:pPr>
              <w:pStyle w:val="TableHead"/>
              <w:rPr>
                <w:color w:val="auto"/>
              </w:rPr>
            </w:pPr>
            <w:r w:rsidRPr="00DF1884">
              <w:rPr>
                <w:color w:val="auto"/>
                <w:sz w:val="18"/>
                <w:szCs w:val="18"/>
              </w:rPr>
              <w:br w:type="page"/>
            </w:r>
            <w:r w:rsidRPr="00DF1884">
              <w:rPr>
                <w:color w:val="auto"/>
              </w:rPr>
              <w:t>Logical Group</w:t>
            </w:r>
          </w:p>
        </w:tc>
        <w:tc>
          <w:tcPr>
            <w:tcW w:w="468"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4EC738FE" w14:textId="77777777" w:rsidR="004414AB" w:rsidRPr="00DF1884" w:rsidRDefault="004414AB" w:rsidP="00E9531F">
            <w:pPr>
              <w:pStyle w:val="TableHead"/>
              <w:spacing w:before="0" w:after="0"/>
              <w:ind w:left="29"/>
              <w:jc w:val="left"/>
              <w:rPr>
                <w:color w:val="auto"/>
              </w:rPr>
            </w:pPr>
            <w:r w:rsidRPr="00DF1884">
              <w:rPr>
                <w:color w:val="auto"/>
              </w:rPr>
              <w:t>ABA</w:t>
            </w:r>
          </w:p>
        </w:tc>
        <w:tc>
          <w:tcPr>
            <w:tcW w:w="468"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4BE236CC" w14:textId="77777777" w:rsidR="004414AB" w:rsidRPr="00DF1884" w:rsidRDefault="004414AB" w:rsidP="00E9531F">
            <w:pPr>
              <w:pStyle w:val="TableHead"/>
              <w:spacing w:before="0" w:after="0"/>
              <w:ind w:left="29"/>
              <w:jc w:val="left"/>
              <w:rPr>
                <w:color w:val="auto"/>
              </w:rPr>
            </w:pPr>
            <w:r w:rsidRPr="00DF1884">
              <w:rPr>
                <w:color w:val="auto"/>
              </w:rPr>
              <w:t>WCC</w:t>
            </w:r>
          </w:p>
        </w:tc>
        <w:tc>
          <w:tcPr>
            <w:tcW w:w="468"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405D17BC" w14:textId="77777777" w:rsidR="004414AB" w:rsidRPr="00DF1884" w:rsidRDefault="004414AB" w:rsidP="00E9531F">
            <w:pPr>
              <w:pStyle w:val="TableHead"/>
              <w:spacing w:before="0" w:after="0"/>
              <w:ind w:left="29"/>
              <w:jc w:val="left"/>
              <w:rPr>
                <w:color w:val="auto"/>
              </w:rPr>
            </w:pPr>
            <w:r w:rsidRPr="00DF1884">
              <w:rPr>
                <w:color w:val="auto"/>
              </w:rPr>
              <w:t>CIS</w:t>
            </w:r>
          </w:p>
        </w:tc>
        <w:tc>
          <w:tcPr>
            <w:tcW w:w="468"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tcPr>
          <w:p w14:paraId="4E646927" w14:textId="77777777" w:rsidR="004414AB" w:rsidRPr="00DF1884" w:rsidRDefault="004414AB" w:rsidP="00E9531F">
            <w:pPr>
              <w:pStyle w:val="TableHead"/>
              <w:spacing w:before="0" w:after="0"/>
              <w:ind w:left="29"/>
              <w:jc w:val="left"/>
              <w:rPr>
                <w:color w:val="auto"/>
              </w:rPr>
            </w:pPr>
            <w:r w:rsidRPr="00DF1884">
              <w:rPr>
                <w:color w:val="auto"/>
              </w:rPr>
              <w:t>IMA</w:t>
            </w:r>
          </w:p>
        </w:tc>
        <w:tc>
          <w:tcPr>
            <w:tcW w:w="468"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tcPr>
          <w:p w14:paraId="7D22DF8C" w14:textId="77777777" w:rsidR="004414AB" w:rsidRPr="00DF1884" w:rsidRDefault="004414AB" w:rsidP="00E9531F">
            <w:pPr>
              <w:pStyle w:val="TableHead"/>
              <w:spacing w:before="0" w:after="0"/>
              <w:ind w:left="29"/>
              <w:jc w:val="left"/>
              <w:rPr>
                <w:color w:val="auto"/>
              </w:rPr>
            </w:pPr>
            <w:r w:rsidRPr="00DF1884">
              <w:rPr>
                <w:color w:val="auto"/>
              </w:rPr>
              <w:t>HPV</w:t>
            </w:r>
          </w:p>
        </w:tc>
        <w:tc>
          <w:tcPr>
            <w:tcW w:w="469"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3DE6EAA8" w14:textId="77777777" w:rsidR="004414AB" w:rsidRPr="00DF1884" w:rsidRDefault="004414AB" w:rsidP="00E9531F">
            <w:pPr>
              <w:pStyle w:val="TableHead"/>
              <w:spacing w:before="0" w:after="0"/>
              <w:ind w:left="29"/>
              <w:jc w:val="left"/>
              <w:rPr>
                <w:color w:val="auto"/>
              </w:rPr>
            </w:pPr>
            <w:r w:rsidRPr="00DF1884">
              <w:rPr>
                <w:color w:val="auto"/>
              </w:rPr>
              <w:t>LSC</w:t>
            </w:r>
          </w:p>
        </w:tc>
        <w:tc>
          <w:tcPr>
            <w:tcW w:w="468"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5EC4FEFA" w14:textId="77777777" w:rsidR="004414AB" w:rsidRPr="00DF1884" w:rsidRDefault="004414AB" w:rsidP="00E9531F">
            <w:pPr>
              <w:pStyle w:val="TableHead"/>
              <w:spacing w:before="0" w:after="0"/>
              <w:ind w:left="29"/>
              <w:jc w:val="left"/>
              <w:rPr>
                <w:color w:val="auto"/>
              </w:rPr>
            </w:pPr>
            <w:r w:rsidRPr="00DF1884">
              <w:rPr>
                <w:color w:val="auto"/>
              </w:rPr>
              <w:t>BCS</w:t>
            </w:r>
          </w:p>
        </w:tc>
        <w:tc>
          <w:tcPr>
            <w:tcW w:w="468"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4676B5C1" w14:textId="77777777" w:rsidR="004414AB" w:rsidRPr="00DF1884" w:rsidRDefault="004414AB" w:rsidP="00E9531F">
            <w:pPr>
              <w:pStyle w:val="TableHead"/>
              <w:spacing w:before="0" w:after="0"/>
              <w:ind w:left="29"/>
              <w:jc w:val="left"/>
              <w:rPr>
                <w:color w:val="auto"/>
              </w:rPr>
            </w:pPr>
            <w:r w:rsidRPr="00DF1884">
              <w:rPr>
                <w:color w:val="auto"/>
              </w:rPr>
              <w:t>CCS</w:t>
            </w:r>
          </w:p>
        </w:tc>
        <w:tc>
          <w:tcPr>
            <w:tcW w:w="468"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2F684531" w14:textId="77777777" w:rsidR="004414AB" w:rsidRPr="00DF1884" w:rsidRDefault="004414AB" w:rsidP="00E9531F">
            <w:pPr>
              <w:pStyle w:val="TableHead"/>
              <w:spacing w:before="0" w:after="0"/>
              <w:ind w:left="29"/>
              <w:jc w:val="left"/>
              <w:rPr>
                <w:color w:val="auto"/>
              </w:rPr>
            </w:pPr>
            <w:r w:rsidRPr="00DF1884">
              <w:rPr>
                <w:color w:val="auto"/>
              </w:rPr>
              <w:t>COL</w:t>
            </w:r>
          </w:p>
        </w:tc>
        <w:tc>
          <w:tcPr>
            <w:tcW w:w="468"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4E33390C" w14:textId="77777777" w:rsidR="004414AB" w:rsidRPr="00DF1884" w:rsidRDefault="004414AB" w:rsidP="00E9531F">
            <w:pPr>
              <w:pStyle w:val="TableHead"/>
              <w:spacing w:before="0" w:after="0"/>
              <w:ind w:left="29"/>
              <w:jc w:val="left"/>
              <w:rPr>
                <w:color w:val="auto"/>
              </w:rPr>
            </w:pPr>
            <w:r w:rsidRPr="00DF1884">
              <w:rPr>
                <w:color w:val="auto"/>
              </w:rPr>
              <w:t>CHL</w:t>
            </w:r>
          </w:p>
        </w:tc>
        <w:tc>
          <w:tcPr>
            <w:tcW w:w="468"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5D6E01A2" w14:textId="77777777" w:rsidR="004414AB" w:rsidRPr="00DF1884" w:rsidRDefault="004414AB" w:rsidP="00E9531F">
            <w:pPr>
              <w:pStyle w:val="TableHead"/>
              <w:spacing w:before="0" w:after="0"/>
              <w:ind w:left="29"/>
              <w:jc w:val="left"/>
              <w:rPr>
                <w:color w:val="auto"/>
              </w:rPr>
            </w:pPr>
            <w:r w:rsidRPr="00DF1884">
              <w:rPr>
                <w:color w:val="auto"/>
              </w:rPr>
              <w:t>COA</w:t>
            </w:r>
          </w:p>
        </w:tc>
        <w:tc>
          <w:tcPr>
            <w:tcW w:w="469" w:type="dxa"/>
            <w:tcBorders>
              <w:top w:val="single" w:sz="6" w:space="0" w:color="FFFFFF" w:themeColor="background1"/>
              <w:left w:val="single" w:sz="6" w:space="0" w:color="FFFFFF"/>
              <w:bottom w:val="single" w:sz="6" w:space="0" w:color="auto"/>
              <w:right w:val="single" w:sz="4" w:space="0" w:color="FFFFFF"/>
            </w:tcBorders>
            <w:shd w:val="clear" w:color="auto" w:fill="000000"/>
            <w:tcMar>
              <w:left w:w="43" w:type="dxa"/>
              <w:right w:w="43" w:type="dxa"/>
            </w:tcMar>
            <w:textDirection w:val="btLr"/>
            <w:vAlign w:val="center"/>
          </w:tcPr>
          <w:p w14:paraId="60418ED9" w14:textId="77777777" w:rsidR="004414AB" w:rsidRPr="00DF1884" w:rsidRDefault="004414AB" w:rsidP="00E9531F">
            <w:pPr>
              <w:pStyle w:val="TableHead"/>
              <w:spacing w:before="0" w:after="0"/>
              <w:ind w:left="29"/>
              <w:jc w:val="left"/>
              <w:rPr>
                <w:color w:val="auto"/>
              </w:rPr>
            </w:pPr>
            <w:r w:rsidRPr="00DF1884">
              <w:rPr>
                <w:color w:val="auto"/>
              </w:rPr>
              <w:t>CWP</w:t>
            </w:r>
          </w:p>
        </w:tc>
        <w:tc>
          <w:tcPr>
            <w:tcW w:w="468"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vAlign w:val="center"/>
          </w:tcPr>
          <w:p w14:paraId="39CDB67E" w14:textId="77777777" w:rsidR="004414AB" w:rsidRPr="00DF1884" w:rsidRDefault="004414AB" w:rsidP="00E9531F">
            <w:pPr>
              <w:pStyle w:val="TableHead"/>
              <w:spacing w:before="0" w:after="0"/>
              <w:ind w:left="29"/>
              <w:jc w:val="left"/>
              <w:rPr>
                <w:color w:val="auto"/>
              </w:rPr>
            </w:pPr>
            <w:r w:rsidRPr="00DF1884">
              <w:rPr>
                <w:color w:val="auto"/>
              </w:rPr>
              <w:t>SPR</w:t>
            </w:r>
          </w:p>
        </w:tc>
        <w:tc>
          <w:tcPr>
            <w:tcW w:w="468"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vAlign w:val="center"/>
          </w:tcPr>
          <w:p w14:paraId="23DECAB4" w14:textId="77777777" w:rsidR="004414AB" w:rsidRPr="00DF1884" w:rsidRDefault="004414AB" w:rsidP="00E9531F">
            <w:pPr>
              <w:pStyle w:val="TableHead"/>
              <w:spacing w:before="0" w:after="0"/>
              <w:ind w:left="29"/>
              <w:jc w:val="left"/>
              <w:rPr>
                <w:color w:val="auto"/>
              </w:rPr>
            </w:pPr>
            <w:r w:rsidRPr="00DF1884">
              <w:rPr>
                <w:color w:val="auto"/>
              </w:rPr>
              <w:t>PCE</w:t>
            </w:r>
          </w:p>
        </w:tc>
        <w:tc>
          <w:tcPr>
            <w:tcW w:w="468"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tcPr>
          <w:p w14:paraId="3ADD01E7" w14:textId="77777777" w:rsidR="004414AB" w:rsidRPr="00DF1884" w:rsidRDefault="004414AB" w:rsidP="00E9531F">
            <w:pPr>
              <w:ind w:left="29"/>
              <w:rPr>
                <w:rFonts w:ascii="Arial Narrow Bold" w:hAnsi="Arial Narrow"/>
                <w:szCs w:val="20"/>
              </w:rPr>
            </w:pPr>
            <w:r w:rsidRPr="00DF1884">
              <w:rPr>
                <w:rFonts w:ascii="Arial Narrow Bold" w:hAnsi="Arial Narrow"/>
                <w:szCs w:val="20"/>
              </w:rPr>
              <w:t>MMA</w:t>
            </w:r>
          </w:p>
        </w:tc>
        <w:tc>
          <w:tcPr>
            <w:tcW w:w="468" w:type="dxa"/>
            <w:tcBorders>
              <w:top w:val="single" w:sz="6" w:space="0" w:color="FFFFFF" w:themeColor="background1"/>
              <w:left w:val="single" w:sz="4" w:space="0" w:color="FFFFFF"/>
              <w:bottom w:val="single" w:sz="6" w:space="0" w:color="auto"/>
              <w:right w:val="single" w:sz="4" w:space="0" w:color="FFFFFF"/>
            </w:tcBorders>
            <w:shd w:val="clear" w:color="auto" w:fill="000000"/>
            <w:textDirection w:val="btLr"/>
          </w:tcPr>
          <w:p w14:paraId="38B2B4F9" w14:textId="0ED75D2B" w:rsidR="004414AB" w:rsidRPr="00DF1884" w:rsidRDefault="004414AB" w:rsidP="004414AB">
            <w:pPr>
              <w:spacing w:line="276" w:lineRule="auto"/>
              <w:rPr>
                <w:rFonts w:ascii="Arial Narrow Bold" w:hAnsi="Arial Narrow"/>
                <w:szCs w:val="20"/>
              </w:rPr>
            </w:pPr>
            <w:r w:rsidRPr="00DF1884">
              <w:rPr>
                <w:rFonts w:ascii="Arial Narrow Bold" w:hAnsi="Arial Narrow"/>
                <w:szCs w:val="20"/>
              </w:rPr>
              <w:t>AMR</w:t>
            </w:r>
          </w:p>
        </w:tc>
        <w:tc>
          <w:tcPr>
            <w:tcW w:w="469" w:type="dxa"/>
            <w:tcBorders>
              <w:top w:val="single" w:sz="6" w:space="0" w:color="FFFFFF" w:themeColor="background1"/>
              <w:left w:val="single" w:sz="4" w:space="0" w:color="FFFFFF"/>
              <w:bottom w:val="single" w:sz="6" w:space="0" w:color="auto"/>
              <w:right w:val="single" w:sz="6" w:space="0" w:color="000000" w:themeColor="text1"/>
            </w:tcBorders>
            <w:shd w:val="clear" w:color="auto" w:fill="000000"/>
            <w:tcMar>
              <w:left w:w="43" w:type="dxa"/>
              <w:right w:w="43" w:type="dxa"/>
            </w:tcMar>
            <w:textDirection w:val="btLr"/>
            <w:vAlign w:val="center"/>
          </w:tcPr>
          <w:p w14:paraId="3AD579D7" w14:textId="77777777" w:rsidR="004414AB" w:rsidRPr="00DF1884" w:rsidRDefault="004414AB" w:rsidP="00E9531F">
            <w:pPr>
              <w:ind w:left="29"/>
              <w:rPr>
                <w:rFonts w:ascii="Arial Narrow Bold" w:hAnsi="Arial Narrow"/>
                <w:szCs w:val="20"/>
              </w:rPr>
            </w:pPr>
            <w:r w:rsidRPr="00DF1884">
              <w:rPr>
                <w:rFonts w:ascii="Arial Narrow Bold" w:hAnsi="Arial Narrow"/>
                <w:szCs w:val="20"/>
              </w:rPr>
              <w:t>CBP</w:t>
            </w:r>
          </w:p>
        </w:tc>
      </w:tr>
      <w:tr w:rsidR="004414AB" w:rsidRPr="00DF1884" w14:paraId="4A56549D" w14:textId="77777777" w:rsidTr="00932F29">
        <w:tc>
          <w:tcPr>
            <w:tcW w:w="1753" w:type="dxa"/>
            <w:tcBorders>
              <w:top w:val="single" w:sz="6" w:space="0" w:color="auto"/>
              <w:left w:val="single" w:sz="6" w:space="0" w:color="auto"/>
              <w:bottom w:val="single" w:sz="6" w:space="0" w:color="auto"/>
              <w:right w:val="single" w:sz="6" w:space="0" w:color="auto"/>
            </w:tcBorders>
            <w:shd w:val="clear" w:color="auto" w:fill="auto"/>
            <w:tcMar>
              <w:left w:w="43" w:type="dxa"/>
              <w:right w:w="43" w:type="dxa"/>
            </w:tcMar>
            <w:vAlign w:val="center"/>
          </w:tcPr>
          <w:p w14:paraId="3F2C7665" w14:textId="77777777" w:rsidR="004414AB" w:rsidRPr="00DF1884" w:rsidRDefault="004414AB" w:rsidP="00E9531F">
            <w:pPr>
              <w:pStyle w:val="TableText"/>
              <w:rPr>
                <w:szCs w:val="20"/>
              </w:rPr>
            </w:pPr>
            <w:r w:rsidRPr="00DF1884">
              <w:rPr>
                <w:szCs w:val="20"/>
              </w:rPr>
              <w:t>Commercial</w:t>
            </w:r>
          </w:p>
        </w:tc>
        <w:tc>
          <w:tcPr>
            <w:tcW w:w="46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14:paraId="27C6DBBB"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14:paraId="12E86303"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14:paraId="782B27E7"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14:paraId="2AA6C381"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14:paraId="5AA6E5A2"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14:paraId="4FC4536A"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14:paraId="39C0E200"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14:paraId="37AAE155"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14:paraId="7B8C90AF"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14:paraId="5A9794B7"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14:paraId="6A2BE906"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14:paraId="31978BFC"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14:paraId="47300623"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14:paraId="186842AA"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14:paraId="02E1BE5A"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vAlign w:val="center"/>
          </w:tcPr>
          <w:p w14:paraId="29503E44"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14:paraId="067179B2" w14:textId="77777777" w:rsidR="004414AB" w:rsidRPr="00DF1884" w:rsidRDefault="004414AB" w:rsidP="00932F29">
            <w:pPr>
              <w:pStyle w:val="TableText"/>
              <w:jc w:val="center"/>
              <w:rPr>
                <w:sz w:val="22"/>
                <w:szCs w:val="22"/>
              </w:rPr>
            </w:pPr>
            <w:r w:rsidRPr="00DF1884">
              <w:rPr>
                <w:sz w:val="22"/>
                <w:szCs w:val="22"/>
              </w:rPr>
              <w:sym w:font="Wingdings" w:char="F0FC"/>
            </w:r>
          </w:p>
        </w:tc>
      </w:tr>
      <w:tr w:rsidR="00FA2F7C" w:rsidRPr="00DF1884" w14:paraId="35C64EE8" w14:textId="77777777" w:rsidTr="00932F29">
        <w:tc>
          <w:tcPr>
            <w:tcW w:w="175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CF8F8A7" w14:textId="1CCC0C0E" w:rsidR="004414AB" w:rsidRPr="00DF1884" w:rsidRDefault="004414AB" w:rsidP="00E9531F">
            <w:pPr>
              <w:pStyle w:val="TableText"/>
              <w:rPr>
                <w:szCs w:val="20"/>
              </w:rPr>
            </w:pPr>
            <w:r w:rsidRPr="00DF1884">
              <w:rPr>
                <w:szCs w:val="20"/>
              </w:rPr>
              <w:t>Medicare</w:t>
            </w:r>
            <w:r w:rsidR="000B204C">
              <w:rPr>
                <w:sz w:val="22"/>
                <w:szCs w:val="22"/>
                <w:vertAlign w:val="superscript"/>
              </w:rPr>
              <w:t>1</w:t>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66814E8"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1F6D40A"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531293E"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A0836C5"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82A0F17"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091B201"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066C999"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250C887"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877475C"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2F94F2B"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0EAEDDC"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FB3CDC3"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A77CACF"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0AC42FD"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4B4C0E3" w14:textId="0E555816"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5587610" w14:textId="7C8E64B2" w:rsidR="004414AB" w:rsidRPr="00DF1884" w:rsidRDefault="004414AB" w:rsidP="00932F29">
            <w:pPr>
              <w:pStyle w:val="TableText"/>
              <w:jc w:val="center"/>
              <w:rPr>
                <w:sz w:val="22"/>
                <w:szCs w:val="22"/>
              </w:rPr>
            </w:pPr>
            <w:r w:rsidRPr="00DF1884">
              <w:rPr>
                <w:sz w:val="22"/>
                <w:szCs w:val="22"/>
              </w:rPr>
              <w:sym w:font="Wingdings" w:char="F0FC"/>
            </w:r>
          </w:p>
        </w:tc>
        <w:tc>
          <w:tcPr>
            <w:tcW w:w="46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DB64D74" w14:textId="77777777" w:rsidR="004414AB" w:rsidRPr="00DF1884" w:rsidRDefault="004414AB" w:rsidP="00932F29">
            <w:pPr>
              <w:pStyle w:val="TableText"/>
              <w:jc w:val="center"/>
              <w:rPr>
                <w:sz w:val="22"/>
                <w:szCs w:val="22"/>
              </w:rPr>
            </w:pPr>
            <w:r w:rsidRPr="00DF1884">
              <w:rPr>
                <w:sz w:val="22"/>
                <w:szCs w:val="22"/>
              </w:rPr>
              <w:sym w:font="Wingdings" w:char="F0FC"/>
            </w:r>
          </w:p>
        </w:tc>
      </w:tr>
      <w:tr w:rsidR="004414AB" w:rsidRPr="00DF1884" w14:paraId="675645B7" w14:textId="77777777" w:rsidTr="00932F29">
        <w:tc>
          <w:tcPr>
            <w:tcW w:w="1753"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3CDE61D" w14:textId="77777777" w:rsidR="004414AB" w:rsidRPr="00DF1884" w:rsidRDefault="004414AB" w:rsidP="00E9531F">
            <w:pPr>
              <w:pStyle w:val="TableText"/>
              <w:rPr>
                <w:szCs w:val="20"/>
              </w:rPr>
            </w:pPr>
            <w:r w:rsidRPr="00DF1884">
              <w:rPr>
                <w:szCs w:val="20"/>
              </w:rPr>
              <w:t>Medicaid</w:t>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D01931E"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075C2A9"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0B9A249"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C93C301"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BACDA33"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9"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13BB265"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A377454"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C7697B9"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3BBD47A"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7D33274"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87F7E01"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E11CD8B"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F716E90"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DAB5D42"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521EC8E"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17CD5B5"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9"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D1F5D96" w14:textId="77777777" w:rsidR="004414AB" w:rsidRPr="00DF1884" w:rsidRDefault="004414AB" w:rsidP="00932F29">
            <w:pPr>
              <w:pStyle w:val="TableText"/>
              <w:jc w:val="center"/>
              <w:rPr>
                <w:sz w:val="22"/>
                <w:szCs w:val="22"/>
              </w:rPr>
            </w:pPr>
            <w:r w:rsidRPr="00DF1884">
              <w:rPr>
                <w:sz w:val="22"/>
                <w:szCs w:val="22"/>
              </w:rPr>
              <w:sym w:font="Wingdings" w:char="F0FC"/>
            </w:r>
          </w:p>
        </w:tc>
      </w:tr>
      <w:tr w:rsidR="00FA2F7C" w:rsidRPr="00DF1884" w14:paraId="2F3F901F" w14:textId="77777777" w:rsidTr="00932F29">
        <w:tc>
          <w:tcPr>
            <w:tcW w:w="175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D1451FC" w14:textId="22DDE7C8" w:rsidR="004414AB" w:rsidRPr="00DF1884" w:rsidRDefault="004414AB" w:rsidP="00E9531F">
            <w:pPr>
              <w:pStyle w:val="TableText"/>
              <w:rPr>
                <w:szCs w:val="20"/>
              </w:rPr>
            </w:pPr>
            <w:r w:rsidRPr="00DF1884">
              <w:rPr>
                <w:szCs w:val="20"/>
              </w:rPr>
              <w:t>Claims-based denominator</w:t>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F9A2B0E"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8729154"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E3E03CD"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C24C9D5"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A5FBBAF"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5AFF11A"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9C16C0E"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C5B275B"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D1C9712"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CDC899E"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9465D24"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B701508"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DF5A275"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3662C9C"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38C08ED"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E3F5EBE"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0224F0E" w14:textId="77777777" w:rsidR="004414AB" w:rsidRPr="00DF1884" w:rsidRDefault="004414AB" w:rsidP="00932F29">
            <w:pPr>
              <w:pStyle w:val="TableText"/>
              <w:jc w:val="center"/>
              <w:rPr>
                <w:sz w:val="22"/>
                <w:szCs w:val="22"/>
              </w:rPr>
            </w:pPr>
            <w:r w:rsidRPr="00DF1884">
              <w:rPr>
                <w:sz w:val="22"/>
                <w:szCs w:val="22"/>
              </w:rPr>
              <w:sym w:font="Wingdings" w:char="F0FC"/>
            </w:r>
          </w:p>
        </w:tc>
      </w:tr>
      <w:tr w:rsidR="004414AB" w:rsidRPr="00DF1884" w14:paraId="11957E52" w14:textId="77777777" w:rsidTr="00932F29">
        <w:tc>
          <w:tcPr>
            <w:tcW w:w="1753"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488CC68" w14:textId="5D2A5626" w:rsidR="004414AB" w:rsidRPr="00DF1884" w:rsidRDefault="004414AB" w:rsidP="00E9531F">
            <w:pPr>
              <w:pStyle w:val="TableText"/>
              <w:rPr>
                <w:szCs w:val="20"/>
              </w:rPr>
            </w:pPr>
            <w:r w:rsidRPr="00DF1884">
              <w:rPr>
                <w:szCs w:val="20"/>
              </w:rPr>
              <w:t>Membership-based denominator</w:t>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F166EC5"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AA4763A"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2584FE2"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0FD6F84"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5ABC956"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9"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A57AC6D"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07EC22E"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9EC2238"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A48C929"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55A21EE"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C65B929"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9"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57D43EB"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E61CA25"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894C6C1"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C90472C"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6072E97"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C9314E5" w14:textId="77777777" w:rsidR="004414AB" w:rsidRPr="00DF1884" w:rsidRDefault="004414AB" w:rsidP="00932F29">
            <w:pPr>
              <w:pStyle w:val="TableText"/>
              <w:jc w:val="center"/>
              <w:rPr>
                <w:sz w:val="22"/>
                <w:szCs w:val="22"/>
              </w:rPr>
            </w:pPr>
          </w:p>
        </w:tc>
      </w:tr>
      <w:tr w:rsidR="00FA2F7C" w:rsidRPr="00DF1884" w14:paraId="35E456C2" w14:textId="77777777" w:rsidTr="00932F29">
        <w:tc>
          <w:tcPr>
            <w:tcW w:w="175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F1BBD32" w14:textId="46E5C695" w:rsidR="004414AB" w:rsidRPr="00DF1884" w:rsidRDefault="004414AB" w:rsidP="00E9531F">
            <w:pPr>
              <w:pStyle w:val="TableText"/>
              <w:rPr>
                <w:szCs w:val="20"/>
              </w:rPr>
            </w:pPr>
            <w:r w:rsidRPr="00DF1884">
              <w:rPr>
                <w:szCs w:val="20"/>
              </w:rPr>
              <w:t>Pharmacy benefit</w:t>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63603D9"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13E901E"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82BCB82"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32AF067"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1555F67"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339F743"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1CFC77E"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B24F3E1"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B283E7B"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1F1B1F9"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75709D1"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12076D6"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099EFDB"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C935F9B"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B0217E5"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A5BA041"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81FC564" w14:textId="77777777" w:rsidR="004414AB" w:rsidRPr="00DF1884" w:rsidRDefault="004414AB" w:rsidP="00932F29">
            <w:pPr>
              <w:pStyle w:val="TableText"/>
              <w:jc w:val="center"/>
              <w:rPr>
                <w:sz w:val="22"/>
                <w:szCs w:val="22"/>
              </w:rPr>
            </w:pPr>
          </w:p>
        </w:tc>
      </w:tr>
      <w:tr w:rsidR="004414AB" w:rsidRPr="00DF1884" w14:paraId="67C93876" w14:textId="77777777" w:rsidTr="00932F29">
        <w:tc>
          <w:tcPr>
            <w:tcW w:w="1753"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3E12A9E" w14:textId="0F707B3B" w:rsidR="004414AB" w:rsidRPr="00DF1884" w:rsidRDefault="004414AB" w:rsidP="00E9531F">
            <w:pPr>
              <w:pStyle w:val="TableText"/>
              <w:rPr>
                <w:szCs w:val="20"/>
              </w:rPr>
            </w:pPr>
            <w:r w:rsidRPr="00DF1884">
              <w:rPr>
                <w:szCs w:val="20"/>
              </w:rPr>
              <w:t>MH or CD benefit</w:t>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02CB695"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E653B0A"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C9697FE"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851CF4E"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58AA99F"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399FAC7"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53658BE"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0F7508E"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30DED15"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84D2954"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AD86C7D"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BC6F392"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117389C"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2E38326"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E078126"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0F23697"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7252A00" w14:textId="77777777" w:rsidR="004414AB" w:rsidRPr="00DF1884" w:rsidRDefault="004414AB" w:rsidP="00932F29">
            <w:pPr>
              <w:pStyle w:val="TableText"/>
              <w:jc w:val="center"/>
              <w:rPr>
                <w:sz w:val="22"/>
                <w:szCs w:val="22"/>
              </w:rPr>
            </w:pPr>
          </w:p>
        </w:tc>
      </w:tr>
      <w:tr w:rsidR="00FA2F7C" w:rsidRPr="00DF1884" w14:paraId="43C8D079" w14:textId="77777777" w:rsidTr="00932F29">
        <w:tc>
          <w:tcPr>
            <w:tcW w:w="175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D87E774" w14:textId="049BE79B" w:rsidR="004414AB" w:rsidRPr="00DF1884" w:rsidRDefault="004414AB" w:rsidP="00E9531F">
            <w:pPr>
              <w:pStyle w:val="TableText"/>
              <w:rPr>
                <w:szCs w:val="20"/>
              </w:rPr>
            </w:pPr>
            <w:r w:rsidRPr="00DF1884">
              <w:rPr>
                <w:szCs w:val="20"/>
              </w:rPr>
              <w:t>Live birth methodology</w:t>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1C705C9"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B35D625"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B653963"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5574CAE"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1256E26"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3FF97D3"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F704268"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0B077EE"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D7BDED5"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4205A6F"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B9C6C55"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AF4E646"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C0ADE1E"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7F7F23A"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EB10486"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8078B6D"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47CD375" w14:textId="77777777" w:rsidR="004414AB" w:rsidRPr="00DF1884" w:rsidRDefault="004414AB" w:rsidP="00932F29">
            <w:pPr>
              <w:pStyle w:val="TableText"/>
              <w:jc w:val="center"/>
              <w:rPr>
                <w:sz w:val="22"/>
                <w:szCs w:val="22"/>
              </w:rPr>
            </w:pPr>
          </w:p>
        </w:tc>
      </w:tr>
      <w:tr w:rsidR="004414AB" w:rsidRPr="00DF1884" w14:paraId="2CDB30E0" w14:textId="77777777" w:rsidTr="00932F29">
        <w:tc>
          <w:tcPr>
            <w:tcW w:w="1753"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9F288CD" w14:textId="107C5C78" w:rsidR="004414AB" w:rsidRPr="00DF1884" w:rsidRDefault="004414AB" w:rsidP="00E9531F">
            <w:pPr>
              <w:pStyle w:val="TableText"/>
              <w:rPr>
                <w:szCs w:val="20"/>
              </w:rPr>
            </w:pPr>
            <w:r w:rsidRPr="00DF1884">
              <w:rPr>
                <w:szCs w:val="20"/>
              </w:rPr>
              <w:t>Practitioner type requirement</w:t>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876E7F4"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4AD606B"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A58CE79"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BF5DD7C"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23EBC9C"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BD668FE"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B869437"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4F0E7CF"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0EB5D43"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065B725"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C6B7F73"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9"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3053878"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5242648"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6DD6AF3"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1426F5E"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CB73A85"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C4CE431" w14:textId="77777777" w:rsidR="004414AB" w:rsidRPr="00DF1884" w:rsidRDefault="004414AB" w:rsidP="00932F29">
            <w:pPr>
              <w:pStyle w:val="TableText"/>
              <w:jc w:val="center"/>
              <w:rPr>
                <w:sz w:val="22"/>
                <w:szCs w:val="22"/>
              </w:rPr>
            </w:pPr>
          </w:p>
        </w:tc>
      </w:tr>
      <w:tr w:rsidR="00FA2F7C" w:rsidRPr="00DF1884" w14:paraId="75E560B1" w14:textId="77777777" w:rsidTr="00932F29">
        <w:tc>
          <w:tcPr>
            <w:tcW w:w="175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FEECBA0" w14:textId="4955C7A2" w:rsidR="004414AB" w:rsidRPr="00DF1884" w:rsidRDefault="004414AB" w:rsidP="00E9531F">
            <w:pPr>
              <w:pStyle w:val="TableText"/>
              <w:rPr>
                <w:szCs w:val="20"/>
              </w:rPr>
            </w:pPr>
            <w:r w:rsidRPr="00DF1884">
              <w:rPr>
                <w:szCs w:val="20"/>
              </w:rPr>
              <w:t>Risk adjustment methodology</w:t>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706B98E"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8093CF4"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574113E"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0C63EA1"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05D8ECB"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03BAF3A"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CBE27BA"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606D486"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CE6B77F"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A1A4EAB"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5291E0C"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57285C2"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557DF28"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718EF99"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7729BF2"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2D55334"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CE5C5E2" w14:textId="77777777" w:rsidR="004414AB" w:rsidRPr="00DF1884" w:rsidRDefault="004414AB" w:rsidP="00932F29">
            <w:pPr>
              <w:pStyle w:val="TableText"/>
              <w:jc w:val="center"/>
              <w:rPr>
                <w:sz w:val="22"/>
                <w:szCs w:val="22"/>
              </w:rPr>
            </w:pPr>
          </w:p>
        </w:tc>
      </w:tr>
      <w:tr w:rsidR="004414AB" w:rsidRPr="00DF1884" w14:paraId="1E3F6D53" w14:textId="77777777" w:rsidTr="00932F29">
        <w:tc>
          <w:tcPr>
            <w:tcW w:w="1753"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BBB4E39" w14:textId="5D3AA4DE" w:rsidR="004414AB" w:rsidRPr="00DF1884" w:rsidRDefault="004414AB" w:rsidP="00E9531F">
            <w:pPr>
              <w:pStyle w:val="TableText"/>
              <w:rPr>
                <w:szCs w:val="20"/>
              </w:rPr>
            </w:pPr>
            <w:r w:rsidRPr="00DF1884">
              <w:rPr>
                <w:szCs w:val="20"/>
              </w:rPr>
              <w:t>Lab data</w:t>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BB4DE83"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4C92088"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2F1CC2F"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1330B8E"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E4F1064"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A34A2F3"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05BF6DA"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319FA57"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A0CD7AD"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9BAF59E"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9AB96DA"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6C6E3DD"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2D7FE6C"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3486E8B"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5B143BD"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C809E2D"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D40E935" w14:textId="77777777" w:rsidR="004414AB" w:rsidRPr="00DF1884" w:rsidRDefault="004414AB" w:rsidP="00932F29">
            <w:pPr>
              <w:pStyle w:val="TableText"/>
              <w:jc w:val="center"/>
              <w:rPr>
                <w:sz w:val="22"/>
                <w:szCs w:val="22"/>
              </w:rPr>
            </w:pPr>
          </w:p>
        </w:tc>
      </w:tr>
      <w:tr w:rsidR="004414AB" w:rsidRPr="00DF1884" w14:paraId="3298910A" w14:textId="77777777" w:rsidTr="00932F29">
        <w:tc>
          <w:tcPr>
            <w:tcW w:w="175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251BF2E" w14:textId="2D2E3A30" w:rsidR="004414AB" w:rsidRPr="00DF1884" w:rsidRDefault="004414AB" w:rsidP="00E9531F">
            <w:pPr>
              <w:pStyle w:val="TableText"/>
              <w:rPr>
                <w:szCs w:val="20"/>
              </w:rPr>
            </w:pPr>
            <w:r w:rsidRPr="00DF1884">
              <w:rPr>
                <w:szCs w:val="20"/>
              </w:rPr>
              <w:t>Radiology data</w:t>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51FF9C4"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6BD9493"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1F970A5"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96327FB"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C01B14E"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7FBF778"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851936E"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C91BED2"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C054DF4"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28C6907"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BA0135C"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7137402"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3433AB0"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52F562E"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1D9548E"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98D7C98"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3F17EC2" w14:textId="77777777" w:rsidR="004414AB" w:rsidRPr="00DF1884" w:rsidRDefault="004414AB" w:rsidP="00932F29">
            <w:pPr>
              <w:pStyle w:val="TableText"/>
              <w:jc w:val="center"/>
              <w:rPr>
                <w:sz w:val="22"/>
                <w:szCs w:val="22"/>
              </w:rPr>
            </w:pPr>
          </w:p>
        </w:tc>
      </w:tr>
      <w:tr w:rsidR="004414AB" w:rsidRPr="00DF1884" w14:paraId="3EA41A33" w14:textId="77777777" w:rsidTr="00932F29">
        <w:tc>
          <w:tcPr>
            <w:tcW w:w="1753"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200FC8C" w14:textId="2A6A2E82" w:rsidR="004414AB" w:rsidRPr="00DF1884" w:rsidRDefault="004414AB" w:rsidP="00E9531F">
            <w:pPr>
              <w:pStyle w:val="TableText"/>
              <w:rPr>
                <w:szCs w:val="20"/>
              </w:rPr>
            </w:pPr>
            <w:r w:rsidRPr="00DF1884">
              <w:rPr>
                <w:szCs w:val="20"/>
              </w:rPr>
              <w:t>MH or CD data</w:t>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AE542C4"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83F285D"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9FC6118"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225CE0E"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F5EBDFC"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0AB50A7"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741E3EB"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5D1929F"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76DDC27"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CA380B5"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DE55B44"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2EB423B"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DB54533"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E2C8806"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2D6FA65"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C50C491"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191BA48" w14:textId="77777777" w:rsidR="004414AB" w:rsidRPr="00DF1884" w:rsidRDefault="004414AB" w:rsidP="00932F29">
            <w:pPr>
              <w:pStyle w:val="TableText"/>
              <w:jc w:val="center"/>
              <w:rPr>
                <w:sz w:val="22"/>
                <w:szCs w:val="22"/>
              </w:rPr>
            </w:pPr>
          </w:p>
        </w:tc>
      </w:tr>
      <w:tr w:rsidR="004414AB" w:rsidRPr="00DF1884" w14:paraId="7283879F" w14:textId="77777777" w:rsidTr="00932F29">
        <w:tc>
          <w:tcPr>
            <w:tcW w:w="175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88DD94A" w14:textId="41FA884D" w:rsidR="004414AB" w:rsidRPr="00DF1884" w:rsidRDefault="004414AB" w:rsidP="00E9531F">
            <w:pPr>
              <w:pStyle w:val="TableText"/>
              <w:rPr>
                <w:szCs w:val="20"/>
              </w:rPr>
            </w:pPr>
            <w:r w:rsidRPr="00DF1884">
              <w:rPr>
                <w:szCs w:val="20"/>
              </w:rPr>
              <w:t>Pharmacy data</w:t>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4D5BFA7"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726465C"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265DEFB"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9283FC9"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82404D9"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8DAB201"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8EB9A8B"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1949998"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74EB43E"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1655B1B"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47A70F0"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84B52F2"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CE48C0A"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6DD128F"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0181CD5"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816D07A" w14:textId="77777777" w:rsidR="004414AB" w:rsidRPr="00DF1884" w:rsidRDefault="004414AB" w:rsidP="00932F29">
            <w:pPr>
              <w:pStyle w:val="TableText"/>
              <w:jc w:val="center"/>
              <w:rPr>
                <w:sz w:val="22"/>
                <w:szCs w:val="22"/>
                <w:highlight w:val="yellow"/>
              </w:rPr>
            </w:pPr>
            <w:r w:rsidRPr="00DF1884">
              <w:rPr>
                <w:sz w:val="22"/>
                <w:szCs w:val="22"/>
              </w:rPr>
              <w:sym w:font="Wingdings" w:char="F0FC"/>
            </w:r>
          </w:p>
        </w:tc>
        <w:tc>
          <w:tcPr>
            <w:tcW w:w="46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E489B87" w14:textId="77777777" w:rsidR="004414AB" w:rsidRPr="00DF1884" w:rsidRDefault="004414AB" w:rsidP="00932F29">
            <w:pPr>
              <w:pStyle w:val="TableText"/>
              <w:jc w:val="center"/>
              <w:rPr>
                <w:sz w:val="22"/>
                <w:szCs w:val="22"/>
              </w:rPr>
            </w:pPr>
            <w:r w:rsidRPr="00DF1884">
              <w:rPr>
                <w:sz w:val="22"/>
                <w:szCs w:val="22"/>
              </w:rPr>
              <w:sym w:font="Wingdings" w:char="F0FC"/>
            </w:r>
          </w:p>
        </w:tc>
      </w:tr>
      <w:tr w:rsidR="004414AB" w:rsidRPr="00DF1884" w14:paraId="52BFA47B" w14:textId="77777777" w:rsidTr="00932F29">
        <w:tc>
          <w:tcPr>
            <w:tcW w:w="1753"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AF6C916" w14:textId="4E4F76CD" w:rsidR="004414AB" w:rsidRPr="00DF1884" w:rsidRDefault="004414AB" w:rsidP="00E9531F">
            <w:pPr>
              <w:pStyle w:val="TableText"/>
              <w:rPr>
                <w:szCs w:val="20"/>
              </w:rPr>
            </w:pPr>
            <w:r w:rsidRPr="00DF1884">
              <w:rPr>
                <w:szCs w:val="20"/>
              </w:rPr>
              <w:t>Vision data</w:t>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88D213E"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9410F9B"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0007D1B"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DCC5FCF"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4844A5C"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225942D"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6B2336D"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D6BB577"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9141A3C"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33F3927"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6FCB4E9"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7B5172C"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8B26720"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F2B3375"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008803F"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12CD49E"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FE5822B" w14:textId="77777777" w:rsidR="004414AB" w:rsidRPr="00DF1884" w:rsidRDefault="004414AB" w:rsidP="00932F29">
            <w:pPr>
              <w:pStyle w:val="TableText"/>
              <w:jc w:val="center"/>
              <w:rPr>
                <w:sz w:val="22"/>
                <w:szCs w:val="22"/>
              </w:rPr>
            </w:pPr>
          </w:p>
        </w:tc>
      </w:tr>
      <w:tr w:rsidR="004414AB" w:rsidRPr="00DF1884" w14:paraId="6ADAB369" w14:textId="77777777" w:rsidTr="00932F29">
        <w:tc>
          <w:tcPr>
            <w:tcW w:w="175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D15DC13" w14:textId="24D7DF2E" w:rsidR="004414AB" w:rsidRPr="00DF1884" w:rsidRDefault="004414AB" w:rsidP="00E9531F">
            <w:pPr>
              <w:pStyle w:val="TableText"/>
              <w:rPr>
                <w:szCs w:val="20"/>
              </w:rPr>
            </w:pPr>
            <w:r w:rsidRPr="00DF1884">
              <w:rPr>
                <w:szCs w:val="20"/>
              </w:rPr>
              <w:t>Optional exclusions</w:t>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AA89320"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02124BD"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28B58FF"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6E235E1"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F39F3B3"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D46D047" w14:textId="20387FD7" w:rsidR="004414AB" w:rsidRPr="00DF1884" w:rsidRDefault="004414AB" w:rsidP="00932F29">
            <w:pPr>
              <w:pStyle w:val="TableText"/>
              <w:jc w:val="center"/>
              <w:rPr>
                <w:sz w:val="22"/>
                <w:szCs w:val="22"/>
                <w:vertAlign w:val="superscript"/>
              </w:rPr>
            </w:pPr>
            <w:r w:rsidRPr="00DF1884">
              <w:rPr>
                <w:sz w:val="22"/>
                <w:szCs w:val="22"/>
              </w:rPr>
              <w:sym w:font="Wingdings" w:char="F0FC"/>
            </w:r>
            <w:r w:rsidR="000B204C">
              <w:rPr>
                <w:sz w:val="22"/>
                <w:szCs w:val="22"/>
                <w:vertAlign w:val="superscript"/>
              </w:rPr>
              <w:t>2</w:t>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0B0FAC0"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090721E"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1B01CAC"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C48A86E"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5031F7D"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3DBDFF8"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ADEB9BB"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D8841F4"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A9E3625"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29011AB"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C0299FF" w14:textId="77777777" w:rsidR="004414AB" w:rsidRPr="00DF1884" w:rsidRDefault="004414AB" w:rsidP="00932F29">
            <w:pPr>
              <w:pStyle w:val="TableText"/>
              <w:jc w:val="center"/>
              <w:rPr>
                <w:sz w:val="22"/>
                <w:szCs w:val="22"/>
              </w:rPr>
            </w:pPr>
            <w:r w:rsidRPr="00DF1884">
              <w:rPr>
                <w:sz w:val="22"/>
                <w:szCs w:val="22"/>
              </w:rPr>
              <w:sym w:font="Wingdings" w:char="F0FC"/>
            </w:r>
          </w:p>
        </w:tc>
      </w:tr>
      <w:tr w:rsidR="004414AB" w:rsidRPr="00DF1884" w14:paraId="3CD0C9D0" w14:textId="77777777" w:rsidTr="00932F29">
        <w:tc>
          <w:tcPr>
            <w:tcW w:w="1753"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321B2F0" w14:textId="0C5B5EA4" w:rsidR="004414AB" w:rsidRPr="00DF1884" w:rsidRDefault="004414AB" w:rsidP="00E9531F">
            <w:pPr>
              <w:pStyle w:val="TableText"/>
              <w:rPr>
                <w:szCs w:val="20"/>
              </w:rPr>
            </w:pPr>
            <w:r w:rsidRPr="00DF1884">
              <w:rPr>
                <w:szCs w:val="20"/>
              </w:rPr>
              <w:t>Required exclusions</w:t>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EDA7B54"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EBA0CB3"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285F7F0"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8855B8C"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F15EDE4"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754211D"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18734D9"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B031E1B"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7B70748"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39F0602"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E4F73E4"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91DFFAB"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BF8A48D"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CCD8CAB"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9FB73EF"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E9B806D"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9"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E9A9EF3" w14:textId="77777777" w:rsidR="004414AB" w:rsidRPr="00DF1884" w:rsidRDefault="004414AB" w:rsidP="00932F29">
            <w:pPr>
              <w:pStyle w:val="TableText"/>
              <w:jc w:val="center"/>
              <w:rPr>
                <w:sz w:val="22"/>
                <w:szCs w:val="22"/>
              </w:rPr>
            </w:pPr>
          </w:p>
        </w:tc>
      </w:tr>
      <w:tr w:rsidR="004414AB" w:rsidRPr="00DF1884" w14:paraId="75F5650B" w14:textId="77777777" w:rsidTr="00932F29">
        <w:tc>
          <w:tcPr>
            <w:tcW w:w="175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0DAFC04" w14:textId="4B9F743D" w:rsidR="004414AB" w:rsidRPr="00DF1884" w:rsidRDefault="004414AB" w:rsidP="00E9531F">
            <w:pPr>
              <w:pStyle w:val="TableText"/>
              <w:rPr>
                <w:szCs w:val="20"/>
              </w:rPr>
            </w:pPr>
            <w:r w:rsidRPr="00DF1884">
              <w:rPr>
                <w:szCs w:val="20"/>
              </w:rPr>
              <w:t>CE pre-MY</w:t>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C02FBEB"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98757BC"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83DC0AE"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415B6F1"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0180C52"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59D9EA7"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ADC1F9E"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9B5DE05"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8FF92E7"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FB38C52"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717FAC7"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DFC80FB"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A0029F9"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356EEA1"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1425338"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87F4FC1"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72372BD" w14:textId="77777777" w:rsidR="004414AB" w:rsidRPr="00DF1884" w:rsidRDefault="004414AB" w:rsidP="00932F29">
            <w:pPr>
              <w:pStyle w:val="TableText"/>
              <w:jc w:val="center"/>
              <w:rPr>
                <w:sz w:val="22"/>
                <w:szCs w:val="22"/>
              </w:rPr>
            </w:pPr>
          </w:p>
        </w:tc>
      </w:tr>
      <w:tr w:rsidR="004414AB" w:rsidRPr="00DF1884" w14:paraId="3B4FC82A" w14:textId="77777777" w:rsidTr="00932F29">
        <w:tc>
          <w:tcPr>
            <w:tcW w:w="1753"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2325386" w14:textId="5B23E534" w:rsidR="004414AB" w:rsidRPr="00DF1884" w:rsidRDefault="004414AB" w:rsidP="00E9531F">
            <w:pPr>
              <w:pStyle w:val="TableText"/>
              <w:rPr>
                <w:szCs w:val="20"/>
              </w:rPr>
            </w:pPr>
            <w:r w:rsidRPr="00DF1884">
              <w:rPr>
                <w:szCs w:val="20"/>
              </w:rPr>
              <w:t>Anchor date</w:t>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FBB37B0"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C542605"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3434172"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6326BAA"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759038B"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9"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CE9BA79"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DA378AA"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3590141"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E3A0767"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33AE830"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A24D57B"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9"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21EB0B8"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34765B0"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514DAD1"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178B369"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E878E4C"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9"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16ADA91" w14:textId="77777777" w:rsidR="004414AB" w:rsidRPr="00DF1884" w:rsidRDefault="004414AB" w:rsidP="00932F29">
            <w:pPr>
              <w:pStyle w:val="TableText"/>
              <w:jc w:val="center"/>
              <w:rPr>
                <w:sz w:val="22"/>
                <w:szCs w:val="22"/>
              </w:rPr>
            </w:pPr>
            <w:r w:rsidRPr="00DF1884">
              <w:rPr>
                <w:sz w:val="22"/>
                <w:szCs w:val="22"/>
              </w:rPr>
              <w:sym w:font="Wingdings" w:char="F0FC"/>
            </w:r>
          </w:p>
        </w:tc>
      </w:tr>
      <w:tr w:rsidR="004414AB" w:rsidRPr="00DF1884" w14:paraId="3D17E934" w14:textId="77777777" w:rsidTr="00932F29">
        <w:tc>
          <w:tcPr>
            <w:tcW w:w="175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EBEC4C7" w14:textId="16C7DF5F" w:rsidR="004414AB" w:rsidRPr="00DF1884" w:rsidRDefault="004414AB" w:rsidP="00E9531F">
            <w:pPr>
              <w:pStyle w:val="TableText"/>
              <w:rPr>
                <w:szCs w:val="20"/>
              </w:rPr>
            </w:pPr>
            <w:r w:rsidRPr="00DF1884">
              <w:rPr>
                <w:szCs w:val="20"/>
              </w:rPr>
              <w:t>MY + 1 year claims data</w:t>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78FF81B"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92E20B6"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9A9DE87"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4CAB6E8"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FD7E8A1"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9043631"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19FB723"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741A28B"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638D760"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DAB1FD1"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C76F41F"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A8032E8"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0FE098C"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CC0FA13"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CE5538F"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4C35E87"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60E491F" w14:textId="77777777" w:rsidR="004414AB" w:rsidRPr="00DF1884" w:rsidRDefault="004414AB" w:rsidP="00932F29">
            <w:pPr>
              <w:pStyle w:val="TableText"/>
              <w:jc w:val="center"/>
              <w:rPr>
                <w:sz w:val="22"/>
                <w:szCs w:val="22"/>
              </w:rPr>
            </w:pPr>
            <w:r w:rsidRPr="00DF1884">
              <w:rPr>
                <w:sz w:val="22"/>
                <w:szCs w:val="22"/>
              </w:rPr>
              <w:sym w:font="Wingdings" w:char="F0FC"/>
            </w:r>
          </w:p>
        </w:tc>
      </w:tr>
      <w:tr w:rsidR="004414AB" w:rsidRPr="00DF1884" w14:paraId="10DDAED4" w14:textId="77777777" w:rsidTr="00932F29">
        <w:tc>
          <w:tcPr>
            <w:tcW w:w="1753"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95A398B" w14:textId="23C71895" w:rsidR="004414AB" w:rsidRPr="00DF1884" w:rsidRDefault="004414AB" w:rsidP="00E9531F">
            <w:pPr>
              <w:pStyle w:val="TableText"/>
              <w:rPr>
                <w:szCs w:val="20"/>
              </w:rPr>
            </w:pPr>
            <w:r w:rsidRPr="00DF1884">
              <w:rPr>
                <w:szCs w:val="20"/>
              </w:rPr>
              <w:t>At least MY + 2 years claims data</w:t>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55E7889"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4432751"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F481887"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BE1E588"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42F8139"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9"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D7D5A6C"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D02BE99" w14:textId="3CBB96ED"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D56B37F"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90D7480"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43B388D"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6C5045D"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F45225A"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50A65EC"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AF4C403"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E46D4A5"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E58BB85"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D1EC7A4" w14:textId="7B575EB8" w:rsidR="004414AB" w:rsidRPr="00DF1884" w:rsidRDefault="004414AB" w:rsidP="00932F29">
            <w:pPr>
              <w:pStyle w:val="TableText"/>
              <w:jc w:val="center"/>
              <w:rPr>
                <w:sz w:val="22"/>
                <w:szCs w:val="22"/>
              </w:rPr>
            </w:pPr>
            <w:r w:rsidRPr="00DF1884">
              <w:rPr>
                <w:sz w:val="22"/>
                <w:szCs w:val="22"/>
              </w:rPr>
              <w:sym w:font="Wingdings" w:char="F0FC"/>
            </w:r>
            <w:r w:rsidR="000B204C">
              <w:rPr>
                <w:sz w:val="22"/>
                <w:szCs w:val="22"/>
                <w:vertAlign w:val="superscript"/>
              </w:rPr>
              <w:t>3</w:t>
            </w:r>
          </w:p>
        </w:tc>
      </w:tr>
      <w:tr w:rsidR="004414AB" w:rsidRPr="00DF1884" w14:paraId="7CD7A536" w14:textId="77777777" w:rsidTr="00932F29">
        <w:tc>
          <w:tcPr>
            <w:tcW w:w="175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388C319" w14:textId="77777777" w:rsidR="004414AB" w:rsidRPr="00DF1884" w:rsidRDefault="004414AB" w:rsidP="00E9531F">
            <w:pPr>
              <w:pStyle w:val="TableText"/>
              <w:rPr>
                <w:szCs w:val="20"/>
              </w:rPr>
            </w:pPr>
            <w:r w:rsidRPr="00DF1884">
              <w:rPr>
                <w:szCs w:val="20"/>
              </w:rPr>
              <w:t>Hybrid</w:t>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0B165E1"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09E53BC"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4FF3BD3"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EA6D00B"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087E6EE"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8B2DD06"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0D6219A"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1D3B7AF"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AEF3BC3"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6D46B64"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6685616"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BBB4ABB"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A86A2D5"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A21AE0D"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A04CE32"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5671FEA"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0404659" w14:textId="77777777" w:rsidR="004414AB" w:rsidRPr="00DF1884" w:rsidRDefault="004414AB" w:rsidP="00932F29">
            <w:pPr>
              <w:pStyle w:val="TableText"/>
              <w:jc w:val="center"/>
              <w:rPr>
                <w:sz w:val="22"/>
                <w:szCs w:val="22"/>
              </w:rPr>
            </w:pPr>
            <w:r w:rsidRPr="00DF1884">
              <w:rPr>
                <w:sz w:val="22"/>
                <w:szCs w:val="22"/>
              </w:rPr>
              <w:sym w:font="Wingdings" w:char="F0FC"/>
            </w:r>
          </w:p>
        </w:tc>
      </w:tr>
      <w:tr w:rsidR="004414AB" w:rsidRPr="00DF1884" w14:paraId="379AD4ED" w14:textId="77777777" w:rsidTr="00932F29">
        <w:tc>
          <w:tcPr>
            <w:tcW w:w="1753"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7EA037F" w14:textId="645D95BD" w:rsidR="004414AB" w:rsidRPr="00DF1884" w:rsidRDefault="004414AB" w:rsidP="00E9531F">
            <w:pPr>
              <w:pStyle w:val="TableText"/>
              <w:rPr>
                <w:szCs w:val="20"/>
              </w:rPr>
            </w:pPr>
            <w:r w:rsidRPr="00DF1884">
              <w:rPr>
                <w:szCs w:val="20"/>
              </w:rPr>
              <w:t>Inpatient claims data</w:t>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7951B24"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E3F2598"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792192D"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ADCAED5"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F2C1943"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9D21128"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AE90212"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80164E1"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9218546"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602B9CE"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4FD6677" w14:textId="77777777" w:rsidR="004414AB" w:rsidRPr="00DF1884" w:rsidRDefault="004414AB" w:rsidP="00932F29">
            <w:pPr>
              <w:pStyle w:val="TableText"/>
              <w:jc w:val="center"/>
              <w:rPr>
                <w:sz w:val="22"/>
                <w:szCs w:val="22"/>
              </w:rPr>
            </w:pPr>
          </w:p>
        </w:tc>
        <w:tc>
          <w:tcPr>
            <w:tcW w:w="469"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850BC66" w14:textId="77777777" w:rsidR="004414AB" w:rsidRPr="00DF1884" w:rsidRDefault="004414AB" w:rsidP="00932F29">
            <w:pPr>
              <w:pStyle w:val="TableText"/>
              <w:jc w:val="center"/>
              <w:rPr>
                <w:sz w:val="22"/>
                <w:szCs w:val="22"/>
              </w:rPr>
            </w:pP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39E2B20"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5E95613"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3F91D5A"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6E7FD5B" w14:textId="77777777" w:rsidR="004414AB" w:rsidRPr="00DF1884" w:rsidRDefault="004414AB" w:rsidP="00932F29">
            <w:pPr>
              <w:pStyle w:val="TableText"/>
              <w:jc w:val="center"/>
              <w:rPr>
                <w:sz w:val="22"/>
                <w:szCs w:val="22"/>
              </w:rPr>
            </w:pPr>
            <w:r w:rsidRPr="00DF1884">
              <w:rPr>
                <w:sz w:val="22"/>
                <w:szCs w:val="22"/>
              </w:rPr>
              <w:sym w:font="Wingdings" w:char="F0FC"/>
            </w:r>
          </w:p>
        </w:tc>
        <w:tc>
          <w:tcPr>
            <w:tcW w:w="469"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CEF68F8" w14:textId="77777777" w:rsidR="004414AB" w:rsidRPr="00DF1884" w:rsidRDefault="004414AB" w:rsidP="00932F29">
            <w:pPr>
              <w:pStyle w:val="TableText"/>
              <w:jc w:val="center"/>
              <w:rPr>
                <w:sz w:val="22"/>
                <w:szCs w:val="22"/>
              </w:rPr>
            </w:pPr>
            <w:r w:rsidRPr="00DF1884">
              <w:rPr>
                <w:sz w:val="22"/>
                <w:szCs w:val="22"/>
              </w:rPr>
              <w:sym w:font="Wingdings" w:char="F0FC"/>
            </w:r>
          </w:p>
        </w:tc>
      </w:tr>
    </w:tbl>
    <w:p w14:paraId="7D686D02" w14:textId="2C942BBF" w:rsidR="000B204C" w:rsidRPr="000B204C" w:rsidRDefault="009F5202" w:rsidP="000B204C">
      <w:pPr>
        <w:pStyle w:val="TableText"/>
      </w:pPr>
      <w:r>
        <w:rPr>
          <w:vertAlign w:val="superscript"/>
        </w:rPr>
        <w:t>1</w:t>
      </w:r>
      <w:r w:rsidR="000B204C">
        <w:t>For the required measures list, r</w:t>
      </w:r>
      <w:r w:rsidR="000B204C" w:rsidRPr="00DF1884">
        <w:t xml:space="preserve">efer to the </w:t>
      </w:r>
      <w:r w:rsidR="000B204C">
        <w:t xml:space="preserve">annual CMS </w:t>
      </w:r>
      <w:r w:rsidR="000B204C" w:rsidRPr="00DF1884">
        <w:t>Reporting Requirements</w:t>
      </w:r>
      <w:r w:rsidR="000B204C">
        <w:t xml:space="preserve"> memo.</w:t>
      </w:r>
    </w:p>
    <w:p w14:paraId="4A43A147" w14:textId="4BAF629A" w:rsidR="009604F5" w:rsidRPr="00DF1884" w:rsidRDefault="000B204C" w:rsidP="009D7D43">
      <w:pPr>
        <w:pStyle w:val="TableText"/>
        <w:ind w:left="90" w:hanging="90"/>
      </w:pPr>
      <w:r>
        <w:rPr>
          <w:vertAlign w:val="superscript"/>
        </w:rPr>
        <w:t>2</w:t>
      </w:r>
      <w:r w:rsidR="009604F5" w:rsidRPr="00DF1884">
        <w:rPr>
          <w:vertAlign w:val="superscript"/>
        </w:rPr>
        <w:tab/>
      </w:r>
      <w:r w:rsidR="009604F5" w:rsidRPr="00DF1884">
        <w:t>If</w:t>
      </w:r>
      <w:r w:rsidR="00DF1884" w:rsidRPr="00DF1884">
        <w:t xml:space="preserve"> </w:t>
      </w:r>
      <w:r w:rsidR="009604F5" w:rsidRPr="00DF1884">
        <w:t>an</w:t>
      </w:r>
      <w:r w:rsidR="00DF1884" w:rsidRPr="00DF1884">
        <w:t xml:space="preserve"> </w:t>
      </w:r>
      <w:r w:rsidR="009604F5" w:rsidRPr="00DF1884">
        <w:t>organization</w:t>
      </w:r>
      <w:r w:rsidR="00DF1884" w:rsidRPr="00DF1884">
        <w:t xml:space="preserve"> </w:t>
      </w:r>
      <w:r w:rsidR="009604F5" w:rsidRPr="00DF1884">
        <w:t>applies</w:t>
      </w:r>
      <w:r w:rsidR="00DF1884" w:rsidRPr="00DF1884">
        <w:t xml:space="preserve"> </w:t>
      </w:r>
      <w:r w:rsidR="009604F5" w:rsidRPr="00DF1884">
        <w:t>optional</w:t>
      </w:r>
      <w:r w:rsidR="00DF1884" w:rsidRPr="00DF1884">
        <w:t xml:space="preserve"> </w:t>
      </w:r>
      <w:r w:rsidR="009604F5" w:rsidRPr="00DF1884">
        <w:t>exclusions</w:t>
      </w:r>
      <w:r w:rsidR="00DF1884" w:rsidRPr="00DF1884">
        <w:t xml:space="preserve"> </w:t>
      </w:r>
      <w:r w:rsidR="009604F5" w:rsidRPr="00DF1884">
        <w:t>to</w:t>
      </w:r>
      <w:r w:rsidR="00DF1884" w:rsidRPr="00DF1884">
        <w:t xml:space="preserve"> </w:t>
      </w:r>
      <w:r w:rsidR="009604F5" w:rsidRPr="00DF1884">
        <w:t>the</w:t>
      </w:r>
      <w:r w:rsidR="00DF1884" w:rsidRPr="00DF1884">
        <w:t xml:space="preserve"> </w:t>
      </w:r>
      <w:r w:rsidR="009604F5" w:rsidRPr="00DF1884">
        <w:t>CIS</w:t>
      </w:r>
      <w:r w:rsidR="00DF1884" w:rsidRPr="00DF1884">
        <w:t xml:space="preserve"> </w:t>
      </w:r>
      <w:r w:rsidR="009604F5" w:rsidRPr="00DF1884">
        <w:t>measure</w:t>
      </w:r>
      <w:r w:rsidR="00DF1884" w:rsidRPr="00DF1884">
        <w:t xml:space="preserve"> </w:t>
      </w:r>
      <w:r w:rsidR="009604F5" w:rsidRPr="00DF1884">
        <w:t>and</w:t>
      </w:r>
      <w:r w:rsidR="00DF1884" w:rsidRPr="00DF1884">
        <w:t xml:space="preserve"> </w:t>
      </w:r>
      <w:r w:rsidR="009604F5" w:rsidRPr="00DF1884">
        <w:t>uses</w:t>
      </w:r>
      <w:r w:rsidR="00DF1884" w:rsidRPr="00DF1884">
        <w:t xml:space="preserve"> </w:t>
      </w:r>
      <w:r w:rsidR="009604F5" w:rsidRPr="00DF1884">
        <w:t>the</w:t>
      </w:r>
      <w:r w:rsidR="00DF1884" w:rsidRPr="00DF1884">
        <w:t xml:space="preserve"> </w:t>
      </w:r>
      <w:r w:rsidR="009604F5" w:rsidRPr="00DF1884">
        <w:t>CIS</w:t>
      </w:r>
      <w:r w:rsidR="00DF1884" w:rsidRPr="00DF1884">
        <w:t xml:space="preserve"> </w:t>
      </w:r>
      <w:r w:rsidR="009604F5" w:rsidRPr="00DF1884">
        <w:t>systematic</w:t>
      </w:r>
      <w:r w:rsidR="00DF1884" w:rsidRPr="00DF1884">
        <w:t xml:space="preserve"> </w:t>
      </w:r>
      <w:r w:rsidR="009604F5" w:rsidRPr="00DF1884">
        <w:t>sample,</w:t>
      </w:r>
      <w:r w:rsidR="00DF1884" w:rsidRPr="00DF1884">
        <w:t xml:space="preserve"> </w:t>
      </w:r>
      <w:r w:rsidR="009604F5" w:rsidRPr="00DF1884">
        <w:t>the</w:t>
      </w:r>
      <w:r w:rsidR="00DF1884" w:rsidRPr="00DF1884">
        <w:t xml:space="preserve"> </w:t>
      </w:r>
      <w:r w:rsidR="009604F5" w:rsidRPr="00DF1884">
        <w:t>same</w:t>
      </w:r>
      <w:r w:rsidR="00DF1884" w:rsidRPr="00DF1884">
        <w:t xml:space="preserve"> </w:t>
      </w:r>
      <w:r w:rsidR="009604F5" w:rsidRPr="00DF1884">
        <w:t>children</w:t>
      </w:r>
      <w:r w:rsidR="00DF1884" w:rsidRPr="00DF1884">
        <w:t xml:space="preserve"> </w:t>
      </w:r>
      <w:r w:rsidR="009604F5" w:rsidRPr="00DF1884">
        <w:t>will</w:t>
      </w:r>
      <w:r w:rsidR="00DF1884" w:rsidRPr="00DF1884">
        <w:t xml:space="preserve"> </w:t>
      </w:r>
      <w:r w:rsidR="009604F5" w:rsidRPr="00DF1884">
        <w:t>be</w:t>
      </w:r>
      <w:r w:rsidR="00DF1884" w:rsidRPr="00DF1884">
        <w:t xml:space="preserve"> </w:t>
      </w:r>
      <w:r w:rsidR="009604F5" w:rsidRPr="00DF1884">
        <w:t>excluded</w:t>
      </w:r>
      <w:r w:rsidR="00DF1884" w:rsidRPr="00DF1884">
        <w:t xml:space="preserve"> </w:t>
      </w:r>
      <w:r w:rsidR="009604F5" w:rsidRPr="00DF1884">
        <w:t>from</w:t>
      </w:r>
      <w:r w:rsidR="00DF1884" w:rsidRPr="00DF1884">
        <w:t xml:space="preserve"> </w:t>
      </w:r>
      <w:r w:rsidR="009604F5" w:rsidRPr="00DF1884">
        <w:t>the</w:t>
      </w:r>
      <w:r w:rsidR="00DF1884" w:rsidRPr="00DF1884">
        <w:t xml:space="preserve"> </w:t>
      </w:r>
      <w:r w:rsidR="009604F5" w:rsidRPr="00DF1884">
        <w:t>LSC</w:t>
      </w:r>
      <w:r w:rsidR="00DF1884" w:rsidRPr="00DF1884">
        <w:t xml:space="preserve"> </w:t>
      </w:r>
      <w:r w:rsidR="009604F5" w:rsidRPr="00DF1884">
        <w:t>measure.</w:t>
      </w:r>
    </w:p>
    <w:p w14:paraId="42BF8371" w14:textId="5487C3C4" w:rsidR="004D1F03" w:rsidRPr="00DF1884" w:rsidRDefault="000B204C" w:rsidP="009D7D43">
      <w:pPr>
        <w:pStyle w:val="TableText"/>
        <w:ind w:left="90" w:hanging="90"/>
        <w:rPr>
          <w:rFonts w:cs="Arial"/>
        </w:rPr>
      </w:pPr>
      <w:r>
        <w:rPr>
          <w:vertAlign w:val="superscript"/>
        </w:rPr>
        <w:t>3</w:t>
      </w:r>
      <w:r w:rsidR="004D1F03" w:rsidRPr="00DF1884">
        <w:tab/>
        <w:t>Applies</w:t>
      </w:r>
      <w:r w:rsidR="00DF1884" w:rsidRPr="00DF1884">
        <w:t xml:space="preserve"> </w:t>
      </w:r>
      <w:r w:rsidR="004D1F03" w:rsidRPr="00DF1884">
        <w:t>to</w:t>
      </w:r>
      <w:r w:rsidR="00DF1884" w:rsidRPr="00DF1884">
        <w:t xml:space="preserve"> </w:t>
      </w:r>
      <w:r w:rsidR="004D1F03" w:rsidRPr="00DF1884">
        <w:t>the</w:t>
      </w:r>
      <w:r w:rsidR="00DF1884" w:rsidRPr="00DF1884">
        <w:t xml:space="preserve"> </w:t>
      </w:r>
      <w:r w:rsidR="004D1F03" w:rsidRPr="00DF1884">
        <w:t>Optional</w:t>
      </w:r>
      <w:r w:rsidR="00DF1884" w:rsidRPr="00DF1884">
        <w:t xml:space="preserve"> </w:t>
      </w:r>
      <w:r w:rsidR="004D1F03" w:rsidRPr="00DF1884">
        <w:t>Exclusion</w:t>
      </w:r>
      <w:r w:rsidR="00DF1884" w:rsidRPr="00DF1884">
        <w:t xml:space="preserve"> </w:t>
      </w:r>
      <w:r w:rsidR="004D1F03" w:rsidRPr="00DF1884">
        <w:t>criteria.</w:t>
      </w:r>
      <w:r w:rsidR="00DF1884" w:rsidRPr="00DF1884">
        <w:t xml:space="preserve"> </w:t>
      </w:r>
    </w:p>
    <w:p w14:paraId="13DDE5A4" w14:textId="77777777" w:rsidR="004D1F03" w:rsidRPr="00DF1884" w:rsidRDefault="004D1F03" w:rsidP="001559AE">
      <w:pPr>
        <w:pStyle w:val="TableText"/>
        <w:spacing w:before="120"/>
        <w:ind w:left="90" w:hanging="90"/>
        <w:rPr>
          <w:rFonts w:cs="Arial"/>
        </w:rPr>
      </w:pPr>
    </w:p>
    <w:p w14:paraId="5121EB41" w14:textId="77777777" w:rsidR="001559AE" w:rsidRPr="00DF1884" w:rsidRDefault="001559AE" w:rsidP="009604F5">
      <w:pPr>
        <w:pStyle w:val="TableText"/>
        <w:ind w:left="90" w:hanging="90"/>
        <w:sectPr w:rsidR="001559AE" w:rsidRPr="00DF1884" w:rsidSect="0039781B">
          <w:headerReference w:type="even" r:id="rId134"/>
          <w:headerReference w:type="default" r:id="rId135"/>
          <w:footerReference w:type="default" r:id="rId136"/>
          <w:pgSz w:w="12240" w:h="15840" w:code="1"/>
          <w:pgMar w:top="1080" w:right="1080" w:bottom="1080" w:left="1440" w:header="720" w:footer="720" w:gutter="0"/>
          <w:pgNumType w:start="1"/>
          <w:cols w:space="720"/>
          <w:docGrid w:linePitch="272"/>
        </w:sectPr>
      </w:pPr>
    </w:p>
    <w:tbl>
      <w:tblPr>
        <w:tblW w:w="9739" w:type="dxa"/>
        <w:tblLayout w:type="fixed"/>
        <w:tblLook w:val="0000" w:firstRow="0" w:lastRow="0" w:firstColumn="0" w:lastColumn="0" w:noHBand="0" w:noVBand="0"/>
      </w:tblPr>
      <w:tblGrid>
        <w:gridCol w:w="1506"/>
        <w:gridCol w:w="484"/>
        <w:gridCol w:w="484"/>
        <w:gridCol w:w="484"/>
        <w:gridCol w:w="485"/>
        <w:gridCol w:w="484"/>
        <w:gridCol w:w="484"/>
        <w:gridCol w:w="485"/>
        <w:gridCol w:w="484"/>
        <w:gridCol w:w="484"/>
        <w:gridCol w:w="484"/>
        <w:gridCol w:w="485"/>
        <w:gridCol w:w="484"/>
        <w:gridCol w:w="484"/>
        <w:gridCol w:w="485"/>
        <w:gridCol w:w="484"/>
        <w:gridCol w:w="484"/>
        <w:gridCol w:w="485"/>
      </w:tblGrid>
      <w:tr w:rsidR="009D7D43" w:rsidRPr="00DF1884" w14:paraId="40EE7807" w14:textId="77777777" w:rsidTr="00FA2F7C">
        <w:trPr>
          <w:cantSplit/>
        </w:trPr>
        <w:tc>
          <w:tcPr>
            <w:tcW w:w="9739" w:type="dxa"/>
            <w:gridSpan w:val="18"/>
            <w:tcBorders>
              <w:top w:val="single" w:sz="4" w:space="0" w:color="FFFFFF"/>
              <w:left w:val="single" w:sz="6" w:space="0" w:color="auto"/>
              <w:bottom w:val="single" w:sz="6" w:space="0" w:color="FFFFFF" w:themeColor="background1"/>
              <w:right w:val="single" w:sz="6" w:space="0" w:color="auto"/>
            </w:tcBorders>
            <w:shd w:val="clear" w:color="auto" w:fill="000000"/>
          </w:tcPr>
          <w:p w14:paraId="47707968" w14:textId="7B82CE33" w:rsidR="009D7D43" w:rsidRPr="00DF1884" w:rsidRDefault="009D7D43" w:rsidP="00E9531F">
            <w:pPr>
              <w:pStyle w:val="TableHead"/>
              <w:rPr>
                <w:color w:val="auto"/>
              </w:rPr>
            </w:pPr>
            <w:r w:rsidRPr="00DF1884">
              <w:rPr>
                <w:color w:val="auto"/>
              </w:rPr>
              <w:t xml:space="preserve">EFFECTIVENESS OF CARE MEASURES </w:t>
            </w:r>
          </w:p>
        </w:tc>
      </w:tr>
      <w:tr w:rsidR="00FA2F7C" w:rsidRPr="00DF1884" w14:paraId="342D2A12" w14:textId="77777777" w:rsidTr="00FA2F7C">
        <w:trPr>
          <w:cantSplit/>
          <w:trHeight w:val="576"/>
        </w:trPr>
        <w:tc>
          <w:tcPr>
            <w:tcW w:w="1506" w:type="dxa"/>
            <w:tcBorders>
              <w:top w:val="single" w:sz="6" w:space="0" w:color="FFFFFF" w:themeColor="background1"/>
              <w:left w:val="single" w:sz="6" w:space="0" w:color="auto"/>
              <w:bottom w:val="single" w:sz="6" w:space="0" w:color="auto"/>
              <w:right w:val="single" w:sz="6" w:space="0" w:color="FFFFFF"/>
            </w:tcBorders>
            <w:shd w:val="clear" w:color="auto" w:fill="000000"/>
            <w:tcMar>
              <w:left w:w="43" w:type="dxa"/>
              <w:right w:w="43" w:type="dxa"/>
            </w:tcMar>
            <w:vAlign w:val="bottom"/>
          </w:tcPr>
          <w:p w14:paraId="177F77F1" w14:textId="3D7CE444" w:rsidR="00FA2F7C" w:rsidRPr="00DF1884" w:rsidRDefault="00FA2F7C" w:rsidP="00E9531F">
            <w:pPr>
              <w:pStyle w:val="TableHead"/>
              <w:rPr>
                <w:color w:val="auto"/>
              </w:rPr>
            </w:pPr>
            <w:r w:rsidRPr="00DF1884">
              <w:rPr>
                <w:color w:val="auto"/>
              </w:rPr>
              <w:br w:type="page"/>
              <w:t>Logical Group</w:t>
            </w:r>
          </w:p>
        </w:tc>
        <w:tc>
          <w:tcPr>
            <w:tcW w:w="484"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10291266" w14:textId="77777777" w:rsidR="00FA2F7C" w:rsidRPr="00DF1884" w:rsidRDefault="00FA2F7C" w:rsidP="00E9531F">
            <w:pPr>
              <w:pStyle w:val="TableHead"/>
              <w:ind w:left="29" w:right="144"/>
              <w:jc w:val="left"/>
              <w:rPr>
                <w:color w:val="auto"/>
              </w:rPr>
            </w:pPr>
            <w:r w:rsidRPr="00DF1884">
              <w:rPr>
                <w:color w:val="auto"/>
              </w:rPr>
              <w:t>ABA</w:t>
            </w:r>
          </w:p>
        </w:tc>
        <w:tc>
          <w:tcPr>
            <w:tcW w:w="484"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12B38F3A" w14:textId="77777777" w:rsidR="00FA2F7C" w:rsidRPr="00DF1884" w:rsidRDefault="00FA2F7C" w:rsidP="00E9531F">
            <w:pPr>
              <w:pStyle w:val="TableHead"/>
              <w:ind w:left="29" w:right="113"/>
              <w:jc w:val="left"/>
              <w:rPr>
                <w:color w:val="auto"/>
              </w:rPr>
            </w:pPr>
            <w:r w:rsidRPr="00DF1884">
              <w:rPr>
                <w:color w:val="auto"/>
              </w:rPr>
              <w:t>WCC</w:t>
            </w:r>
          </w:p>
        </w:tc>
        <w:tc>
          <w:tcPr>
            <w:tcW w:w="484"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0D8A5214" w14:textId="77777777" w:rsidR="00FA2F7C" w:rsidRPr="00DF1884" w:rsidRDefault="00FA2F7C" w:rsidP="00E9531F">
            <w:pPr>
              <w:pStyle w:val="TableHead"/>
              <w:ind w:left="29" w:right="113"/>
              <w:jc w:val="left"/>
              <w:rPr>
                <w:color w:val="auto"/>
              </w:rPr>
            </w:pPr>
            <w:r w:rsidRPr="00DF1884">
              <w:rPr>
                <w:color w:val="auto"/>
              </w:rPr>
              <w:t>CIS</w:t>
            </w:r>
          </w:p>
        </w:tc>
        <w:tc>
          <w:tcPr>
            <w:tcW w:w="485"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0E7B90FA" w14:textId="77777777" w:rsidR="00FA2F7C" w:rsidRPr="00DF1884" w:rsidRDefault="00FA2F7C" w:rsidP="00E9531F">
            <w:pPr>
              <w:pStyle w:val="TableHead"/>
              <w:ind w:left="29" w:right="113"/>
              <w:jc w:val="left"/>
              <w:rPr>
                <w:color w:val="auto"/>
              </w:rPr>
            </w:pPr>
            <w:r w:rsidRPr="00DF1884">
              <w:rPr>
                <w:color w:val="auto"/>
              </w:rPr>
              <w:t>IMA</w:t>
            </w:r>
          </w:p>
        </w:tc>
        <w:tc>
          <w:tcPr>
            <w:tcW w:w="484"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357573C7" w14:textId="77777777" w:rsidR="00FA2F7C" w:rsidRPr="00DF1884" w:rsidRDefault="00FA2F7C" w:rsidP="00E9531F">
            <w:pPr>
              <w:pStyle w:val="TableHead"/>
              <w:ind w:left="29" w:right="113"/>
              <w:jc w:val="left"/>
              <w:rPr>
                <w:color w:val="auto"/>
              </w:rPr>
            </w:pPr>
            <w:r w:rsidRPr="00DF1884">
              <w:rPr>
                <w:color w:val="auto"/>
              </w:rPr>
              <w:t>HPV</w:t>
            </w:r>
          </w:p>
        </w:tc>
        <w:tc>
          <w:tcPr>
            <w:tcW w:w="484"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75E77288" w14:textId="77777777" w:rsidR="00FA2F7C" w:rsidRPr="00DF1884" w:rsidRDefault="00FA2F7C" w:rsidP="00E9531F">
            <w:pPr>
              <w:pStyle w:val="TableHead"/>
              <w:ind w:left="29" w:right="113"/>
              <w:jc w:val="left"/>
              <w:rPr>
                <w:color w:val="auto"/>
              </w:rPr>
            </w:pPr>
            <w:r w:rsidRPr="00DF1884">
              <w:rPr>
                <w:color w:val="auto"/>
              </w:rPr>
              <w:t>LSC</w:t>
            </w:r>
          </w:p>
        </w:tc>
        <w:tc>
          <w:tcPr>
            <w:tcW w:w="485"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4B21B20F" w14:textId="77777777" w:rsidR="00FA2F7C" w:rsidRPr="00DF1884" w:rsidRDefault="00FA2F7C" w:rsidP="00E9531F">
            <w:pPr>
              <w:pStyle w:val="TableHead"/>
              <w:ind w:left="29" w:right="113"/>
              <w:jc w:val="left"/>
              <w:rPr>
                <w:color w:val="auto"/>
              </w:rPr>
            </w:pPr>
            <w:r w:rsidRPr="00DF1884">
              <w:rPr>
                <w:color w:val="auto"/>
              </w:rPr>
              <w:t>BCS</w:t>
            </w:r>
          </w:p>
        </w:tc>
        <w:tc>
          <w:tcPr>
            <w:tcW w:w="484"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66B8BD97" w14:textId="77777777" w:rsidR="00FA2F7C" w:rsidRPr="00DF1884" w:rsidRDefault="00FA2F7C" w:rsidP="00E9531F">
            <w:pPr>
              <w:pStyle w:val="TableHead"/>
              <w:ind w:left="29" w:right="113"/>
              <w:jc w:val="left"/>
              <w:rPr>
                <w:color w:val="auto"/>
              </w:rPr>
            </w:pPr>
            <w:r w:rsidRPr="00DF1884">
              <w:rPr>
                <w:color w:val="auto"/>
              </w:rPr>
              <w:t>CCS</w:t>
            </w:r>
          </w:p>
        </w:tc>
        <w:tc>
          <w:tcPr>
            <w:tcW w:w="484"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4E621449" w14:textId="77777777" w:rsidR="00FA2F7C" w:rsidRPr="00DF1884" w:rsidRDefault="00FA2F7C" w:rsidP="00E9531F">
            <w:pPr>
              <w:pStyle w:val="TableHead"/>
              <w:ind w:left="29" w:right="113"/>
              <w:jc w:val="left"/>
              <w:rPr>
                <w:color w:val="auto"/>
              </w:rPr>
            </w:pPr>
            <w:r w:rsidRPr="00DF1884">
              <w:rPr>
                <w:color w:val="auto"/>
              </w:rPr>
              <w:t>COL</w:t>
            </w:r>
          </w:p>
        </w:tc>
        <w:tc>
          <w:tcPr>
            <w:tcW w:w="484"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23B10CA3" w14:textId="77777777" w:rsidR="00FA2F7C" w:rsidRPr="00DF1884" w:rsidRDefault="00FA2F7C" w:rsidP="00E9531F">
            <w:pPr>
              <w:pStyle w:val="TableHead"/>
              <w:ind w:left="29" w:right="113"/>
              <w:jc w:val="left"/>
              <w:rPr>
                <w:color w:val="auto"/>
              </w:rPr>
            </w:pPr>
            <w:r w:rsidRPr="00DF1884">
              <w:rPr>
                <w:color w:val="auto"/>
              </w:rPr>
              <w:t>CHL</w:t>
            </w:r>
          </w:p>
        </w:tc>
        <w:tc>
          <w:tcPr>
            <w:tcW w:w="485"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2DC33BA0" w14:textId="77777777" w:rsidR="00FA2F7C" w:rsidRPr="00DF1884" w:rsidRDefault="00FA2F7C" w:rsidP="00E9531F">
            <w:pPr>
              <w:pStyle w:val="TableHead"/>
              <w:ind w:left="29" w:right="113"/>
              <w:jc w:val="left"/>
              <w:rPr>
                <w:color w:val="auto"/>
              </w:rPr>
            </w:pPr>
            <w:r w:rsidRPr="00DF1884">
              <w:rPr>
                <w:color w:val="auto"/>
              </w:rPr>
              <w:t>COA</w:t>
            </w:r>
          </w:p>
        </w:tc>
        <w:tc>
          <w:tcPr>
            <w:tcW w:w="484" w:type="dxa"/>
            <w:tcBorders>
              <w:top w:val="single" w:sz="6" w:space="0" w:color="FFFFFF" w:themeColor="background1"/>
              <w:left w:val="single" w:sz="6" w:space="0" w:color="FFFFFF"/>
              <w:bottom w:val="single" w:sz="6" w:space="0" w:color="auto"/>
              <w:right w:val="single" w:sz="4" w:space="0" w:color="FFFFFF"/>
            </w:tcBorders>
            <w:shd w:val="clear" w:color="auto" w:fill="000000"/>
            <w:tcMar>
              <w:left w:w="43" w:type="dxa"/>
              <w:right w:w="43" w:type="dxa"/>
            </w:tcMar>
            <w:textDirection w:val="btLr"/>
            <w:vAlign w:val="center"/>
          </w:tcPr>
          <w:p w14:paraId="35D32EBC" w14:textId="77777777" w:rsidR="00FA2F7C" w:rsidRPr="00DF1884" w:rsidRDefault="00FA2F7C" w:rsidP="00E9531F">
            <w:pPr>
              <w:pStyle w:val="TableHead"/>
              <w:ind w:left="29" w:right="113"/>
              <w:jc w:val="left"/>
              <w:rPr>
                <w:color w:val="auto"/>
              </w:rPr>
            </w:pPr>
            <w:r w:rsidRPr="00DF1884">
              <w:rPr>
                <w:color w:val="auto"/>
              </w:rPr>
              <w:t>CWP</w:t>
            </w:r>
          </w:p>
        </w:tc>
        <w:tc>
          <w:tcPr>
            <w:tcW w:w="484"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vAlign w:val="center"/>
          </w:tcPr>
          <w:p w14:paraId="3AB6EBAE" w14:textId="77777777" w:rsidR="00FA2F7C" w:rsidRPr="00DF1884" w:rsidRDefault="00FA2F7C" w:rsidP="00E9531F">
            <w:pPr>
              <w:pStyle w:val="TableHead"/>
              <w:ind w:left="29" w:right="113"/>
              <w:jc w:val="left"/>
              <w:rPr>
                <w:i/>
                <w:color w:val="auto"/>
                <w:szCs w:val="24"/>
              </w:rPr>
            </w:pPr>
            <w:r w:rsidRPr="00DF1884">
              <w:rPr>
                <w:color w:val="auto"/>
              </w:rPr>
              <w:t>SPR</w:t>
            </w:r>
          </w:p>
        </w:tc>
        <w:tc>
          <w:tcPr>
            <w:tcW w:w="485"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vAlign w:val="center"/>
          </w:tcPr>
          <w:p w14:paraId="167C4CB8" w14:textId="77777777" w:rsidR="00FA2F7C" w:rsidRPr="00DF1884" w:rsidRDefault="00FA2F7C" w:rsidP="00E9531F">
            <w:pPr>
              <w:pStyle w:val="TableHead"/>
              <w:ind w:left="29" w:right="113"/>
              <w:jc w:val="left"/>
              <w:rPr>
                <w:i/>
                <w:color w:val="auto"/>
                <w:szCs w:val="24"/>
              </w:rPr>
            </w:pPr>
            <w:r w:rsidRPr="00DF1884">
              <w:rPr>
                <w:color w:val="auto"/>
              </w:rPr>
              <w:t>PCE</w:t>
            </w:r>
          </w:p>
        </w:tc>
        <w:tc>
          <w:tcPr>
            <w:tcW w:w="484"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vAlign w:val="center"/>
          </w:tcPr>
          <w:p w14:paraId="12F4B3E9" w14:textId="77777777" w:rsidR="00FA2F7C" w:rsidRPr="00DF1884" w:rsidRDefault="00FA2F7C" w:rsidP="00E9531F">
            <w:pPr>
              <w:spacing w:before="40" w:after="40"/>
              <w:ind w:left="29" w:right="113"/>
              <w:rPr>
                <w:rFonts w:ascii="Arial Narrow Bold" w:hAnsi="Arial Narrow"/>
                <w:b/>
                <w:i/>
                <w:szCs w:val="20"/>
              </w:rPr>
            </w:pPr>
            <w:r w:rsidRPr="00DF1884">
              <w:rPr>
                <w:rFonts w:ascii="Arial Narrow Bold" w:hAnsi="Arial Narrow"/>
                <w:b/>
                <w:szCs w:val="20"/>
              </w:rPr>
              <w:t>MMA</w:t>
            </w:r>
          </w:p>
        </w:tc>
        <w:tc>
          <w:tcPr>
            <w:tcW w:w="484" w:type="dxa"/>
            <w:tcBorders>
              <w:top w:val="single" w:sz="6" w:space="0" w:color="FFFFFF" w:themeColor="background1"/>
              <w:left w:val="single" w:sz="4" w:space="0" w:color="FFFFFF"/>
              <w:bottom w:val="single" w:sz="6" w:space="0" w:color="auto"/>
              <w:right w:val="single" w:sz="4" w:space="0" w:color="FFFFFF"/>
            </w:tcBorders>
            <w:shd w:val="clear" w:color="auto" w:fill="000000"/>
            <w:textDirection w:val="btLr"/>
            <w:vAlign w:val="center"/>
          </w:tcPr>
          <w:p w14:paraId="50A6BFF2" w14:textId="77777777" w:rsidR="00FA2F7C" w:rsidRPr="00DF1884" w:rsidRDefault="00FA2F7C" w:rsidP="00E9531F">
            <w:pPr>
              <w:spacing w:before="40" w:after="40"/>
              <w:ind w:left="29" w:right="113"/>
              <w:rPr>
                <w:rFonts w:ascii="Arial Narrow Bold" w:hAnsi="Arial Narrow"/>
                <w:b/>
                <w:szCs w:val="20"/>
              </w:rPr>
            </w:pPr>
            <w:r w:rsidRPr="00DF1884">
              <w:rPr>
                <w:rFonts w:ascii="Arial Narrow Bold" w:hAnsi="Arial Narrow"/>
                <w:b/>
                <w:szCs w:val="20"/>
              </w:rPr>
              <w:t>AMR</w:t>
            </w:r>
          </w:p>
        </w:tc>
        <w:tc>
          <w:tcPr>
            <w:tcW w:w="485" w:type="dxa"/>
            <w:tcBorders>
              <w:top w:val="single" w:sz="6" w:space="0" w:color="FFFFFF" w:themeColor="background1"/>
              <w:left w:val="single" w:sz="4" w:space="0" w:color="FFFFFF"/>
              <w:bottom w:val="single" w:sz="6" w:space="0" w:color="auto"/>
              <w:right w:val="single" w:sz="4" w:space="0" w:color="auto"/>
            </w:tcBorders>
            <w:shd w:val="clear" w:color="auto" w:fill="000000"/>
            <w:tcMar>
              <w:left w:w="43" w:type="dxa"/>
              <w:right w:w="43" w:type="dxa"/>
            </w:tcMar>
            <w:textDirection w:val="btLr"/>
            <w:vAlign w:val="center"/>
          </w:tcPr>
          <w:p w14:paraId="281E79A3" w14:textId="77777777" w:rsidR="00FA2F7C" w:rsidRPr="00DF1884" w:rsidRDefault="00FA2F7C" w:rsidP="00E9531F">
            <w:pPr>
              <w:spacing w:before="40" w:after="40"/>
              <w:ind w:left="29" w:right="113"/>
              <w:rPr>
                <w:rFonts w:ascii="Arial Narrow Bold" w:hAnsi="Arial Narrow"/>
                <w:b/>
                <w:szCs w:val="20"/>
              </w:rPr>
            </w:pPr>
            <w:r w:rsidRPr="00DF1884">
              <w:rPr>
                <w:rFonts w:ascii="Arial Narrow Bold" w:hAnsi="Arial Narrow"/>
                <w:b/>
                <w:szCs w:val="20"/>
              </w:rPr>
              <w:t>CBP</w:t>
            </w:r>
          </w:p>
        </w:tc>
      </w:tr>
      <w:tr w:rsidR="00FA2F7C" w:rsidRPr="00DF1884" w14:paraId="04F24813" w14:textId="77777777" w:rsidTr="00932F29">
        <w:trPr>
          <w:cantSplit/>
        </w:trPr>
        <w:tc>
          <w:tcPr>
            <w:tcW w:w="1506"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3B3D5CC" w14:textId="77845377" w:rsidR="00FA2F7C" w:rsidRPr="00DF1884" w:rsidRDefault="00FA2F7C" w:rsidP="00E9531F">
            <w:pPr>
              <w:pStyle w:val="TableText"/>
              <w:rPr>
                <w:szCs w:val="20"/>
              </w:rPr>
            </w:pPr>
            <w:r w:rsidRPr="00DF1884">
              <w:rPr>
                <w:szCs w:val="20"/>
              </w:rPr>
              <w:t>V codes</w:t>
            </w: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51DC41B" w14:textId="77777777" w:rsidR="00FA2F7C" w:rsidRPr="00DF1884" w:rsidRDefault="00FA2F7C" w:rsidP="00932F29">
            <w:pPr>
              <w:pStyle w:val="TableText"/>
              <w:jc w:val="center"/>
              <w:rPr>
                <w:sz w:val="22"/>
                <w:szCs w:val="22"/>
              </w:rPr>
            </w:pPr>
            <w:r w:rsidRPr="00DF1884">
              <w:rPr>
                <w:sz w:val="22"/>
                <w:szCs w:val="22"/>
              </w:rPr>
              <w:sym w:font="Wingdings" w:char="F0FC"/>
            </w: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1F92736" w14:textId="77777777" w:rsidR="00FA2F7C" w:rsidRPr="00DF1884" w:rsidRDefault="00FA2F7C" w:rsidP="00932F29">
            <w:pPr>
              <w:pStyle w:val="TableText"/>
              <w:jc w:val="center"/>
              <w:rPr>
                <w:sz w:val="22"/>
                <w:szCs w:val="22"/>
              </w:rPr>
            </w:pPr>
            <w:r w:rsidRPr="00DF1884">
              <w:rPr>
                <w:sz w:val="22"/>
                <w:szCs w:val="22"/>
              </w:rPr>
              <w:sym w:font="Wingdings" w:char="F0FC"/>
            </w: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E620F92" w14:textId="77777777" w:rsidR="00FA2F7C" w:rsidRPr="00DF1884" w:rsidRDefault="00FA2F7C" w:rsidP="00932F29">
            <w:pPr>
              <w:pStyle w:val="TableText"/>
              <w:jc w:val="center"/>
              <w:rPr>
                <w:sz w:val="22"/>
                <w:szCs w:val="22"/>
              </w:rPr>
            </w:pPr>
            <w:r w:rsidRPr="00DF1884">
              <w:rPr>
                <w:sz w:val="22"/>
                <w:szCs w:val="22"/>
              </w:rPr>
              <w:sym w:font="Wingdings" w:char="F0FC"/>
            </w:r>
          </w:p>
        </w:tc>
        <w:tc>
          <w:tcPr>
            <w:tcW w:w="48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2FC1C6B"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CDB208A"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D7C4F02" w14:textId="77777777" w:rsidR="00FA2F7C" w:rsidRPr="00DF1884" w:rsidRDefault="00FA2F7C"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4EFE9C1"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2E7457E" w14:textId="77777777" w:rsidR="00FA2F7C" w:rsidRPr="00DF1884" w:rsidRDefault="00FA2F7C" w:rsidP="00932F29">
            <w:pPr>
              <w:pStyle w:val="TableText"/>
              <w:jc w:val="center"/>
              <w:rPr>
                <w:sz w:val="22"/>
                <w:szCs w:val="22"/>
              </w:rPr>
            </w:pPr>
            <w:r w:rsidRPr="00DF1884">
              <w:rPr>
                <w:sz w:val="22"/>
                <w:szCs w:val="22"/>
              </w:rPr>
              <w:sym w:font="Wingdings" w:char="F0FC"/>
            </w: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602D91F" w14:textId="77777777" w:rsidR="00FA2F7C" w:rsidRPr="00DF1884" w:rsidRDefault="00FA2F7C" w:rsidP="00932F29">
            <w:pPr>
              <w:pStyle w:val="TableText"/>
              <w:jc w:val="center"/>
              <w:rPr>
                <w:sz w:val="22"/>
                <w:szCs w:val="22"/>
              </w:rPr>
            </w:pPr>
            <w:r w:rsidRPr="00DF1884">
              <w:rPr>
                <w:sz w:val="22"/>
                <w:szCs w:val="22"/>
              </w:rPr>
              <w:sym w:font="Wingdings" w:char="F0FC"/>
            </w: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6504CFB" w14:textId="77777777" w:rsidR="00FA2F7C" w:rsidRPr="00DF1884" w:rsidRDefault="00FA2F7C" w:rsidP="00932F29">
            <w:pPr>
              <w:pStyle w:val="TableText"/>
              <w:jc w:val="center"/>
              <w:rPr>
                <w:sz w:val="22"/>
                <w:szCs w:val="22"/>
              </w:rPr>
            </w:pPr>
            <w:r w:rsidRPr="00DF1884">
              <w:rPr>
                <w:sz w:val="22"/>
                <w:szCs w:val="22"/>
              </w:rPr>
              <w:sym w:font="Wingdings" w:char="F0FC"/>
            </w:r>
          </w:p>
        </w:tc>
        <w:tc>
          <w:tcPr>
            <w:tcW w:w="48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E427BC0"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7924CB8"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98530C1" w14:textId="77777777" w:rsidR="00FA2F7C" w:rsidRPr="00DF1884" w:rsidRDefault="00FA2F7C"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5AC36C6"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FF29A54"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9173B78" w14:textId="77777777" w:rsidR="00FA2F7C" w:rsidRPr="00DF1884" w:rsidRDefault="00FA2F7C"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B5131DA" w14:textId="77777777" w:rsidR="00FA2F7C" w:rsidRPr="00DF1884" w:rsidRDefault="00FA2F7C" w:rsidP="00932F29">
            <w:pPr>
              <w:pStyle w:val="TableText"/>
              <w:jc w:val="center"/>
              <w:rPr>
                <w:sz w:val="22"/>
                <w:szCs w:val="22"/>
              </w:rPr>
            </w:pPr>
            <w:r w:rsidRPr="00DF1884">
              <w:rPr>
                <w:sz w:val="22"/>
                <w:szCs w:val="22"/>
              </w:rPr>
              <w:sym w:font="Wingdings" w:char="F0FC"/>
            </w:r>
          </w:p>
        </w:tc>
      </w:tr>
      <w:tr w:rsidR="00FA2F7C" w:rsidRPr="00DF1884" w14:paraId="73EB1958" w14:textId="77777777" w:rsidTr="00932F29">
        <w:trPr>
          <w:cantSplit/>
        </w:trPr>
        <w:tc>
          <w:tcPr>
            <w:tcW w:w="150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DC3A624" w14:textId="7B12E2FC" w:rsidR="00FA2F7C" w:rsidRPr="00DF1884" w:rsidRDefault="00FA2F7C" w:rsidP="00E9531F">
            <w:pPr>
              <w:pStyle w:val="TableText"/>
              <w:rPr>
                <w:szCs w:val="20"/>
              </w:rPr>
            </w:pPr>
            <w:r w:rsidRPr="00DF1884">
              <w:rPr>
                <w:szCs w:val="20"/>
              </w:rPr>
              <w:t>Rev codes</w:t>
            </w: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5C9977C" w14:textId="77777777" w:rsidR="00FA2F7C" w:rsidRPr="00DF1884" w:rsidRDefault="00FA2F7C" w:rsidP="00932F29">
            <w:pPr>
              <w:pStyle w:val="TableText"/>
              <w:jc w:val="center"/>
              <w:rPr>
                <w:sz w:val="22"/>
                <w:szCs w:val="22"/>
              </w:rPr>
            </w:pPr>
            <w:r w:rsidRPr="00DF1884">
              <w:rPr>
                <w:sz w:val="22"/>
                <w:szCs w:val="22"/>
              </w:rPr>
              <w:sym w:font="Wingdings" w:char="F0FC"/>
            </w: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1C532D0" w14:textId="77777777" w:rsidR="00FA2F7C" w:rsidRPr="00DF1884" w:rsidRDefault="00FA2F7C" w:rsidP="00932F29">
            <w:pPr>
              <w:pStyle w:val="TableText"/>
              <w:jc w:val="center"/>
              <w:rPr>
                <w:sz w:val="22"/>
                <w:szCs w:val="22"/>
              </w:rPr>
            </w:pPr>
            <w:r w:rsidRPr="00DF1884">
              <w:rPr>
                <w:sz w:val="22"/>
                <w:szCs w:val="22"/>
              </w:rPr>
              <w:sym w:font="Wingdings" w:char="F0FC"/>
            </w: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53B02F8" w14:textId="77777777" w:rsidR="00FA2F7C" w:rsidRPr="00DF1884" w:rsidRDefault="00FA2F7C"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3EDC0C7"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3098694"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F7CD85E" w14:textId="77777777" w:rsidR="00FA2F7C" w:rsidRPr="00DF1884" w:rsidRDefault="00FA2F7C"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38590F8" w14:textId="77777777" w:rsidR="00FA2F7C" w:rsidRPr="00DF1884" w:rsidRDefault="00FA2F7C" w:rsidP="00932F29">
            <w:pPr>
              <w:pStyle w:val="TableText"/>
              <w:jc w:val="center"/>
              <w:rPr>
                <w:sz w:val="22"/>
                <w:szCs w:val="22"/>
              </w:rPr>
            </w:pPr>
            <w:r w:rsidRPr="00DF1884">
              <w:rPr>
                <w:sz w:val="22"/>
                <w:szCs w:val="22"/>
              </w:rPr>
              <w:sym w:font="Wingdings" w:char="F0FC"/>
            </w: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6177FFD" w14:textId="77777777" w:rsidR="00FA2F7C" w:rsidRPr="00DF1884" w:rsidRDefault="00FA2F7C" w:rsidP="00932F29">
            <w:pPr>
              <w:pStyle w:val="TableText"/>
              <w:jc w:val="center"/>
              <w:rPr>
                <w:sz w:val="22"/>
                <w:szCs w:val="22"/>
              </w:rPr>
            </w:pPr>
            <w:r w:rsidRPr="00DF1884">
              <w:rPr>
                <w:sz w:val="22"/>
                <w:szCs w:val="22"/>
              </w:rPr>
              <w:sym w:font="Wingdings" w:char="F0FC"/>
            </w: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B2BFE1B"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1C03862" w14:textId="77777777" w:rsidR="00FA2F7C" w:rsidRPr="00DF1884" w:rsidRDefault="00FA2F7C" w:rsidP="00932F29">
            <w:pPr>
              <w:pStyle w:val="TableText"/>
              <w:jc w:val="center"/>
              <w:rPr>
                <w:sz w:val="22"/>
                <w:szCs w:val="22"/>
              </w:rPr>
            </w:pPr>
            <w:r w:rsidRPr="00DF1884">
              <w:rPr>
                <w:sz w:val="22"/>
                <w:szCs w:val="22"/>
              </w:rPr>
              <w:sym w:font="Wingdings" w:char="F0FC"/>
            </w:r>
          </w:p>
        </w:tc>
        <w:tc>
          <w:tcPr>
            <w:tcW w:w="4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F8CB1A0"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3870864" w14:textId="77777777" w:rsidR="00FA2F7C" w:rsidRPr="00DF1884" w:rsidRDefault="00FA2F7C" w:rsidP="00932F29">
            <w:pPr>
              <w:pStyle w:val="TableText"/>
              <w:jc w:val="center"/>
              <w:rPr>
                <w:sz w:val="22"/>
                <w:szCs w:val="22"/>
              </w:rPr>
            </w:pPr>
            <w:r w:rsidRPr="00DF1884">
              <w:rPr>
                <w:sz w:val="22"/>
                <w:szCs w:val="22"/>
              </w:rPr>
              <w:sym w:font="Wingdings" w:char="F0FC"/>
            </w: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F6015EB" w14:textId="77777777" w:rsidR="00FA2F7C" w:rsidRPr="00DF1884" w:rsidRDefault="00FA2F7C" w:rsidP="00932F29">
            <w:pPr>
              <w:pStyle w:val="TableText"/>
              <w:jc w:val="center"/>
              <w:rPr>
                <w:sz w:val="22"/>
                <w:szCs w:val="22"/>
              </w:rPr>
            </w:pPr>
            <w:r w:rsidRPr="00DF1884">
              <w:rPr>
                <w:sz w:val="22"/>
                <w:szCs w:val="22"/>
              </w:rPr>
              <w:sym w:font="Wingdings" w:char="F0FC"/>
            </w:r>
          </w:p>
        </w:tc>
        <w:tc>
          <w:tcPr>
            <w:tcW w:w="4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435A852" w14:textId="77777777" w:rsidR="00FA2F7C" w:rsidRPr="00DF1884" w:rsidRDefault="00FA2F7C" w:rsidP="00932F29">
            <w:pPr>
              <w:pStyle w:val="TableText"/>
              <w:jc w:val="center"/>
              <w:rPr>
                <w:sz w:val="22"/>
                <w:szCs w:val="22"/>
              </w:rPr>
            </w:pPr>
            <w:r w:rsidRPr="00DF1884">
              <w:rPr>
                <w:sz w:val="22"/>
                <w:szCs w:val="22"/>
              </w:rPr>
              <w:sym w:font="Wingdings" w:char="F0FC"/>
            </w: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08ABDB5" w14:textId="77777777" w:rsidR="00FA2F7C" w:rsidRPr="00DF1884" w:rsidRDefault="00FA2F7C" w:rsidP="00932F29">
            <w:pPr>
              <w:pStyle w:val="TableText"/>
              <w:jc w:val="center"/>
              <w:rPr>
                <w:sz w:val="22"/>
                <w:szCs w:val="22"/>
              </w:rPr>
            </w:pPr>
            <w:r w:rsidRPr="00DF1884">
              <w:rPr>
                <w:sz w:val="22"/>
                <w:szCs w:val="22"/>
              </w:rPr>
              <w:sym w:font="Wingdings" w:char="F0FC"/>
            </w: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59C8BE3" w14:textId="77777777" w:rsidR="00FA2F7C" w:rsidRPr="00DF1884" w:rsidRDefault="00FA2F7C" w:rsidP="00932F29">
            <w:pPr>
              <w:pStyle w:val="TableText"/>
              <w:jc w:val="center"/>
              <w:rPr>
                <w:sz w:val="22"/>
                <w:szCs w:val="22"/>
              </w:rPr>
            </w:pPr>
            <w:r w:rsidRPr="00DF1884">
              <w:rPr>
                <w:sz w:val="22"/>
                <w:szCs w:val="22"/>
              </w:rPr>
              <w:sym w:font="Wingdings" w:char="F0FC"/>
            </w:r>
          </w:p>
        </w:tc>
        <w:tc>
          <w:tcPr>
            <w:tcW w:w="4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1AF7A13" w14:textId="77777777" w:rsidR="00FA2F7C" w:rsidRPr="00DF1884" w:rsidRDefault="00FA2F7C" w:rsidP="00932F29">
            <w:pPr>
              <w:pStyle w:val="TableText"/>
              <w:jc w:val="center"/>
              <w:rPr>
                <w:sz w:val="22"/>
                <w:szCs w:val="22"/>
              </w:rPr>
            </w:pPr>
            <w:r w:rsidRPr="00DF1884">
              <w:rPr>
                <w:sz w:val="22"/>
                <w:szCs w:val="22"/>
              </w:rPr>
              <w:sym w:font="Wingdings" w:char="F0FC"/>
            </w:r>
          </w:p>
        </w:tc>
      </w:tr>
      <w:tr w:rsidR="00FA2F7C" w:rsidRPr="00DF1884" w14:paraId="24EDF131" w14:textId="77777777" w:rsidTr="00932F29">
        <w:trPr>
          <w:cantSplit/>
        </w:trPr>
        <w:tc>
          <w:tcPr>
            <w:tcW w:w="1506"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D383B48" w14:textId="3739B4EA" w:rsidR="00FA2F7C" w:rsidRPr="00DF1884" w:rsidRDefault="00FA2F7C" w:rsidP="00E9531F">
            <w:pPr>
              <w:pStyle w:val="TableText"/>
              <w:rPr>
                <w:szCs w:val="20"/>
              </w:rPr>
            </w:pPr>
            <w:r w:rsidRPr="00DF1884">
              <w:rPr>
                <w:szCs w:val="20"/>
              </w:rPr>
              <w:t>POS codes</w:t>
            </w: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1470BCE"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D9C9EB9"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C820496" w14:textId="77777777" w:rsidR="00FA2F7C" w:rsidRPr="00DF1884" w:rsidRDefault="00FA2F7C"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2F6BF31"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F118655"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E5B21F3" w14:textId="77777777" w:rsidR="00FA2F7C" w:rsidRPr="00DF1884" w:rsidRDefault="00FA2F7C"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9325487"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AE16C39"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D83E9A3"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8A6CEE9" w14:textId="77777777" w:rsidR="00FA2F7C" w:rsidRPr="00DF1884" w:rsidRDefault="00FA2F7C"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09D5266"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E6EE8FF"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8AF3944" w14:textId="77777777" w:rsidR="00FA2F7C" w:rsidRPr="00DF1884" w:rsidRDefault="00FA2F7C"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534ED3F"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128C143"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38AF6C5" w14:textId="77777777" w:rsidR="00FA2F7C" w:rsidRPr="00DF1884" w:rsidRDefault="00FA2F7C"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529855D" w14:textId="77777777" w:rsidR="00FA2F7C" w:rsidRPr="00DF1884" w:rsidRDefault="00FA2F7C" w:rsidP="00932F29">
            <w:pPr>
              <w:pStyle w:val="TableText"/>
              <w:jc w:val="center"/>
              <w:rPr>
                <w:sz w:val="22"/>
                <w:szCs w:val="22"/>
              </w:rPr>
            </w:pPr>
            <w:r w:rsidRPr="00DF1884">
              <w:rPr>
                <w:sz w:val="22"/>
                <w:szCs w:val="22"/>
              </w:rPr>
              <w:sym w:font="Wingdings" w:char="F0FC"/>
            </w:r>
          </w:p>
        </w:tc>
      </w:tr>
      <w:tr w:rsidR="00FA2F7C" w:rsidRPr="00DF1884" w14:paraId="39CC8747" w14:textId="77777777" w:rsidTr="00932F29">
        <w:trPr>
          <w:cantSplit/>
        </w:trPr>
        <w:tc>
          <w:tcPr>
            <w:tcW w:w="150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74AA550" w14:textId="57397265" w:rsidR="00FA2F7C" w:rsidRPr="00DF1884" w:rsidRDefault="00FA2F7C" w:rsidP="00E9531F">
            <w:pPr>
              <w:pStyle w:val="TableText"/>
              <w:rPr>
                <w:szCs w:val="20"/>
              </w:rPr>
            </w:pPr>
            <w:r w:rsidRPr="00DF1884">
              <w:rPr>
                <w:szCs w:val="20"/>
              </w:rPr>
              <w:t>TOB codes</w:t>
            </w: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5B4D6F6"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5A78098"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5FD3044" w14:textId="77777777" w:rsidR="00FA2F7C" w:rsidRPr="00DF1884" w:rsidRDefault="00FA2F7C"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D3193DE"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2028C75"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6D3320E" w14:textId="77777777" w:rsidR="00FA2F7C" w:rsidRPr="00DF1884" w:rsidRDefault="00FA2F7C"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F341CDA"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D43A1E6"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8D5A407"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7026FD1" w14:textId="77777777" w:rsidR="00FA2F7C" w:rsidRPr="00DF1884" w:rsidRDefault="00FA2F7C"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776AB3C"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E9402EC"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0FCC60B" w14:textId="77777777" w:rsidR="00FA2F7C" w:rsidRPr="00DF1884" w:rsidRDefault="00FA2F7C"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C463749"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0A4B308"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975293F" w14:textId="77777777" w:rsidR="00FA2F7C" w:rsidRPr="00DF1884" w:rsidRDefault="00FA2F7C"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EBC5318" w14:textId="77777777" w:rsidR="00FA2F7C" w:rsidRPr="00DF1884" w:rsidRDefault="00FA2F7C" w:rsidP="00932F29">
            <w:pPr>
              <w:pStyle w:val="TableText"/>
              <w:jc w:val="center"/>
              <w:rPr>
                <w:sz w:val="22"/>
                <w:szCs w:val="22"/>
              </w:rPr>
            </w:pPr>
            <w:r w:rsidRPr="00DF1884">
              <w:rPr>
                <w:sz w:val="22"/>
                <w:szCs w:val="22"/>
              </w:rPr>
              <w:sym w:font="Wingdings" w:char="F0FC"/>
            </w:r>
          </w:p>
        </w:tc>
      </w:tr>
      <w:tr w:rsidR="00FA2F7C" w:rsidRPr="00DF1884" w14:paraId="075F95BF" w14:textId="77777777" w:rsidTr="00932F29">
        <w:trPr>
          <w:cantSplit/>
        </w:trPr>
        <w:tc>
          <w:tcPr>
            <w:tcW w:w="1506"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66E742C" w14:textId="77777777" w:rsidR="00FA2F7C" w:rsidRPr="00DF1884" w:rsidRDefault="00FA2F7C" w:rsidP="00E9531F">
            <w:pPr>
              <w:pStyle w:val="TableText"/>
              <w:rPr>
                <w:szCs w:val="20"/>
              </w:rPr>
            </w:pPr>
            <w:r w:rsidRPr="00DF1884">
              <w:rPr>
                <w:szCs w:val="20"/>
              </w:rPr>
              <w:t>DRGs</w:t>
            </w: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66BC3D5"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F4481FE"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23BCF48" w14:textId="77777777" w:rsidR="00FA2F7C" w:rsidRPr="00DF1884" w:rsidRDefault="00FA2F7C"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B8BC71C"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C6261B9"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54BED44" w14:textId="77777777" w:rsidR="00FA2F7C" w:rsidRPr="00DF1884" w:rsidRDefault="00FA2F7C"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CDA3BAC"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B2FF386"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7C2669C"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7E724FF" w14:textId="77777777" w:rsidR="00FA2F7C" w:rsidRPr="00DF1884" w:rsidRDefault="00FA2F7C"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552228E"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B047E0C"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7F6C3D4" w14:textId="77777777" w:rsidR="00FA2F7C" w:rsidRPr="00DF1884" w:rsidRDefault="00FA2F7C"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0C35F99"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302EB5E"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20C7487" w14:textId="77777777" w:rsidR="00FA2F7C" w:rsidRPr="00DF1884" w:rsidRDefault="00FA2F7C"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2DF30CA" w14:textId="77777777" w:rsidR="00FA2F7C" w:rsidRPr="00DF1884" w:rsidRDefault="00FA2F7C" w:rsidP="00932F29">
            <w:pPr>
              <w:pStyle w:val="TableText"/>
              <w:jc w:val="center"/>
              <w:rPr>
                <w:sz w:val="22"/>
                <w:szCs w:val="22"/>
              </w:rPr>
            </w:pPr>
          </w:p>
        </w:tc>
      </w:tr>
      <w:tr w:rsidR="00FA2F7C" w:rsidRPr="00DF1884" w14:paraId="058B2B0E" w14:textId="77777777" w:rsidTr="00932F29">
        <w:trPr>
          <w:cantSplit/>
        </w:trPr>
        <w:tc>
          <w:tcPr>
            <w:tcW w:w="150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9006420" w14:textId="11A1826E" w:rsidR="00FA2F7C" w:rsidRPr="00DF1884" w:rsidRDefault="00FA2F7C" w:rsidP="00E9531F">
            <w:pPr>
              <w:pStyle w:val="TableText"/>
              <w:rPr>
                <w:szCs w:val="20"/>
              </w:rPr>
            </w:pPr>
            <w:r w:rsidRPr="00DF1884">
              <w:rPr>
                <w:szCs w:val="20"/>
              </w:rPr>
              <w:t>HCPCS codes</w:t>
            </w: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F0E121E" w14:textId="77777777" w:rsidR="00FA2F7C" w:rsidRPr="00DF1884" w:rsidRDefault="00FA2F7C" w:rsidP="00932F29">
            <w:pPr>
              <w:pStyle w:val="TableText"/>
              <w:jc w:val="center"/>
              <w:rPr>
                <w:sz w:val="22"/>
                <w:szCs w:val="22"/>
              </w:rPr>
            </w:pPr>
            <w:r w:rsidRPr="00DF1884">
              <w:rPr>
                <w:sz w:val="22"/>
                <w:szCs w:val="22"/>
              </w:rPr>
              <w:sym w:font="Wingdings" w:char="F0FC"/>
            </w: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9D9D15A" w14:textId="77777777" w:rsidR="00FA2F7C" w:rsidRPr="00DF1884" w:rsidRDefault="00FA2F7C" w:rsidP="00932F29">
            <w:pPr>
              <w:pStyle w:val="TableText"/>
              <w:jc w:val="center"/>
              <w:rPr>
                <w:sz w:val="22"/>
                <w:szCs w:val="22"/>
              </w:rPr>
            </w:pPr>
            <w:r w:rsidRPr="00DF1884">
              <w:rPr>
                <w:sz w:val="22"/>
                <w:szCs w:val="22"/>
              </w:rPr>
              <w:sym w:font="Wingdings" w:char="F0FC"/>
            </w: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4415C56" w14:textId="77777777" w:rsidR="00FA2F7C" w:rsidRPr="00DF1884" w:rsidRDefault="00FA2F7C" w:rsidP="00932F29">
            <w:pPr>
              <w:pStyle w:val="TableText"/>
              <w:jc w:val="center"/>
              <w:rPr>
                <w:sz w:val="22"/>
                <w:szCs w:val="22"/>
              </w:rPr>
            </w:pPr>
            <w:r w:rsidRPr="00DF1884">
              <w:rPr>
                <w:sz w:val="22"/>
                <w:szCs w:val="22"/>
              </w:rPr>
              <w:sym w:font="Wingdings" w:char="F0FC"/>
            </w:r>
          </w:p>
        </w:tc>
        <w:tc>
          <w:tcPr>
            <w:tcW w:w="4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A8025C9"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13661FE"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E5A1C2D" w14:textId="77777777" w:rsidR="00FA2F7C" w:rsidRPr="00DF1884" w:rsidRDefault="00FA2F7C"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1F7A817" w14:textId="77777777" w:rsidR="00FA2F7C" w:rsidRPr="00DF1884" w:rsidRDefault="00FA2F7C" w:rsidP="00932F29">
            <w:pPr>
              <w:pStyle w:val="TableText"/>
              <w:jc w:val="center"/>
              <w:rPr>
                <w:sz w:val="22"/>
                <w:szCs w:val="22"/>
              </w:rPr>
            </w:pPr>
            <w:r w:rsidRPr="00DF1884">
              <w:rPr>
                <w:sz w:val="22"/>
                <w:szCs w:val="22"/>
              </w:rPr>
              <w:sym w:font="Wingdings" w:char="F0FC"/>
            </w: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4F8479C" w14:textId="77777777" w:rsidR="00FA2F7C" w:rsidRPr="00DF1884" w:rsidRDefault="00FA2F7C" w:rsidP="00932F29">
            <w:pPr>
              <w:pStyle w:val="TableText"/>
              <w:jc w:val="center"/>
              <w:rPr>
                <w:sz w:val="22"/>
                <w:szCs w:val="22"/>
              </w:rPr>
            </w:pPr>
            <w:r w:rsidRPr="00DF1884">
              <w:rPr>
                <w:sz w:val="22"/>
                <w:szCs w:val="22"/>
              </w:rPr>
              <w:sym w:font="Wingdings" w:char="F0FC"/>
            </w: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0101481" w14:textId="77777777" w:rsidR="00FA2F7C" w:rsidRPr="00DF1884" w:rsidRDefault="00FA2F7C" w:rsidP="00932F29">
            <w:pPr>
              <w:pStyle w:val="TableText"/>
              <w:jc w:val="center"/>
              <w:rPr>
                <w:sz w:val="22"/>
                <w:szCs w:val="22"/>
              </w:rPr>
            </w:pPr>
            <w:r w:rsidRPr="00DF1884">
              <w:rPr>
                <w:sz w:val="22"/>
                <w:szCs w:val="22"/>
              </w:rPr>
              <w:sym w:font="Wingdings" w:char="F0FC"/>
            </w: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3EF4E84" w14:textId="77777777" w:rsidR="00FA2F7C" w:rsidRPr="00DF1884" w:rsidRDefault="00FA2F7C" w:rsidP="00932F29">
            <w:pPr>
              <w:pStyle w:val="TableText"/>
              <w:jc w:val="center"/>
              <w:rPr>
                <w:sz w:val="22"/>
                <w:szCs w:val="22"/>
              </w:rPr>
            </w:pPr>
            <w:r w:rsidRPr="00DF1884">
              <w:rPr>
                <w:sz w:val="22"/>
                <w:szCs w:val="22"/>
              </w:rPr>
              <w:sym w:font="Wingdings" w:char="F0FC"/>
            </w:r>
          </w:p>
        </w:tc>
        <w:tc>
          <w:tcPr>
            <w:tcW w:w="4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DF6C4AB" w14:textId="77777777" w:rsidR="00FA2F7C" w:rsidRPr="00DF1884" w:rsidRDefault="00FA2F7C" w:rsidP="00932F29">
            <w:pPr>
              <w:pStyle w:val="TableText"/>
              <w:jc w:val="center"/>
              <w:rPr>
                <w:sz w:val="22"/>
                <w:szCs w:val="22"/>
              </w:rPr>
            </w:pPr>
            <w:r w:rsidRPr="00DF1884">
              <w:rPr>
                <w:sz w:val="22"/>
                <w:szCs w:val="22"/>
              </w:rPr>
              <w:sym w:font="Wingdings" w:char="F0FC"/>
            </w: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EE3A79C" w14:textId="77777777" w:rsidR="00FA2F7C" w:rsidRPr="00DF1884" w:rsidRDefault="00FA2F7C" w:rsidP="00932F29">
            <w:pPr>
              <w:pStyle w:val="TableText"/>
              <w:jc w:val="center"/>
              <w:rPr>
                <w:sz w:val="22"/>
                <w:szCs w:val="22"/>
              </w:rPr>
            </w:pPr>
            <w:r w:rsidRPr="00DF1884">
              <w:rPr>
                <w:sz w:val="22"/>
                <w:szCs w:val="22"/>
              </w:rPr>
              <w:sym w:font="Wingdings" w:char="F0FC"/>
            </w: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734A9BF" w14:textId="77777777" w:rsidR="00FA2F7C" w:rsidRPr="00DF1884" w:rsidRDefault="00FA2F7C" w:rsidP="00932F29">
            <w:pPr>
              <w:pStyle w:val="TableText"/>
              <w:jc w:val="center"/>
              <w:rPr>
                <w:sz w:val="22"/>
                <w:szCs w:val="22"/>
              </w:rPr>
            </w:pPr>
            <w:r w:rsidRPr="00DF1884">
              <w:rPr>
                <w:sz w:val="22"/>
                <w:szCs w:val="22"/>
              </w:rPr>
              <w:sym w:font="Wingdings" w:char="F0FC"/>
            </w:r>
          </w:p>
        </w:tc>
        <w:tc>
          <w:tcPr>
            <w:tcW w:w="4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A60EDF6" w14:textId="77777777" w:rsidR="00FA2F7C" w:rsidRPr="00DF1884" w:rsidRDefault="00FA2F7C" w:rsidP="00932F29">
            <w:pPr>
              <w:pStyle w:val="TableText"/>
              <w:jc w:val="center"/>
              <w:rPr>
                <w:sz w:val="22"/>
                <w:szCs w:val="22"/>
              </w:rPr>
            </w:pPr>
            <w:r w:rsidRPr="00DF1884">
              <w:rPr>
                <w:sz w:val="22"/>
                <w:szCs w:val="22"/>
              </w:rPr>
              <w:sym w:font="Wingdings" w:char="F0FC"/>
            </w: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4FCB774" w14:textId="77777777" w:rsidR="00FA2F7C" w:rsidRPr="00DF1884" w:rsidRDefault="00FA2F7C" w:rsidP="00932F29">
            <w:pPr>
              <w:pStyle w:val="TableText"/>
              <w:jc w:val="center"/>
              <w:rPr>
                <w:sz w:val="22"/>
                <w:szCs w:val="22"/>
              </w:rPr>
            </w:pPr>
            <w:r w:rsidRPr="00DF1884">
              <w:rPr>
                <w:sz w:val="22"/>
                <w:szCs w:val="22"/>
              </w:rPr>
              <w:sym w:font="Wingdings" w:char="F0FC"/>
            </w: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E16AD51" w14:textId="77777777" w:rsidR="00FA2F7C" w:rsidRPr="00DF1884" w:rsidRDefault="00FA2F7C" w:rsidP="00932F29">
            <w:pPr>
              <w:pStyle w:val="TableText"/>
              <w:jc w:val="center"/>
              <w:rPr>
                <w:sz w:val="22"/>
                <w:szCs w:val="22"/>
              </w:rPr>
            </w:pPr>
            <w:r w:rsidRPr="00DF1884">
              <w:rPr>
                <w:sz w:val="22"/>
                <w:szCs w:val="22"/>
              </w:rPr>
              <w:sym w:font="Wingdings" w:char="F0FC"/>
            </w:r>
          </w:p>
        </w:tc>
        <w:tc>
          <w:tcPr>
            <w:tcW w:w="4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703BD8B" w14:textId="77777777" w:rsidR="00FA2F7C" w:rsidRPr="00DF1884" w:rsidRDefault="00FA2F7C" w:rsidP="00932F29">
            <w:pPr>
              <w:pStyle w:val="TableText"/>
              <w:jc w:val="center"/>
              <w:rPr>
                <w:sz w:val="22"/>
                <w:szCs w:val="22"/>
              </w:rPr>
            </w:pPr>
            <w:r w:rsidRPr="00DF1884">
              <w:rPr>
                <w:sz w:val="22"/>
                <w:szCs w:val="22"/>
              </w:rPr>
              <w:sym w:font="Wingdings" w:char="F0FC"/>
            </w:r>
          </w:p>
        </w:tc>
      </w:tr>
      <w:tr w:rsidR="00FA2F7C" w:rsidRPr="00DF1884" w14:paraId="11949171" w14:textId="77777777" w:rsidTr="00932F29">
        <w:trPr>
          <w:cantSplit/>
        </w:trPr>
        <w:tc>
          <w:tcPr>
            <w:tcW w:w="1506"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6FF7C58" w14:textId="5F85BC4F" w:rsidR="00FA2F7C" w:rsidRPr="00DF1884" w:rsidRDefault="00FA2F7C" w:rsidP="00E9531F">
            <w:pPr>
              <w:pStyle w:val="TableText"/>
              <w:rPr>
                <w:szCs w:val="20"/>
              </w:rPr>
            </w:pPr>
            <w:r w:rsidRPr="00DF1884">
              <w:rPr>
                <w:szCs w:val="20"/>
              </w:rPr>
              <w:t>J codes</w:t>
            </w: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2522804"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4D5F872"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FA902D6" w14:textId="77777777" w:rsidR="00FA2F7C" w:rsidRPr="00DF1884" w:rsidRDefault="00FA2F7C"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1DE81EA"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02AD45C"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621ABE7" w14:textId="77777777" w:rsidR="00FA2F7C" w:rsidRPr="00DF1884" w:rsidRDefault="00FA2F7C"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4CCBEFF"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DC7FCB3"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8EDFA47"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CA7363C" w14:textId="77777777" w:rsidR="00FA2F7C" w:rsidRPr="00DF1884" w:rsidRDefault="00FA2F7C"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79C7422"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8202507"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1D36498" w14:textId="77777777" w:rsidR="00FA2F7C" w:rsidRPr="00DF1884" w:rsidRDefault="00FA2F7C"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5C7070B"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52B4E69"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96BED8F" w14:textId="77777777" w:rsidR="00FA2F7C" w:rsidRPr="00DF1884" w:rsidRDefault="00FA2F7C"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C855181" w14:textId="77777777" w:rsidR="00FA2F7C" w:rsidRPr="00DF1884" w:rsidRDefault="00FA2F7C" w:rsidP="00932F29">
            <w:pPr>
              <w:pStyle w:val="TableText"/>
              <w:jc w:val="center"/>
              <w:rPr>
                <w:sz w:val="22"/>
                <w:szCs w:val="22"/>
              </w:rPr>
            </w:pPr>
          </w:p>
        </w:tc>
      </w:tr>
      <w:tr w:rsidR="00FA2F7C" w:rsidRPr="00DF1884" w14:paraId="6117D1EA" w14:textId="77777777" w:rsidTr="00932F29">
        <w:trPr>
          <w:cantSplit/>
        </w:trPr>
        <w:tc>
          <w:tcPr>
            <w:tcW w:w="150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B9C4BC9" w14:textId="2213919C" w:rsidR="00FA2F7C" w:rsidRPr="00DF1884" w:rsidRDefault="00FA2F7C" w:rsidP="00E9531F">
            <w:pPr>
              <w:pStyle w:val="TableText"/>
              <w:rPr>
                <w:szCs w:val="20"/>
              </w:rPr>
            </w:pPr>
            <w:r w:rsidRPr="00DF1884">
              <w:rPr>
                <w:szCs w:val="20"/>
              </w:rPr>
              <w:t>LOINC codes</w:t>
            </w: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614062F"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93DFA56"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9B99719" w14:textId="77777777" w:rsidR="00FA2F7C" w:rsidRPr="00DF1884" w:rsidRDefault="00FA2F7C"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FE67C77"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841A7AA"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9C9F4B5" w14:textId="77777777" w:rsidR="00FA2F7C" w:rsidRPr="00DF1884" w:rsidRDefault="00FA2F7C" w:rsidP="00932F29">
            <w:pPr>
              <w:pStyle w:val="TableText"/>
              <w:jc w:val="center"/>
              <w:rPr>
                <w:sz w:val="22"/>
                <w:szCs w:val="22"/>
              </w:rPr>
            </w:pPr>
            <w:r w:rsidRPr="00DF1884">
              <w:rPr>
                <w:sz w:val="22"/>
                <w:szCs w:val="22"/>
              </w:rPr>
              <w:sym w:font="Wingdings" w:char="F0FC"/>
            </w:r>
          </w:p>
        </w:tc>
        <w:tc>
          <w:tcPr>
            <w:tcW w:w="4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3BD9653"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B3CCE6F" w14:textId="77777777" w:rsidR="00FA2F7C" w:rsidRPr="00DF1884" w:rsidRDefault="00FA2F7C" w:rsidP="00932F29">
            <w:pPr>
              <w:pStyle w:val="TableText"/>
              <w:jc w:val="center"/>
              <w:rPr>
                <w:sz w:val="22"/>
                <w:szCs w:val="22"/>
              </w:rPr>
            </w:pPr>
            <w:r w:rsidRPr="00DF1884">
              <w:rPr>
                <w:sz w:val="22"/>
                <w:szCs w:val="22"/>
              </w:rPr>
              <w:sym w:font="Wingdings" w:char="F0FC"/>
            </w: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05DABE7" w14:textId="77777777" w:rsidR="00FA2F7C" w:rsidRPr="00DF1884" w:rsidRDefault="00FA2F7C" w:rsidP="00932F29">
            <w:pPr>
              <w:pStyle w:val="TableText"/>
              <w:jc w:val="center"/>
              <w:rPr>
                <w:sz w:val="22"/>
                <w:szCs w:val="22"/>
              </w:rPr>
            </w:pPr>
            <w:r w:rsidRPr="00DF1884">
              <w:rPr>
                <w:sz w:val="22"/>
                <w:szCs w:val="22"/>
              </w:rPr>
              <w:sym w:font="Wingdings" w:char="F0FC"/>
            </w: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49884FF" w14:textId="77777777" w:rsidR="00FA2F7C" w:rsidRPr="00DF1884" w:rsidRDefault="00FA2F7C" w:rsidP="00932F29">
            <w:pPr>
              <w:pStyle w:val="TableText"/>
              <w:jc w:val="center"/>
              <w:rPr>
                <w:sz w:val="22"/>
                <w:szCs w:val="22"/>
              </w:rPr>
            </w:pPr>
            <w:r w:rsidRPr="00DF1884">
              <w:rPr>
                <w:sz w:val="22"/>
                <w:szCs w:val="22"/>
              </w:rPr>
              <w:sym w:font="Wingdings" w:char="F0FC"/>
            </w:r>
          </w:p>
        </w:tc>
        <w:tc>
          <w:tcPr>
            <w:tcW w:w="4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67E1D2F"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F325D35" w14:textId="77777777" w:rsidR="00FA2F7C" w:rsidRPr="00DF1884" w:rsidRDefault="00FA2F7C" w:rsidP="00932F29">
            <w:pPr>
              <w:pStyle w:val="TableText"/>
              <w:jc w:val="center"/>
              <w:rPr>
                <w:sz w:val="22"/>
                <w:szCs w:val="22"/>
              </w:rPr>
            </w:pPr>
            <w:r w:rsidRPr="00DF1884">
              <w:rPr>
                <w:sz w:val="22"/>
                <w:szCs w:val="22"/>
              </w:rPr>
              <w:sym w:font="Wingdings" w:char="F0FC"/>
            </w: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86C53F5" w14:textId="77777777" w:rsidR="00FA2F7C" w:rsidRPr="00DF1884" w:rsidRDefault="00FA2F7C"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EDD9574"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C8C81A8"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556C5C1" w14:textId="77777777" w:rsidR="00FA2F7C" w:rsidRPr="00DF1884" w:rsidRDefault="00FA2F7C"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CED27AC" w14:textId="77777777" w:rsidR="00FA2F7C" w:rsidRPr="00DF1884" w:rsidRDefault="00FA2F7C" w:rsidP="00932F29">
            <w:pPr>
              <w:pStyle w:val="TableText"/>
              <w:jc w:val="center"/>
              <w:rPr>
                <w:sz w:val="22"/>
                <w:szCs w:val="22"/>
              </w:rPr>
            </w:pPr>
          </w:p>
        </w:tc>
      </w:tr>
      <w:tr w:rsidR="00FA2F7C" w:rsidRPr="00DF1884" w14:paraId="27096209" w14:textId="77777777" w:rsidTr="00932F29">
        <w:trPr>
          <w:cantSplit/>
        </w:trPr>
        <w:tc>
          <w:tcPr>
            <w:tcW w:w="1506"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9DCF584" w14:textId="0939B4AA" w:rsidR="00FA2F7C" w:rsidRPr="00DF1884" w:rsidRDefault="00FA2F7C" w:rsidP="00E9531F">
            <w:pPr>
              <w:pStyle w:val="TableText"/>
              <w:rPr>
                <w:szCs w:val="20"/>
              </w:rPr>
            </w:pPr>
            <w:r w:rsidRPr="00DF1884">
              <w:rPr>
                <w:szCs w:val="20"/>
              </w:rPr>
              <w:t>CPT II codes</w:t>
            </w: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CC3BE4A"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C6807F4"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E060B23" w14:textId="77777777" w:rsidR="00FA2F7C" w:rsidRPr="00DF1884" w:rsidRDefault="00FA2F7C"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8E5FBFA"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A00A3D9"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59AA99A" w14:textId="77777777" w:rsidR="00FA2F7C" w:rsidRPr="00DF1884" w:rsidRDefault="00FA2F7C"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96956C1"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93213D6"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4635C24"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2D2C466" w14:textId="77777777" w:rsidR="00FA2F7C" w:rsidRPr="00DF1884" w:rsidRDefault="00FA2F7C"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745E137" w14:textId="77777777" w:rsidR="00FA2F7C" w:rsidRPr="00DF1884" w:rsidRDefault="00FA2F7C" w:rsidP="00932F29">
            <w:pPr>
              <w:pStyle w:val="TableText"/>
              <w:jc w:val="center"/>
              <w:rPr>
                <w:sz w:val="22"/>
                <w:szCs w:val="22"/>
              </w:rPr>
            </w:pPr>
            <w:r w:rsidRPr="00DF1884">
              <w:rPr>
                <w:sz w:val="22"/>
                <w:szCs w:val="22"/>
              </w:rPr>
              <w:sym w:font="Wingdings" w:char="F0FC"/>
            </w: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EDDC622"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96F0BF6" w14:textId="77777777" w:rsidR="00FA2F7C" w:rsidRPr="00DF1884" w:rsidRDefault="00FA2F7C"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42AA7D2"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99E527B"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9CF0BB5" w14:textId="77777777" w:rsidR="00FA2F7C" w:rsidRPr="00DF1884" w:rsidRDefault="00FA2F7C"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700DC1E" w14:textId="77777777" w:rsidR="00FA2F7C" w:rsidRPr="00DF1884" w:rsidRDefault="00FA2F7C" w:rsidP="00932F29">
            <w:pPr>
              <w:pStyle w:val="TableText"/>
              <w:jc w:val="center"/>
              <w:rPr>
                <w:sz w:val="22"/>
                <w:szCs w:val="22"/>
              </w:rPr>
            </w:pPr>
          </w:p>
        </w:tc>
      </w:tr>
      <w:tr w:rsidR="009D726B" w:rsidRPr="00DF1884" w14:paraId="5C2D6CF9" w14:textId="77777777" w:rsidTr="00932F29">
        <w:trPr>
          <w:cantSplit/>
        </w:trPr>
        <w:tc>
          <w:tcPr>
            <w:tcW w:w="150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B8D797A" w14:textId="6CFA6CBC" w:rsidR="009D726B" w:rsidRPr="00DF1884" w:rsidRDefault="009D726B" w:rsidP="00E9531F">
            <w:pPr>
              <w:pStyle w:val="TableText"/>
              <w:rPr>
                <w:szCs w:val="20"/>
              </w:rPr>
            </w:pPr>
            <w:r>
              <w:rPr>
                <w:szCs w:val="20"/>
              </w:rPr>
              <w:t>SNOMED CT codes</w:t>
            </w: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D7A39EC" w14:textId="77777777" w:rsidR="009D726B" w:rsidRPr="00DF1884" w:rsidRDefault="009D726B"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50D15A2" w14:textId="77777777" w:rsidR="009D726B" w:rsidRPr="00DF1884" w:rsidRDefault="009D726B"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203CE47" w14:textId="77777777" w:rsidR="009D726B" w:rsidRPr="00DF1884" w:rsidRDefault="009D726B"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70D5F40" w14:textId="77777777" w:rsidR="009D726B" w:rsidRPr="00DF1884" w:rsidRDefault="009D726B"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70BCBA0" w14:textId="77777777" w:rsidR="009D726B" w:rsidRPr="00DF1884" w:rsidRDefault="009D726B"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A8FADDE" w14:textId="77777777" w:rsidR="009D726B" w:rsidRPr="00DF1884" w:rsidRDefault="009D726B"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50DD121" w14:textId="77777777" w:rsidR="009D726B" w:rsidRPr="00DF1884" w:rsidRDefault="009D726B"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E1C8A4C" w14:textId="77777777" w:rsidR="009D726B" w:rsidRPr="00DF1884" w:rsidRDefault="009D726B"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7F25F00" w14:textId="77777777" w:rsidR="009D726B" w:rsidRPr="00DF1884" w:rsidRDefault="009D726B"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8335139" w14:textId="77777777" w:rsidR="009D726B" w:rsidRPr="00DF1884" w:rsidRDefault="009D726B"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3BFE9D3" w14:textId="77777777" w:rsidR="009D726B" w:rsidRPr="00DF1884" w:rsidRDefault="009D726B"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47A0FA1" w14:textId="77777777" w:rsidR="009D726B" w:rsidRPr="00DF1884" w:rsidRDefault="009D726B"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9B67460" w14:textId="77777777" w:rsidR="009D726B" w:rsidRPr="00DF1884" w:rsidRDefault="009D726B"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79B3509" w14:textId="77777777" w:rsidR="009D726B" w:rsidRPr="00DF1884" w:rsidRDefault="009D726B"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84E498C" w14:textId="77777777" w:rsidR="009D726B" w:rsidRPr="00DF1884" w:rsidRDefault="009D726B"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E68714E" w14:textId="77777777" w:rsidR="009D726B" w:rsidRPr="00DF1884" w:rsidRDefault="009D726B"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7CF70F7" w14:textId="77777777" w:rsidR="009D726B" w:rsidRPr="00DF1884" w:rsidRDefault="009D726B" w:rsidP="00932F29">
            <w:pPr>
              <w:pStyle w:val="TableText"/>
              <w:jc w:val="center"/>
              <w:rPr>
                <w:sz w:val="22"/>
                <w:szCs w:val="22"/>
              </w:rPr>
            </w:pPr>
          </w:p>
        </w:tc>
      </w:tr>
      <w:tr w:rsidR="009D726B" w:rsidRPr="00DF1884" w14:paraId="4E442839" w14:textId="77777777" w:rsidTr="009D726B">
        <w:trPr>
          <w:cantSplit/>
        </w:trPr>
        <w:tc>
          <w:tcPr>
            <w:tcW w:w="1506"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E02C5C4" w14:textId="47BA721F" w:rsidR="00FA2F7C" w:rsidRPr="00DF1884" w:rsidRDefault="00FA2F7C" w:rsidP="00E9531F">
            <w:pPr>
              <w:pStyle w:val="TableText"/>
              <w:rPr>
                <w:szCs w:val="20"/>
              </w:rPr>
            </w:pPr>
            <w:r w:rsidRPr="00DF1884">
              <w:rPr>
                <w:szCs w:val="20"/>
              </w:rPr>
              <w:t>Principal diagnosis</w:t>
            </w: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B69C985"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464BA92"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7566948" w14:textId="77777777" w:rsidR="00FA2F7C" w:rsidRPr="00DF1884" w:rsidRDefault="00FA2F7C"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9119466"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276CB18"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25A40D8" w14:textId="77777777" w:rsidR="00FA2F7C" w:rsidRPr="00DF1884" w:rsidRDefault="00FA2F7C"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B76723D"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A096AD9"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F72ECB8"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6F02B61" w14:textId="77777777" w:rsidR="00FA2F7C" w:rsidRPr="00DF1884" w:rsidRDefault="00FA2F7C"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DE59557"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B9F0652" w14:textId="77777777" w:rsidR="00FA2F7C" w:rsidRPr="00DF1884" w:rsidRDefault="00FA2F7C" w:rsidP="00932F29">
            <w:pPr>
              <w:pStyle w:val="TableText"/>
              <w:jc w:val="center"/>
              <w:rPr>
                <w:sz w:val="22"/>
                <w:szCs w:val="22"/>
              </w:rPr>
            </w:pPr>
            <w:r w:rsidRPr="00DF1884">
              <w:rPr>
                <w:sz w:val="22"/>
                <w:szCs w:val="22"/>
              </w:rPr>
              <w:sym w:font="Wingdings" w:char="F0FC"/>
            </w: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02B36E5" w14:textId="77777777" w:rsidR="00FA2F7C" w:rsidRPr="00DF1884" w:rsidRDefault="00FA2F7C"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4E5D5FE" w14:textId="77777777" w:rsidR="00FA2F7C" w:rsidRPr="00DF1884" w:rsidRDefault="00FA2F7C" w:rsidP="00932F29">
            <w:pPr>
              <w:pStyle w:val="TableText"/>
              <w:jc w:val="center"/>
              <w:rPr>
                <w:sz w:val="22"/>
                <w:szCs w:val="22"/>
              </w:rPr>
            </w:pPr>
            <w:r w:rsidRPr="00DF1884">
              <w:rPr>
                <w:sz w:val="22"/>
                <w:szCs w:val="22"/>
              </w:rPr>
              <w:sym w:font="Wingdings" w:char="F0FC"/>
            </w: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E37DB3D" w14:textId="77777777" w:rsidR="00FA2F7C" w:rsidRPr="00DF1884" w:rsidRDefault="00FA2F7C" w:rsidP="00932F29">
            <w:pPr>
              <w:pStyle w:val="TableText"/>
              <w:jc w:val="center"/>
              <w:rPr>
                <w:sz w:val="22"/>
                <w:szCs w:val="22"/>
              </w:rPr>
            </w:pPr>
            <w:r w:rsidRPr="00DF1884">
              <w:rPr>
                <w:sz w:val="22"/>
                <w:szCs w:val="22"/>
              </w:rPr>
              <w:sym w:font="Wingdings" w:char="F0FC"/>
            </w:r>
          </w:p>
        </w:tc>
        <w:tc>
          <w:tcPr>
            <w:tcW w:w="4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FE29BD6" w14:textId="77777777" w:rsidR="00FA2F7C" w:rsidRPr="00DF1884" w:rsidRDefault="00FA2F7C" w:rsidP="00932F29">
            <w:pPr>
              <w:pStyle w:val="TableText"/>
              <w:jc w:val="center"/>
              <w:rPr>
                <w:sz w:val="22"/>
                <w:szCs w:val="22"/>
              </w:rPr>
            </w:pPr>
            <w:r w:rsidRPr="00DF1884">
              <w:rPr>
                <w:sz w:val="22"/>
                <w:szCs w:val="22"/>
              </w:rPr>
              <w:sym w:font="Wingdings" w:char="F0FC"/>
            </w:r>
          </w:p>
        </w:tc>
        <w:tc>
          <w:tcPr>
            <w:tcW w:w="48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3813111" w14:textId="77777777" w:rsidR="00FA2F7C" w:rsidRPr="00DF1884" w:rsidRDefault="00FA2F7C" w:rsidP="00932F29">
            <w:pPr>
              <w:pStyle w:val="TableText"/>
              <w:jc w:val="center"/>
              <w:rPr>
                <w:sz w:val="22"/>
                <w:szCs w:val="22"/>
              </w:rPr>
            </w:pPr>
          </w:p>
        </w:tc>
      </w:tr>
      <w:tr w:rsidR="009D726B" w:rsidRPr="00DF1884" w14:paraId="5CD7321F" w14:textId="77777777" w:rsidTr="009D726B">
        <w:trPr>
          <w:cantSplit/>
        </w:trPr>
        <w:tc>
          <w:tcPr>
            <w:tcW w:w="150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7C804C0" w14:textId="111801FF" w:rsidR="00FA2F7C" w:rsidRPr="00DF1884" w:rsidRDefault="00FA2F7C" w:rsidP="00E9531F">
            <w:pPr>
              <w:pStyle w:val="TableText"/>
              <w:rPr>
                <w:szCs w:val="20"/>
              </w:rPr>
            </w:pPr>
            <w:r w:rsidRPr="00DF1884">
              <w:rPr>
                <w:szCs w:val="20"/>
              </w:rPr>
              <w:t>Survey measure</w:t>
            </w: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F6AFEC2"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6BC3D7C"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E8F6BD3" w14:textId="77777777" w:rsidR="00FA2F7C" w:rsidRPr="00DF1884" w:rsidRDefault="00FA2F7C"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F287D2E"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F572D8C"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E7B138D" w14:textId="77777777" w:rsidR="00FA2F7C" w:rsidRPr="00DF1884" w:rsidRDefault="00FA2F7C"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2A9CAD6"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6D73994"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0E2070F"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A35815E" w14:textId="77777777" w:rsidR="00FA2F7C" w:rsidRPr="00DF1884" w:rsidRDefault="00FA2F7C"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D467777"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361EEB8"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7464A85" w14:textId="77777777" w:rsidR="00FA2F7C" w:rsidRPr="00DF1884" w:rsidRDefault="00FA2F7C"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EA5CE6B"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D81C13C" w14:textId="77777777" w:rsidR="00FA2F7C" w:rsidRPr="00DF1884" w:rsidRDefault="00FA2F7C" w:rsidP="00932F29">
            <w:pPr>
              <w:pStyle w:val="TableText"/>
              <w:jc w:val="center"/>
              <w:rPr>
                <w:sz w:val="22"/>
                <w:szCs w:val="22"/>
              </w:rPr>
            </w:pPr>
          </w:p>
        </w:tc>
        <w:tc>
          <w:tcPr>
            <w:tcW w:w="48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5DEDA69" w14:textId="77777777" w:rsidR="00FA2F7C" w:rsidRPr="00DF1884" w:rsidRDefault="00FA2F7C" w:rsidP="00932F29">
            <w:pPr>
              <w:pStyle w:val="TableText"/>
              <w:jc w:val="center"/>
              <w:rPr>
                <w:sz w:val="22"/>
                <w:szCs w:val="22"/>
              </w:rPr>
            </w:pPr>
          </w:p>
        </w:tc>
        <w:tc>
          <w:tcPr>
            <w:tcW w:w="4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16DD027" w14:textId="77777777" w:rsidR="00FA2F7C" w:rsidRPr="00DF1884" w:rsidRDefault="00FA2F7C" w:rsidP="00932F29">
            <w:pPr>
              <w:pStyle w:val="TableText"/>
              <w:jc w:val="center"/>
              <w:rPr>
                <w:sz w:val="22"/>
                <w:szCs w:val="22"/>
              </w:rPr>
            </w:pPr>
          </w:p>
        </w:tc>
      </w:tr>
    </w:tbl>
    <w:p w14:paraId="1B7FDCE1" w14:textId="77777777" w:rsidR="00FA2F7C" w:rsidRPr="00DF1884" w:rsidRDefault="00FA2F7C" w:rsidP="003E4000">
      <w:pPr>
        <w:pStyle w:val="MarginSubhead"/>
        <w:spacing w:before="7560"/>
        <w:ind w:left="0"/>
        <w:rPr>
          <w:b w:val="0"/>
          <w:sz w:val="18"/>
          <w:szCs w:val="18"/>
        </w:rPr>
      </w:pPr>
      <w:r w:rsidRPr="00DF1884">
        <w:rPr>
          <w:b w:val="0"/>
          <w:sz w:val="18"/>
          <w:szCs w:val="18"/>
        </w:rPr>
        <w:t>_____________</w:t>
      </w:r>
    </w:p>
    <w:p w14:paraId="13496275" w14:textId="77777777" w:rsidR="00FA2F7C" w:rsidRPr="00DF1884" w:rsidRDefault="00FA2F7C" w:rsidP="00FA2F7C">
      <w:pPr>
        <w:pStyle w:val="MarginSubhead"/>
        <w:spacing w:before="60"/>
        <w:ind w:left="0"/>
        <w:rPr>
          <w:b w:val="0"/>
          <w:sz w:val="18"/>
          <w:szCs w:val="18"/>
        </w:rPr>
      </w:pPr>
      <w:r w:rsidRPr="00DF1884">
        <w:rPr>
          <w:b w:val="0"/>
          <w:sz w:val="18"/>
          <w:szCs w:val="18"/>
        </w:rPr>
        <w:t>Current Procedural Terminology © 2015 American Medical Association. All rights reserved.</w:t>
      </w:r>
    </w:p>
    <w:p w14:paraId="61B091B9" w14:textId="77777777" w:rsidR="00DF1884" w:rsidRDefault="00DF1884" w:rsidP="009604F5">
      <w:pPr>
        <w:sectPr w:rsidR="00DF1884" w:rsidSect="00DF1884">
          <w:headerReference w:type="even" r:id="rId137"/>
          <w:headerReference w:type="default" r:id="rId138"/>
          <w:footerReference w:type="default" r:id="rId139"/>
          <w:pgSz w:w="12240" w:h="15840" w:code="1"/>
          <w:pgMar w:top="1080" w:right="1080" w:bottom="1080" w:left="1440" w:header="720" w:footer="720" w:gutter="0"/>
          <w:cols w:space="720"/>
          <w:docGrid w:linePitch="272"/>
        </w:sectPr>
      </w:pPr>
    </w:p>
    <w:tbl>
      <w:tblPr>
        <w:tblW w:w="12082" w:type="dxa"/>
        <w:tblLayout w:type="fixed"/>
        <w:tblLook w:val="0000" w:firstRow="0" w:lastRow="0" w:firstColumn="0" w:lastColumn="0" w:noHBand="0" w:noVBand="0"/>
      </w:tblPr>
      <w:tblGrid>
        <w:gridCol w:w="2602"/>
        <w:gridCol w:w="395"/>
        <w:gridCol w:w="395"/>
        <w:gridCol w:w="395"/>
        <w:gridCol w:w="395"/>
        <w:gridCol w:w="395"/>
        <w:gridCol w:w="395"/>
        <w:gridCol w:w="395"/>
        <w:gridCol w:w="395"/>
        <w:gridCol w:w="395"/>
        <w:gridCol w:w="395"/>
        <w:gridCol w:w="395"/>
        <w:gridCol w:w="395"/>
        <w:gridCol w:w="395"/>
        <w:gridCol w:w="395"/>
        <w:gridCol w:w="395"/>
        <w:gridCol w:w="395"/>
        <w:gridCol w:w="395"/>
        <w:gridCol w:w="395"/>
        <w:gridCol w:w="395"/>
        <w:gridCol w:w="395"/>
        <w:gridCol w:w="395"/>
        <w:gridCol w:w="395"/>
        <w:gridCol w:w="395"/>
        <w:gridCol w:w="395"/>
      </w:tblGrid>
      <w:tr w:rsidR="003E4000" w:rsidRPr="00DF1884" w14:paraId="70054B40" w14:textId="77777777" w:rsidTr="001123ED">
        <w:trPr>
          <w:cantSplit/>
        </w:trPr>
        <w:tc>
          <w:tcPr>
            <w:tcW w:w="12082" w:type="dxa"/>
            <w:gridSpan w:val="25"/>
            <w:tcBorders>
              <w:top w:val="single" w:sz="6" w:space="0" w:color="FFFFFF" w:themeColor="background1"/>
              <w:left w:val="single" w:sz="6" w:space="0" w:color="auto"/>
              <w:bottom w:val="single" w:sz="6" w:space="0" w:color="FFFFFF" w:themeColor="background1"/>
              <w:right w:val="single" w:sz="4" w:space="0" w:color="auto"/>
            </w:tcBorders>
            <w:shd w:val="clear" w:color="auto" w:fill="000000"/>
          </w:tcPr>
          <w:p w14:paraId="2D88B144" w14:textId="0117CE1D" w:rsidR="003E4000" w:rsidRPr="00DF1884" w:rsidRDefault="003E4000" w:rsidP="001F4D73">
            <w:pPr>
              <w:pStyle w:val="TableHead"/>
            </w:pPr>
            <w:r>
              <w:t>EFFECTIVENESS OF CARE MEASURES</w:t>
            </w:r>
          </w:p>
        </w:tc>
      </w:tr>
      <w:tr w:rsidR="000B4F1A" w:rsidRPr="00DF1884" w14:paraId="4EC09489" w14:textId="77777777" w:rsidTr="000B4F1A">
        <w:trPr>
          <w:cantSplit/>
          <w:trHeight w:val="576"/>
        </w:trPr>
        <w:tc>
          <w:tcPr>
            <w:tcW w:w="2602" w:type="dxa"/>
            <w:tcBorders>
              <w:top w:val="single" w:sz="6" w:space="0" w:color="FFFFFF" w:themeColor="background1"/>
              <w:left w:val="single" w:sz="6" w:space="0" w:color="auto"/>
              <w:bottom w:val="single" w:sz="6" w:space="0" w:color="auto"/>
              <w:right w:val="single" w:sz="6" w:space="0" w:color="FFFFFF"/>
            </w:tcBorders>
            <w:shd w:val="clear" w:color="auto" w:fill="000000"/>
            <w:tcMar>
              <w:left w:w="43" w:type="dxa"/>
              <w:right w:w="43" w:type="dxa"/>
            </w:tcMar>
            <w:vAlign w:val="bottom"/>
          </w:tcPr>
          <w:p w14:paraId="4FCA20B1" w14:textId="64ED3C59" w:rsidR="000B4F1A" w:rsidRPr="00DF1884" w:rsidRDefault="000B4F1A" w:rsidP="00E9531F">
            <w:pPr>
              <w:pStyle w:val="TableHead"/>
              <w:ind w:left="29" w:right="113"/>
              <w:rPr>
                <w:color w:val="auto"/>
              </w:rPr>
            </w:pPr>
            <w:r w:rsidRPr="00DF1884">
              <w:rPr>
                <w:color w:val="auto"/>
              </w:rPr>
              <w:br w:type="page"/>
              <w:t>Logical Group</w:t>
            </w:r>
          </w:p>
        </w:tc>
        <w:tc>
          <w:tcPr>
            <w:tcW w:w="395"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1854F9D9" w14:textId="77777777" w:rsidR="000B4F1A" w:rsidRPr="00DF1884" w:rsidRDefault="000B4F1A" w:rsidP="00E9531F">
            <w:pPr>
              <w:pStyle w:val="TableHead"/>
              <w:ind w:left="29" w:right="113"/>
              <w:jc w:val="left"/>
              <w:rPr>
                <w:color w:val="auto"/>
              </w:rPr>
            </w:pPr>
            <w:r w:rsidRPr="00DF1884">
              <w:rPr>
                <w:rFonts w:ascii="Arial Narrow Bold"/>
                <w:color w:val="auto"/>
              </w:rPr>
              <w:t>PBH</w:t>
            </w:r>
          </w:p>
        </w:tc>
        <w:tc>
          <w:tcPr>
            <w:tcW w:w="395" w:type="dxa"/>
            <w:tcBorders>
              <w:top w:val="single" w:sz="6" w:space="0" w:color="FFFFFF" w:themeColor="background1"/>
              <w:left w:val="single" w:sz="6" w:space="0" w:color="FFFFFF"/>
              <w:bottom w:val="single" w:sz="6" w:space="0" w:color="auto"/>
              <w:right w:val="single" w:sz="6" w:space="0" w:color="FFFFFF"/>
            </w:tcBorders>
            <w:shd w:val="clear" w:color="auto" w:fill="000000"/>
            <w:textDirection w:val="btLr"/>
          </w:tcPr>
          <w:p w14:paraId="194CDBED" w14:textId="55D11692" w:rsidR="000B4F1A" w:rsidRPr="00DF1884" w:rsidRDefault="000B4F1A" w:rsidP="00E9531F">
            <w:pPr>
              <w:pStyle w:val="TableHead"/>
              <w:ind w:left="29" w:right="113"/>
              <w:jc w:val="left"/>
              <w:rPr>
                <w:rFonts w:ascii="Arial Narrow Bold"/>
                <w:color w:val="auto"/>
              </w:rPr>
            </w:pPr>
            <w:r>
              <w:rPr>
                <w:rFonts w:ascii="Arial Narrow Bold"/>
                <w:color w:val="auto"/>
              </w:rPr>
              <w:t>SPC</w:t>
            </w:r>
          </w:p>
        </w:tc>
        <w:tc>
          <w:tcPr>
            <w:tcW w:w="395"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0F01C19E" w14:textId="2A6900B5" w:rsidR="000B4F1A" w:rsidRPr="00DF1884" w:rsidRDefault="000B4F1A" w:rsidP="00E9531F">
            <w:pPr>
              <w:pStyle w:val="TableHead"/>
              <w:ind w:left="29" w:right="113"/>
              <w:jc w:val="left"/>
              <w:rPr>
                <w:color w:val="auto"/>
              </w:rPr>
            </w:pPr>
            <w:r w:rsidRPr="00DF1884">
              <w:rPr>
                <w:rFonts w:ascii="Arial Narrow Bold"/>
                <w:color w:val="auto"/>
              </w:rPr>
              <w:t>CDC</w:t>
            </w:r>
          </w:p>
        </w:tc>
        <w:tc>
          <w:tcPr>
            <w:tcW w:w="395" w:type="dxa"/>
            <w:tcBorders>
              <w:top w:val="single" w:sz="6" w:space="0" w:color="FFFFFF" w:themeColor="background1"/>
              <w:left w:val="single" w:sz="6" w:space="0" w:color="FFFFFF"/>
              <w:bottom w:val="single" w:sz="6" w:space="0" w:color="auto"/>
              <w:right w:val="single" w:sz="6" w:space="0" w:color="FFFFFF"/>
            </w:tcBorders>
            <w:shd w:val="clear" w:color="auto" w:fill="000000"/>
            <w:textDirection w:val="btLr"/>
          </w:tcPr>
          <w:p w14:paraId="70CFA588" w14:textId="036A437E" w:rsidR="000B4F1A" w:rsidRPr="00DF1884" w:rsidRDefault="000B4F1A" w:rsidP="00E9531F">
            <w:pPr>
              <w:pStyle w:val="TableHead"/>
              <w:ind w:left="29" w:right="113"/>
              <w:jc w:val="left"/>
              <w:rPr>
                <w:rFonts w:ascii="Arial Narrow Bold"/>
                <w:color w:val="auto"/>
              </w:rPr>
            </w:pPr>
            <w:r>
              <w:rPr>
                <w:rFonts w:ascii="Arial Narrow Bold"/>
                <w:color w:val="auto"/>
              </w:rPr>
              <w:t>SPD</w:t>
            </w:r>
          </w:p>
        </w:tc>
        <w:tc>
          <w:tcPr>
            <w:tcW w:w="395"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516D7E53" w14:textId="1626FD49" w:rsidR="000B4F1A" w:rsidRPr="00DF1884" w:rsidRDefault="000B4F1A" w:rsidP="00E9531F">
            <w:pPr>
              <w:pStyle w:val="TableHead"/>
              <w:ind w:left="29" w:right="113"/>
              <w:jc w:val="left"/>
              <w:rPr>
                <w:color w:val="auto"/>
              </w:rPr>
            </w:pPr>
            <w:r w:rsidRPr="00DF1884">
              <w:rPr>
                <w:rFonts w:ascii="Arial Narrow Bold"/>
                <w:color w:val="auto"/>
              </w:rPr>
              <w:t>ART</w:t>
            </w:r>
          </w:p>
        </w:tc>
        <w:tc>
          <w:tcPr>
            <w:tcW w:w="395"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70940B45" w14:textId="77777777" w:rsidR="000B4F1A" w:rsidRPr="00DF1884" w:rsidRDefault="000B4F1A" w:rsidP="00E9531F">
            <w:pPr>
              <w:pStyle w:val="TableHead"/>
              <w:ind w:left="29" w:right="113"/>
              <w:jc w:val="left"/>
              <w:rPr>
                <w:color w:val="auto"/>
              </w:rPr>
            </w:pPr>
            <w:r w:rsidRPr="00DF1884">
              <w:rPr>
                <w:rFonts w:ascii="Arial Narrow Bold"/>
                <w:color w:val="auto"/>
              </w:rPr>
              <w:t>OMW</w:t>
            </w:r>
          </w:p>
        </w:tc>
        <w:tc>
          <w:tcPr>
            <w:tcW w:w="395"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4B119244" w14:textId="77777777" w:rsidR="000B4F1A" w:rsidRPr="00DF1884" w:rsidRDefault="000B4F1A" w:rsidP="00E9531F">
            <w:pPr>
              <w:pStyle w:val="TableHead"/>
              <w:ind w:left="29" w:right="113"/>
              <w:jc w:val="left"/>
              <w:rPr>
                <w:color w:val="auto"/>
              </w:rPr>
            </w:pPr>
            <w:r w:rsidRPr="00DF1884">
              <w:rPr>
                <w:rFonts w:ascii="Arial Narrow Bold"/>
                <w:color w:val="auto"/>
              </w:rPr>
              <w:t>AMM</w:t>
            </w:r>
          </w:p>
        </w:tc>
        <w:tc>
          <w:tcPr>
            <w:tcW w:w="395"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7C251EBB" w14:textId="77777777" w:rsidR="000B4F1A" w:rsidRPr="00DF1884" w:rsidRDefault="000B4F1A" w:rsidP="00E9531F">
            <w:pPr>
              <w:pStyle w:val="TableHead"/>
              <w:ind w:left="29" w:right="113"/>
              <w:jc w:val="left"/>
              <w:rPr>
                <w:color w:val="auto"/>
              </w:rPr>
            </w:pPr>
            <w:r w:rsidRPr="00DF1884">
              <w:rPr>
                <w:rFonts w:ascii="Arial Narrow Bold"/>
                <w:color w:val="auto"/>
              </w:rPr>
              <w:t>ADD</w:t>
            </w:r>
          </w:p>
        </w:tc>
        <w:tc>
          <w:tcPr>
            <w:tcW w:w="395"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3718D895" w14:textId="77777777" w:rsidR="000B4F1A" w:rsidRPr="00DF1884" w:rsidRDefault="000B4F1A" w:rsidP="00E9531F">
            <w:pPr>
              <w:pStyle w:val="TableHead"/>
              <w:ind w:left="29" w:right="113"/>
              <w:jc w:val="left"/>
              <w:rPr>
                <w:color w:val="auto"/>
              </w:rPr>
            </w:pPr>
            <w:r w:rsidRPr="00DF1884">
              <w:rPr>
                <w:rFonts w:ascii="Arial Narrow Bold"/>
                <w:color w:val="auto"/>
              </w:rPr>
              <w:t>FUH</w:t>
            </w:r>
          </w:p>
        </w:tc>
        <w:tc>
          <w:tcPr>
            <w:tcW w:w="395"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tcPr>
          <w:p w14:paraId="4F398E4A" w14:textId="77777777" w:rsidR="000B4F1A" w:rsidRPr="00DF1884" w:rsidRDefault="000B4F1A" w:rsidP="00E9531F">
            <w:pPr>
              <w:pStyle w:val="TableHead"/>
              <w:ind w:left="29" w:right="113"/>
              <w:jc w:val="left"/>
              <w:rPr>
                <w:color w:val="auto"/>
              </w:rPr>
            </w:pPr>
            <w:r w:rsidRPr="00DF1884">
              <w:rPr>
                <w:rFonts w:ascii="Arial Narrow Bold"/>
                <w:color w:val="auto"/>
              </w:rPr>
              <w:t>SSD</w:t>
            </w:r>
          </w:p>
        </w:tc>
        <w:tc>
          <w:tcPr>
            <w:tcW w:w="395" w:type="dxa"/>
            <w:tcBorders>
              <w:top w:val="single" w:sz="6" w:space="0" w:color="FFFFFF" w:themeColor="background1"/>
              <w:left w:val="single" w:sz="6" w:space="0" w:color="FFFFFF"/>
              <w:bottom w:val="single" w:sz="6" w:space="0" w:color="auto"/>
              <w:right w:val="single" w:sz="4" w:space="0" w:color="FFFFFF"/>
            </w:tcBorders>
            <w:shd w:val="clear" w:color="auto" w:fill="000000"/>
            <w:tcMar>
              <w:left w:w="43" w:type="dxa"/>
              <w:right w:w="43" w:type="dxa"/>
            </w:tcMar>
            <w:textDirection w:val="btLr"/>
          </w:tcPr>
          <w:p w14:paraId="6E1495A1" w14:textId="77777777" w:rsidR="000B4F1A" w:rsidRPr="00DF1884" w:rsidRDefault="000B4F1A" w:rsidP="00E9531F">
            <w:pPr>
              <w:pStyle w:val="TableHead"/>
              <w:ind w:left="29" w:right="113"/>
              <w:jc w:val="left"/>
              <w:rPr>
                <w:color w:val="auto"/>
              </w:rPr>
            </w:pPr>
            <w:r w:rsidRPr="00DF1884">
              <w:rPr>
                <w:rFonts w:ascii="Arial Narrow Bold"/>
                <w:color w:val="auto"/>
              </w:rPr>
              <w:t>SMD</w:t>
            </w:r>
          </w:p>
        </w:tc>
        <w:tc>
          <w:tcPr>
            <w:tcW w:w="395"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tcPr>
          <w:p w14:paraId="26BD3F25" w14:textId="77777777" w:rsidR="000B4F1A" w:rsidRPr="00DF1884" w:rsidRDefault="000B4F1A" w:rsidP="00E9531F">
            <w:pPr>
              <w:pStyle w:val="TableHead"/>
              <w:ind w:left="29" w:right="113"/>
              <w:jc w:val="left"/>
              <w:rPr>
                <w:color w:val="auto"/>
              </w:rPr>
            </w:pPr>
            <w:r w:rsidRPr="00DF1884">
              <w:rPr>
                <w:rFonts w:ascii="Arial Narrow Bold"/>
                <w:color w:val="auto"/>
              </w:rPr>
              <w:t>SMC</w:t>
            </w:r>
          </w:p>
        </w:tc>
        <w:tc>
          <w:tcPr>
            <w:tcW w:w="395"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tcPr>
          <w:p w14:paraId="452C3972" w14:textId="77777777" w:rsidR="000B4F1A" w:rsidRPr="00DF1884" w:rsidRDefault="000B4F1A" w:rsidP="00E9531F">
            <w:pPr>
              <w:pStyle w:val="TableHead"/>
              <w:ind w:left="29" w:right="113"/>
              <w:jc w:val="left"/>
              <w:rPr>
                <w:color w:val="auto"/>
              </w:rPr>
            </w:pPr>
            <w:r w:rsidRPr="00DF1884">
              <w:rPr>
                <w:rFonts w:ascii="Arial Narrow Bold"/>
                <w:color w:val="auto"/>
              </w:rPr>
              <w:t>SAA</w:t>
            </w:r>
          </w:p>
        </w:tc>
        <w:tc>
          <w:tcPr>
            <w:tcW w:w="395"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tcPr>
          <w:p w14:paraId="62388F0D" w14:textId="77777777" w:rsidR="000B4F1A" w:rsidRPr="00DF1884" w:rsidRDefault="000B4F1A" w:rsidP="00E9531F">
            <w:pPr>
              <w:pStyle w:val="TableHead"/>
              <w:ind w:left="29" w:right="113"/>
              <w:jc w:val="left"/>
              <w:rPr>
                <w:i/>
                <w:color w:val="auto"/>
                <w:szCs w:val="24"/>
              </w:rPr>
            </w:pPr>
            <w:r w:rsidRPr="00DF1884">
              <w:rPr>
                <w:rFonts w:ascii="Arial Narrow Bold"/>
                <w:color w:val="auto"/>
              </w:rPr>
              <w:t>APM</w:t>
            </w:r>
          </w:p>
        </w:tc>
        <w:tc>
          <w:tcPr>
            <w:tcW w:w="395"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vAlign w:val="center"/>
          </w:tcPr>
          <w:p w14:paraId="2ED4DCDC" w14:textId="77777777" w:rsidR="000B4F1A" w:rsidRPr="00DF1884" w:rsidRDefault="000B4F1A" w:rsidP="00E9531F">
            <w:pPr>
              <w:spacing w:before="40" w:after="40"/>
              <w:ind w:left="29" w:right="113"/>
              <w:rPr>
                <w:rFonts w:ascii="Arial Narrow Bold" w:hAnsi="Arial Narrow"/>
                <w:b/>
                <w:i/>
                <w:szCs w:val="20"/>
              </w:rPr>
            </w:pPr>
            <w:r w:rsidRPr="00DF1884">
              <w:rPr>
                <w:rFonts w:ascii="Arial Narrow Bold" w:hAnsi="Arial Narrow"/>
                <w:szCs w:val="20"/>
              </w:rPr>
              <w:t>MPM</w:t>
            </w:r>
          </w:p>
        </w:tc>
        <w:tc>
          <w:tcPr>
            <w:tcW w:w="395"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vAlign w:val="center"/>
          </w:tcPr>
          <w:p w14:paraId="3729B66B" w14:textId="77777777" w:rsidR="000B4F1A" w:rsidRPr="00DF1884" w:rsidRDefault="000B4F1A" w:rsidP="00E9531F">
            <w:pPr>
              <w:spacing w:before="40" w:after="40"/>
              <w:ind w:left="29" w:right="113"/>
              <w:rPr>
                <w:rFonts w:ascii="Arial Narrow Bold" w:hAnsi="Arial Narrow"/>
                <w:b/>
                <w:i/>
                <w:szCs w:val="20"/>
              </w:rPr>
            </w:pPr>
            <w:r w:rsidRPr="00DF1884">
              <w:rPr>
                <w:rFonts w:ascii="Arial Narrow Bold" w:hAnsi="Arial Narrow"/>
                <w:szCs w:val="20"/>
              </w:rPr>
              <w:t>MRP</w:t>
            </w:r>
          </w:p>
        </w:tc>
        <w:tc>
          <w:tcPr>
            <w:tcW w:w="395" w:type="dxa"/>
            <w:tcBorders>
              <w:top w:val="single" w:sz="6" w:space="0" w:color="FFFFFF" w:themeColor="background1"/>
              <w:left w:val="single" w:sz="4" w:space="0" w:color="FFFFFF"/>
              <w:bottom w:val="single" w:sz="6" w:space="0" w:color="auto"/>
              <w:right w:val="single" w:sz="4" w:space="0" w:color="FFFFFF"/>
            </w:tcBorders>
            <w:shd w:val="clear" w:color="auto" w:fill="000000"/>
            <w:textDirection w:val="btLr"/>
          </w:tcPr>
          <w:p w14:paraId="59050B34" w14:textId="0311A226" w:rsidR="000B4F1A" w:rsidRPr="00DF1884" w:rsidRDefault="000B4F1A" w:rsidP="00E9531F">
            <w:pPr>
              <w:spacing w:before="40" w:after="40"/>
              <w:ind w:left="29" w:right="113"/>
              <w:rPr>
                <w:rFonts w:ascii="Arial Narrow Bold" w:hAnsi="Arial Narrow"/>
                <w:szCs w:val="20"/>
              </w:rPr>
            </w:pPr>
            <w:r w:rsidRPr="00DF1884">
              <w:rPr>
                <w:rFonts w:ascii="Arial Narrow Bold" w:hAnsi="Arial Narrow"/>
                <w:szCs w:val="20"/>
              </w:rPr>
              <w:t>NCS</w:t>
            </w:r>
          </w:p>
        </w:tc>
        <w:tc>
          <w:tcPr>
            <w:tcW w:w="395" w:type="dxa"/>
            <w:tcBorders>
              <w:top w:val="single" w:sz="6" w:space="0" w:color="FFFFFF" w:themeColor="background1"/>
              <w:left w:val="single" w:sz="4" w:space="0" w:color="FFFFFF"/>
              <w:bottom w:val="single" w:sz="6" w:space="0" w:color="auto"/>
              <w:right w:val="single" w:sz="4" w:space="0" w:color="FFFFFF"/>
            </w:tcBorders>
            <w:shd w:val="clear" w:color="auto" w:fill="000000"/>
            <w:textDirection w:val="btLr"/>
          </w:tcPr>
          <w:p w14:paraId="616A85C4" w14:textId="4E17C603" w:rsidR="000B4F1A" w:rsidRPr="00DF1884" w:rsidRDefault="000B4F1A" w:rsidP="00E9531F">
            <w:pPr>
              <w:spacing w:before="40" w:after="40"/>
              <w:ind w:left="29" w:right="113"/>
              <w:rPr>
                <w:rFonts w:ascii="Arial Narrow Bold" w:hAnsi="Arial Narrow"/>
                <w:szCs w:val="20"/>
              </w:rPr>
            </w:pPr>
            <w:r w:rsidRPr="00DF1884">
              <w:rPr>
                <w:rFonts w:ascii="Arial Narrow Bold" w:hAnsi="Arial Narrow"/>
                <w:szCs w:val="20"/>
              </w:rPr>
              <w:t>PSA</w:t>
            </w:r>
          </w:p>
        </w:tc>
        <w:tc>
          <w:tcPr>
            <w:tcW w:w="395" w:type="dxa"/>
            <w:tcBorders>
              <w:top w:val="single" w:sz="6" w:space="0" w:color="FFFFFF" w:themeColor="background1"/>
              <w:left w:val="single" w:sz="4" w:space="0" w:color="FFFFFF"/>
              <w:bottom w:val="single" w:sz="6" w:space="0" w:color="auto"/>
              <w:right w:val="single" w:sz="4" w:space="0" w:color="FFFFFF"/>
            </w:tcBorders>
            <w:shd w:val="clear" w:color="auto" w:fill="000000"/>
            <w:textDirection w:val="btLr"/>
          </w:tcPr>
          <w:p w14:paraId="109F1233" w14:textId="2ED99FA4" w:rsidR="000B4F1A" w:rsidRPr="00DF1884" w:rsidRDefault="000B4F1A" w:rsidP="00E9531F">
            <w:pPr>
              <w:spacing w:before="40" w:after="40"/>
              <w:ind w:left="29" w:right="113"/>
              <w:rPr>
                <w:rFonts w:ascii="Arial Narrow Bold" w:hAnsi="Arial Narrow"/>
                <w:szCs w:val="20"/>
              </w:rPr>
            </w:pPr>
            <w:r w:rsidRPr="00DF1884">
              <w:rPr>
                <w:rFonts w:ascii="Arial Narrow Bold" w:hAnsi="Arial Narrow"/>
                <w:szCs w:val="20"/>
              </w:rPr>
              <w:t>URI</w:t>
            </w:r>
          </w:p>
        </w:tc>
        <w:tc>
          <w:tcPr>
            <w:tcW w:w="395" w:type="dxa"/>
            <w:tcBorders>
              <w:top w:val="single" w:sz="6" w:space="0" w:color="FFFFFF" w:themeColor="background1"/>
              <w:left w:val="single" w:sz="4" w:space="0" w:color="FFFFFF"/>
              <w:bottom w:val="single" w:sz="6" w:space="0" w:color="auto"/>
              <w:right w:val="single" w:sz="4" w:space="0" w:color="FFFFFF"/>
            </w:tcBorders>
            <w:shd w:val="clear" w:color="auto" w:fill="000000"/>
            <w:textDirection w:val="btLr"/>
          </w:tcPr>
          <w:p w14:paraId="4FFC93F3" w14:textId="7E0FB00F" w:rsidR="000B4F1A" w:rsidRPr="00DF1884" w:rsidRDefault="000B4F1A" w:rsidP="00E9531F">
            <w:pPr>
              <w:spacing w:before="40" w:after="40"/>
              <w:ind w:left="29" w:right="113"/>
              <w:rPr>
                <w:rFonts w:ascii="Arial Narrow Bold" w:hAnsi="Arial Narrow"/>
                <w:szCs w:val="20"/>
              </w:rPr>
            </w:pPr>
            <w:r w:rsidRPr="00DF1884">
              <w:rPr>
                <w:rFonts w:ascii="Arial Narrow Bold" w:hAnsi="Arial Narrow"/>
                <w:szCs w:val="20"/>
              </w:rPr>
              <w:t>AABV</w:t>
            </w:r>
          </w:p>
        </w:tc>
        <w:tc>
          <w:tcPr>
            <w:tcW w:w="395" w:type="dxa"/>
            <w:tcBorders>
              <w:top w:val="single" w:sz="6" w:space="0" w:color="FFFFFF" w:themeColor="background1"/>
              <w:left w:val="single" w:sz="4" w:space="0" w:color="FFFFFF"/>
              <w:bottom w:val="single" w:sz="6" w:space="0" w:color="auto"/>
              <w:right w:val="single" w:sz="4" w:space="0" w:color="FFFFFF"/>
            </w:tcBorders>
            <w:shd w:val="clear" w:color="auto" w:fill="000000"/>
            <w:textDirection w:val="btLr"/>
          </w:tcPr>
          <w:p w14:paraId="4E75A32A" w14:textId="5BCDBD2A" w:rsidR="000B4F1A" w:rsidRPr="00DF1884" w:rsidRDefault="000B4F1A" w:rsidP="00E9531F">
            <w:pPr>
              <w:spacing w:before="40" w:after="40"/>
              <w:ind w:left="29" w:right="113"/>
              <w:rPr>
                <w:rFonts w:ascii="Arial Narrow Bold" w:hAnsi="Arial Narrow"/>
                <w:szCs w:val="20"/>
              </w:rPr>
            </w:pPr>
            <w:r w:rsidRPr="00DF1884">
              <w:rPr>
                <w:rFonts w:ascii="Arial Narrow Bold" w:hAnsi="Arial Narrow"/>
                <w:szCs w:val="20"/>
              </w:rPr>
              <w:t>LBP</w:t>
            </w:r>
          </w:p>
        </w:tc>
        <w:tc>
          <w:tcPr>
            <w:tcW w:w="395" w:type="dxa"/>
            <w:tcBorders>
              <w:top w:val="single" w:sz="6" w:space="0" w:color="FFFFFF" w:themeColor="background1"/>
              <w:left w:val="single" w:sz="4" w:space="0" w:color="FFFFFF"/>
              <w:bottom w:val="single" w:sz="6" w:space="0" w:color="auto"/>
              <w:right w:val="single" w:sz="4" w:space="0" w:color="FFFFFF"/>
            </w:tcBorders>
            <w:shd w:val="clear" w:color="auto" w:fill="000000"/>
            <w:textDirection w:val="btLr"/>
          </w:tcPr>
          <w:p w14:paraId="4FE1ED6E" w14:textId="4E93D665" w:rsidR="000B4F1A" w:rsidRPr="00DF1884" w:rsidRDefault="000B4F1A" w:rsidP="00E9531F">
            <w:pPr>
              <w:spacing w:before="40" w:after="40"/>
              <w:ind w:left="29" w:right="113"/>
              <w:rPr>
                <w:rFonts w:ascii="Arial Narrow Bold" w:hAnsi="Arial Narrow"/>
                <w:szCs w:val="20"/>
              </w:rPr>
            </w:pPr>
            <w:r w:rsidRPr="00DF1884">
              <w:rPr>
                <w:rFonts w:ascii="Arial Narrow Bold" w:hAnsi="Arial Narrow"/>
                <w:szCs w:val="20"/>
              </w:rPr>
              <w:t>APC</w:t>
            </w:r>
          </w:p>
        </w:tc>
        <w:tc>
          <w:tcPr>
            <w:tcW w:w="395" w:type="dxa"/>
            <w:tcBorders>
              <w:top w:val="single" w:sz="6" w:space="0" w:color="FFFFFF" w:themeColor="background1"/>
              <w:left w:val="single" w:sz="4" w:space="0" w:color="FFFFFF"/>
              <w:bottom w:val="single" w:sz="6" w:space="0" w:color="auto"/>
              <w:right w:val="single" w:sz="4" w:space="0" w:color="FFFFFF"/>
            </w:tcBorders>
            <w:shd w:val="clear" w:color="auto" w:fill="000000"/>
            <w:textDirection w:val="btLr"/>
            <w:vAlign w:val="center"/>
          </w:tcPr>
          <w:p w14:paraId="5648002F" w14:textId="109F71EB" w:rsidR="000B4F1A" w:rsidRPr="00DF1884" w:rsidRDefault="000B4F1A" w:rsidP="00E9531F">
            <w:pPr>
              <w:spacing w:before="40" w:after="40"/>
              <w:ind w:left="29" w:right="113"/>
              <w:rPr>
                <w:rFonts w:ascii="Arial Narrow Bold" w:hAnsi="Arial Narrow"/>
                <w:b/>
                <w:szCs w:val="20"/>
              </w:rPr>
            </w:pPr>
            <w:r w:rsidRPr="00DF1884">
              <w:rPr>
                <w:rFonts w:ascii="Arial Narrow Bold" w:hAnsi="Arial Narrow"/>
                <w:szCs w:val="20"/>
              </w:rPr>
              <w:t>DDE</w:t>
            </w:r>
          </w:p>
        </w:tc>
        <w:tc>
          <w:tcPr>
            <w:tcW w:w="395" w:type="dxa"/>
            <w:tcBorders>
              <w:top w:val="single" w:sz="6" w:space="0" w:color="FFFFFF" w:themeColor="background1"/>
              <w:left w:val="single" w:sz="4" w:space="0" w:color="FFFFFF"/>
              <w:bottom w:val="single" w:sz="6" w:space="0" w:color="auto"/>
              <w:right w:val="single" w:sz="4" w:space="0" w:color="auto"/>
            </w:tcBorders>
            <w:shd w:val="clear" w:color="auto" w:fill="000000"/>
            <w:tcMar>
              <w:left w:w="43" w:type="dxa"/>
              <w:right w:w="43" w:type="dxa"/>
            </w:tcMar>
            <w:textDirection w:val="btLr"/>
            <w:vAlign w:val="center"/>
          </w:tcPr>
          <w:p w14:paraId="233BF8B2" w14:textId="77777777" w:rsidR="000B4F1A" w:rsidRPr="00DF1884" w:rsidRDefault="000B4F1A" w:rsidP="00E9531F">
            <w:pPr>
              <w:spacing w:before="40" w:after="40"/>
              <w:ind w:left="29" w:right="113"/>
              <w:rPr>
                <w:rFonts w:ascii="Arial Narrow Bold" w:hAnsi="Arial Narrow"/>
                <w:b/>
                <w:szCs w:val="20"/>
              </w:rPr>
            </w:pPr>
            <w:r w:rsidRPr="00DF1884">
              <w:rPr>
                <w:rFonts w:ascii="Arial Narrow Bold" w:hAnsi="Arial Narrow"/>
                <w:szCs w:val="20"/>
              </w:rPr>
              <w:t>DAE</w:t>
            </w:r>
          </w:p>
        </w:tc>
      </w:tr>
      <w:tr w:rsidR="000B4F1A" w:rsidRPr="00DF1884" w14:paraId="68EF44A8" w14:textId="77777777" w:rsidTr="00932F29">
        <w:trPr>
          <w:cantSplit/>
        </w:trPr>
        <w:tc>
          <w:tcPr>
            <w:tcW w:w="2602"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D0F3DBC" w14:textId="77777777" w:rsidR="000B4F1A" w:rsidRPr="00DF1884" w:rsidRDefault="000B4F1A" w:rsidP="00E9531F">
            <w:pPr>
              <w:pStyle w:val="TableText"/>
              <w:rPr>
                <w:sz w:val="22"/>
                <w:szCs w:val="22"/>
              </w:rPr>
            </w:pPr>
            <w:r w:rsidRPr="00DF1884">
              <w:rPr>
                <w:szCs w:val="20"/>
              </w:rPr>
              <w:t>Commercial</w:t>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CC039B3"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305F084" w14:textId="5DACE6A8"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5727127" w14:textId="349DC11B"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437FB51" w14:textId="44BB7133"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26BB8F1" w14:textId="690E49F4"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9A2ABE0"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B022637"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C80E872"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862166F" w14:textId="77777777" w:rsidR="000B4F1A" w:rsidRPr="00DF1884" w:rsidRDefault="000B4F1A" w:rsidP="00932F29">
            <w:pPr>
              <w:pStyle w:val="TableText"/>
              <w:jc w:val="center"/>
              <w:rPr>
                <w:sz w:val="22"/>
                <w:szCs w:val="22"/>
                <w:highlight w:val="yellow"/>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60382ED"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FC2BFCC"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D44DF21"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630F618"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72913E7"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DED79E2"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A699B56"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6AD3C3D" w14:textId="2F698874"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B49A72D"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2008E6A" w14:textId="40B1DA3A"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2498884" w14:textId="33333A8F"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C41F9B5" w14:textId="2AFA4512"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9E6DC74" w14:textId="60241261"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078E99E" w14:textId="295E837B"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9A70ECB" w14:textId="77777777" w:rsidR="000B4F1A" w:rsidRPr="00DF1884" w:rsidRDefault="000B4F1A" w:rsidP="00932F29">
            <w:pPr>
              <w:pStyle w:val="TableText"/>
              <w:jc w:val="center"/>
              <w:rPr>
                <w:sz w:val="22"/>
                <w:szCs w:val="22"/>
              </w:rPr>
            </w:pPr>
          </w:p>
        </w:tc>
      </w:tr>
      <w:tr w:rsidR="000B4F1A" w:rsidRPr="00DF1884" w14:paraId="26D8D95B" w14:textId="77777777" w:rsidTr="002B761F">
        <w:trPr>
          <w:cantSplit/>
        </w:trPr>
        <w:tc>
          <w:tcPr>
            <w:tcW w:w="26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E29C2BD" w14:textId="6B539B11" w:rsidR="000B4F1A" w:rsidRPr="00DF1884" w:rsidRDefault="000B4F1A" w:rsidP="00E9531F">
            <w:pPr>
              <w:pStyle w:val="TableText"/>
              <w:rPr>
                <w:sz w:val="22"/>
                <w:szCs w:val="22"/>
              </w:rPr>
            </w:pPr>
            <w:r w:rsidRPr="00DF1884">
              <w:rPr>
                <w:szCs w:val="20"/>
              </w:rPr>
              <w:t>Medicare</w:t>
            </w:r>
            <w:r w:rsidR="000B204C">
              <w:rPr>
                <w:vertAlign w:val="superscript"/>
              </w:rPr>
              <w:t>1</w:t>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320A11A"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ECB15AB" w14:textId="4D199A31"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5D1577B" w14:textId="5EBFEAE3" w:rsidR="000B4F1A" w:rsidRPr="00DF1884" w:rsidRDefault="000B4F1A" w:rsidP="00932F29">
            <w:pPr>
              <w:pStyle w:val="TableText"/>
              <w:jc w:val="center"/>
              <w:rPr>
                <w:sz w:val="22"/>
                <w:szCs w:val="22"/>
              </w:rPr>
            </w:pPr>
            <w:r w:rsidRPr="00DF1884">
              <w:rPr>
                <w:sz w:val="22"/>
                <w:szCs w:val="22"/>
              </w:rPr>
              <w:sym w:font="Wingdings" w:char="F0FC"/>
            </w:r>
            <w:r w:rsidR="000B204C">
              <w:rPr>
                <w:sz w:val="22"/>
                <w:szCs w:val="22"/>
                <w:vertAlign w:val="superscript"/>
              </w:rPr>
              <w:t>2</w:t>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4C7BE2C" w14:textId="65F29A5A"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B15FF3E" w14:textId="52B13EEC"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5EDED94"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9629200"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587F9B8"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C83DB04" w14:textId="77777777" w:rsidR="000B4F1A" w:rsidRPr="00DF1884" w:rsidRDefault="000B4F1A" w:rsidP="00932F29">
            <w:pPr>
              <w:pStyle w:val="TableText"/>
              <w:jc w:val="center"/>
              <w:rPr>
                <w:sz w:val="22"/>
                <w:szCs w:val="22"/>
                <w:highlight w:val="yellow"/>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975F3C2"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D152202"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EC679F9"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F4217BB"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5C67497"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973939B"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1F27779" w14:textId="116BB4DD"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147030B"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DBC52D0" w14:textId="011A1F65"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59B334D"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874A06D"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28B770A"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8D30591"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DDE58CF" w14:textId="18A40EA8"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6020724" w14:textId="77777777" w:rsidR="000B4F1A" w:rsidRPr="00DF1884" w:rsidRDefault="000B4F1A" w:rsidP="00932F29">
            <w:pPr>
              <w:pStyle w:val="TableText"/>
              <w:jc w:val="center"/>
              <w:rPr>
                <w:sz w:val="22"/>
                <w:szCs w:val="22"/>
              </w:rPr>
            </w:pPr>
            <w:r w:rsidRPr="00DF1884">
              <w:rPr>
                <w:sz w:val="22"/>
                <w:szCs w:val="22"/>
              </w:rPr>
              <w:sym w:font="Wingdings" w:char="F0FC"/>
            </w:r>
          </w:p>
        </w:tc>
      </w:tr>
      <w:tr w:rsidR="000B4F1A" w:rsidRPr="00DF1884" w14:paraId="086664F3" w14:textId="77777777" w:rsidTr="00932F29">
        <w:trPr>
          <w:cantSplit/>
        </w:trPr>
        <w:tc>
          <w:tcPr>
            <w:tcW w:w="2602"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8173366" w14:textId="77777777" w:rsidR="000B4F1A" w:rsidRPr="00DF1884" w:rsidRDefault="000B4F1A" w:rsidP="00E9531F">
            <w:pPr>
              <w:pStyle w:val="TableText"/>
              <w:rPr>
                <w:sz w:val="22"/>
                <w:szCs w:val="22"/>
              </w:rPr>
            </w:pPr>
            <w:r w:rsidRPr="00DF1884">
              <w:rPr>
                <w:szCs w:val="20"/>
              </w:rPr>
              <w:t>Medicaid</w:t>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D1BCADC"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701AAED" w14:textId="6A3D1780"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E424EF7" w14:textId="100B27C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F7E3B91" w14:textId="27184CF5"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0DC0292" w14:textId="2DD7810B"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35B4E4B"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F2568D7"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933F393"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913FE6F" w14:textId="77777777" w:rsidR="000B4F1A" w:rsidRPr="00DF1884" w:rsidRDefault="000B4F1A" w:rsidP="00932F29">
            <w:pPr>
              <w:pStyle w:val="TableText"/>
              <w:jc w:val="center"/>
              <w:rPr>
                <w:sz w:val="22"/>
                <w:szCs w:val="22"/>
                <w:highlight w:val="yellow"/>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F14AC5B"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7251C90"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5C5A3BE"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A278B49"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BC4D052"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87888C4"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323C322"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4B2F9EB" w14:textId="4A09E8F6"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F6A14AE"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4D83D50" w14:textId="08D1E756"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11F5585" w14:textId="33E80029"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E7F67CC" w14:textId="109EE594"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DBD36F7" w14:textId="4E7C1895"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E01D9D3" w14:textId="028970E8"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80E51D6" w14:textId="77777777" w:rsidR="000B4F1A" w:rsidRPr="00DF1884" w:rsidRDefault="000B4F1A" w:rsidP="00932F29">
            <w:pPr>
              <w:pStyle w:val="TableText"/>
              <w:jc w:val="center"/>
              <w:rPr>
                <w:sz w:val="22"/>
                <w:szCs w:val="22"/>
              </w:rPr>
            </w:pPr>
          </w:p>
        </w:tc>
      </w:tr>
      <w:tr w:rsidR="000B4F1A" w:rsidRPr="00DF1884" w14:paraId="7440E8E0" w14:textId="77777777" w:rsidTr="002B761F">
        <w:trPr>
          <w:cantSplit/>
        </w:trPr>
        <w:tc>
          <w:tcPr>
            <w:tcW w:w="26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594ECB4" w14:textId="2747BFA1" w:rsidR="000B4F1A" w:rsidRPr="00DF1884" w:rsidRDefault="000B4F1A" w:rsidP="00E9531F">
            <w:pPr>
              <w:pStyle w:val="TableText"/>
              <w:rPr>
                <w:sz w:val="22"/>
                <w:szCs w:val="22"/>
              </w:rPr>
            </w:pPr>
            <w:r w:rsidRPr="00DF1884">
              <w:rPr>
                <w:szCs w:val="20"/>
              </w:rPr>
              <w:t>Claims-based denominator</w:t>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D498318"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CA3CF70" w14:textId="29CB2351"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836F10E" w14:textId="037AE4AF"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5C8B490" w14:textId="51391595" w:rsidR="000B4F1A" w:rsidRPr="00DF1884" w:rsidRDefault="00FA38C6"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ECA8EE9" w14:textId="4F9D04A9"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BD95EE7"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4088BC9"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6E75BFC"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4C0B4B4" w14:textId="77777777" w:rsidR="000B4F1A" w:rsidRPr="00DF1884" w:rsidRDefault="000B4F1A" w:rsidP="00932F29">
            <w:pPr>
              <w:pStyle w:val="TableText"/>
              <w:jc w:val="center"/>
              <w:rPr>
                <w:sz w:val="22"/>
                <w:szCs w:val="22"/>
                <w:highlight w:val="yellow"/>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FE13548"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DC5E777"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C4DB80B"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C9A427C"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0229F0F"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B3CD8FE"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85D5A3F"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3961517" w14:textId="4FE291EF"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4B5470C" w14:textId="5CC725D4"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8FC6561" w14:textId="25A8A3F2"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FC72DE0" w14:textId="122D27FE"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BB042F1" w14:textId="64B8709B"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FBA2FD3" w14:textId="0BE82A29"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05BF1CA" w14:textId="042377DE"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2579021" w14:textId="77777777" w:rsidR="000B4F1A" w:rsidRPr="00DF1884" w:rsidRDefault="000B4F1A" w:rsidP="00932F29">
            <w:pPr>
              <w:pStyle w:val="TableText"/>
              <w:jc w:val="center"/>
              <w:rPr>
                <w:sz w:val="22"/>
                <w:szCs w:val="22"/>
              </w:rPr>
            </w:pPr>
          </w:p>
        </w:tc>
      </w:tr>
      <w:tr w:rsidR="000B4F1A" w:rsidRPr="00DF1884" w14:paraId="1B1DA8D1" w14:textId="77777777" w:rsidTr="00932F29">
        <w:trPr>
          <w:cantSplit/>
        </w:trPr>
        <w:tc>
          <w:tcPr>
            <w:tcW w:w="2602"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932BDA1" w14:textId="40CEE14C" w:rsidR="000B4F1A" w:rsidRPr="00DF1884" w:rsidRDefault="000B4F1A" w:rsidP="00E9531F">
            <w:pPr>
              <w:pStyle w:val="TableText"/>
              <w:rPr>
                <w:sz w:val="22"/>
                <w:szCs w:val="22"/>
              </w:rPr>
            </w:pPr>
            <w:r w:rsidRPr="00DF1884">
              <w:rPr>
                <w:szCs w:val="20"/>
              </w:rPr>
              <w:t>Membership-based denominator</w:t>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AA1BBC1"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6702417"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9ACB51B" w14:textId="5359C890"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A1F28C6"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1AC860F" w14:textId="0FC3EB1B"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29F983C"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8E3E4A4"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9C730B4"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9A47461" w14:textId="77777777" w:rsidR="000B4F1A" w:rsidRPr="00DF1884" w:rsidRDefault="000B4F1A" w:rsidP="00932F29">
            <w:pPr>
              <w:pStyle w:val="TableText"/>
              <w:jc w:val="center"/>
              <w:rPr>
                <w:sz w:val="22"/>
                <w:szCs w:val="22"/>
                <w:highlight w:val="yellow"/>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511AB57"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1E71D57"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A5D92A8"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2D02135"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0FD9B22"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C352B28"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EC55083"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F14D8A9"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B54D403"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42C180C"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B0BAD3D"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008D47C"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78B1DCF"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2AE8BC4" w14:textId="04C9A9FE"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D34BC03" w14:textId="77777777" w:rsidR="000B4F1A" w:rsidRPr="00DF1884" w:rsidRDefault="000B4F1A" w:rsidP="00932F29">
            <w:pPr>
              <w:pStyle w:val="TableText"/>
              <w:jc w:val="center"/>
              <w:rPr>
                <w:sz w:val="22"/>
                <w:szCs w:val="22"/>
              </w:rPr>
            </w:pPr>
            <w:r w:rsidRPr="00DF1884">
              <w:rPr>
                <w:sz w:val="22"/>
                <w:szCs w:val="22"/>
              </w:rPr>
              <w:sym w:font="Wingdings" w:char="F0FC"/>
            </w:r>
          </w:p>
        </w:tc>
      </w:tr>
      <w:tr w:rsidR="000B4F1A" w:rsidRPr="00DF1884" w14:paraId="7EFC8503" w14:textId="77777777" w:rsidTr="002B761F">
        <w:trPr>
          <w:cantSplit/>
        </w:trPr>
        <w:tc>
          <w:tcPr>
            <w:tcW w:w="26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BE218CA" w14:textId="093B22D1" w:rsidR="000B4F1A" w:rsidRPr="00DF1884" w:rsidRDefault="000B4F1A" w:rsidP="00E9531F">
            <w:pPr>
              <w:pStyle w:val="TableText"/>
              <w:rPr>
                <w:sz w:val="22"/>
                <w:szCs w:val="22"/>
              </w:rPr>
            </w:pPr>
            <w:r w:rsidRPr="00DF1884">
              <w:rPr>
                <w:szCs w:val="20"/>
              </w:rPr>
              <w:t>Pharmacy benefit</w:t>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BDDE670"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D72AC29" w14:textId="7116B6BC"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ADDFD20" w14:textId="07254FCA"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59821E1" w14:textId="15FDD737" w:rsidR="000B4F1A" w:rsidRPr="00DF1884" w:rsidRDefault="00FA38C6"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144956F" w14:textId="486C1616"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F2590E1"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E9F1EC7"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96CBC2A"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B7B8B7A" w14:textId="77777777" w:rsidR="000B4F1A" w:rsidRPr="00DF1884" w:rsidRDefault="000B4F1A" w:rsidP="00932F29">
            <w:pPr>
              <w:pStyle w:val="TableText"/>
              <w:jc w:val="center"/>
              <w:rPr>
                <w:sz w:val="22"/>
                <w:szCs w:val="22"/>
                <w:highlight w:val="yellow"/>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DA2703C"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BB86803"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C7B4076"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F64D4FE"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14D79EE"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44B5A48"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9D34630"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29AC173"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A268F3C"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023BB20" w14:textId="1771E7A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445C54C" w14:textId="56064543"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2F692F7"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244E797" w14:textId="0E8DDE10"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9387019" w14:textId="3F03724E"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5314A4E" w14:textId="77777777" w:rsidR="000B4F1A" w:rsidRPr="00DF1884" w:rsidRDefault="000B4F1A" w:rsidP="00932F29">
            <w:pPr>
              <w:pStyle w:val="TableText"/>
              <w:jc w:val="center"/>
              <w:rPr>
                <w:sz w:val="22"/>
                <w:szCs w:val="22"/>
              </w:rPr>
            </w:pPr>
            <w:r w:rsidRPr="00DF1884">
              <w:rPr>
                <w:sz w:val="22"/>
                <w:szCs w:val="22"/>
              </w:rPr>
              <w:sym w:font="Wingdings" w:char="F0FC"/>
            </w:r>
          </w:p>
        </w:tc>
      </w:tr>
      <w:tr w:rsidR="000B4F1A" w:rsidRPr="00DF1884" w14:paraId="059D8D1F" w14:textId="77777777" w:rsidTr="00932F29">
        <w:trPr>
          <w:cantSplit/>
        </w:trPr>
        <w:tc>
          <w:tcPr>
            <w:tcW w:w="2602"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887B143" w14:textId="0ABC2279" w:rsidR="000B4F1A" w:rsidRPr="00DF1884" w:rsidRDefault="000B4F1A" w:rsidP="00E9531F">
            <w:pPr>
              <w:pStyle w:val="TableText"/>
              <w:rPr>
                <w:sz w:val="22"/>
                <w:szCs w:val="22"/>
              </w:rPr>
            </w:pPr>
            <w:r w:rsidRPr="00DF1884">
              <w:rPr>
                <w:szCs w:val="20"/>
              </w:rPr>
              <w:t xml:space="preserve">MH or CD benefit </w:t>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8A823D7"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BFC902B"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573DA66" w14:textId="73436813"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E812EF5"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88E7F73" w14:textId="6858B769"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DBC5D7C"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7A20901"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E405456"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4F05371" w14:textId="77777777" w:rsidR="000B4F1A" w:rsidRPr="00DF1884" w:rsidRDefault="000B4F1A" w:rsidP="00932F29">
            <w:pPr>
              <w:pStyle w:val="TableText"/>
              <w:jc w:val="center"/>
              <w:rPr>
                <w:sz w:val="22"/>
                <w:szCs w:val="22"/>
                <w:highlight w:val="yellow"/>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2BDD49E"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7927E94"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A0EAAB0"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FB7013F"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2EF5924"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33B7D4A"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C42571A"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39F7211"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4193B62"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030F5C4"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92C4A28"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9DEB25A"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69AFF94"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8144467" w14:textId="287549BF"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C9119F5" w14:textId="77777777" w:rsidR="000B4F1A" w:rsidRPr="00DF1884" w:rsidRDefault="000B4F1A" w:rsidP="00932F29">
            <w:pPr>
              <w:pStyle w:val="TableText"/>
              <w:jc w:val="center"/>
              <w:rPr>
                <w:sz w:val="22"/>
                <w:szCs w:val="22"/>
              </w:rPr>
            </w:pPr>
          </w:p>
        </w:tc>
      </w:tr>
      <w:tr w:rsidR="000B4F1A" w:rsidRPr="00DF1884" w14:paraId="29AD29FE" w14:textId="77777777" w:rsidTr="002B761F">
        <w:trPr>
          <w:cantSplit/>
        </w:trPr>
        <w:tc>
          <w:tcPr>
            <w:tcW w:w="26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83B8BD2" w14:textId="1E39FE72" w:rsidR="000B4F1A" w:rsidRPr="00DF1884" w:rsidRDefault="000B4F1A" w:rsidP="00E9531F">
            <w:pPr>
              <w:pStyle w:val="TableText"/>
              <w:rPr>
                <w:sz w:val="22"/>
                <w:szCs w:val="22"/>
              </w:rPr>
            </w:pPr>
            <w:r w:rsidRPr="00DF1884">
              <w:rPr>
                <w:szCs w:val="20"/>
              </w:rPr>
              <w:t>Live birth methodology</w:t>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F6FBB8C"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21E5EBB"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C7AD5E8" w14:textId="2333B7C9"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8BE6301"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F6CFC6B" w14:textId="2CF3317D"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31C9E98"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E75E7A6"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C449A81"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EE82079" w14:textId="77777777" w:rsidR="000B4F1A" w:rsidRPr="00DF1884" w:rsidRDefault="000B4F1A" w:rsidP="00932F29">
            <w:pPr>
              <w:pStyle w:val="TableText"/>
              <w:jc w:val="center"/>
              <w:rPr>
                <w:sz w:val="22"/>
                <w:szCs w:val="22"/>
                <w:highlight w:val="yellow"/>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A32CB74"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9B3E09A"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4BC6E62"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BE35196"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A83E484"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0E244B8"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372F321"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6633848"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6E16397"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43DC8E5"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BB8E5AD"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FC0C738"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6E2E4BE"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BE5F9E0" w14:textId="734B9D6A"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0AFF73F" w14:textId="77777777" w:rsidR="000B4F1A" w:rsidRPr="00DF1884" w:rsidRDefault="000B4F1A" w:rsidP="00932F29">
            <w:pPr>
              <w:pStyle w:val="TableText"/>
              <w:jc w:val="center"/>
              <w:rPr>
                <w:sz w:val="22"/>
                <w:szCs w:val="22"/>
              </w:rPr>
            </w:pPr>
          </w:p>
        </w:tc>
      </w:tr>
      <w:tr w:rsidR="000B4F1A" w:rsidRPr="00DF1884" w14:paraId="7DF230C5" w14:textId="77777777" w:rsidTr="00932F29">
        <w:trPr>
          <w:cantSplit/>
        </w:trPr>
        <w:tc>
          <w:tcPr>
            <w:tcW w:w="2602"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330C3B8" w14:textId="33595D52" w:rsidR="000B4F1A" w:rsidRPr="00DF1884" w:rsidRDefault="000B4F1A" w:rsidP="00E9531F">
            <w:pPr>
              <w:pStyle w:val="TableText"/>
              <w:rPr>
                <w:sz w:val="22"/>
                <w:szCs w:val="22"/>
              </w:rPr>
            </w:pPr>
            <w:r w:rsidRPr="00DF1884">
              <w:rPr>
                <w:szCs w:val="20"/>
              </w:rPr>
              <w:t>Practitioner type requirement</w:t>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0D170DE"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EDA4B71"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DE3B469" w14:textId="3224F511"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E591408"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38D1016" w14:textId="0AE8C1A2"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5AF0437"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F6C3D1F"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67197B2"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ED53B71" w14:textId="77777777" w:rsidR="000B4F1A" w:rsidRPr="00DF1884" w:rsidRDefault="000B4F1A" w:rsidP="00932F29">
            <w:pPr>
              <w:pStyle w:val="TableText"/>
              <w:jc w:val="center"/>
              <w:rPr>
                <w:sz w:val="22"/>
                <w:szCs w:val="22"/>
                <w:highlight w:val="yellow"/>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556253B"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4DF37B5"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268C431"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83B5070"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8067693"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AFFCAB5"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2104B6A"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F125024"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F860CC6"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0F6D708"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3ED5106"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91D5E93"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14044AE"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629C3D3" w14:textId="396E22F8"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B4A56D6" w14:textId="77777777" w:rsidR="000B4F1A" w:rsidRPr="00DF1884" w:rsidRDefault="000B4F1A" w:rsidP="00932F29">
            <w:pPr>
              <w:pStyle w:val="TableText"/>
              <w:jc w:val="center"/>
              <w:rPr>
                <w:sz w:val="22"/>
                <w:szCs w:val="22"/>
              </w:rPr>
            </w:pPr>
          </w:p>
        </w:tc>
      </w:tr>
      <w:tr w:rsidR="000B4F1A" w:rsidRPr="00DF1884" w14:paraId="7EDDA3E9" w14:textId="77777777" w:rsidTr="002B761F">
        <w:trPr>
          <w:cantSplit/>
        </w:trPr>
        <w:tc>
          <w:tcPr>
            <w:tcW w:w="26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F45FE63" w14:textId="176A5E9E" w:rsidR="000B4F1A" w:rsidRPr="00DF1884" w:rsidRDefault="000B4F1A" w:rsidP="00E9531F">
            <w:pPr>
              <w:pStyle w:val="TableText"/>
              <w:rPr>
                <w:sz w:val="22"/>
                <w:szCs w:val="22"/>
              </w:rPr>
            </w:pPr>
            <w:r w:rsidRPr="00DF1884">
              <w:rPr>
                <w:szCs w:val="20"/>
              </w:rPr>
              <w:t>Risk adjustment methodology</w:t>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B3CE984"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8212B40"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AD746B7" w14:textId="278D05B8"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792AEA4"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FC0CB8C" w14:textId="5A6248E0"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24D9773"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61659F3"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285A03D"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B60F949" w14:textId="77777777" w:rsidR="000B4F1A" w:rsidRPr="00DF1884" w:rsidRDefault="000B4F1A" w:rsidP="00932F29">
            <w:pPr>
              <w:pStyle w:val="TableText"/>
              <w:jc w:val="center"/>
              <w:rPr>
                <w:sz w:val="22"/>
                <w:szCs w:val="22"/>
                <w:highlight w:val="yellow"/>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248370B"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7746C72"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8714E3E"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DD391E4"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0FA0A6E"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36F10FA"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6EB19B0"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E3C38A6"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66FFD8D"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D0E56A1"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19CD6C7"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8A5F4D9"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C575B60"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4457118" w14:textId="2997B715"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7107ECE" w14:textId="77777777" w:rsidR="000B4F1A" w:rsidRPr="00DF1884" w:rsidRDefault="000B4F1A" w:rsidP="00932F29">
            <w:pPr>
              <w:pStyle w:val="TableText"/>
              <w:jc w:val="center"/>
              <w:rPr>
                <w:sz w:val="22"/>
                <w:szCs w:val="22"/>
              </w:rPr>
            </w:pPr>
          </w:p>
        </w:tc>
      </w:tr>
      <w:tr w:rsidR="000B4F1A" w:rsidRPr="00DF1884" w14:paraId="66E51DA1" w14:textId="77777777" w:rsidTr="00932F29">
        <w:trPr>
          <w:cantSplit/>
        </w:trPr>
        <w:tc>
          <w:tcPr>
            <w:tcW w:w="2602"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7E6243F" w14:textId="6C4C717D" w:rsidR="000B4F1A" w:rsidRPr="00DF1884" w:rsidRDefault="000B4F1A" w:rsidP="00E9531F">
            <w:pPr>
              <w:pStyle w:val="TableText"/>
              <w:rPr>
                <w:sz w:val="22"/>
                <w:szCs w:val="22"/>
              </w:rPr>
            </w:pPr>
            <w:r w:rsidRPr="00DF1884">
              <w:rPr>
                <w:szCs w:val="20"/>
              </w:rPr>
              <w:t>Lab data</w:t>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3094F70"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B5F6D2D"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73971A0" w14:textId="5B85140F"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04E220B"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1C8DD5F" w14:textId="21428752"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1E13B9D"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020A5B2"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F816FEF"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3B00E99" w14:textId="77777777" w:rsidR="000B4F1A" w:rsidRPr="00DF1884" w:rsidRDefault="000B4F1A" w:rsidP="00932F29">
            <w:pPr>
              <w:pStyle w:val="TableText"/>
              <w:jc w:val="center"/>
              <w:rPr>
                <w:sz w:val="22"/>
                <w:szCs w:val="22"/>
                <w:highlight w:val="yellow"/>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42CD747"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74B9482"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98D37A3"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99C3E16"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826D3AA"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492DB20"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0ED4793"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D7E560B" w14:textId="1C50DAA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1E41A07" w14:textId="53A5539D"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16162D9"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2994171"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17F383C"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F50A478"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9DF89ED" w14:textId="7E5934EF"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FBB136E" w14:textId="77777777" w:rsidR="000B4F1A" w:rsidRPr="00DF1884" w:rsidRDefault="000B4F1A" w:rsidP="00932F29">
            <w:pPr>
              <w:pStyle w:val="TableText"/>
              <w:jc w:val="center"/>
              <w:rPr>
                <w:sz w:val="22"/>
                <w:szCs w:val="22"/>
              </w:rPr>
            </w:pPr>
          </w:p>
        </w:tc>
      </w:tr>
      <w:tr w:rsidR="000B4F1A" w:rsidRPr="00DF1884" w14:paraId="6199626C" w14:textId="77777777" w:rsidTr="002B761F">
        <w:trPr>
          <w:cantSplit/>
        </w:trPr>
        <w:tc>
          <w:tcPr>
            <w:tcW w:w="26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EAE8BF1" w14:textId="70974F86" w:rsidR="000B4F1A" w:rsidRPr="00DF1884" w:rsidRDefault="000B4F1A" w:rsidP="00E9531F">
            <w:pPr>
              <w:pStyle w:val="TableText"/>
              <w:rPr>
                <w:sz w:val="22"/>
                <w:szCs w:val="22"/>
              </w:rPr>
            </w:pPr>
            <w:r w:rsidRPr="00DF1884">
              <w:rPr>
                <w:szCs w:val="20"/>
              </w:rPr>
              <w:t>Radiology data</w:t>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93B9052"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A1A1ECC"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D1C3F54" w14:textId="36EC1623"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C8D88A6"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FB6536E" w14:textId="207CBDE4"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0AB7B9A"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1294494"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738D070"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9A11708" w14:textId="77777777" w:rsidR="000B4F1A" w:rsidRPr="00DF1884" w:rsidRDefault="000B4F1A" w:rsidP="00932F29">
            <w:pPr>
              <w:pStyle w:val="TableText"/>
              <w:jc w:val="center"/>
              <w:rPr>
                <w:sz w:val="22"/>
                <w:szCs w:val="22"/>
                <w:highlight w:val="yellow"/>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3FD462D"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67A15FF"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4AAB5D3"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40E1F7E"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7022EBF"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9C814B3"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BCF0387"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CE698D4"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5A27B4A"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E1DFEE6"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748067B"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16FEF6E" w14:textId="78F484EF"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24E3047"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FC7061F" w14:textId="13C25BF3"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1428FF4" w14:textId="77777777" w:rsidR="000B4F1A" w:rsidRPr="00DF1884" w:rsidRDefault="000B4F1A" w:rsidP="00932F29">
            <w:pPr>
              <w:pStyle w:val="TableText"/>
              <w:jc w:val="center"/>
              <w:rPr>
                <w:sz w:val="22"/>
                <w:szCs w:val="22"/>
              </w:rPr>
            </w:pPr>
          </w:p>
        </w:tc>
      </w:tr>
      <w:tr w:rsidR="000B4F1A" w:rsidRPr="00DF1884" w14:paraId="313CF139" w14:textId="77777777" w:rsidTr="00932F29">
        <w:trPr>
          <w:cantSplit/>
        </w:trPr>
        <w:tc>
          <w:tcPr>
            <w:tcW w:w="2602"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461C0D2" w14:textId="47C12468" w:rsidR="000B4F1A" w:rsidRPr="00DF1884" w:rsidRDefault="000B4F1A" w:rsidP="00E9531F">
            <w:pPr>
              <w:pStyle w:val="TableText"/>
              <w:rPr>
                <w:sz w:val="22"/>
                <w:szCs w:val="22"/>
              </w:rPr>
            </w:pPr>
            <w:r w:rsidRPr="00DF1884">
              <w:rPr>
                <w:szCs w:val="20"/>
              </w:rPr>
              <w:t>MH or CD data</w:t>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52F0E3B"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32A9858"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941D463" w14:textId="771C490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7FDD126"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D7DA379" w14:textId="0CC04AAF"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7F513B3"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9E8626B"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314956F"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7B5B930" w14:textId="77777777" w:rsidR="000B4F1A" w:rsidRPr="00DF1884" w:rsidRDefault="000B4F1A" w:rsidP="00932F29">
            <w:pPr>
              <w:pStyle w:val="TableText"/>
              <w:jc w:val="center"/>
              <w:rPr>
                <w:sz w:val="22"/>
                <w:szCs w:val="22"/>
                <w:highlight w:val="yellow"/>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18E3591"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7A9A7F5"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29D4941"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7103374"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3798475"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7DB77FD"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996E592"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2D70D51"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27E2030"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EBDBFEC"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54045D8"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47975A3"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42C9E45"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CF208E1" w14:textId="2C9ED3B5"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C4B565D" w14:textId="77777777" w:rsidR="000B4F1A" w:rsidRPr="00DF1884" w:rsidRDefault="000B4F1A" w:rsidP="00932F29">
            <w:pPr>
              <w:pStyle w:val="TableText"/>
              <w:jc w:val="center"/>
              <w:rPr>
                <w:sz w:val="22"/>
                <w:szCs w:val="22"/>
              </w:rPr>
            </w:pPr>
          </w:p>
        </w:tc>
      </w:tr>
      <w:tr w:rsidR="000B4F1A" w:rsidRPr="00DF1884" w14:paraId="32C45AAC" w14:textId="77777777" w:rsidTr="002B761F">
        <w:trPr>
          <w:cantSplit/>
        </w:trPr>
        <w:tc>
          <w:tcPr>
            <w:tcW w:w="26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9FEDD78" w14:textId="7A009BD7" w:rsidR="000B4F1A" w:rsidRPr="00DF1884" w:rsidRDefault="000B4F1A" w:rsidP="00E9531F">
            <w:pPr>
              <w:pStyle w:val="TableText"/>
              <w:rPr>
                <w:sz w:val="22"/>
                <w:szCs w:val="22"/>
              </w:rPr>
            </w:pPr>
            <w:r w:rsidRPr="00DF1884">
              <w:rPr>
                <w:szCs w:val="20"/>
              </w:rPr>
              <w:t>Pharmacy data</w:t>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182FC32"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0934517" w14:textId="0F6D421C"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911B519" w14:textId="642312C0"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95F4C06" w14:textId="4636038A" w:rsidR="000B4F1A" w:rsidRPr="00DF1884" w:rsidRDefault="00FA38C6"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75D5CFE" w14:textId="6F4D73C5"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3C55F1C"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DFD3585"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5FB2A7F"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F9A3BA7" w14:textId="77777777" w:rsidR="000B4F1A" w:rsidRPr="00DF1884" w:rsidRDefault="000B4F1A" w:rsidP="00932F29">
            <w:pPr>
              <w:pStyle w:val="TableText"/>
              <w:jc w:val="center"/>
              <w:rPr>
                <w:sz w:val="22"/>
                <w:szCs w:val="22"/>
                <w:highlight w:val="yellow"/>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AEF56B4"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ADDF37B"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FD2A972"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FBB6CAE"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C478944"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F69CAF9"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89C810F"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7FAC51A"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C5E0355"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9AA1ACB"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2E8F7A6" w14:textId="35F8B58C"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93DBA22"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E50099B" w14:textId="2EA6804A"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70FE4AF" w14:textId="1EC09CE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7C4C4F2" w14:textId="77777777" w:rsidR="000B4F1A" w:rsidRPr="00DF1884" w:rsidRDefault="000B4F1A" w:rsidP="00932F29">
            <w:pPr>
              <w:pStyle w:val="TableText"/>
              <w:jc w:val="center"/>
              <w:rPr>
                <w:sz w:val="22"/>
                <w:szCs w:val="22"/>
              </w:rPr>
            </w:pPr>
            <w:r w:rsidRPr="00DF1884">
              <w:rPr>
                <w:sz w:val="22"/>
                <w:szCs w:val="22"/>
              </w:rPr>
              <w:sym w:font="Wingdings" w:char="F0FC"/>
            </w:r>
          </w:p>
        </w:tc>
      </w:tr>
      <w:tr w:rsidR="000B4F1A" w:rsidRPr="00DF1884" w14:paraId="65BEE984" w14:textId="77777777" w:rsidTr="00932F29">
        <w:trPr>
          <w:cantSplit/>
        </w:trPr>
        <w:tc>
          <w:tcPr>
            <w:tcW w:w="2602"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1D73B66" w14:textId="1245F8E1" w:rsidR="000B4F1A" w:rsidRPr="00DF1884" w:rsidRDefault="000B4F1A" w:rsidP="00E9531F">
            <w:pPr>
              <w:pStyle w:val="TableText"/>
              <w:rPr>
                <w:sz w:val="22"/>
                <w:szCs w:val="22"/>
              </w:rPr>
            </w:pPr>
            <w:r w:rsidRPr="00DF1884">
              <w:rPr>
                <w:szCs w:val="20"/>
              </w:rPr>
              <w:t>Vision data</w:t>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90E7366"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0AF7D4F"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A6DE480" w14:textId="1CCE4811"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E930183"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4E3D12C" w14:textId="27F4349C"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2DC7A8C"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70ED316"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EC4D8BF"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0BBE47E" w14:textId="77777777" w:rsidR="000B4F1A" w:rsidRPr="00DF1884" w:rsidRDefault="000B4F1A" w:rsidP="00932F29">
            <w:pPr>
              <w:pStyle w:val="TableText"/>
              <w:jc w:val="center"/>
              <w:rPr>
                <w:sz w:val="22"/>
                <w:szCs w:val="22"/>
                <w:highlight w:val="yellow"/>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33965BA"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C007401"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86F0ABB"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6FB5C89"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A230BAD"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D83BFB1"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25DCCF4"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1B6F16B"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27604D2"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B775D85"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EAE2062"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F323851"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EE67E5B"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38C9CF6" w14:textId="3F8D6849"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46E47A3" w14:textId="77777777" w:rsidR="000B4F1A" w:rsidRPr="00DF1884" w:rsidRDefault="000B4F1A" w:rsidP="00932F29">
            <w:pPr>
              <w:pStyle w:val="TableText"/>
              <w:jc w:val="center"/>
              <w:rPr>
                <w:sz w:val="22"/>
                <w:szCs w:val="22"/>
              </w:rPr>
            </w:pPr>
          </w:p>
        </w:tc>
      </w:tr>
      <w:tr w:rsidR="000B4F1A" w:rsidRPr="00DF1884" w14:paraId="66961853" w14:textId="77777777" w:rsidTr="002B761F">
        <w:trPr>
          <w:cantSplit/>
        </w:trPr>
        <w:tc>
          <w:tcPr>
            <w:tcW w:w="26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8115AB9" w14:textId="6BC6D984" w:rsidR="000B4F1A" w:rsidRPr="00DF1884" w:rsidRDefault="000B4F1A" w:rsidP="00E9531F">
            <w:pPr>
              <w:pStyle w:val="TableText"/>
              <w:rPr>
                <w:sz w:val="22"/>
                <w:szCs w:val="22"/>
              </w:rPr>
            </w:pPr>
            <w:r w:rsidRPr="00DF1884">
              <w:rPr>
                <w:szCs w:val="20"/>
              </w:rPr>
              <w:t>Optional exclusions</w:t>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CD24904"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529C466"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A48082E" w14:textId="5766FDF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329250B"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86E8B94" w14:textId="48ADEB50"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3ED6F74"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15ADB5B"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59E25F9"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F239B39" w14:textId="77777777" w:rsidR="000B4F1A" w:rsidRPr="00DF1884" w:rsidRDefault="000B4F1A" w:rsidP="00932F29">
            <w:pPr>
              <w:pStyle w:val="TableText"/>
              <w:jc w:val="center"/>
              <w:rPr>
                <w:sz w:val="22"/>
                <w:szCs w:val="22"/>
                <w:highlight w:val="yellow"/>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406A469"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DDE2DA8"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F8A53E1"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8C0D461"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7E7F242"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845857F"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E1F49D4"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518D26C"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7626F47"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956E2D3"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1696797"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1B88C4D"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E1EF24D"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1602B0D" w14:textId="5B8A279F"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1604DD2" w14:textId="77777777" w:rsidR="000B4F1A" w:rsidRPr="00DF1884" w:rsidRDefault="000B4F1A" w:rsidP="00932F29">
            <w:pPr>
              <w:pStyle w:val="TableText"/>
              <w:jc w:val="center"/>
              <w:rPr>
                <w:sz w:val="22"/>
                <w:szCs w:val="22"/>
              </w:rPr>
            </w:pPr>
          </w:p>
        </w:tc>
      </w:tr>
      <w:tr w:rsidR="000B4F1A" w:rsidRPr="00DF1884" w14:paraId="66F726B4" w14:textId="77777777" w:rsidTr="00932F29">
        <w:trPr>
          <w:cantSplit/>
        </w:trPr>
        <w:tc>
          <w:tcPr>
            <w:tcW w:w="2602" w:type="dxa"/>
            <w:tcBorders>
              <w:top w:val="single" w:sz="6" w:space="0" w:color="auto"/>
              <w:left w:val="single" w:sz="6" w:space="0" w:color="auto"/>
              <w:bottom w:val="single" w:sz="4" w:space="0" w:color="auto"/>
              <w:right w:val="single" w:sz="6" w:space="0" w:color="auto"/>
            </w:tcBorders>
            <w:shd w:val="clear" w:color="auto" w:fill="FFFFFF" w:themeFill="background1"/>
            <w:tcMar>
              <w:left w:w="43" w:type="dxa"/>
              <w:right w:w="43" w:type="dxa"/>
            </w:tcMar>
            <w:vAlign w:val="center"/>
          </w:tcPr>
          <w:p w14:paraId="27301A59" w14:textId="251E1A97" w:rsidR="000B4F1A" w:rsidRPr="00DF1884" w:rsidRDefault="000B4F1A" w:rsidP="00E9531F">
            <w:pPr>
              <w:pStyle w:val="TableText"/>
              <w:rPr>
                <w:sz w:val="22"/>
                <w:szCs w:val="22"/>
              </w:rPr>
            </w:pPr>
            <w:r w:rsidRPr="00DF1884">
              <w:rPr>
                <w:szCs w:val="20"/>
              </w:rPr>
              <w:t>Required exclusions</w:t>
            </w:r>
          </w:p>
        </w:tc>
        <w:tc>
          <w:tcPr>
            <w:tcW w:w="395" w:type="dxa"/>
            <w:tcBorders>
              <w:top w:val="single" w:sz="6" w:space="0" w:color="auto"/>
              <w:left w:val="single" w:sz="6" w:space="0" w:color="auto"/>
              <w:bottom w:val="single" w:sz="4" w:space="0" w:color="auto"/>
              <w:right w:val="single" w:sz="6" w:space="0" w:color="auto"/>
            </w:tcBorders>
            <w:shd w:val="clear" w:color="auto" w:fill="FFFFFF" w:themeFill="background1"/>
            <w:tcMar>
              <w:left w:w="43" w:type="dxa"/>
              <w:right w:w="43" w:type="dxa"/>
            </w:tcMar>
            <w:vAlign w:val="center"/>
          </w:tcPr>
          <w:p w14:paraId="7B6F8060"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4" w:space="0" w:color="auto"/>
              <w:right w:val="single" w:sz="6" w:space="0" w:color="auto"/>
            </w:tcBorders>
            <w:shd w:val="clear" w:color="auto" w:fill="FFFFFF" w:themeFill="background1"/>
            <w:vAlign w:val="center"/>
          </w:tcPr>
          <w:p w14:paraId="5E2F40AD" w14:textId="6D8DF0BB"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4" w:space="0" w:color="auto"/>
              <w:right w:val="single" w:sz="6" w:space="0" w:color="auto"/>
            </w:tcBorders>
            <w:shd w:val="clear" w:color="auto" w:fill="FFFFFF" w:themeFill="background1"/>
            <w:tcMar>
              <w:left w:w="43" w:type="dxa"/>
              <w:right w:w="43" w:type="dxa"/>
            </w:tcMar>
            <w:vAlign w:val="center"/>
          </w:tcPr>
          <w:p w14:paraId="7F9CDDFB" w14:textId="4E604476"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4" w:space="0" w:color="auto"/>
              <w:right w:val="single" w:sz="6" w:space="0" w:color="auto"/>
            </w:tcBorders>
            <w:shd w:val="clear" w:color="auto" w:fill="FFFFFF" w:themeFill="background1"/>
            <w:vAlign w:val="center"/>
          </w:tcPr>
          <w:p w14:paraId="5C7158D8" w14:textId="2132A591" w:rsidR="000B4F1A" w:rsidRPr="00DF1884" w:rsidRDefault="00FA38C6"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4" w:space="0" w:color="auto"/>
              <w:right w:val="single" w:sz="6" w:space="0" w:color="auto"/>
            </w:tcBorders>
            <w:shd w:val="clear" w:color="auto" w:fill="FFFFFF" w:themeFill="background1"/>
            <w:tcMar>
              <w:left w:w="43" w:type="dxa"/>
              <w:right w:w="43" w:type="dxa"/>
            </w:tcMar>
            <w:vAlign w:val="center"/>
          </w:tcPr>
          <w:p w14:paraId="3FFCD0CF" w14:textId="6C7EEDB0"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4" w:space="0" w:color="auto"/>
              <w:right w:val="single" w:sz="6" w:space="0" w:color="auto"/>
            </w:tcBorders>
            <w:shd w:val="clear" w:color="auto" w:fill="FFFFFF" w:themeFill="background1"/>
            <w:tcMar>
              <w:left w:w="43" w:type="dxa"/>
              <w:right w:w="43" w:type="dxa"/>
            </w:tcMar>
            <w:vAlign w:val="center"/>
          </w:tcPr>
          <w:p w14:paraId="60E35AF5"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4" w:space="0" w:color="auto"/>
              <w:right w:val="single" w:sz="6" w:space="0" w:color="auto"/>
            </w:tcBorders>
            <w:shd w:val="clear" w:color="auto" w:fill="FFFFFF" w:themeFill="background1"/>
            <w:tcMar>
              <w:left w:w="43" w:type="dxa"/>
              <w:right w:w="43" w:type="dxa"/>
            </w:tcMar>
            <w:vAlign w:val="center"/>
          </w:tcPr>
          <w:p w14:paraId="6A204307"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4" w:space="0" w:color="auto"/>
              <w:right w:val="single" w:sz="6" w:space="0" w:color="auto"/>
            </w:tcBorders>
            <w:shd w:val="clear" w:color="auto" w:fill="FFFFFF" w:themeFill="background1"/>
            <w:tcMar>
              <w:left w:w="43" w:type="dxa"/>
              <w:right w:w="43" w:type="dxa"/>
            </w:tcMar>
            <w:vAlign w:val="center"/>
          </w:tcPr>
          <w:p w14:paraId="72B84074"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4" w:space="0" w:color="auto"/>
              <w:right w:val="single" w:sz="6" w:space="0" w:color="auto"/>
            </w:tcBorders>
            <w:shd w:val="clear" w:color="auto" w:fill="FFFFFF" w:themeFill="background1"/>
            <w:tcMar>
              <w:left w:w="43" w:type="dxa"/>
              <w:right w:w="43" w:type="dxa"/>
            </w:tcMar>
            <w:vAlign w:val="center"/>
          </w:tcPr>
          <w:p w14:paraId="218D84F9" w14:textId="77777777" w:rsidR="000B4F1A" w:rsidRPr="00DF1884" w:rsidRDefault="000B4F1A" w:rsidP="00932F29">
            <w:pPr>
              <w:pStyle w:val="TableText"/>
              <w:jc w:val="center"/>
              <w:rPr>
                <w:sz w:val="22"/>
                <w:szCs w:val="22"/>
                <w:highlight w:val="yellow"/>
              </w:rPr>
            </w:pPr>
          </w:p>
        </w:tc>
        <w:tc>
          <w:tcPr>
            <w:tcW w:w="395" w:type="dxa"/>
            <w:tcBorders>
              <w:top w:val="single" w:sz="6" w:space="0" w:color="auto"/>
              <w:left w:val="single" w:sz="6" w:space="0" w:color="auto"/>
              <w:bottom w:val="single" w:sz="4" w:space="0" w:color="auto"/>
              <w:right w:val="single" w:sz="6" w:space="0" w:color="auto"/>
            </w:tcBorders>
            <w:shd w:val="clear" w:color="auto" w:fill="FFFFFF" w:themeFill="background1"/>
            <w:tcMar>
              <w:left w:w="43" w:type="dxa"/>
              <w:right w:w="43" w:type="dxa"/>
            </w:tcMar>
            <w:vAlign w:val="center"/>
          </w:tcPr>
          <w:p w14:paraId="4D330E69"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4" w:space="0" w:color="auto"/>
              <w:right w:val="single" w:sz="6" w:space="0" w:color="auto"/>
            </w:tcBorders>
            <w:shd w:val="clear" w:color="auto" w:fill="FFFFFF" w:themeFill="background1"/>
            <w:tcMar>
              <w:left w:w="43" w:type="dxa"/>
              <w:right w:w="43" w:type="dxa"/>
            </w:tcMar>
            <w:vAlign w:val="center"/>
          </w:tcPr>
          <w:p w14:paraId="3ABCB6B3"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4" w:space="0" w:color="auto"/>
              <w:right w:val="single" w:sz="6" w:space="0" w:color="auto"/>
            </w:tcBorders>
            <w:shd w:val="clear" w:color="auto" w:fill="FFFFFF" w:themeFill="background1"/>
            <w:tcMar>
              <w:left w:w="43" w:type="dxa"/>
              <w:right w:w="43" w:type="dxa"/>
            </w:tcMar>
            <w:vAlign w:val="center"/>
          </w:tcPr>
          <w:p w14:paraId="74B9C1B9"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4" w:space="0" w:color="auto"/>
              <w:right w:val="single" w:sz="6" w:space="0" w:color="auto"/>
            </w:tcBorders>
            <w:shd w:val="clear" w:color="auto" w:fill="FFFFFF" w:themeFill="background1"/>
            <w:tcMar>
              <w:left w:w="43" w:type="dxa"/>
              <w:right w:w="43" w:type="dxa"/>
            </w:tcMar>
            <w:vAlign w:val="center"/>
          </w:tcPr>
          <w:p w14:paraId="1549C81A"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4" w:space="0" w:color="auto"/>
              <w:right w:val="single" w:sz="6" w:space="0" w:color="auto"/>
            </w:tcBorders>
            <w:shd w:val="clear" w:color="auto" w:fill="FFFFFF" w:themeFill="background1"/>
            <w:tcMar>
              <w:left w:w="43" w:type="dxa"/>
              <w:right w:w="43" w:type="dxa"/>
            </w:tcMar>
            <w:vAlign w:val="center"/>
          </w:tcPr>
          <w:p w14:paraId="4EE76933"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4" w:space="0" w:color="auto"/>
              <w:right w:val="single" w:sz="6" w:space="0" w:color="auto"/>
            </w:tcBorders>
            <w:shd w:val="clear" w:color="auto" w:fill="FFFFFF" w:themeFill="background1"/>
            <w:tcMar>
              <w:left w:w="43" w:type="dxa"/>
              <w:right w:w="43" w:type="dxa"/>
            </w:tcMar>
            <w:vAlign w:val="center"/>
          </w:tcPr>
          <w:p w14:paraId="1EBB9CED"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4" w:space="0" w:color="auto"/>
              <w:right w:val="single" w:sz="6" w:space="0" w:color="auto"/>
            </w:tcBorders>
            <w:shd w:val="clear" w:color="auto" w:fill="FFFFFF" w:themeFill="background1"/>
            <w:tcMar>
              <w:left w:w="43" w:type="dxa"/>
              <w:right w:w="43" w:type="dxa"/>
            </w:tcMar>
            <w:vAlign w:val="center"/>
          </w:tcPr>
          <w:p w14:paraId="1E7FE9F2"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4" w:space="0" w:color="auto"/>
              <w:right w:val="single" w:sz="6" w:space="0" w:color="auto"/>
            </w:tcBorders>
            <w:shd w:val="clear" w:color="auto" w:fill="FFFFFF" w:themeFill="background1"/>
            <w:vAlign w:val="center"/>
          </w:tcPr>
          <w:p w14:paraId="71991E30" w14:textId="71D8CC00"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4" w:space="0" w:color="auto"/>
              <w:right w:val="single" w:sz="6" w:space="0" w:color="auto"/>
            </w:tcBorders>
            <w:shd w:val="clear" w:color="auto" w:fill="FFFFFF" w:themeFill="background1"/>
            <w:vAlign w:val="center"/>
          </w:tcPr>
          <w:p w14:paraId="561923CF" w14:textId="3EBDE7FF"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4" w:space="0" w:color="auto"/>
              <w:right w:val="single" w:sz="6" w:space="0" w:color="auto"/>
            </w:tcBorders>
            <w:shd w:val="clear" w:color="auto" w:fill="FFFFFF" w:themeFill="background1"/>
            <w:vAlign w:val="center"/>
          </w:tcPr>
          <w:p w14:paraId="36D63ABF"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4" w:space="0" w:color="auto"/>
              <w:right w:val="single" w:sz="6" w:space="0" w:color="auto"/>
            </w:tcBorders>
            <w:shd w:val="clear" w:color="auto" w:fill="FFFFFF" w:themeFill="background1"/>
            <w:vAlign w:val="center"/>
          </w:tcPr>
          <w:p w14:paraId="40B7520D"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4" w:space="0" w:color="auto"/>
              <w:right w:val="single" w:sz="6" w:space="0" w:color="auto"/>
            </w:tcBorders>
            <w:shd w:val="clear" w:color="auto" w:fill="FFFFFF" w:themeFill="background1"/>
            <w:vAlign w:val="center"/>
          </w:tcPr>
          <w:p w14:paraId="4B8967F0" w14:textId="6F960BCE"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4" w:space="0" w:color="auto"/>
              <w:right w:val="single" w:sz="6" w:space="0" w:color="auto"/>
            </w:tcBorders>
            <w:shd w:val="clear" w:color="auto" w:fill="FFFFFF" w:themeFill="background1"/>
            <w:vAlign w:val="center"/>
          </w:tcPr>
          <w:p w14:paraId="5F343049"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4" w:space="0" w:color="auto"/>
              <w:right w:val="single" w:sz="6" w:space="0" w:color="auto"/>
            </w:tcBorders>
            <w:shd w:val="clear" w:color="auto" w:fill="FFFFFF" w:themeFill="background1"/>
            <w:vAlign w:val="center"/>
          </w:tcPr>
          <w:p w14:paraId="2C3EA515" w14:textId="64425142"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4" w:space="0" w:color="auto"/>
              <w:right w:val="single" w:sz="6" w:space="0" w:color="auto"/>
            </w:tcBorders>
            <w:shd w:val="clear" w:color="auto" w:fill="FFFFFF" w:themeFill="background1"/>
            <w:tcMar>
              <w:left w:w="43" w:type="dxa"/>
              <w:right w:w="43" w:type="dxa"/>
            </w:tcMar>
            <w:vAlign w:val="center"/>
          </w:tcPr>
          <w:p w14:paraId="7A4FEAFF" w14:textId="77777777" w:rsidR="000B4F1A" w:rsidRPr="00DF1884" w:rsidRDefault="000B4F1A" w:rsidP="00932F29">
            <w:pPr>
              <w:pStyle w:val="TableText"/>
              <w:jc w:val="center"/>
              <w:rPr>
                <w:sz w:val="22"/>
                <w:szCs w:val="22"/>
              </w:rPr>
            </w:pPr>
          </w:p>
        </w:tc>
      </w:tr>
    </w:tbl>
    <w:p w14:paraId="1761F98E" w14:textId="77777777" w:rsidR="000B204C" w:rsidRPr="000B204C" w:rsidRDefault="000B204C" w:rsidP="000B204C">
      <w:pPr>
        <w:pStyle w:val="TableText"/>
      </w:pPr>
      <w:r>
        <w:rPr>
          <w:vertAlign w:val="superscript"/>
        </w:rPr>
        <w:t>1</w:t>
      </w:r>
      <w:r>
        <w:t>For the required measures list, r</w:t>
      </w:r>
      <w:r w:rsidRPr="00DF1884">
        <w:t xml:space="preserve">efer to the </w:t>
      </w:r>
      <w:r>
        <w:t xml:space="preserve">annual CMS </w:t>
      </w:r>
      <w:r w:rsidRPr="00DF1884">
        <w:t>Reporting Requirements</w:t>
      </w:r>
      <w:r>
        <w:t xml:space="preserve"> memo.</w:t>
      </w:r>
    </w:p>
    <w:p w14:paraId="3294C126" w14:textId="6F2A9A83" w:rsidR="009604F5" w:rsidRPr="000B204C" w:rsidRDefault="000B204C" w:rsidP="009604F5">
      <w:pPr>
        <w:pStyle w:val="TableText"/>
        <w:spacing w:before="120"/>
        <w:rPr>
          <w:vertAlign w:val="superscript"/>
        </w:rPr>
      </w:pPr>
      <w:r>
        <w:rPr>
          <w:vertAlign w:val="superscript"/>
        </w:rPr>
        <w:t>2</w:t>
      </w:r>
      <w:r w:rsidR="009604F5" w:rsidRPr="00DF1884">
        <w:t>The</w:t>
      </w:r>
      <w:r w:rsidR="00DF1884" w:rsidRPr="00DF1884">
        <w:t xml:space="preserve"> </w:t>
      </w:r>
      <w:r w:rsidR="009604F5" w:rsidRPr="00DF1884">
        <w:t>HbA1c</w:t>
      </w:r>
      <w:r w:rsidR="00DF1884" w:rsidRPr="00DF1884">
        <w:t xml:space="preserve"> </w:t>
      </w:r>
      <w:r w:rsidR="009604F5" w:rsidRPr="00DF1884">
        <w:t>control</w:t>
      </w:r>
      <w:r w:rsidR="00DF1884" w:rsidRPr="00DF1884">
        <w:t xml:space="preserve"> </w:t>
      </w:r>
      <w:r w:rsidR="009604F5" w:rsidRPr="00DF1884">
        <w:t>(&lt;7.0%)</w:t>
      </w:r>
      <w:r w:rsidR="00DF1884" w:rsidRPr="00DF1884">
        <w:t xml:space="preserve"> </w:t>
      </w:r>
      <w:r w:rsidR="009604F5" w:rsidRPr="00DF1884">
        <w:t>for</w:t>
      </w:r>
      <w:r w:rsidR="00DF1884" w:rsidRPr="00DF1884">
        <w:t xml:space="preserve"> </w:t>
      </w:r>
      <w:r w:rsidR="009604F5" w:rsidRPr="00DF1884">
        <w:t>a</w:t>
      </w:r>
      <w:r w:rsidR="00DF1884" w:rsidRPr="00DF1884">
        <w:t xml:space="preserve"> </w:t>
      </w:r>
      <w:r w:rsidR="009604F5" w:rsidRPr="00DF1884">
        <w:t>selected</w:t>
      </w:r>
      <w:r w:rsidR="00DF1884" w:rsidRPr="00DF1884">
        <w:t xml:space="preserve"> </w:t>
      </w:r>
      <w:r w:rsidR="009604F5" w:rsidRPr="00DF1884">
        <w:t>population</w:t>
      </w:r>
      <w:r w:rsidR="00DF1884" w:rsidRPr="00DF1884">
        <w:t xml:space="preserve"> </w:t>
      </w:r>
      <w:r w:rsidR="009604F5" w:rsidRPr="00DF1884">
        <w:t>indicator</w:t>
      </w:r>
      <w:r w:rsidR="00DF1884" w:rsidRPr="00DF1884">
        <w:t xml:space="preserve"> </w:t>
      </w:r>
      <w:r w:rsidR="009604F5" w:rsidRPr="00DF1884">
        <w:t>is</w:t>
      </w:r>
      <w:r w:rsidR="00DF1884" w:rsidRPr="00DF1884">
        <w:t xml:space="preserve"> </w:t>
      </w:r>
      <w:r w:rsidR="009604F5" w:rsidRPr="00DF1884">
        <w:t>only</w:t>
      </w:r>
      <w:r w:rsidR="00DF1884" w:rsidRPr="00DF1884">
        <w:t xml:space="preserve"> </w:t>
      </w:r>
      <w:r w:rsidR="009604F5" w:rsidRPr="00DF1884">
        <w:t>reported</w:t>
      </w:r>
      <w:r w:rsidR="00DF1884" w:rsidRPr="00DF1884">
        <w:t xml:space="preserve"> </w:t>
      </w:r>
      <w:r w:rsidR="009604F5" w:rsidRPr="00DF1884">
        <w:t>for</w:t>
      </w:r>
      <w:r w:rsidR="00DF1884" w:rsidRPr="00DF1884">
        <w:t xml:space="preserve"> </w:t>
      </w:r>
      <w:r w:rsidR="009604F5" w:rsidRPr="00DF1884">
        <w:t>the</w:t>
      </w:r>
      <w:r w:rsidR="00DF1884" w:rsidRPr="00DF1884">
        <w:t xml:space="preserve"> </w:t>
      </w:r>
      <w:r w:rsidR="009604F5" w:rsidRPr="00DF1884">
        <w:t>commercial</w:t>
      </w:r>
      <w:r w:rsidR="00DF1884" w:rsidRPr="00DF1884">
        <w:t xml:space="preserve"> </w:t>
      </w:r>
      <w:r w:rsidR="009604F5" w:rsidRPr="00DF1884">
        <w:t>and</w:t>
      </w:r>
      <w:r w:rsidR="00DF1884" w:rsidRPr="00DF1884">
        <w:t xml:space="preserve"> </w:t>
      </w:r>
      <w:r w:rsidR="009604F5" w:rsidRPr="00DF1884">
        <w:t>Medicaid</w:t>
      </w:r>
      <w:r w:rsidR="00DF1884" w:rsidRPr="00DF1884">
        <w:t xml:space="preserve"> </w:t>
      </w:r>
      <w:r w:rsidR="009604F5" w:rsidRPr="00DF1884">
        <w:t>product</w:t>
      </w:r>
      <w:r w:rsidR="00DF1884" w:rsidRPr="00DF1884">
        <w:t xml:space="preserve"> </w:t>
      </w:r>
      <w:r w:rsidR="009604F5" w:rsidRPr="00DF1884">
        <w:t>lines.</w:t>
      </w:r>
    </w:p>
    <w:p w14:paraId="15A8F022" w14:textId="77777777" w:rsidR="009604F5" w:rsidRPr="00DF1884" w:rsidRDefault="009604F5" w:rsidP="00DF1884">
      <w:pPr>
        <w:pStyle w:val="MarginSubhead"/>
        <w:spacing w:before="1680"/>
        <w:ind w:left="0"/>
        <w:rPr>
          <w:b w:val="0"/>
          <w:sz w:val="18"/>
          <w:szCs w:val="18"/>
        </w:rPr>
      </w:pPr>
      <w:r w:rsidRPr="00DF1884">
        <w:rPr>
          <w:b w:val="0"/>
          <w:sz w:val="18"/>
          <w:szCs w:val="18"/>
        </w:rPr>
        <w:t>_____________</w:t>
      </w:r>
    </w:p>
    <w:p w14:paraId="0D111010" w14:textId="4582EA5A" w:rsidR="009604F5" w:rsidRPr="00DF1884" w:rsidRDefault="009604F5" w:rsidP="009604F5">
      <w:pPr>
        <w:pStyle w:val="MarginSubhead"/>
        <w:spacing w:before="60"/>
        <w:ind w:left="0"/>
        <w:rPr>
          <w:b w:val="0"/>
          <w:sz w:val="18"/>
          <w:szCs w:val="18"/>
        </w:rPr>
      </w:pPr>
      <w:r w:rsidRPr="00DF1884">
        <w:rPr>
          <w:b w:val="0"/>
          <w:sz w:val="18"/>
          <w:szCs w:val="18"/>
        </w:rPr>
        <w:t>Current</w:t>
      </w:r>
      <w:r w:rsidR="00DF1884" w:rsidRPr="00DF1884">
        <w:rPr>
          <w:b w:val="0"/>
          <w:sz w:val="18"/>
          <w:szCs w:val="18"/>
        </w:rPr>
        <w:t xml:space="preserve"> </w:t>
      </w:r>
      <w:r w:rsidRPr="00DF1884">
        <w:rPr>
          <w:b w:val="0"/>
          <w:sz w:val="18"/>
          <w:szCs w:val="18"/>
        </w:rPr>
        <w:t>Procedural</w:t>
      </w:r>
      <w:r w:rsidR="00DF1884" w:rsidRPr="00DF1884">
        <w:rPr>
          <w:b w:val="0"/>
          <w:sz w:val="18"/>
          <w:szCs w:val="18"/>
        </w:rPr>
        <w:t xml:space="preserve"> </w:t>
      </w:r>
      <w:r w:rsidRPr="00DF1884">
        <w:rPr>
          <w:b w:val="0"/>
          <w:sz w:val="18"/>
          <w:szCs w:val="18"/>
        </w:rPr>
        <w:t>Terminology</w:t>
      </w:r>
      <w:r w:rsidR="00DF1884" w:rsidRPr="00DF1884">
        <w:rPr>
          <w:b w:val="0"/>
          <w:sz w:val="18"/>
          <w:szCs w:val="18"/>
        </w:rPr>
        <w:t xml:space="preserve"> </w:t>
      </w:r>
      <w:r w:rsidRPr="00DF1884">
        <w:rPr>
          <w:b w:val="0"/>
          <w:sz w:val="18"/>
          <w:szCs w:val="18"/>
        </w:rPr>
        <w:t>©</w:t>
      </w:r>
      <w:r w:rsidR="00DF1884" w:rsidRPr="00DF1884">
        <w:rPr>
          <w:b w:val="0"/>
          <w:sz w:val="18"/>
          <w:szCs w:val="18"/>
        </w:rPr>
        <w:t xml:space="preserve"> </w:t>
      </w:r>
      <w:r w:rsidRPr="00DF1884">
        <w:rPr>
          <w:b w:val="0"/>
          <w:sz w:val="18"/>
          <w:szCs w:val="18"/>
        </w:rPr>
        <w:t>201</w:t>
      </w:r>
      <w:r w:rsidR="00601723" w:rsidRPr="00DF1884">
        <w:rPr>
          <w:b w:val="0"/>
          <w:sz w:val="18"/>
          <w:szCs w:val="18"/>
        </w:rPr>
        <w:t>5</w:t>
      </w:r>
      <w:r w:rsidR="00DF1884" w:rsidRPr="00DF1884">
        <w:rPr>
          <w:b w:val="0"/>
          <w:sz w:val="18"/>
          <w:szCs w:val="18"/>
        </w:rPr>
        <w:t xml:space="preserve"> </w:t>
      </w:r>
      <w:r w:rsidRPr="00DF1884">
        <w:rPr>
          <w:b w:val="0"/>
          <w:sz w:val="18"/>
          <w:szCs w:val="18"/>
        </w:rPr>
        <w:t>American</w:t>
      </w:r>
      <w:r w:rsidR="00DF1884" w:rsidRPr="00DF1884">
        <w:rPr>
          <w:b w:val="0"/>
          <w:sz w:val="18"/>
          <w:szCs w:val="18"/>
        </w:rPr>
        <w:t xml:space="preserve"> </w:t>
      </w:r>
      <w:r w:rsidRPr="00DF1884">
        <w:rPr>
          <w:b w:val="0"/>
          <w:sz w:val="18"/>
          <w:szCs w:val="18"/>
        </w:rPr>
        <w:t>Medical</w:t>
      </w:r>
      <w:r w:rsidR="00DF1884" w:rsidRPr="00DF1884">
        <w:rPr>
          <w:b w:val="0"/>
          <w:sz w:val="18"/>
          <w:szCs w:val="18"/>
        </w:rPr>
        <w:t xml:space="preserve"> </w:t>
      </w:r>
      <w:r w:rsidRPr="00DF1884">
        <w:rPr>
          <w:b w:val="0"/>
          <w:sz w:val="18"/>
          <w:szCs w:val="18"/>
        </w:rPr>
        <w:t>Association.</w:t>
      </w:r>
      <w:r w:rsidR="00DF1884" w:rsidRPr="00DF1884">
        <w:rPr>
          <w:b w:val="0"/>
          <w:sz w:val="18"/>
          <w:szCs w:val="18"/>
        </w:rPr>
        <w:t xml:space="preserve"> </w:t>
      </w:r>
      <w:r w:rsidRPr="00DF1884">
        <w:rPr>
          <w:b w:val="0"/>
          <w:sz w:val="18"/>
          <w:szCs w:val="18"/>
        </w:rPr>
        <w:t>All</w:t>
      </w:r>
      <w:r w:rsidR="00DF1884" w:rsidRPr="00DF1884">
        <w:rPr>
          <w:b w:val="0"/>
          <w:sz w:val="18"/>
          <w:szCs w:val="18"/>
        </w:rPr>
        <w:t xml:space="preserve"> </w:t>
      </w:r>
      <w:r w:rsidRPr="00DF1884">
        <w:rPr>
          <w:b w:val="0"/>
          <w:sz w:val="18"/>
          <w:szCs w:val="18"/>
        </w:rPr>
        <w:t>rights</w:t>
      </w:r>
      <w:r w:rsidR="00DF1884" w:rsidRPr="00DF1884">
        <w:rPr>
          <w:b w:val="0"/>
          <w:sz w:val="18"/>
          <w:szCs w:val="18"/>
        </w:rPr>
        <w:t xml:space="preserve"> </w:t>
      </w:r>
      <w:r w:rsidRPr="00DF1884">
        <w:rPr>
          <w:b w:val="0"/>
          <w:sz w:val="18"/>
          <w:szCs w:val="18"/>
        </w:rPr>
        <w:t>reserved.</w:t>
      </w:r>
    </w:p>
    <w:p w14:paraId="62A1E2C5" w14:textId="77777777" w:rsidR="009604F5" w:rsidRPr="00DF1884" w:rsidRDefault="009604F5" w:rsidP="009604F5">
      <w:pPr>
        <w:pStyle w:val="TableText"/>
        <w:spacing w:before="120" w:after="0"/>
        <w:sectPr w:rsidR="009604F5" w:rsidRPr="00DF1884" w:rsidSect="00DF1884">
          <w:headerReference w:type="default" r:id="rId140"/>
          <w:pgSz w:w="15840" w:h="12240" w:orient="landscape" w:code="1"/>
          <w:pgMar w:top="1440" w:right="1080" w:bottom="1080" w:left="1080" w:header="720" w:footer="720" w:gutter="0"/>
          <w:cols w:space="720"/>
          <w:docGrid w:linePitch="272"/>
        </w:sectPr>
      </w:pPr>
    </w:p>
    <w:tbl>
      <w:tblPr>
        <w:tblW w:w="12134" w:type="dxa"/>
        <w:tblLayout w:type="fixed"/>
        <w:tblLook w:val="0000" w:firstRow="0" w:lastRow="0" w:firstColumn="0" w:lastColumn="0" w:noHBand="0" w:noVBand="0"/>
      </w:tblPr>
      <w:tblGrid>
        <w:gridCol w:w="2602"/>
        <w:gridCol w:w="395"/>
        <w:gridCol w:w="395"/>
        <w:gridCol w:w="395"/>
        <w:gridCol w:w="395"/>
        <w:gridCol w:w="395"/>
        <w:gridCol w:w="395"/>
        <w:gridCol w:w="395"/>
        <w:gridCol w:w="395"/>
        <w:gridCol w:w="395"/>
        <w:gridCol w:w="395"/>
        <w:gridCol w:w="395"/>
        <w:gridCol w:w="395"/>
        <w:gridCol w:w="395"/>
        <w:gridCol w:w="395"/>
        <w:gridCol w:w="395"/>
        <w:gridCol w:w="395"/>
        <w:gridCol w:w="395"/>
        <w:gridCol w:w="395"/>
        <w:gridCol w:w="395"/>
        <w:gridCol w:w="395"/>
        <w:gridCol w:w="395"/>
        <w:gridCol w:w="395"/>
        <w:gridCol w:w="395"/>
        <w:gridCol w:w="447"/>
      </w:tblGrid>
      <w:tr w:rsidR="003E4000" w:rsidRPr="00DF1884" w14:paraId="673FA738" w14:textId="77777777" w:rsidTr="003E4000">
        <w:trPr>
          <w:cantSplit/>
        </w:trPr>
        <w:tc>
          <w:tcPr>
            <w:tcW w:w="12134" w:type="dxa"/>
            <w:gridSpan w:val="25"/>
            <w:tcBorders>
              <w:top w:val="single" w:sz="6" w:space="0" w:color="FFFFFF" w:themeColor="background1"/>
              <w:left w:val="single" w:sz="6" w:space="0" w:color="auto"/>
              <w:bottom w:val="single" w:sz="4" w:space="0" w:color="FFFFFF" w:themeColor="background1"/>
              <w:right w:val="single" w:sz="4" w:space="0" w:color="auto"/>
            </w:tcBorders>
            <w:shd w:val="clear" w:color="auto" w:fill="000000"/>
            <w:tcMar>
              <w:left w:w="43" w:type="dxa"/>
              <w:right w:w="43" w:type="dxa"/>
            </w:tcMar>
            <w:vAlign w:val="bottom"/>
          </w:tcPr>
          <w:p w14:paraId="43AD37BA" w14:textId="076F023E" w:rsidR="003E4000" w:rsidRPr="00DF1884" w:rsidRDefault="003E4000" w:rsidP="003E4000">
            <w:pPr>
              <w:pStyle w:val="TableHead"/>
              <w:rPr>
                <w:rFonts w:ascii="Arial Narrow Bold"/>
              </w:rPr>
            </w:pPr>
            <w:r w:rsidRPr="00DF1884">
              <w:t>EFFECTIVENESS OF CARE MEASURES</w:t>
            </w:r>
          </w:p>
        </w:tc>
      </w:tr>
      <w:tr w:rsidR="000B4F1A" w:rsidRPr="00DF1884" w14:paraId="55C8E71C" w14:textId="77777777" w:rsidTr="003E4000">
        <w:trPr>
          <w:cantSplit/>
          <w:trHeight w:val="576"/>
        </w:trPr>
        <w:tc>
          <w:tcPr>
            <w:tcW w:w="2602" w:type="dxa"/>
            <w:tcBorders>
              <w:top w:val="single" w:sz="4" w:space="0" w:color="FFFFFF" w:themeColor="background1"/>
              <w:left w:val="single" w:sz="6" w:space="0" w:color="auto"/>
              <w:bottom w:val="single" w:sz="6" w:space="0" w:color="auto"/>
              <w:right w:val="single" w:sz="6" w:space="0" w:color="FFFFFF"/>
            </w:tcBorders>
            <w:shd w:val="clear" w:color="auto" w:fill="000000"/>
            <w:tcMar>
              <w:left w:w="43" w:type="dxa"/>
              <w:right w:w="43" w:type="dxa"/>
            </w:tcMar>
            <w:vAlign w:val="bottom"/>
          </w:tcPr>
          <w:p w14:paraId="48FD18C0" w14:textId="20F90D4B" w:rsidR="000B4F1A" w:rsidRPr="00DF1884" w:rsidRDefault="000B4F1A" w:rsidP="00E9531F">
            <w:pPr>
              <w:pStyle w:val="TableHead"/>
              <w:ind w:left="29" w:right="113"/>
              <w:rPr>
                <w:color w:val="auto"/>
              </w:rPr>
            </w:pPr>
            <w:r w:rsidRPr="00DF1884">
              <w:rPr>
                <w:color w:val="auto"/>
              </w:rPr>
              <w:br w:type="page"/>
              <w:t>Logical Group</w:t>
            </w:r>
          </w:p>
        </w:tc>
        <w:tc>
          <w:tcPr>
            <w:tcW w:w="395" w:type="dxa"/>
            <w:tcBorders>
              <w:top w:val="single" w:sz="4"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30AB5D6F" w14:textId="74C797BA" w:rsidR="000B4F1A" w:rsidRPr="00DF1884" w:rsidRDefault="000B4F1A" w:rsidP="00E9531F">
            <w:pPr>
              <w:pStyle w:val="TableHead"/>
              <w:ind w:left="29" w:right="113"/>
              <w:jc w:val="left"/>
              <w:rPr>
                <w:color w:val="auto"/>
              </w:rPr>
            </w:pPr>
            <w:r w:rsidRPr="00DF1884">
              <w:rPr>
                <w:rFonts w:ascii="Arial Narrow Bold"/>
                <w:color w:val="auto"/>
              </w:rPr>
              <w:t>PBH</w:t>
            </w:r>
          </w:p>
        </w:tc>
        <w:tc>
          <w:tcPr>
            <w:tcW w:w="395" w:type="dxa"/>
            <w:tcBorders>
              <w:top w:val="single" w:sz="4" w:space="0" w:color="FFFFFF" w:themeColor="background1"/>
              <w:left w:val="single" w:sz="6" w:space="0" w:color="FFFFFF"/>
              <w:bottom w:val="single" w:sz="6" w:space="0" w:color="auto"/>
              <w:right w:val="single" w:sz="6" w:space="0" w:color="FFFFFF"/>
            </w:tcBorders>
            <w:shd w:val="clear" w:color="auto" w:fill="000000"/>
            <w:textDirection w:val="btLr"/>
          </w:tcPr>
          <w:p w14:paraId="4B35B3D3" w14:textId="07CCDF33" w:rsidR="000B4F1A" w:rsidRPr="00DF1884" w:rsidRDefault="000B4F1A" w:rsidP="00E9531F">
            <w:pPr>
              <w:pStyle w:val="TableHead"/>
              <w:ind w:left="29" w:right="113"/>
              <w:jc w:val="left"/>
              <w:rPr>
                <w:rFonts w:ascii="Arial Narrow Bold"/>
                <w:color w:val="auto"/>
              </w:rPr>
            </w:pPr>
            <w:r w:rsidRPr="00DF1884">
              <w:rPr>
                <w:rFonts w:ascii="Arial Narrow Bold"/>
                <w:color w:val="auto"/>
              </w:rPr>
              <w:t>SPC</w:t>
            </w:r>
          </w:p>
        </w:tc>
        <w:tc>
          <w:tcPr>
            <w:tcW w:w="395" w:type="dxa"/>
            <w:tcBorders>
              <w:top w:val="single" w:sz="4"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392C4371" w14:textId="4D2CD008" w:rsidR="000B4F1A" w:rsidRPr="00DF1884" w:rsidRDefault="000B4F1A" w:rsidP="00E9531F">
            <w:pPr>
              <w:pStyle w:val="TableHead"/>
              <w:ind w:left="29" w:right="113"/>
              <w:jc w:val="left"/>
              <w:rPr>
                <w:color w:val="auto"/>
              </w:rPr>
            </w:pPr>
            <w:r w:rsidRPr="00DF1884">
              <w:rPr>
                <w:rFonts w:ascii="Arial Narrow Bold"/>
                <w:color w:val="auto"/>
              </w:rPr>
              <w:t>CDC</w:t>
            </w:r>
          </w:p>
        </w:tc>
        <w:tc>
          <w:tcPr>
            <w:tcW w:w="395" w:type="dxa"/>
            <w:tcBorders>
              <w:top w:val="single" w:sz="4" w:space="0" w:color="FFFFFF" w:themeColor="background1"/>
              <w:left w:val="single" w:sz="6" w:space="0" w:color="FFFFFF"/>
              <w:bottom w:val="single" w:sz="6" w:space="0" w:color="auto"/>
              <w:right w:val="single" w:sz="6" w:space="0" w:color="FFFFFF"/>
            </w:tcBorders>
            <w:shd w:val="clear" w:color="auto" w:fill="000000"/>
            <w:textDirection w:val="btLr"/>
          </w:tcPr>
          <w:p w14:paraId="4A74FF45" w14:textId="1E506E9C" w:rsidR="000B4F1A" w:rsidRPr="00DF1884" w:rsidRDefault="000B4F1A" w:rsidP="00E9531F">
            <w:pPr>
              <w:pStyle w:val="TableHead"/>
              <w:ind w:left="29" w:right="113"/>
              <w:jc w:val="left"/>
              <w:rPr>
                <w:rFonts w:ascii="Arial Narrow Bold"/>
                <w:color w:val="auto"/>
              </w:rPr>
            </w:pPr>
            <w:r w:rsidRPr="00DF1884">
              <w:rPr>
                <w:rFonts w:ascii="Arial Narrow Bold"/>
                <w:color w:val="auto"/>
              </w:rPr>
              <w:t>SPD</w:t>
            </w:r>
          </w:p>
        </w:tc>
        <w:tc>
          <w:tcPr>
            <w:tcW w:w="395" w:type="dxa"/>
            <w:tcBorders>
              <w:top w:val="single" w:sz="4"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722410E7" w14:textId="444FF4F4" w:rsidR="000B4F1A" w:rsidRPr="00DF1884" w:rsidRDefault="000B4F1A" w:rsidP="00E9531F">
            <w:pPr>
              <w:pStyle w:val="TableHead"/>
              <w:ind w:left="29" w:right="113"/>
              <w:jc w:val="left"/>
              <w:rPr>
                <w:color w:val="auto"/>
              </w:rPr>
            </w:pPr>
            <w:r w:rsidRPr="00DF1884">
              <w:rPr>
                <w:rFonts w:ascii="Arial Narrow Bold"/>
                <w:color w:val="auto"/>
              </w:rPr>
              <w:t>ART</w:t>
            </w:r>
          </w:p>
        </w:tc>
        <w:tc>
          <w:tcPr>
            <w:tcW w:w="395" w:type="dxa"/>
            <w:tcBorders>
              <w:top w:val="single" w:sz="4"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6CA9595D" w14:textId="77777777" w:rsidR="000B4F1A" w:rsidRPr="00DF1884" w:rsidRDefault="000B4F1A" w:rsidP="00E9531F">
            <w:pPr>
              <w:pStyle w:val="TableHead"/>
              <w:ind w:left="29" w:right="113"/>
              <w:jc w:val="left"/>
              <w:rPr>
                <w:color w:val="auto"/>
              </w:rPr>
            </w:pPr>
            <w:r w:rsidRPr="00DF1884">
              <w:rPr>
                <w:rFonts w:ascii="Arial Narrow Bold"/>
                <w:color w:val="auto"/>
              </w:rPr>
              <w:t>OMW</w:t>
            </w:r>
          </w:p>
        </w:tc>
        <w:tc>
          <w:tcPr>
            <w:tcW w:w="395" w:type="dxa"/>
            <w:tcBorders>
              <w:top w:val="single" w:sz="4"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2F1F1251" w14:textId="77777777" w:rsidR="000B4F1A" w:rsidRPr="00DF1884" w:rsidRDefault="000B4F1A" w:rsidP="00E9531F">
            <w:pPr>
              <w:pStyle w:val="TableHead"/>
              <w:ind w:left="29" w:right="113"/>
              <w:jc w:val="left"/>
              <w:rPr>
                <w:color w:val="auto"/>
              </w:rPr>
            </w:pPr>
            <w:r w:rsidRPr="00DF1884">
              <w:rPr>
                <w:rFonts w:ascii="Arial Narrow Bold"/>
                <w:color w:val="auto"/>
              </w:rPr>
              <w:t>AMM</w:t>
            </w:r>
          </w:p>
        </w:tc>
        <w:tc>
          <w:tcPr>
            <w:tcW w:w="395" w:type="dxa"/>
            <w:tcBorders>
              <w:top w:val="single" w:sz="4"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560E85B1" w14:textId="77777777" w:rsidR="000B4F1A" w:rsidRPr="00DF1884" w:rsidRDefault="000B4F1A" w:rsidP="00E9531F">
            <w:pPr>
              <w:pStyle w:val="TableHead"/>
              <w:ind w:left="29" w:right="113"/>
              <w:jc w:val="left"/>
              <w:rPr>
                <w:color w:val="auto"/>
              </w:rPr>
            </w:pPr>
            <w:r w:rsidRPr="00DF1884">
              <w:rPr>
                <w:rFonts w:ascii="Arial Narrow Bold"/>
                <w:color w:val="auto"/>
              </w:rPr>
              <w:t>ADD</w:t>
            </w:r>
          </w:p>
        </w:tc>
        <w:tc>
          <w:tcPr>
            <w:tcW w:w="395" w:type="dxa"/>
            <w:tcBorders>
              <w:top w:val="single" w:sz="4"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062BB018" w14:textId="77777777" w:rsidR="000B4F1A" w:rsidRPr="00DF1884" w:rsidRDefault="000B4F1A" w:rsidP="00E9531F">
            <w:pPr>
              <w:pStyle w:val="TableHead"/>
              <w:ind w:left="29" w:right="113"/>
              <w:jc w:val="left"/>
              <w:rPr>
                <w:color w:val="auto"/>
              </w:rPr>
            </w:pPr>
            <w:r w:rsidRPr="00DF1884">
              <w:rPr>
                <w:rFonts w:ascii="Arial Narrow Bold"/>
                <w:color w:val="auto"/>
              </w:rPr>
              <w:t>FUH</w:t>
            </w:r>
          </w:p>
        </w:tc>
        <w:tc>
          <w:tcPr>
            <w:tcW w:w="395" w:type="dxa"/>
            <w:tcBorders>
              <w:top w:val="single" w:sz="4"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tcPr>
          <w:p w14:paraId="550F458F" w14:textId="77777777" w:rsidR="000B4F1A" w:rsidRPr="00DF1884" w:rsidRDefault="000B4F1A" w:rsidP="00E9531F">
            <w:pPr>
              <w:pStyle w:val="TableHead"/>
              <w:ind w:left="29" w:right="113"/>
              <w:jc w:val="left"/>
              <w:rPr>
                <w:color w:val="auto"/>
              </w:rPr>
            </w:pPr>
            <w:r w:rsidRPr="00DF1884">
              <w:rPr>
                <w:rFonts w:ascii="Arial Narrow Bold"/>
                <w:color w:val="auto"/>
              </w:rPr>
              <w:t>SSD</w:t>
            </w:r>
          </w:p>
        </w:tc>
        <w:tc>
          <w:tcPr>
            <w:tcW w:w="395" w:type="dxa"/>
            <w:tcBorders>
              <w:top w:val="single" w:sz="4" w:space="0" w:color="FFFFFF" w:themeColor="background1"/>
              <w:left w:val="single" w:sz="6" w:space="0" w:color="FFFFFF"/>
              <w:bottom w:val="single" w:sz="6" w:space="0" w:color="auto"/>
              <w:right w:val="single" w:sz="4" w:space="0" w:color="FFFFFF"/>
            </w:tcBorders>
            <w:shd w:val="clear" w:color="auto" w:fill="000000"/>
            <w:tcMar>
              <w:left w:w="43" w:type="dxa"/>
              <w:right w:w="43" w:type="dxa"/>
            </w:tcMar>
            <w:textDirection w:val="btLr"/>
          </w:tcPr>
          <w:p w14:paraId="45EC6BAC" w14:textId="77777777" w:rsidR="000B4F1A" w:rsidRPr="00DF1884" w:rsidRDefault="000B4F1A" w:rsidP="00E9531F">
            <w:pPr>
              <w:pStyle w:val="TableHead"/>
              <w:ind w:left="29" w:right="113"/>
              <w:jc w:val="left"/>
              <w:rPr>
                <w:color w:val="auto"/>
              </w:rPr>
            </w:pPr>
            <w:r w:rsidRPr="00DF1884">
              <w:rPr>
                <w:rFonts w:ascii="Arial Narrow Bold"/>
                <w:color w:val="auto"/>
              </w:rPr>
              <w:t>SMD</w:t>
            </w:r>
          </w:p>
        </w:tc>
        <w:tc>
          <w:tcPr>
            <w:tcW w:w="395" w:type="dxa"/>
            <w:tcBorders>
              <w:top w:val="single" w:sz="4"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tcPr>
          <w:p w14:paraId="19EB6E78" w14:textId="77777777" w:rsidR="000B4F1A" w:rsidRPr="00DF1884" w:rsidRDefault="000B4F1A" w:rsidP="00E9531F">
            <w:pPr>
              <w:pStyle w:val="TableHead"/>
              <w:ind w:left="29" w:right="113"/>
              <w:jc w:val="left"/>
              <w:rPr>
                <w:color w:val="auto"/>
              </w:rPr>
            </w:pPr>
            <w:r w:rsidRPr="00DF1884">
              <w:rPr>
                <w:rFonts w:ascii="Arial Narrow Bold"/>
                <w:color w:val="auto"/>
              </w:rPr>
              <w:t>SMC</w:t>
            </w:r>
          </w:p>
        </w:tc>
        <w:tc>
          <w:tcPr>
            <w:tcW w:w="395" w:type="dxa"/>
            <w:tcBorders>
              <w:top w:val="single" w:sz="4"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tcPr>
          <w:p w14:paraId="77F9A1EB" w14:textId="77777777" w:rsidR="000B4F1A" w:rsidRPr="00DF1884" w:rsidRDefault="000B4F1A" w:rsidP="00E9531F">
            <w:pPr>
              <w:pStyle w:val="TableHead"/>
              <w:ind w:left="29" w:right="113"/>
              <w:jc w:val="left"/>
              <w:rPr>
                <w:color w:val="auto"/>
              </w:rPr>
            </w:pPr>
            <w:r w:rsidRPr="00DF1884">
              <w:rPr>
                <w:rFonts w:ascii="Arial Narrow Bold"/>
                <w:color w:val="auto"/>
              </w:rPr>
              <w:t>SAA</w:t>
            </w:r>
          </w:p>
        </w:tc>
        <w:tc>
          <w:tcPr>
            <w:tcW w:w="395" w:type="dxa"/>
            <w:tcBorders>
              <w:top w:val="single" w:sz="4"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tcPr>
          <w:p w14:paraId="42961299" w14:textId="77777777" w:rsidR="000B4F1A" w:rsidRPr="00DF1884" w:rsidRDefault="000B4F1A" w:rsidP="00E9531F">
            <w:pPr>
              <w:pStyle w:val="TableHead"/>
              <w:ind w:left="29" w:right="113"/>
              <w:jc w:val="left"/>
              <w:rPr>
                <w:i/>
                <w:color w:val="auto"/>
                <w:szCs w:val="24"/>
              </w:rPr>
            </w:pPr>
            <w:r w:rsidRPr="00DF1884">
              <w:rPr>
                <w:rFonts w:ascii="Arial Narrow Bold"/>
                <w:color w:val="auto"/>
              </w:rPr>
              <w:t>APM</w:t>
            </w:r>
          </w:p>
        </w:tc>
        <w:tc>
          <w:tcPr>
            <w:tcW w:w="395" w:type="dxa"/>
            <w:tcBorders>
              <w:top w:val="single" w:sz="4"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vAlign w:val="center"/>
          </w:tcPr>
          <w:p w14:paraId="12545C70" w14:textId="77777777" w:rsidR="000B4F1A" w:rsidRPr="00DF1884" w:rsidRDefault="000B4F1A" w:rsidP="00E9531F">
            <w:pPr>
              <w:spacing w:before="40" w:after="40"/>
              <w:ind w:left="29" w:right="113"/>
              <w:rPr>
                <w:rFonts w:ascii="Arial Narrow Bold" w:hAnsi="Arial Narrow"/>
                <w:b/>
                <w:i/>
                <w:szCs w:val="20"/>
              </w:rPr>
            </w:pPr>
            <w:r w:rsidRPr="00DF1884">
              <w:rPr>
                <w:rFonts w:ascii="Arial Narrow Bold" w:hAnsi="Arial Narrow"/>
                <w:szCs w:val="20"/>
              </w:rPr>
              <w:t>MPM</w:t>
            </w:r>
          </w:p>
        </w:tc>
        <w:tc>
          <w:tcPr>
            <w:tcW w:w="395" w:type="dxa"/>
            <w:tcBorders>
              <w:top w:val="single" w:sz="4"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vAlign w:val="center"/>
          </w:tcPr>
          <w:p w14:paraId="496AFAE5" w14:textId="77777777" w:rsidR="000B4F1A" w:rsidRPr="00DF1884" w:rsidRDefault="000B4F1A" w:rsidP="00E9531F">
            <w:pPr>
              <w:spacing w:before="40" w:after="40"/>
              <w:ind w:left="29" w:right="113"/>
              <w:rPr>
                <w:rFonts w:ascii="Arial Narrow Bold" w:hAnsi="Arial Narrow"/>
                <w:b/>
                <w:i/>
                <w:szCs w:val="20"/>
              </w:rPr>
            </w:pPr>
            <w:r w:rsidRPr="00DF1884">
              <w:rPr>
                <w:rFonts w:ascii="Arial Narrow Bold" w:hAnsi="Arial Narrow"/>
                <w:szCs w:val="20"/>
              </w:rPr>
              <w:t>MRP</w:t>
            </w:r>
          </w:p>
        </w:tc>
        <w:tc>
          <w:tcPr>
            <w:tcW w:w="395" w:type="dxa"/>
            <w:tcBorders>
              <w:top w:val="single" w:sz="4" w:space="0" w:color="FFFFFF" w:themeColor="background1"/>
              <w:left w:val="single" w:sz="4" w:space="0" w:color="FFFFFF"/>
              <w:bottom w:val="single" w:sz="6" w:space="0" w:color="auto"/>
              <w:right w:val="single" w:sz="4" w:space="0" w:color="FFFFFF"/>
            </w:tcBorders>
            <w:shd w:val="clear" w:color="auto" w:fill="000000"/>
            <w:textDirection w:val="btLr"/>
          </w:tcPr>
          <w:p w14:paraId="0592E815" w14:textId="187E7B5F" w:rsidR="000B4F1A" w:rsidRPr="00DF1884" w:rsidRDefault="000B4F1A" w:rsidP="00E9531F">
            <w:pPr>
              <w:spacing w:before="40" w:after="40"/>
              <w:ind w:left="29" w:right="113"/>
              <w:rPr>
                <w:rFonts w:ascii="Arial Narrow Bold" w:hAnsi="Arial Narrow"/>
                <w:szCs w:val="20"/>
              </w:rPr>
            </w:pPr>
            <w:r w:rsidRPr="00DF1884">
              <w:rPr>
                <w:rFonts w:ascii="Arial Narrow Bold" w:hAnsi="Arial Narrow"/>
                <w:szCs w:val="20"/>
              </w:rPr>
              <w:t>NCS</w:t>
            </w:r>
          </w:p>
        </w:tc>
        <w:tc>
          <w:tcPr>
            <w:tcW w:w="395" w:type="dxa"/>
            <w:tcBorders>
              <w:top w:val="single" w:sz="4" w:space="0" w:color="FFFFFF" w:themeColor="background1"/>
              <w:left w:val="single" w:sz="4" w:space="0" w:color="FFFFFF"/>
              <w:bottom w:val="single" w:sz="6" w:space="0" w:color="auto"/>
              <w:right w:val="single" w:sz="4" w:space="0" w:color="FFFFFF"/>
            </w:tcBorders>
            <w:shd w:val="clear" w:color="auto" w:fill="000000"/>
            <w:textDirection w:val="btLr"/>
          </w:tcPr>
          <w:p w14:paraId="1DC2E51D" w14:textId="732E3344" w:rsidR="000B4F1A" w:rsidRPr="00DF1884" w:rsidRDefault="000B4F1A" w:rsidP="00E9531F">
            <w:pPr>
              <w:spacing w:before="40" w:after="40"/>
              <w:ind w:left="29" w:right="113"/>
              <w:rPr>
                <w:rFonts w:ascii="Arial Narrow Bold" w:hAnsi="Arial Narrow"/>
                <w:szCs w:val="20"/>
              </w:rPr>
            </w:pPr>
            <w:r w:rsidRPr="00DF1884">
              <w:rPr>
                <w:rFonts w:ascii="Arial Narrow Bold" w:hAnsi="Arial Narrow"/>
                <w:szCs w:val="20"/>
              </w:rPr>
              <w:t>PSA</w:t>
            </w:r>
          </w:p>
        </w:tc>
        <w:tc>
          <w:tcPr>
            <w:tcW w:w="395" w:type="dxa"/>
            <w:tcBorders>
              <w:top w:val="single" w:sz="4" w:space="0" w:color="FFFFFF" w:themeColor="background1"/>
              <w:left w:val="single" w:sz="4" w:space="0" w:color="FFFFFF"/>
              <w:bottom w:val="single" w:sz="6" w:space="0" w:color="auto"/>
              <w:right w:val="single" w:sz="4" w:space="0" w:color="FFFFFF"/>
            </w:tcBorders>
            <w:shd w:val="clear" w:color="auto" w:fill="000000"/>
            <w:textDirection w:val="btLr"/>
          </w:tcPr>
          <w:p w14:paraId="04098DF4" w14:textId="312F7B25" w:rsidR="000B4F1A" w:rsidRPr="00DF1884" w:rsidRDefault="000B4F1A" w:rsidP="00E9531F">
            <w:pPr>
              <w:spacing w:before="40" w:after="40"/>
              <w:ind w:left="29" w:right="113"/>
              <w:rPr>
                <w:rFonts w:ascii="Arial Narrow Bold" w:hAnsi="Arial Narrow"/>
                <w:szCs w:val="20"/>
              </w:rPr>
            </w:pPr>
            <w:r w:rsidRPr="00DF1884">
              <w:rPr>
                <w:rFonts w:ascii="Arial Narrow Bold" w:hAnsi="Arial Narrow"/>
                <w:szCs w:val="20"/>
              </w:rPr>
              <w:t>URI</w:t>
            </w:r>
          </w:p>
        </w:tc>
        <w:tc>
          <w:tcPr>
            <w:tcW w:w="395" w:type="dxa"/>
            <w:tcBorders>
              <w:top w:val="single" w:sz="4" w:space="0" w:color="FFFFFF" w:themeColor="background1"/>
              <w:left w:val="single" w:sz="4" w:space="0" w:color="FFFFFF"/>
              <w:bottom w:val="single" w:sz="6" w:space="0" w:color="auto"/>
              <w:right w:val="single" w:sz="4" w:space="0" w:color="FFFFFF"/>
            </w:tcBorders>
            <w:shd w:val="clear" w:color="auto" w:fill="000000"/>
            <w:textDirection w:val="btLr"/>
          </w:tcPr>
          <w:p w14:paraId="45DFCAFD" w14:textId="3E2A2E2A" w:rsidR="000B4F1A" w:rsidRPr="00DF1884" w:rsidRDefault="000B4F1A" w:rsidP="00E9531F">
            <w:pPr>
              <w:spacing w:before="40" w:after="40"/>
              <w:ind w:left="29" w:right="113"/>
              <w:rPr>
                <w:rFonts w:ascii="Arial Narrow Bold" w:hAnsi="Arial Narrow"/>
                <w:szCs w:val="20"/>
              </w:rPr>
            </w:pPr>
            <w:r w:rsidRPr="00DF1884">
              <w:rPr>
                <w:rFonts w:ascii="Arial Narrow Bold" w:hAnsi="Arial Narrow"/>
                <w:szCs w:val="20"/>
              </w:rPr>
              <w:t>AAB</w:t>
            </w:r>
          </w:p>
        </w:tc>
        <w:tc>
          <w:tcPr>
            <w:tcW w:w="395" w:type="dxa"/>
            <w:tcBorders>
              <w:top w:val="single" w:sz="4" w:space="0" w:color="FFFFFF" w:themeColor="background1"/>
              <w:left w:val="single" w:sz="4" w:space="0" w:color="FFFFFF"/>
              <w:bottom w:val="single" w:sz="6" w:space="0" w:color="auto"/>
              <w:right w:val="single" w:sz="4" w:space="0" w:color="FFFFFF"/>
            </w:tcBorders>
            <w:shd w:val="clear" w:color="auto" w:fill="000000"/>
            <w:textDirection w:val="btLr"/>
          </w:tcPr>
          <w:p w14:paraId="159001B2" w14:textId="5EED5DB5" w:rsidR="000B4F1A" w:rsidRPr="00DF1884" w:rsidRDefault="000B4F1A" w:rsidP="00E9531F">
            <w:pPr>
              <w:spacing w:before="40" w:after="40"/>
              <w:ind w:left="29" w:right="113"/>
              <w:rPr>
                <w:rFonts w:ascii="Arial Narrow Bold" w:hAnsi="Arial Narrow"/>
                <w:szCs w:val="20"/>
              </w:rPr>
            </w:pPr>
            <w:r w:rsidRPr="00DF1884">
              <w:rPr>
                <w:rFonts w:ascii="Arial Narrow Bold" w:hAnsi="Arial Narrow"/>
                <w:szCs w:val="20"/>
              </w:rPr>
              <w:t>LBP</w:t>
            </w:r>
          </w:p>
        </w:tc>
        <w:tc>
          <w:tcPr>
            <w:tcW w:w="395" w:type="dxa"/>
            <w:tcBorders>
              <w:top w:val="single" w:sz="4" w:space="0" w:color="FFFFFF" w:themeColor="background1"/>
              <w:left w:val="single" w:sz="4" w:space="0" w:color="FFFFFF"/>
              <w:bottom w:val="single" w:sz="6" w:space="0" w:color="auto"/>
              <w:right w:val="single" w:sz="4" w:space="0" w:color="FFFFFF"/>
            </w:tcBorders>
            <w:shd w:val="clear" w:color="auto" w:fill="000000"/>
            <w:textDirection w:val="btLr"/>
          </w:tcPr>
          <w:p w14:paraId="045074D9" w14:textId="402BBF72" w:rsidR="000B4F1A" w:rsidRPr="00DF1884" w:rsidRDefault="000B4F1A" w:rsidP="00E9531F">
            <w:pPr>
              <w:spacing w:before="40" w:after="40"/>
              <w:ind w:left="29" w:right="113"/>
              <w:rPr>
                <w:rFonts w:ascii="Arial Narrow Bold" w:hAnsi="Arial Narrow"/>
                <w:szCs w:val="20"/>
              </w:rPr>
            </w:pPr>
            <w:r w:rsidRPr="00DF1884">
              <w:rPr>
                <w:rFonts w:ascii="Arial Narrow Bold" w:hAnsi="Arial Narrow"/>
                <w:szCs w:val="20"/>
              </w:rPr>
              <w:t>APC</w:t>
            </w:r>
          </w:p>
        </w:tc>
        <w:tc>
          <w:tcPr>
            <w:tcW w:w="395" w:type="dxa"/>
            <w:tcBorders>
              <w:top w:val="single" w:sz="4" w:space="0" w:color="FFFFFF" w:themeColor="background1"/>
              <w:left w:val="single" w:sz="4" w:space="0" w:color="FFFFFF"/>
              <w:bottom w:val="single" w:sz="6" w:space="0" w:color="auto"/>
              <w:right w:val="single" w:sz="4" w:space="0" w:color="FFFFFF"/>
            </w:tcBorders>
            <w:shd w:val="clear" w:color="auto" w:fill="000000"/>
            <w:textDirection w:val="btLr"/>
            <w:vAlign w:val="center"/>
          </w:tcPr>
          <w:p w14:paraId="2828049A" w14:textId="77DA147A" w:rsidR="000B4F1A" w:rsidRPr="00DF1884" w:rsidRDefault="000B4F1A" w:rsidP="00E9531F">
            <w:pPr>
              <w:spacing w:before="40" w:after="40"/>
              <w:ind w:left="29" w:right="113"/>
              <w:rPr>
                <w:rFonts w:ascii="Arial Narrow Bold" w:hAnsi="Arial Narrow"/>
                <w:b/>
                <w:szCs w:val="20"/>
              </w:rPr>
            </w:pPr>
            <w:r w:rsidRPr="00DF1884">
              <w:rPr>
                <w:rFonts w:ascii="Arial Narrow Bold" w:hAnsi="Arial Narrow"/>
                <w:szCs w:val="20"/>
              </w:rPr>
              <w:t>DDE</w:t>
            </w:r>
          </w:p>
        </w:tc>
        <w:tc>
          <w:tcPr>
            <w:tcW w:w="447" w:type="dxa"/>
            <w:tcBorders>
              <w:top w:val="single" w:sz="4" w:space="0" w:color="FFFFFF" w:themeColor="background1"/>
              <w:left w:val="single" w:sz="4" w:space="0" w:color="FFFFFF"/>
              <w:bottom w:val="single" w:sz="6" w:space="0" w:color="auto"/>
              <w:right w:val="single" w:sz="4" w:space="0" w:color="auto"/>
            </w:tcBorders>
            <w:shd w:val="clear" w:color="auto" w:fill="000000"/>
            <w:tcMar>
              <w:left w:w="43" w:type="dxa"/>
              <w:right w:w="43" w:type="dxa"/>
            </w:tcMar>
            <w:textDirection w:val="btLr"/>
            <w:vAlign w:val="center"/>
          </w:tcPr>
          <w:p w14:paraId="22454085" w14:textId="77777777" w:rsidR="000B4F1A" w:rsidRPr="00DF1884" w:rsidRDefault="000B4F1A" w:rsidP="00E9531F">
            <w:pPr>
              <w:spacing w:before="40" w:after="40"/>
              <w:ind w:left="29" w:right="113"/>
              <w:rPr>
                <w:rFonts w:ascii="Arial Narrow Bold" w:hAnsi="Arial Narrow"/>
                <w:b/>
                <w:szCs w:val="20"/>
              </w:rPr>
            </w:pPr>
            <w:r w:rsidRPr="00DF1884">
              <w:rPr>
                <w:rFonts w:ascii="Arial Narrow Bold" w:hAnsi="Arial Narrow"/>
                <w:szCs w:val="20"/>
              </w:rPr>
              <w:t>DAE</w:t>
            </w:r>
          </w:p>
        </w:tc>
      </w:tr>
      <w:tr w:rsidR="000B4F1A" w:rsidRPr="00DF1884" w14:paraId="1F582786" w14:textId="77777777" w:rsidTr="003E4000">
        <w:trPr>
          <w:cantSplit/>
        </w:trPr>
        <w:tc>
          <w:tcPr>
            <w:tcW w:w="2602"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757113D" w14:textId="789B8D7A" w:rsidR="000B4F1A" w:rsidRPr="00DF1884" w:rsidRDefault="000B4F1A" w:rsidP="00E9531F">
            <w:pPr>
              <w:pStyle w:val="TableText"/>
              <w:rPr>
                <w:sz w:val="22"/>
                <w:szCs w:val="22"/>
              </w:rPr>
            </w:pPr>
            <w:r w:rsidRPr="00DF1884">
              <w:rPr>
                <w:szCs w:val="20"/>
              </w:rPr>
              <w:t>CE pre-MY</w:t>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23D1280" w14:textId="3B4049C8"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1DE082A" w14:textId="78FB1FAB"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BFB7AF5" w14:textId="66407539"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A5CC2A4" w14:textId="2F067CC0" w:rsidR="000B4F1A" w:rsidRPr="00DF1884" w:rsidRDefault="00FA38C6"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9A90DA0" w14:textId="0571D09D"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57CB75F"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7AB93CB"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C51B115"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5034069" w14:textId="77777777" w:rsidR="000B4F1A" w:rsidRPr="00DF1884" w:rsidRDefault="000B4F1A" w:rsidP="00932F29">
            <w:pPr>
              <w:pStyle w:val="TableText"/>
              <w:jc w:val="center"/>
              <w:rPr>
                <w:sz w:val="22"/>
                <w:szCs w:val="22"/>
                <w:highlight w:val="yellow"/>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8CA9E16"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01F96B2"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6E5094D"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BA29242"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992272C"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6F59A81"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7350056"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5DFCF0B"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6CC6EDB"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A56BAA9" w14:textId="3CAFBACD"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3078A08" w14:textId="1393F09D"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178DCB4" w14:textId="33CEA626"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7E3FA82"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75AA2EE" w14:textId="1D9F6B4C" w:rsidR="000B4F1A" w:rsidRPr="00DF1884" w:rsidRDefault="000B4F1A" w:rsidP="00932F29">
            <w:pPr>
              <w:pStyle w:val="TableText"/>
              <w:jc w:val="center"/>
              <w:rPr>
                <w:sz w:val="22"/>
                <w:szCs w:val="22"/>
              </w:rPr>
            </w:pPr>
            <w:r w:rsidRPr="00DF1884">
              <w:rPr>
                <w:sz w:val="22"/>
                <w:szCs w:val="22"/>
              </w:rPr>
              <w:sym w:font="Wingdings" w:char="F0FC"/>
            </w:r>
          </w:p>
        </w:tc>
        <w:tc>
          <w:tcPr>
            <w:tcW w:w="447"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B296D70" w14:textId="77777777" w:rsidR="000B4F1A" w:rsidRPr="00DF1884" w:rsidRDefault="000B4F1A" w:rsidP="00932F29">
            <w:pPr>
              <w:pStyle w:val="TableText"/>
              <w:jc w:val="center"/>
              <w:rPr>
                <w:sz w:val="22"/>
                <w:szCs w:val="22"/>
              </w:rPr>
            </w:pPr>
          </w:p>
        </w:tc>
      </w:tr>
      <w:tr w:rsidR="000B4F1A" w:rsidRPr="00DF1884" w14:paraId="45F03740" w14:textId="77777777" w:rsidTr="003E4000">
        <w:trPr>
          <w:cantSplit/>
        </w:trPr>
        <w:tc>
          <w:tcPr>
            <w:tcW w:w="26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3F0FE3F" w14:textId="530A6A39" w:rsidR="000B4F1A" w:rsidRPr="00DF1884" w:rsidRDefault="000B4F1A" w:rsidP="00E9531F">
            <w:pPr>
              <w:pStyle w:val="TableText"/>
              <w:rPr>
                <w:sz w:val="22"/>
                <w:szCs w:val="22"/>
              </w:rPr>
            </w:pPr>
            <w:r w:rsidRPr="00DF1884">
              <w:rPr>
                <w:szCs w:val="20"/>
              </w:rPr>
              <w:t>Anchor date</w:t>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F568411" w14:textId="470D56C0"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20D3D48" w14:textId="54FFCA19"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5153719" w14:textId="4DEC01C8"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60DD649" w14:textId="26EC99C2" w:rsidR="000B4F1A" w:rsidRPr="00DF1884" w:rsidRDefault="00FA38C6"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9EF9964" w14:textId="53A402D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7DC6CF7"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FB25E03"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8CD704F"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C5A4AA9" w14:textId="77777777" w:rsidR="000B4F1A" w:rsidRPr="00DF1884" w:rsidRDefault="000B4F1A" w:rsidP="00932F29">
            <w:pPr>
              <w:pStyle w:val="TableText"/>
              <w:jc w:val="center"/>
              <w:rPr>
                <w:sz w:val="22"/>
                <w:szCs w:val="22"/>
                <w:highlight w:val="yellow"/>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EEF0591"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2B57326"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60F7329"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9C1DD7C" w14:textId="71DBF269"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E69B8E6"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8E7286B"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7067B0B"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03F08C3" w14:textId="16979DBA"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3DCA51F" w14:textId="1652A028" w:rsidR="000B4F1A" w:rsidRPr="00DF1884" w:rsidRDefault="009A35D1"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FDDDD85" w14:textId="5E48469E"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B609800" w14:textId="71231F9E"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77AF441" w14:textId="20F8CFC9"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72369B2" w14:textId="568AD531"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EAB3DAC" w14:textId="500E1408" w:rsidR="000B4F1A" w:rsidRPr="00DF1884" w:rsidRDefault="000B4F1A" w:rsidP="00932F29">
            <w:pPr>
              <w:pStyle w:val="TableText"/>
              <w:jc w:val="center"/>
              <w:rPr>
                <w:sz w:val="22"/>
                <w:szCs w:val="22"/>
              </w:rPr>
            </w:pPr>
            <w:r w:rsidRPr="00DF1884">
              <w:rPr>
                <w:sz w:val="22"/>
                <w:szCs w:val="22"/>
              </w:rPr>
              <w:sym w:font="Wingdings" w:char="F0FC"/>
            </w:r>
          </w:p>
        </w:tc>
        <w:tc>
          <w:tcPr>
            <w:tcW w:w="44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A69BFCE" w14:textId="77777777" w:rsidR="000B4F1A" w:rsidRPr="00DF1884" w:rsidRDefault="000B4F1A" w:rsidP="00932F29">
            <w:pPr>
              <w:pStyle w:val="TableText"/>
              <w:jc w:val="center"/>
              <w:rPr>
                <w:sz w:val="22"/>
                <w:szCs w:val="22"/>
              </w:rPr>
            </w:pPr>
            <w:r w:rsidRPr="00DF1884">
              <w:rPr>
                <w:sz w:val="22"/>
                <w:szCs w:val="22"/>
              </w:rPr>
              <w:sym w:font="Wingdings" w:char="F0FC"/>
            </w:r>
          </w:p>
        </w:tc>
      </w:tr>
      <w:tr w:rsidR="000B4F1A" w:rsidRPr="00DF1884" w14:paraId="2AC0A17D" w14:textId="77777777" w:rsidTr="003E4000">
        <w:trPr>
          <w:cantSplit/>
        </w:trPr>
        <w:tc>
          <w:tcPr>
            <w:tcW w:w="2602"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B845E01" w14:textId="0AE37F39" w:rsidR="000B4F1A" w:rsidRPr="00DF1884" w:rsidRDefault="000B4F1A" w:rsidP="00E9531F">
            <w:pPr>
              <w:pStyle w:val="TableText"/>
              <w:rPr>
                <w:sz w:val="22"/>
                <w:szCs w:val="22"/>
              </w:rPr>
            </w:pPr>
            <w:r w:rsidRPr="00DF1884">
              <w:rPr>
                <w:szCs w:val="20"/>
              </w:rPr>
              <w:t>MY + 1 year claims data</w:t>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0171858" w14:textId="70857609"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B9CB69F" w14:textId="39C2F0E1"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10DA27C" w14:textId="4948AC49"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BBE6CCA" w14:textId="5DD3704E" w:rsidR="000B4F1A" w:rsidRPr="00DF1884" w:rsidRDefault="00FA38C6"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31F69ED" w14:textId="6BE282BD"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72FA51B"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C4A2975"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42526BF"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04C64E7" w14:textId="77777777" w:rsidR="000B4F1A" w:rsidRPr="00DF1884" w:rsidRDefault="000B4F1A" w:rsidP="00932F29">
            <w:pPr>
              <w:pStyle w:val="TableText"/>
              <w:jc w:val="center"/>
              <w:rPr>
                <w:sz w:val="22"/>
                <w:szCs w:val="22"/>
                <w:highlight w:val="yellow"/>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DC79A88" w14:textId="3F2B8631"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D80181E" w14:textId="27C13265" w:rsidR="000B4F1A" w:rsidRPr="00DF1884" w:rsidRDefault="000B4F1A" w:rsidP="00932F29">
            <w:pPr>
              <w:pStyle w:val="TableText"/>
              <w:jc w:val="center"/>
              <w:rPr>
                <w:sz w:val="22"/>
                <w:szCs w:val="22"/>
              </w:rPr>
            </w:pPr>
            <w:r w:rsidRPr="00DF1884">
              <w:rPr>
                <w:sz w:val="22"/>
                <w:szCs w:val="22"/>
              </w:rPr>
              <w:sym w:font="Wingdings" w:char="F0FC"/>
            </w:r>
            <w:r w:rsidR="00726EF0">
              <w:rPr>
                <w:sz w:val="22"/>
                <w:szCs w:val="22"/>
                <w:vertAlign w:val="superscript"/>
              </w:rPr>
              <w:t>1</w:t>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62A0E65"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6772064"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E5B076E"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538CDC5"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F3ACAFF"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5733114"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0911B6C"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5A5989F" w14:textId="7998A815" w:rsidR="000B4F1A" w:rsidRPr="00DF1884" w:rsidRDefault="000B4F1A" w:rsidP="00932F29">
            <w:pPr>
              <w:pStyle w:val="TableText"/>
              <w:jc w:val="center"/>
              <w:rPr>
                <w:b/>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E7652C5" w14:textId="13DF1745"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D0352FB" w14:textId="08841AD4"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E44B36E"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D8A5699" w14:textId="349AB5FE" w:rsidR="000B4F1A" w:rsidRPr="00DF1884" w:rsidRDefault="000B4F1A" w:rsidP="00932F29">
            <w:pPr>
              <w:pStyle w:val="TableText"/>
              <w:jc w:val="center"/>
              <w:rPr>
                <w:sz w:val="22"/>
                <w:szCs w:val="22"/>
              </w:rPr>
            </w:pPr>
            <w:r w:rsidRPr="00DF1884">
              <w:rPr>
                <w:sz w:val="22"/>
                <w:szCs w:val="22"/>
              </w:rPr>
              <w:sym w:font="Wingdings" w:char="F0FC"/>
            </w:r>
          </w:p>
        </w:tc>
        <w:tc>
          <w:tcPr>
            <w:tcW w:w="447"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F29341A" w14:textId="77777777" w:rsidR="000B4F1A" w:rsidRPr="00DF1884" w:rsidRDefault="000B4F1A" w:rsidP="00932F29">
            <w:pPr>
              <w:pStyle w:val="TableText"/>
              <w:jc w:val="center"/>
              <w:rPr>
                <w:sz w:val="22"/>
                <w:szCs w:val="22"/>
              </w:rPr>
            </w:pPr>
          </w:p>
        </w:tc>
      </w:tr>
      <w:tr w:rsidR="000B4F1A" w:rsidRPr="00DF1884" w14:paraId="23D93744" w14:textId="77777777" w:rsidTr="003E4000">
        <w:trPr>
          <w:cantSplit/>
        </w:trPr>
        <w:tc>
          <w:tcPr>
            <w:tcW w:w="26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AFFFC4C" w14:textId="39F53B0D" w:rsidR="000B4F1A" w:rsidRPr="00DF1884" w:rsidRDefault="000B4F1A" w:rsidP="00E9531F">
            <w:pPr>
              <w:pStyle w:val="TableText"/>
              <w:rPr>
                <w:sz w:val="22"/>
                <w:szCs w:val="22"/>
              </w:rPr>
            </w:pPr>
            <w:r w:rsidRPr="00DF1884">
              <w:rPr>
                <w:szCs w:val="20"/>
              </w:rPr>
              <w:t>At least MY + 2 years claims data</w:t>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97EB8D1" w14:textId="7B814DFB"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2BBD986"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D84EF28" w14:textId="347034F2"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89D2623"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FD7CB70" w14:textId="03608363"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4A475D6"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A28E33E"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DA28230"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E693BE9" w14:textId="77777777" w:rsidR="000B4F1A" w:rsidRPr="00DF1884" w:rsidRDefault="000B4F1A" w:rsidP="00932F29">
            <w:pPr>
              <w:pStyle w:val="TableText"/>
              <w:jc w:val="center"/>
              <w:rPr>
                <w:sz w:val="22"/>
                <w:szCs w:val="22"/>
                <w:highlight w:val="yellow"/>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62C36A2" w14:textId="63A1D218"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938A849"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D9CE4A3"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6FC458A"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52B689D"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D59299F"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09EA9C0"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D8A15D5"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AF78C46" w14:textId="7AD6E15D" w:rsidR="000B4F1A" w:rsidRPr="009A35D1" w:rsidRDefault="009A35D1" w:rsidP="00932F29">
            <w:pPr>
              <w:pStyle w:val="TableText"/>
              <w:jc w:val="center"/>
              <w:rPr>
                <w:b/>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0026666"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5144316"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FD6F285"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83E3981"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1E327A8" w14:textId="1CA45ADB" w:rsidR="000B4F1A" w:rsidRPr="00DF1884" w:rsidRDefault="000B4F1A" w:rsidP="00932F29">
            <w:pPr>
              <w:pStyle w:val="TableText"/>
              <w:jc w:val="center"/>
              <w:rPr>
                <w:sz w:val="22"/>
                <w:szCs w:val="22"/>
              </w:rPr>
            </w:pPr>
          </w:p>
        </w:tc>
        <w:tc>
          <w:tcPr>
            <w:tcW w:w="44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2752A01" w14:textId="77777777" w:rsidR="000B4F1A" w:rsidRPr="00DF1884" w:rsidRDefault="000B4F1A" w:rsidP="00932F29">
            <w:pPr>
              <w:pStyle w:val="TableText"/>
              <w:jc w:val="center"/>
              <w:rPr>
                <w:sz w:val="22"/>
                <w:szCs w:val="22"/>
              </w:rPr>
            </w:pPr>
          </w:p>
        </w:tc>
      </w:tr>
      <w:tr w:rsidR="000B4F1A" w:rsidRPr="00DF1884" w14:paraId="22C4D58D" w14:textId="77777777" w:rsidTr="003E4000">
        <w:trPr>
          <w:cantSplit/>
        </w:trPr>
        <w:tc>
          <w:tcPr>
            <w:tcW w:w="2602"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F29E971" w14:textId="77777777" w:rsidR="000B4F1A" w:rsidRPr="00DF1884" w:rsidRDefault="000B4F1A" w:rsidP="00E9531F">
            <w:pPr>
              <w:pStyle w:val="TableText"/>
              <w:rPr>
                <w:sz w:val="22"/>
                <w:szCs w:val="22"/>
              </w:rPr>
            </w:pPr>
            <w:r w:rsidRPr="00DF1884">
              <w:rPr>
                <w:szCs w:val="20"/>
              </w:rPr>
              <w:t>Hybrid</w:t>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5ED87AA" w14:textId="5E036A20"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2EFF014"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47A6903" w14:textId="3B94B4FC"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05CE249"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71B7347" w14:textId="2FCCD6E5"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32246CF"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54008E6"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4A24FA6"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1D662F4" w14:textId="77777777" w:rsidR="000B4F1A" w:rsidRPr="00DF1884" w:rsidRDefault="000B4F1A" w:rsidP="00932F29">
            <w:pPr>
              <w:pStyle w:val="TableText"/>
              <w:jc w:val="center"/>
              <w:rPr>
                <w:sz w:val="22"/>
                <w:szCs w:val="22"/>
                <w:highlight w:val="yellow"/>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89F07B4"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7F74ECB"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596A9BF"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FFAE2B8"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FA4ABDB"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B61AEE6"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D7F8C30"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8779E15"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C76CCC3"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D6DCEDF"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3AE7727"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7214057"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11A0E56"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131F716" w14:textId="363101AD" w:rsidR="000B4F1A" w:rsidRPr="00DF1884" w:rsidRDefault="000B4F1A" w:rsidP="00932F29">
            <w:pPr>
              <w:pStyle w:val="TableText"/>
              <w:jc w:val="center"/>
              <w:rPr>
                <w:sz w:val="22"/>
                <w:szCs w:val="22"/>
              </w:rPr>
            </w:pPr>
          </w:p>
        </w:tc>
        <w:tc>
          <w:tcPr>
            <w:tcW w:w="447"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4E0E52D" w14:textId="77777777" w:rsidR="000B4F1A" w:rsidRPr="00DF1884" w:rsidRDefault="000B4F1A" w:rsidP="00932F29">
            <w:pPr>
              <w:pStyle w:val="TableText"/>
              <w:jc w:val="center"/>
              <w:rPr>
                <w:sz w:val="22"/>
                <w:szCs w:val="22"/>
              </w:rPr>
            </w:pPr>
          </w:p>
        </w:tc>
      </w:tr>
      <w:tr w:rsidR="000B4F1A" w:rsidRPr="00DF1884" w14:paraId="35B80880" w14:textId="77777777" w:rsidTr="003E4000">
        <w:trPr>
          <w:cantSplit/>
        </w:trPr>
        <w:tc>
          <w:tcPr>
            <w:tcW w:w="26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44152C5" w14:textId="14ACC438" w:rsidR="000B4F1A" w:rsidRPr="00DF1884" w:rsidRDefault="000B4F1A" w:rsidP="00E9531F">
            <w:pPr>
              <w:pStyle w:val="TableText"/>
              <w:rPr>
                <w:sz w:val="22"/>
                <w:szCs w:val="22"/>
              </w:rPr>
            </w:pPr>
            <w:r w:rsidRPr="00DF1884">
              <w:rPr>
                <w:szCs w:val="20"/>
              </w:rPr>
              <w:t>Inpatient claims data</w:t>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9113386" w14:textId="7E0C4E56"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B9F2DDD" w14:textId="57077A0C" w:rsidR="000B4F1A" w:rsidRPr="00DF1884" w:rsidRDefault="000B4F1A" w:rsidP="00932F29">
            <w:pPr>
              <w:pStyle w:val="TableText"/>
              <w:jc w:val="center"/>
              <w:rPr>
                <w:b/>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3F25B24" w14:textId="59DA0282"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70931FF" w14:textId="13884F75" w:rsidR="000B4F1A" w:rsidRPr="00DF1884" w:rsidRDefault="00FA38C6"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39F6E83" w14:textId="6661F53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65F69F1"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113752E"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2830E78"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8CF0A9A" w14:textId="77777777" w:rsidR="000B4F1A" w:rsidRPr="00DF1884" w:rsidRDefault="000B4F1A" w:rsidP="00932F29">
            <w:pPr>
              <w:pStyle w:val="TableText"/>
              <w:jc w:val="center"/>
              <w:rPr>
                <w:sz w:val="22"/>
                <w:szCs w:val="22"/>
                <w:highlight w:val="yellow"/>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9D6A8AA"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B1138C1"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EBB2A64"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D5615D9"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2D37307"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4F09628"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CBD425F"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89E4FA8"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CFA387C"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669B9FD"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A9CEDA9"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0D4BB1D"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B9F9F39"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3A7E5B6" w14:textId="2FA4AD78" w:rsidR="000B4F1A" w:rsidRPr="00DF1884" w:rsidRDefault="000B4F1A" w:rsidP="00932F29">
            <w:pPr>
              <w:pStyle w:val="TableText"/>
              <w:jc w:val="center"/>
              <w:rPr>
                <w:sz w:val="22"/>
                <w:szCs w:val="22"/>
              </w:rPr>
            </w:pPr>
            <w:r w:rsidRPr="00DF1884">
              <w:rPr>
                <w:sz w:val="22"/>
                <w:szCs w:val="22"/>
              </w:rPr>
              <w:sym w:font="Wingdings" w:char="F0FC"/>
            </w:r>
          </w:p>
        </w:tc>
        <w:tc>
          <w:tcPr>
            <w:tcW w:w="44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B242BFA" w14:textId="77777777" w:rsidR="000B4F1A" w:rsidRPr="00DF1884" w:rsidRDefault="000B4F1A" w:rsidP="00932F29">
            <w:pPr>
              <w:pStyle w:val="TableText"/>
              <w:jc w:val="center"/>
              <w:rPr>
                <w:sz w:val="22"/>
                <w:szCs w:val="22"/>
              </w:rPr>
            </w:pPr>
          </w:p>
        </w:tc>
      </w:tr>
      <w:tr w:rsidR="000B4F1A" w:rsidRPr="00DF1884" w14:paraId="60073AFE" w14:textId="77777777" w:rsidTr="003E4000">
        <w:trPr>
          <w:cantSplit/>
        </w:trPr>
        <w:tc>
          <w:tcPr>
            <w:tcW w:w="2602"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02ADD4E" w14:textId="1734ED7D" w:rsidR="000B4F1A" w:rsidRPr="00DF1884" w:rsidRDefault="000B4F1A" w:rsidP="00E9531F">
            <w:pPr>
              <w:pStyle w:val="TableText"/>
              <w:rPr>
                <w:sz w:val="22"/>
                <w:szCs w:val="22"/>
              </w:rPr>
            </w:pPr>
            <w:r w:rsidRPr="00DF1884">
              <w:rPr>
                <w:szCs w:val="20"/>
              </w:rPr>
              <w:t>V codes</w:t>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778EC20" w14:textId="074920B0"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191EF4A"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5076BF4" w14:textId="44AF3BB2"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E650F05"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8C551CB" w14:textId="16CFD683"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4DFD700"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5EA6962"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CD994F7"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234A2B2" w14:textId="77777777" w:rsidR="000B4F1A" w:rsidRPr="00DF1884" w:rsidRDefault="000B4F1A" w:rsidP="00932F29">
            <w:pPr>
              <w:pStyle w:val="TableText"/>
              <w:jc w:val="center"/>
              <w:rPr>
                <w:sz w:val="22"/>
                <w:szCs w:val="22"/>
                <w:highlight w:val="yellow"/>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8524DC5"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87E66DD"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43D267E"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8FA936E"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54EB1D2"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7089E3A"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0AB0837"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BE45DDC" w14:textId="4AA1D488"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05D6AF0"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471206B" w14:textId="11F601B2"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3BD7565" w14:textId="300A1713" w:rsidR="000B4F1A" w:rsidRPr="00DF1884" w:rsidRDefault="000B4F1A" w:rsidP="00932F29">
            <w:pPr>
              <w:pStyle w:val="TableText"/>
              <w:jc w:val="center"/>
              <w:rPr>
                <w:b/>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516487E" w14:textId="7980194B"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7F77D3A"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C66E43F" w14:textId="15AC2441" w:rsidR="000B4F1A" w:rsidRPr="00DF1884" w:rsidRDefault="000B4F1A" w:rsidP="00932F29">
            <w:pPr>
              <w:pStyle w:val="TableText"/>
              <w:jc w:val="center"/>
              <w:rPr>
                <w:sz w:val="22"/>
                <w:szCs w:val="22"/>
              </w:rPr>
            </w:pPr>
            <w:r w:rsidRPr="00DF1884">
              <w:rPr>
                <w:sz w:val="22"/>
                <w:szCs w:val="22"/>
              </w:rPr>
              <w:sym w:font="Wingdings" w:char="F0FC"/>
            </w:r>
          </w:p>
        </w:tc>
        <w:tc>
          <w:tcPr>
            <w:tcW w:w="447"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24F1C8D" w14:textId="77777777" w:rsidR="000B4F1A" w:rsidRPr="00DF1884" w:rsidRDefault="000B4F1A" w:rsidP="00932F29">
            <w:pPr>
              <w:pStyle w:val="TableText"/>
              <w:jc w:val="center"/>
              <w:rPr>
                <w:sz w:val="22"/>
                <w:szCs w:val="22"/>
              </w:rPr>
            </w:pPr>
          </w:p>
        </w:tc>
      </w:tr>
      <w:tr w:rsidR="000B4F1A" w:rsidRPr="00DF1884" w14:paraId="453CB4D1" w14:textId="77777777" w:rsidTr="003E4000">
        <w:trPr>
          <w:cantSplit/>
        </w:trPr>
        <w:tc>
          <w:tcPr>
            <w:tcW w:w="26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06F0029" w14:textId="42C1CF9B" w:rsidR="000B4F1A" w:rsidRPr="00DF1884" w:rsidRDefault="000B4F1A" w:rsidP="00E9531F">
            <w:pPr>
              <w:pStyle w:val="TableText"/>
              <w:rPr>
                <w:sz w:val="22"/>
                <w:szCs w:val="22"/>
              </w:rPr>
            </w:pPr>
            <w:r w:rsidRPr="00DF1884">
              <w:rPr>
                <w:szCs w:val="20"/>
              </w:rPr>
              <w:t>Rev codes</w:t>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D65EF3A" w14:textId="5C66C171"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319373C" w14:textId="2953D201" w:rsidR="000B4F1A" w:rsidRPr="00DF1884" w:rsidRDefault="00991EDB"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A973EBE" w14:textId="26959245"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E18BC20" w14:textId="6A13F8AD" w:rsidR="000B4F1A" w:rsidRPr="00DF1884" w:rsidRDefault="00991EDB"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74EBB1E" w14:textId="45FE0BD5"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26D3B4C"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0F2BF6C"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BA648A1"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53D43BF" w14:textId="77777777" w:rsidR="000B4F1A" w:rsidRPr="00DF1884" w:rsidRDefault="000B4F1A" w:rsidP="00932F29">
            <w:pPr>
              <w:pStyle w:val="TableText"/>
              <w:jc w:val="center"/>
              <w:rPr>
                <w:sz w:val="22"/>
                <w:szCs w:val="22"/>
                <w:highlight w:val="yellow"/>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A5CD420"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6428C05"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2025EBA"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FF8E748"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464E9D6"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E6B85F0"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DFE4829"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5898D87" w14:textId="6778E516"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CE67935"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2AC6EDE" w14:textId="4C7E28F9"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5098542" w14:textId="4C80C1B0"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6B77CD4" w14:textId="3E30515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8B59869"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F235664" w14:textId="3C8BC29B" w:rsidR="000B4F1A" w:rsidRPr="00DF1884" w:rsidRDefault="000B4F1A" w:rsidP="00932F29">
            <w:pPr>
              <w:pStyle w:val="TableText"/>
              <w:jc w:val="center"/>
              <w:rPr>
                <w:sz w:val="22"/>
                <w:szCs w:val="22"/>
              </w:rPr>
            </w:pPr>
            <w:r w:rsidRPr="00DF1884">
              <w:rPr>
                <w:sz w:val="22"/>
                <w:szCs w:val="22"/>
              </w:rPr>
              <w:sym w:font="Wingdings" w:char="F0FC"/>
            </w:r>
          </w:p>
        </w:tc>
        <w:tc>
          <w:tcPr>
            <w:tcW w:w="44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9B5F9CB" w14:textId="77777777" w:rsidR="000B4F1A" w:rsidRPr="00DF1884" w:rsidRDefault="000B4F1A" w:rsidP="00932F29">
            <w:pPr>
              <w:pStyle w:val="TableText"/>
              <w:jc w:val="center"/>
              <w:rPr>
                <w:sz w:val="22"/>
                <w:szCs w:val="22"/>
              </w:rPr>
            </w:pPr>
          </w:p>
        </w:tc>
      </w:tr>
      <w:tr w:rsidR="000B4F1A" w:rsidRPr="00DF1884" w14:paraId="7AD4C0BA" w14:textId="77777777" w:rsidTr="003E4000">
        <w:trPr>
          <w:cantSplit/>
        </w:trPr>
        <w:tc>
          <w:tcPr>
            <w:tcW w:w="2602"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4F1881F" w14:textId="424138B2" w:rsidR="000B4F1A" w:rsidRPr="00DF1884" w:rsidRDefault="000B4F1A" w:rsidP="00E9531F">
            <w:pPr>
              <w:pStyle w:val="TableText"/>
              <w:rPr>
                <w:sz w:val="22"/>
                <w:szCs w:val="22"/>
              </w:rPr>
            </w:pPr>
            <w:r w:rsidRPr="00DF1884">
              <w:rPr>
                <w:szCs w:val="20"/>
              </w:rPr>
              <w:t>POS codes</w:t>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0FFF112" w14:textId="4C5EE505"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4BED064" w14:textId="0FAC3646" w:rsidR="000B4F1A" w:rsidRPr="00DF1884" w:rsidRDefault="00991EDB"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5CFF0EA" w14:textId="0968CE4B"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83748A6" w14:textId="1B380700" w:rsidR="000B4F1A" w:rsidRPr="00DF1884" w:rsidRDefault="00991EDB"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55A35BF" w14:textId="55F5F7FB"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0CCC59E"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92475CB"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6C7CD8D"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A258E24" w14:textId="77777777" w:rsidR="000B4F1A" w:rsidRPr="00DF1884" w:rsidRDefault="000B4F1A" w:rsidP="00932F29">
            <w:pPr>
              <w:pStyle w:val="TableText"/>
              <w:jc w:val="center"/>
              <w:rPr>
                <w:sz w:val="22"/>
                <w:szCs w:val="22"/>
                <w:highlight w:val="yellow"/>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DCAAE7B"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3946F63"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082067B"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73F442C"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44D9F11"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0DBF038"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09B7228"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68EBC6F"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46F4866"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1958FFA"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CB0B102"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6742A45"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65BE1BB"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6772BE4" w14:textId="49A4E7C2" w:rsidR="000B4F1A" w:rsidRPr="00DF1884" w:rsidRDefault="000B4F1A" w:rsidP="00932F29">
            <w:pPr>
              <w:pStyle w:val="TableText"/>
              <w:jc w:val="center"/>
              <w:rPr>
                <w:sz w:val="22"/>
                <w:szCs w:val="22"/>
              </w:rPr>
            </w:pPr>
            <w:r w:rsidRPr="00DF1884">
              <w:rPr>
                <w:sz w:val="22"/>
                <w:szCs w:val="22"/>
              </w:rPr>
              <w:sym w:font="Wingdings" w:char="F0FC"/>
            </w:r>
          </w:p>
        </w:tc>
        <w:tc>
          <w:tcPr>
            <w:tcW w:w="447"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4DBAEFD" w14:textId="77777777" w:rsidR="000B4F1A" w:rsidRPr="00DF1884" w:rsidRDefault="000B4F1A" w:rsidP="00932F29">
            <w:pPr>
              <w:pStyle w:val="TableText"/>
              <w:jc w:val="center"/>
              <w:rPr>
                <w:sz w:val="22"/>
                <w:szCs w:val="22"/>
              </w:rPr>
            </w:pPr>
          </w:p>
        </w:tc>
      </w:tr>
      <w:tr w:rsidR="000B4F1A" w:rsidRPr="00DF1884" w14:paraId="7F3A1290" w14:textId="77777777" w:rsidTr="003E4000">
        <w:trPr>
          <w:cantSplit/>
        </w:trPr>
        <w:tc>
          <w:tcPr>
            <w:tcW w:w="26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EF28ED7" w14:textId="46E78F53" w:rsidR="000B4F1A" w:rsidRPr="00DF1884" w:rsidRDefault="000B4F1A" w:rsidP="00E9531F">
            <w:pPr>
              <w:pStyle w:val="TableText"/>
              <w:rPr>
                <w:sz w:val="22"/>
                <w:szCs w:val="22"/>
              </w:rPr>
            </w:pPr>
            <w:r w:rsidRPr="00DF1884">
              <w:rPr>
                <w:szCs w:val="20"/>
              </w:rPr>
              <w:t>TOB codes</w:t>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A5E9DE7" w14:textId="567BC864"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AD78505" w14:textId="5CAAE0F6" w:rsidR="000B4F1A" w:rsidRPr="00DF1884" w:rsidRDefault="00991EDB"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ADC91EB" w14:textId="774D4831"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0A42C90" w14:textId="4F715208" w:rsidR="000B4F1A" w:rsidRPr="00DF1884" w:rsidRDefault="00991EDB"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AD6A688" w14:textId="5BEAFACB"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7BF9828"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D4DE252"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FF04DF6"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0EBBF0B" w14:textId="77777777" w:rsidR="000B4F1A" w:rsidRPr="00DF1884" w:rsidRDefault="000B4F1A" w:rsidP="00932F29">
            <w:pPr>
              <w:pStyle w:val="TableText"/>
              <w:jc w:val="center"/>
              <w:rPr>
                <w:sz w:val="22"/>
                <w:szCs w:val="22"/>
                <w:highlight w:val="yellow"/>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F0CD953"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AF9EDD6"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1261CC8"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E2B102F"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824BFC9"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4DE5BEE"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179B878"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C2671F0"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6B71888"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E789A21"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DE9517C"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3AA1E20"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C91E747"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5A68294" w14:textId="1DEF9E20" w:rsidR="000B4F1A" w:rsidRPr="00DF1884" w:rsidRDefault="000B4F1A" w:rsidP="00932F29">
            <w:pPr>
              <w:pStyle w:val="TableText"/>
              <w:jc w:val="center"/>
              <w:rPr>
                <w:sz w:val="22"/>
                <w:szCs w:val="22"/>
              </w:rPr>
            </w:pPr>
            <w:r w:rsidRPr="00DF1884">
              <w:rPr>
                <w:sz w:val="22"/>
                <w:szCs w:val="22"/>
              </w:rPr>
              <w:sym w:font="Wingdings" w:char="F0FC"/>
            </w:r>
          </w:p>
        </w:tc>
        <w:tc>
          <w:tcPr>
            <w:tcW w:w="44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FEC16F8" w14:textId="77777777" w:rsidR="000B4F1A" w:rsidRPr="00DF1884" w:rsidRDefault="000B4F1A" w:rsidP="00932F29">
            <w:pPr>
              <w:pStyle w:val="TableText"/>
              <w:jc w:val="center"/>
              <w:rPr>
                <w:sz w:val="22"/>
                <w:szCs w:val="22"/>
              </w:rPr>
            </w:pPr>
          </w:p>
        </w:tc>
      </w:tr>
      <w:tr w:rsidR="000B4F1A" w:rsidRPr="00DF1884" w14:paraId="2A9CE7BF" w14:textId="77777777" w:rsidTr="003E4000">
        <w:trPr>
          <w:cantSplit/>
        </w:trPr>
        <w:tc>
          <w:tcPr>
            <w:tcW w:w="2602"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1E722C8" w14:textId="77777777" w:rsidR="000B4F1A" w:rsidRPr="00DF1884" w:rsidRDefault="000B4F1A" w:rsidP="00E9531F">
            <w:pPr>
              <w:pStyle w:val="TableText"/>
              <w:rPr>
                <w:sz w:val="22"/>
                <w:szCs w:val="22"/>
              </w:rPr>
            </w:pPr>
            <w:r w:rsidRPr="00DF1884">
              <w:rPr>
                <w:szCs w:val="20"/>
              </w:rPr>
              <w:t>DRGs</w:t>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B2E5841" w14:textId="16A116BF"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4BB4127"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BFC8A5B" w14:textId="69170F85"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002A10A"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254AF9C" w14:textId="154E82F5"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5E1B262"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D03E350"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9342DD4"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1CF1FF2" w14:textId="77777777" w:rsidR="000B4F1A" w:rsidRPr="00DF1884" w:rsidRDefault="000B4F1A" w:rsidP="00932F29">
            <w:pPr>
              <w:pStyle w:val="TableText"/>
              <w:jc w:val="center"/>
              <w:rPr>
                <w:sz w:val="22"/>
                <w:szCs w:val="22"/>
                <w:highlight w:val="yellow"/>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209390A"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6DE2254"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2D7C75B"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B07DBE7"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38FBF45"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CA9793C"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C9CAAFE"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1CDEDDC"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B6F4726"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D9348F1"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C7DFE8A"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B86317D"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8E59F1E"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158B4F5" w14:textId="5462445E" w:rsidR="000B4F1A" w:rsidRPr="00DF1884" w:rsidRDefault="000B4F1A" w:rsidP="00932F29">
            <w:pPr>
              <w:pStyle w:val="TableText"/>
              <w:jc w:val="center"/>
              <w:rPr>
                <w:sz w:val="22"/>
                <w:szCs w:val="22"/>
              </w:rPr>
            </w:pPr>
          </w:p>
        </w:tc>
        <w:tc>
          <w:tcPr>
            <w:tcW w:w="447"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322D6F2" w14:textId="77777777" w:rsidR="000B4F1A" w:rsidRPr="00DF1884" w:rsidRDefault="000B4F1A" w:rsidP="00932F29">
            <w:pPr>
              <w:pStyle w:val="TableText"/>
              <w:jc w:val="center"/>
              <w:rPr>
                <w:sz w:val="22"/>
                <w:szCs w:val="22"/>
              </w:rPr>
            </w:pPr>
          </w:p>
        </w:tc>
      </w:tr>
      <w:tr w:rsidR="000B4F1A" w:rsidRPr="00DF1884" w14:paraId="2BBE7E13" w14:textId="77777777" w:rsidTr="003E4000">
        <w:trPr>
          <w:cantSplit/>
        </w:trPr>
        <w:tc>
          <w:tcPr>
            <w:tcW w:w="26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073438E" w14:textId="04F11594" w:rsidR="000B4F1A" w:rsidRPr="00DF1884" w:rsidRDefault="000B4F1A" w:rsidP="00E9531F">
            <w:pPr>
              <w:pStyle w:val="TableText"/>
              <w:rPr>
                <w:sz w:val="22"/>
                <w:szCs w:val="22"/>
              </w:rPr>
            </w:pPr>
            <w:r w:rsidRPr="00DF1884">
              <w:rPr>
                <w:szCs w:val="20"/>
              </w:rPr>
              <w:t>HCPCS codes</w:t>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0F38F21" w14:textId="3800B55A"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85B9E88" w14:textId="22852CCA" w:rsidR="000B4F1A" w:rsidRPr="00DF1884" w:rsidRDefault="00991EDB"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AC6B815" w14:textId="0EBF34DC"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974797B" w14:textId="4964DE3D" w:rsidR="000B4F1A" w:rsidRPr="00DF1884" w:rsidRDefault="00991EDB"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490E854" w14:textId="7FE89A4D"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62DAB2C"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351AE92"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FA2C9C3"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3233CEB" w14:textId="77777777" w:rsidR="000B4F1A" w:rsidRPr="00DF1884" w:rsidRDefault="000B4F1A" w:rsidP="00932F29">
            <w:pPr>
              <w:pStyle w:val="TableText"/>
              <w:jc w:val="center"/>
              <w:rPr>
                <w:sz w:val="22"/>
                <w:szCs w:val="22"/>
                <w:highlight w:val="yellow"/>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9E4F6B0"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FD88652"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0A5BD1A"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1544299"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1354430"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385B70A"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BCBA6B1"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B102873" w14:textId="6ECED0D4"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896546B" w14:textId="5D5CF701"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ED3A00F" w14:textId="2E92538B"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8CAD960" w14:textId="2D0F6E9F" w:rsidR="000B4F1A" w:rsidRPr="00DF1884" w:rsidRDefault="000B4F1A" w:rsidP="00932F29">
            <w:pPr>
              <w:pStyle w:val="TableText"/>
              <w:jc w:val="center"/>
              <w:rPr>
                <w:b/>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4C690F3" w14:textId="07559A64"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716349F"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EC6A6A6" w14:textId="7C161AFC" w:rsidR="000B4F1A" w:rsidRPr="00DF1884" w:rsidRDefault="000B4F1A" w:rsidP="00932F29">
            <w:pPr>
              <w:pStyle w:val="TableText"/>
              <w:jc w:val="center"/>
              <w:rPr>
                <w:sz w:val="22"/>
                <w:szCs w:val="22"/>
              </w:rPr>
            </w:pPr>
            <w:r w:rsidRPr="00DF1884">
              <w:rPr>
                <w:sz w:val="22"/>
                <w:szCs w:val="22"/>
              </w:rPr>
              <w:sym w:font="Wingdings" w:char="F0FC"/>
            </w:r>
          </w:p>
        </w:tc>
        <w:tc>
          <w:tcPr>
            <w:tcW w:w="44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5F3F9AE" w14:textId="77777777" w:rsidR="000B4F1A" w:rsidRPr="00DF1884" w:rsidRDefault="000B4F1A" w:rsidP="00932F29">
            <w:pPr>
              <w:pStyle w:val="TableText"/>
              <w:jc w:val="center"/>
              <w:rPr>
                <w:sz w:val="22"/>
                <w:szCs w:val="22"/>
              </w:rPr>
            </w:pPr>
          </w:p>
        </w:tc>
      </w:tr>
      <w:tr w:rsidR="000B4F1A" w:rsidRPr="00DF1884" w14:paraId="5E282005" w14:textId="77777777" w:rsidTr="003E4000">
        <w:trPr>
          <w:cantSplit/>
        </w:trPr>
        <w:tc>
          <w:tcPr>
            <w:tcW w:w="2602"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5F76E1A" w14:textId="2ED26099" w:rsidR="000B4F1A" w:rsidRPr="00DF1884" w:rsidRDefault="000B4F1A" w:rsidP="00E9531F">
            <w:pPr>
              <w:pStyle w:val="TableText"/>
              <w:rPr>
                <w:sz w:val="22"/>
                <w:szCs w:val="22"/>
              </w:rPr>
            </w:pPr>
            <w:r w:rsidRPr="00DF1884">
              <w:rPr>
                <w:szCs w:val="20"/>
              </w:rPr>
              <w:t>J codes</w:t>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047B50F" w14:textId="66AE288B"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D3FFFE0"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9F9E395" w14:textId="4DDDB39A"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8B72937"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29C8A85" w14:textId="24652E8A"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A7ADD6A"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04B9CDD"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FCDCBEA"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5148CC7" w14:textId="77777777" w:rsidR="000B4F1A" w:rsidRPr="00DF1884" w:rsidRDefault="000B4F1A" w:rsidP="00932F29">
            <w:pPr>
              <w:pStyle w:val="TableText"/>
              <w:jc w:val="center"/>
              <w:rPr>
                <w:sz w:val="22"/>
                <w:szCs w:val="22"/>
                <w:highlight w:val="yellow"/>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0696DAE"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7A19FAE"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E77863E"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A65BC8F"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66E02B6"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56AD491"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E6966FC"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CC73D59"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76021DC"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E19E2FD"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F268E63"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ED9B309"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0134C57"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CA0C71C" w14:textId="29EDBA5D" w:rsidR="000B4F1A" w:rsidRPr="00DF1884" w:rsidRDefault="000B4F1A" w:rsidP="00932F29">
            <w:pPr>
              <w:pStyle w:val="TableText"/>
              <w:jc w:val="center"/>
              <w:rPr>
                <w:sz w:val="22"/>
                <w:szCs w:val="22"/>
              </w:rPr>
            </w:pPr>
          </w:p>
        </w:tc>
        <w:tc>
          <w:tcPr>
            <w:tcW w:w="447"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F0356DD" w14:textId="77777777" w:rsidR="000B4F1A" w:rsidRPr="00DF1884" w:rsidRDefault="000B4F1A" w:rsidP="00932F29">
            <w:pPr>
              <w:pStyle w:val="TableText"/>
              <w:jc w:val="center"/>
              <w:rPr>
                <w:sz w:val="22"/>
                <w:szCs w:val="22"/>
              </w:rPr>
            </w:pPr>
          </w:p>
        </w:tc>
      </w:tr>
      <w:tr w:rsidR="000B4F1A" w:rsidRPr="00DF1884" w14:paraId="276D4427" w14:textId="77777777" w:rsidTr="003E4000">
        <w:trPr>
          <w:cantSplit/>
        </w:trPr>
        <w:tc>
          <w:tcPr>
            <w:tcW w:w="26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4614173" w14:textId="7AFB88AB" w:rsidR="000B4F1A" w:rsidRPr="00DF1884" w:rsidRDefault="000B4F1A" w:rsidP="00E9531F">
            <w:pPr>
              <w:pStyle w:val="TableText"/>
              <w:rPr>
                <w:sz w:val="22"/>
                <w:szCs w:val="22"/>
              </w:rPr>
            </w:pPr>
            <w:r w:rsidRPr="00DF1884">
              <w:rPr>
                <w:szCs w:val="20"/>
              </w:rPr>
              <w:t>LOINC codes</w:t>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218A640" w14:textId="010A8BEF"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4705B83"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6AEDE68" w14:textId="2B48018D"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E0B76AB"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D9730F8" w14:textId="05B50EF5"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C3E773C"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CE039B8"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1130031"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0FB220E" w14:textId="77777777" w:rsidR="000B4F1A" w:rsidRPr="00DF1884" w:rsidRDefault="000B4F1A" w:rsidP="00932F29">
            <w:pPr>
              <w:pStyle w:val="TableText"/>
              <w:jc w:val="center"/>
              <w:rPr>
                <w:sz w:val="22"/>
                <w:szCs w:val="22"/>
                <w:highlight w:val="yellow"/>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D564D25"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2DA9161"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60829B4"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234B4C8"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79ABB3B"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60D8380"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F7AA0C3"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158AC38" w14:textId="74CDA075"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61CA982" w14:textId="1D6AA9A8"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ED90187"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C6FB71C"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9281E20"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BF03BCD"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E763BD1" w14:textId="1F64752E" w:rsidR="000B4F1A" w:rsidRPr="00DF1884" w:rsidRDefault="000B4F1A" w:rsidP="00932F29">
            <w:pPr>
              <w:pStyle w:val="TableText"/>
              <w:jc w:val="center"/>
              <w:rPr>
                <w:sz w:val="22"/>
                <w:szCs w:val="22"/>
              </w:rPr>
            </w:pPr>
          </w:p>
        </w:tc>
        <w:tc>
          <w:tcPr>
            <w:tcW w:w="44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8E1BF1C" w14:textId="77777777" w:rsidR="000B4F1A" w:rsidRPr="00DF1884" w:rsidRDefault="000B4F1A" w:rsidP="00932F29">
            <w:pPr>
              <w:pStyle w:val="TableText"/>
              <w:jc w:val="center"/>
              <w:rPr>
                <w:sz w:val="22"/>
                <w:szCs w:val="22"/>
              </w:rPr>
            </w:pPr>
          </w:p>
        </w:tc>
      </w:tr>
      <w:tr w:rsidR="000B4F1A" w:rsidRPr="00DF1884" w14:paraId="289AB607" w14:textId="77777777" w:rsidTr="003E4000">
        <w:trPr>
          <w:cantSplit/>
        </w:trPr>
        <w:tc>
          <w:tcPr>
            <w:tcW w:w="2602"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5DC61BD" w14:textId="0A6BA096" w:rsidR="000B4F1A" w:rsidRPr="00DF1884" w:rsidRDefault="000B4F1A" w:rsidP="00E9531F">
            <w:pPr>
              <w:pStyle w:val="TableText"/>
              <w:rPr>
                <w:sz w:val="22"/>
                <w:szCs w:val="22"/>
              </w:rPr>
            </w:pPr>
            <w:r w:rsidRPr="00DF1884">
              <w:rPr>
                <w:szCs w:val="20"/>
              </w:rPr>
              <w:t>CPT II codes</w:t>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29E53C6" w14:textId="7F4A663A"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7A48869"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F008AAD" w14:textId="65736989"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F740CC6"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2D4EE15" w14:textId="68D4314C"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DBE704D"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0A5D5A4"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501A8F5"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BBB7134" w14:textId="77777777" w:rsidR="000B4F1A" w:rsidRPr="00DF1884" w:rsidRDefault="000B4F1A" w:rsidP="00932F29">
            <w:pPr>
              <w:pStyle w:val="TableText"/>
              <w:jc w:val="center"/>
              <w:rPr>
                <w:sz w:val="22"/>
                <w:szCs w:val="22"/>
                <w:highlight w:val="yellow"/>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0F2CC8D"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D9E3661"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9991C6E"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1E45EBC"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64C3B00"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5804DB6"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632095E"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640BBCB"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EEE4D21"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F185C71"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8AE36C3"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927F0E9"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5D3DD0D"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89E5B93" w14:textId="7A331C5C" w:rsidR="000B4F1A" w:rsidRPr="00DF1884" w:rsidRDefault="000B4F1A" w:rsidP="00932F29">
            <w:pPr>
              <w:pStyle w:val="TableText"/>
              <w:jc w:val="center"/>
              <w:rPr>
                <w:sz w:val="22"/>
                <w:szCs w:val="22"/>
              </w:rPr>
            </w:pPr>
          </w:p>
        </w:tc>
        <w:tc>
          <w:tcPr>
            <w:tcW w:w="447"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E2BFD20" w14:textId="77777777" w:rsidR="000B4F1A" w:rsidRPr="00DF1884" w:rsidRDefault="000B4F1A" w:rsidP="00932F29">
            <w:pPr>
              <w:pStyle w:val="TableText"/>
              <w:jc w:val="center"/>
              <w:rPr>
                <w:sz w:val="22"/>
                <w:szCs w:val="22"/>
              </w:rPr>
            </w:pPr>
          </w:p>
        </w:tc>
      </w:tr>
      <w:tr w:rsidR="009D726B" w:rsidRPr="00DF1884" w14:paraId="05A355BA" w14:textId="77777777" w:rsidTr="003E4000">
        <w:trPr>
          <w:cantSplit/>
        </w:trPr>
        <w:tc>
          <w:tcPr>
            <w:tcW w:w="26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75D8ABC" w14:textId="661C6223" w:rsidR="009D726B" w:rsidRPr="00DF1884" w:rsidRDefault="009D726B" w:rsidP="00E9531F">
            <w:pPr>
              <w:pStyle w:val="TableText"/>
              <w:rPr>
                <w:szCs w:val="20"/>
              </w:rPr>
            </w:pPr>
            <w:r>
              <w:rPr>
                <w:szCs w:val="20"/>
              </w:rPr>
              <w:t>SNOMED CT codes</w:t>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AA00658" w14:textId="77777777" w:rsidR="009D726B" w:rsidRPr="00DF1884" w:rsidRDefault="009D726B"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82032B6" w14:textId="77777777" w:rsidR="009D726B" w:rsidRPr="00DF1884" w:rsidRDefault="009D726B"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6465AAA" w14:textId="77777777" w:rsidR="009D726B" w:rsidRPr="00DF1884" w:rsidRDefault="009D726B"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41110D6" w14:textId="77777777" w:rsidR="009D726B" w:rsidRPr="00DF1884" w:rsidRDefault="009D726B"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DBFBCDC" w14:textId="77777777" w:rsidR="009D726B" w:rsidRPr="00DF1884" w:rsidRDefault="009D726B"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FBCF29B" w14:textId="77777777" w:rsidR="009D726B" w:rsidRPr="00DF1884" w:rsidRDefault="009D726B"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EB3DE00" w14:textId="77777777" w:rsidR="009D726B" w:rsidRPr="00DF1884" w:rsidRDefault="009D726B"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558A0F5" w14:textId="77777777" w:rsidR="009D726B" w:rsidRPr="00DF1884" w:rsidRDefault="009D726B"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423B39E" w14:textId="77777777" w:rsidR="009D726B" w:rsidRPr="00DF1884" w:rsidRDefault="009D726B"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8AE7B5C" w14:textId="77777777" w:rsidR="009D726B" w:rsidRPr="00DF1884" w:rsidRDefault="009D726B"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8BF2C6D" w14:textId="77777777" w:rsidR="009D726B" w:rsidRPr="00DF1884" w:rsidRDefault="009D726B"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9180752" w14:textId="77777777" w:rsidR="009D726B" w:rsidRPr="00DF1884" w:rsidRDefault="009D726B"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9DDB7B2" w14:textId="77777777" w:rsidR="009D726B" w:rsidRPr="00DF1884" w:rsidRDefault="009D726B"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9DCF884" w14:textId="77777777" w:rsidR="009D726B" w:rsidRPr="00DF1884" w:rsidRDefault="009D726B"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D36930D" w14:textId="77777777" w:rsidR="009D726B" w:rsidRPr="00DF1884" w:rsidRDefault="009D726B"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1B45548" w14:textId="77777777" w:rsidR="009D726B" w:rsidRPr="00DF1884" w:rsidRDefault="009D726B"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E3872DC" w14:textId="77777777" w:rsidR="009D726B" w:rsidRPr="00DF1884" w:rsidRDefault="009D726B"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69B5B9C" w14:textId="77777777" w:rsidR="009D726B" w:rsidRPr="00DF1884" w:rsidRDefault="009D726B"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116228D" w14:textId="77777777" w:rsidR="009D726B" w:rsidRPr="00DF1884" w:rsidRDefault="009D726B"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9383B84" w14:textId="77777777" w:rsidR="009D726B" w:rsidRPr="00DF1884" w:rsidRDefault="009D726B"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D4FE496" w14:textId="77777777" w:rsidR="009D726B" w:rsidRPr="00DF1884" w:rsidRDefault="009D726B"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D0119B9" w14:textId="77777777" w:rsidR="009D726B" w:rsidRPr="00DF1884" w:rsidRDefault="009D726B"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E448FC5" w14:textId="77777777" w:rsidR="009D726B" w:rsidRPr="00DF1884" w:rsidRDefault="009D726B" w:rsidP="00932F29">
            <w:pPr>
              <w:pStyle w:val="TableText"/>
              <w:jc w:val="center"/>
              <w:rPr>
                <w:sz w:val="22"/>
                <w:szCs w:val="22"/>
              </w:rPr>
            </w:pPr>
          </w:p>
        </w:tc>
        <w:tc>
          <w:tcPr>
            <w:tcW w:w="44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74C4FEF" w14:textId="77777777" w:rsidR="009D726B" w:rsidRPr="00DF1884" w:rsidRDefault="009D726B" w:rsidP="00932F29">
            <w:pPr>
              <w:pStyle w:val="TableText"/>
              <w:jc w:val="center"/>
              <w:rPr>
                <w:sz w:val="22"/>
                <w:szCs w:val="22"/>
              </w:rPr>
            </w:pPr>
          </w:p>
        </w:tc>
      </w:tr>
      <w:tr w:rsidR="009D726B" w:rsidRPr="00DF1884" w14:paraId="75E4BA8A" w14:textId="77777777" w:rsidTr="003E4000">
        <w:trPr>
          <w:cantSplit/>
        </w:trPr>
        <w:tc>
          <w:tcPr>
            <w:tcW w:w="2602" w:type="dxa"/>
            <w:tcBorders>
              <w:top w:val="single" w:sz="6" w:space="0" w:color="auto"/>
              <w:left w:val="single" w:sz="6" w:space="0" w:color="auto"/>
              <w:bottom w:val="single" w:sz="6" w:space="0" w:color="auto"/>
              <w:right w:val="single" w:sz="6" w:space="0" w:color="auto"/>
            </w:tcBorders>
            <w:shd w:val="clear" w:color="auto" w:fill="auto"/>
            <w:tcMar>
              <w:left w:w="43" w:type="dxa"/>
              <w:right w:w="43" w:type="dxa"/>
            </w:tcMar>
            <w:vAlign w:val="center"/>
          </w:tcPr>
          <w:p w14:paraId="5245F8B1" w14:textId="320EA2DD" w:rsidR="000B4F1A" w:rsidRPr="00DF1884" w:rsidRDefault="000B4F1A" w:rsidP="00E9531F">
            <w:pPr>
              <w:pStyle w:val="TableText"/>
              <w:rPr>
                <w:sz w:val="22"/>
                <w:szCs w:val="22"/>
              </w:rPr>
            </w:pPr>
            <w:r w:rsidRPr="00DF1884">
              <w:rPr>
                <w:szCs w:val="20"/>
              </w:rPr>
              <w:t>Principal diagnosis</w:t>
            </w:r>
          </w:p>
        </w:tc>
        <w:tc>
          <w:tcPr>
            <w:tcW w:w="395" w:type="dxa"/>
            <w:tcBorders>
              <w:top w:val="single" w:sz="6" w:space="0" w:color="auto"/>
              <w:left w:val="single" w:sz="6" w:space="0" w:color="auto"/>
              <w:bottom w:val="single" w:sz="6" w:space="0" w:color="auto"/>
              <w:right w:val="single" w:sz="6" w:space="0" w:color="auto"/>
            </w:tcBorders>
            <w:shd w:val="clear" w:color="auto" w:fill="auto"/>
            <w:tcMar>
              <w:left w:w="43" w:type="dxa"/>
              <w:right w:w="43" w:type="dxa"/>
            </w:tcMar>
            <w:vAlign w:val="center"/>
          </w:tcPr>
          <w:p w14:paraId="61628972" w14:textId="22D2C3D5"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auto"/>
            <w:vAlign w:val="center"/>
          </w:tcPr>
          <w:p w14:paraId="2E6156BC"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auto"/>
            <w:tcMar>
              <w:left w:w="43" w:type="dxa"/>
              <w:right w:w="43" w:type="dxa"/>
            </w:tcMar>
            <w:vAlign w:val="center"/>
          </w:tcPr>
          <w:p w14:paraId="1C3FD0E1" w14:textId="1E11DD3E"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auto"/>
            <w:vAlign w:val="center"/>
          </w:tcPr>
          <w:p w14:paraId="28FB7AC7"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auto"/>
            <w:tcMar>
              <w:left w:w="43" w:type="dxa"/>
              <w:right w:w="43" w:type="dxa"/>
            </w:tcMar>
            <w:vAlign w:val="center"/>
          </w:tcPr>
          <w:p w14:paraId="573D01E2" w14:textId="121ACB71"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auto"/>
            <w:tcMar>
              <w:left w:w="43" w:type="dxa"/>
              <w:right w:w="43" w:type="dxa"/>
            </w:tcMar>
            <w:vAlign w:val="center"/>
          </w:tcPr>
          <w:p w14:paraId="5A7E1324"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auto"/>
            <w:tcMar>
              <w:left w:w="43" w:type="dxa"/>
              <w:right w:w="43" w:type="dxa"/>
            </w:tcMar>
            <w:vAlign w:val="center"/>
          </w:tcPr>
          <w:p w14:paraId="767DFDB8"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auto"/>
            <w:tcMar>
              <w:left w:w="43" w:type="dxa"/>
              <w:right w:w="43" w:type="dxa"/>
            </w:tcMar>
            <w:vAlign w:val="center"/>
          </w:tcPr>
          <w:p w14:paraId="5A7B6771" w14:textId="77777777"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auto"/>
            <w:tcMar>
              <w:left w:w="43" w:type="dxa"/>
              <w:right w:w="43" w:type="dxa"/>
            </w:tcMar>
            <w:vAlign w:val="center"/>
          </w:tcPr>
          <w:p w14:paraId="4B3C2D98" w14:textId="77777777" w:rsidR="000B4F1A" w:rsidRPr="00DF1884" w:rsidRDefault="000B4F1A" w:rsidP="00932F29">
            <w:pPr>
              <w:pStyle w:val="TableText"/>
              <w:jc w:val="center"/>
              <w:rPr>
                <w:sz w:val="22"/>
                <w:szCs w:val="22"/>
                <w:highlight w:val="yellow"/>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auto"/>
            <w:tcMar>
              <w:left w:w="43" w:type="dxa"/>
              <w:right w:w="43" w:type="dxa"/>
            </w:tcMar>
            <w:vAlign w:val="center"/>
          </w:tcPr>
          <w:p w14:paraId="5EAE0E5D"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auto"/>
            <w:tcMar>
              <w:left w:w="43" w:type="dxa"/>
              <w:right w:w="43" w:type="dxa"/>
            </w:tcMar>
            <w:vAlign w:val="center"/>
          </w:tcPr>
          <w:p w14:paraId="5669E013"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auto"/>
            <w:tcMar>
              <w:left w:w="43" w:type="dxa"/>
              <w:right w:w="43" w:type="dxa"/>
            </w:tcMar>
            <w:vAlign w:val="center"/>
          </w:tcPr>
          <w:p w14:paraId="36C60E06"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auto"/>
            <w:tcMar>
              <w:left w:w="43" w:type="dxa"/>
              <w:right w:w="43" w:type="dxa"/>
            </w:tcMar>
            <w:vAlign w:val="center"/>
          </w:tcPr>
          <w:p w14:paraId="6714BCD7"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auto"/>
            <w:tcMar>
              <w:left w:w="43" w:type="dxa"/>
              <w:right w:w="43" w:type="dxa"/>
            </w:tcMar>
            <w:vAlign w:val="center"/>
          </w:tcPr>
          <w:p w14:paraId="31824C8A"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auto"/>
            <w:tcMar>
              <w:left w:w="43" w:type="dxa"/>
              <w:right w:w="43" w:type="dxa"/>
            </w:tcMar>
            <w:vAlign w:val="center"/>
          </w:tcPr>
          <w:p w14:paraId="6EBF0D91"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auto"/>
            <w:tcMar>
              <w:left w:w="43" w:type="dxa"/>
              <w:right w:w="43" w:type="dxa"/>
            </w:tcMar>
            <w:vAlign w:val="center"/>
          </w:tcPr>
          <w:p w14:paraId="32785FCC"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auto"/>
            <w:vAlign w:val="center"/>
          </w:tcPr>
          <w:p w14:paraId="7E1DAE9C"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auto"/>
            <w:vAlign w:val="center"/>
          </w:tcPr>
          <w:p w14:paraId="23EEBA58"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auto"/>
            <w:vAlign w:val="center"/>
          </w:tcPr>
          <w:p w14:paraId="0B8057B6" w14:textId="71D6EDB5"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auto"/>
            <w:vAlign w:val="center"/>
          </w:tcPr>
          <w:p w14:paraId="208B3758"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auto"/>
            <w:vAlign w:val="center"/>
          </w:tcPr>
          <w:p w14:paraId="10CC3753" w14:textId="761AB441" w:rsidR="000B4F1A" w:rsidRPr="00DF1884" w:rsidRDefault="000B4F1A" w:rsidP="00932F29">
            <w:pPr>
              <w:pStyle w:val="TableText"/>
              <w:jc w:val="center"/>
              <w:rPr>
                <w:sz w:val="22"/>
                <w:szCs w:val="22"/>
              </w:rPr>
            </w:pPr>
            <w:r w:rsidRPr="00DF1884">
              <w:rPr>
                <w:sz w:val="22"/>
                <w:szCs w:val="22"/>
              </w:rPr>
              <w:sym w:font="Wingdings" w:char="F0FC"/>
            </w:r>
          </w:p>
        </w:tc>
        <w:tc>
          <w:tcPr>
            <w:tcW w:w="395" w:type="dxa"/>
            <w:tcBorders>
              <w:top w:val="single" w:sz="6" w:space="0" w:color="auto"/>
              <w:left w:val="single" w:sz="6" w:space="0" w:color="auto"/>
              <w:bottom w:val="single" w:sz="6" w:space="0" w:color="auto"/>
              <w:right w:val="single" w:sz="6" w:space="0" w:color="auto"/>
            </w:tcBorders>
            <w:shd w:val="clear" w:color="auto" w:fill="auto"/>
            <w:vAlign w:val="center"/>
          </w:tcPr>
          <w:p w14:paraId="0DC2BB3C"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auto"/>
            <w:vAlign w:val="center"/>
          </w:tcPr>
          <w:p w14:paraId="4EFFF325" w14:textId="7BD3F74A" w:rsidR="000B4F1A" w:rsidRPr="00DF1884" w:rsidRDefault="000B4F1A" w:rsidP="00932F29">
            <w:pPr>
              <w:pStyle w:val="TableText"/>
              <w:jc w:val="center"/>
              <w:rPr>
                <w:sz w:val="22"/>
                <w:szCs w:val="22"/>
              </w:rPr>
            </w:pPr>
          </w:p>
        </w:tc>
        <w:tc>
          <w:tcPr>
            <w:tcW w:w="447" w:type="dxa"/>
            <w:tcBorders>
              <w:top w:val="single" w:sz="6" w:space="0" w:color="auto"/>
              <w:left w:val="single" w:sz="6" w:space="0" w:color="auto"/>
              <w:bottom w:val="single" w:sz="6" w:space="0" w:color="auto"/>
              <w:right w:val="single" w:sz="6" w:space="0" w:color="auto"/>
            </w:tcBorders>
            <w:shd w:val="clear" w:color="auto" w:fill="auto"/>
            <w:tcMar>
              <w:left w:w="43" w:type="dxa"/>
              <w:right w:w="43" w:type="dxa"/>
            </w:tcMar>
            <w:vAlign w:val="center"/>
          </w:tcPr>
          <w:p w14:paraId="4C1FAAB5" w14:textId="77777777" w:rsidR="000B4F1A" w:rsidRPr="00DF1884" w:rsidRDefault="000B4F1A" w:rsidP="00932F29">
            <w:pPr>
              <w:pStyle w:val="TableText"/>
              <w:jc w:val="center"/>
              <w:rPr>
                <w:sz w:val="22"/>
                <w:szCs w:val="22"/>
              </w:rPr>
            </w:pPr>
          </w:p>
        </w:tc>
      </w:tr>
      <w:tr w:rsidR="009D726B" w:rsidRPr="00DF1884" w14:paraId="2841F842" w14:textId="77777777" w:rsidTr="003E4000">
        <w:trPr>
          <w:cantSplit/>
        </w:trPr>
        <w:tc>
          <w:tcPr>
            <w:tcW w:w="26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2D549B3" w14:textId="44EE5B58" w:rsidR="000B4F1A" w:rsidRPr="00DF1884" w:rsidRDefault="000B4F1A" w:rsidP="00E9531F">
            <w:pPr>
              <w:pStyle w:val="TableText"/>
              <w:rPr>
                <w:sz w:val="22"/>
                <w:szCs w:val="22"/>
              </w:rPr>
            </w:pPr>
            <w:r w:rsidRPr="00DF1884">
              <w:rPr>
                <w:szCs w:val="20"/>
              </w:rPr>
              <w:t>Survey measure</w:t>
            </w: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B7944C0" w14:textId="0BC15C46"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06328EB"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64F42BA" w14:textId="67494183"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B9F3006"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9BFD6A1" w14:textId="52A1FE22"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F999809"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4BC03F4"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BF06DD9"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1B2FF3D" w14:textId="77777777" w:rsidR="000B4F1A" w:rsidRPr="00DF1884" w:rsidRDefault="000B4F1A" w:rsidP="00932F29">
            <w:pPr>
              <w:pStyle w:val="TableText"/>
              <w:jc w:val="center"/>
              <w:rPr>
                <w:sz w:val="22"/>
                <w:szCs w:val="22"/>
                <w:highlight w:val="yellow"/>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AF6A618"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34EC5E1"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00A1671"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E0BAE64"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B14C7A5"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73BCBC0"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C04512D"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CAE350A"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75E0390"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6CCB1D8"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94BAB26"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BB2E070"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371553D" w14:textId="77777777" w:rsidR="000B4F1A" w:rsidRPr="00DF1884" w:rsidRDefault="000B4F1A" w:rsidP="00932F29">
            <w:pPr>
              <w:pStyle w:val="TableText"/>
              <w:jc w:val="center"/>
              <w:rPr>
                <w:sz w:val="22"/>
                <w:szCs w:val="22"/>
              </w:rPr>
            </w:pPr>
          </w:p>
        </w:tc>
        <w:tc>
          <w:tcPr>
            <w:tcW w:w="3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CAB0FAE" w14:textId="0295AF43" w:rsidR="000B4F1A" w:rsidRPr="00DF1884" w:rsidRDefault="000B4F1A" w:rsidP="00932F29">
            <w:pPr>
              <w:pStyle w:val="TableText"/>
              <w:jc w:val="center"/>
              <w:rPr>
                <w:sz w:val="22"/>
                <w:szCs w:val="22"/>
              </w:rPr>
            </w:pPr>
          </w:p>
        </w:tc>
        <w:tc>
          <w:tcPr>
            <w:tcW w:w="44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9854202" w14:textId="77777777" w:rsidR="000B4F1A" w:rsidRPr="00DF1884" w:rsidRDefault="000B4F1A" w:rsidP="00932F29">
            <w:pPr>
              <w:pStyle w:val="TableText"/>
              <w:jc w:val="center"/>
              <w:rPr>
                <w:sz w:val="22"/>
                <w:szCs w:val="22"/>
              </w:rPr>
            </w:pPr>
          </w:p>
        </w:tc>
      </w:tr>
    </w:tbl>
    <w:p w14:paraId="726F8413" w14:textId="4159AC12" w:rsidR="004D1F03" w:rsidRPr="00DF1884" w:rsidRDefault="00726EF0" w:rsidP="009D7D43">
      <w:pPr>
        <w:pStyle w:val="TableText"/>
      </w:pPr>
      <w:r>
        <w:rPr>
          <w:sz w:val="22"/>
          <w:szCs w:val="22"/>
          <w:vertAlign w:val="superscript"/>
        </w:rPr>
        <w:t>1</w:t>
      </w:r>
      <w:r w:rsidR="004D1F03" w:rsidRPr="00DF1884">
        <w:t>Applies</w:t>
      </w:r>
      <w:r w:rsidR="00DF1884" w:rsidRPr="00DF1884">
        <w:t xml:space="preserve"> </w:t>
      </w:r>
      <w:r w:rsidR="004D1F03" w:rsidRPr="00DF1884">
        <w:t>to</w:t>
      </w:r>
      <w:r w:rsidR="00DF1884" w:rsidRPr="00DF1884">
        <w:t xml:space="preserve"> </w:t>
      </w:r>
      <w:r w:rsidR="004D1F03" w:rsidRPr="00DF1884">
        <w:t>the</w:t>
      </w:r>
      <w:r w:rsidR="00DF1884" w:rsidRPr="00DF1884">
        <w:t xml:space="preserve"> </w:t>
      </w:r>
      <w:r w:rsidR="004D1F03" w:rsidRPr="00DF1884">
        <w:t>Optional</w:t>
      </w:r>
      <w:r w:rsidR="00DF1884" w:rsidRPr="00DF1884">
        <w:t xml:space="preserve"> </w:t>
      </w:r>
      <w:r w:rsidR="004D1F03" w:rsidRPr="00DF1884">
        <w:t>Exclusion</w:t>
      </w:r>
      <w:r w:rsidR="00DF1884" w:rsidRPr="00DF1884">
        <w:t xml:space="preserve"> </w:t>
      </w:r>
      <w:r w:rsidR="004D1F03" w:rsidRPr="00DF1884">
        <w:t>criteria.</w:t>
      </w:r>
      <w:r w:rsidR="00DF1884" w:rsidRPr="00DF1884">
        <w:t xml:space="preserve"> </w:t>
      </w:r>
    </w:p>
    <w:p w14:paraId="4729ED03" w14:textId="7A6E8066" w:rsidR="004D1F03" w:rsidRPr="00DF1884" w:rsidRDefault="004D1F03" w:rsidP="004D1F03">
      <w:pPr>
        <w:pStyle w:val="TableText"/>
        <w:spacing w:before="120"/>
      </w:pPr>
    </w:p>
    <w:p w14:paraId="05DDB1EE" w14:textId="03660CBF" w:rsidR="009604F5" w:rsidRPr="00DF1884" w:rsidRDefault="009604F5" w:rsidP="00DF1884">
      <w:pPr>
        <w:pStyle w:val="MarginSubhead"/>
        <w:spacing w:before="1680"/>
        <w:ind w:left="0"/>
        <w:rPr>
          <w:b w:val="0"/>
          <w:sz w:val="18"/>
          <w:szCs w:val="18"/>
        </w:rPr>
      </w:pPr>
      <w:r w:rsidRPr="00DF1884">
        <w:rPr>
          <w:b w:val="0"/>
          <w:sz w:val="18"/>
          <w:szCs w:val="18"/>
        </w:rPr>
        <w:t>__</w:t>
      </w:r>
      <w:r w:rsidR="00DF1884">
        <w:rPr>
          <w:b w:val="0"/>
          <w:sz w:val="18"/>
          <w:szCs w:val="18"/>
        </w:rPr>
        <w:t>_______</w:t>
      </w:r>
      <w:r w:rsidRPr="00DF1884">
        <w:rPr>
          <w:b w:val="0"/>
          <w:sz w:val="18"/>
          <w:szCs w:val="18"/>
        </w:rPr>
        <w:t>____</w:t>
      </w:r>
    </w:p>
    <w:p w14:paraId="24FFA28C" w14:textId="054E84EB" w:rsidR="009604F5" w:rsidRPr="00DF1884" w:rsidRDefault="009604F5" w:rsidP="009604F5">
      <w:pPr>
        <w:pStyle w:val="MarginSubhead"/>
        <w:spacing w:before="60"/>
        <w:ind w:left="0"/>
        <w:rPr>
          <w:b w:val="0"/>
          <w:sz w:val="18"/>
          <w:szCs w:val="18"/>
        </w:rPr>
      </w:pPr>
      <w:r w:rsidRPr="00DF1884">
        <w:rPr>
          <w:b w:val="0"/>
          <w:sz w:val="18"/>
          <w:szCs w:val="18"/>
        </w:rPr>
        <w:t>Current</w:t>
      </w:r>
      <w:r w:rsidR="00DF1884" w:rsidRPr="00DF1884">
        <w:rPr>
          <w:b w:val="0"/>
          <w:sz w:val="18"/>
          <w:szCs w:val="18"/>
        </w:rPr>
        <w:t xml:space="preserve"> </w:t>
      </w:r>
      <w:r w:rsidRPr="00DF1884">
        <w:rPr>
          <w:b w:val="0"/>
          <w:sz w:val="18"/>
          <w:szCs w:val="18"/>
        </w:rPr>
        <w:t>Procedural</w:t>
      </w:r>
      <w:r w:rsidR="00DF1884" w:rsidRPr="00DF1884">
        <w:rPr>
          <w:b w:val="0"/>
          <w:sz w:val="18"/>
          <w:szCs w:val="18"/>
        </w:rPr>
        <w:t xml:space="preserve"> </w:t>
      </w:r>
      <w:r w:rsidRPr="00DF1884">
        <w:rPr>
          <w:b w:val="0"/>
          <w:sz w:val="18"/>
          <w:szCs w:val="18"/>
        </w:rPr>
        <w:t>Terminology</w:t>
      </w:r>
      <w:r w:rsidR="00DF1884" w:rsidRPr="00DF1884">
        <w:rPr>
          <w:b w:val="0"/>
          <w:sz w:val="18"/>
          <w:szCs w:val="18"/>
        </w:rPr>
        <w:t xml:space="preserve"> </w:t>
      </w:r>
      <w:r w:rsidRPr="00DF1884">
        <w:rPr>
          <w:b w:val="0"/>
          <w:sz w:val="18"/>
          <w:szCs w:val="18"/>
        </w:rPr>
        <w:t>©</w:t>
      </w:r>
      <w:r w:rsidR="00DF1884" w:rsidRPr="00DF1884">
        <w:rPr>
          <w:b w:val="0"/>
          <w:sz w:val="18"/>
          <w:szCs w:val="18"/>
        </w:rPr>
        <w:t xml:space="preserve"> </w:t>
      </w:r>
      <w:r w:rsidRPr="00DF1884">
        <w:rPr>
          <w:b w:val="0"/>
          <w:sz w:val="18"/>
          <w:szCs w:val="18"/>
        </w:rPr>
        <w:t>201</w:t>
      </w:r>
      <w:r w:rsidR="00601723" w:rsidRPr="00DF1884">
        <w:rPr>
          <w:b w:val="0"/>
          <w:sz w:val="18"/>
          <w:szCs w:val="18"/>
        </w:rPr>
        <w:t>5</w:t>
      </w:r>
      <w:r w:rsidR="00DF1884" w:rsidRPr="00DF1884">
        <w:rPr>
          <w:b w:val="0"/>
          <w:sz w:val="18"/>
          <w:szCs w:val="18"/>
        </w:rPr>
        <w:t xml:space="preserve"> </w:t>
      </w:r>
      <w:r w:rsidRPr="00DF1884">
        <w:rPr>
          <w:b w:val="0"/>
          <w:sz w:val="18"/>
          <w:szCs w:val="18"/>
        </w:rPr>
        <w:t>American</w:t>
      </w:r>
      <w:r w:rsidR="00DF1884" w:rsidRPr="00DF1884">
        <w:rPr>
          <w:b w:val="0"/>
          <w:sz w:val="18"/>
          <w:szCs w:val="18"/>
        </w:rPr>
        <w:t xml:space="preserve"> </w:t>
      </w:r>
      <w:r w:rsidRPr="00DF1884">
        <w:rPr>
          <w:b w:val="0"/>
          <w:sz w:val="18"/>
          <w:szCs w:val="18"/>
        </w:rPr>
        <w:t>Medical</w:t>
      </w:r>
      <w:r w:rsidR="00DF1884" w:rsidRPr="00DF1884">
        <w:rPr>
          <w:b w:val="0"/>
          <w:sz w:val="18"/>
          <w:szCs w:val="18"/>
        </w:rPr>
        <w:t xml:space="preserve"> </w:t>
      </w:r>
      <w:r w:rsidRPr="00DF1884">
        <w:rPr>
          <w:b w:val="0"/>
          <w:sz w:val="18"/>
          <w:szCs w:val="18"/>
        </w:rPr>
        <w:t>Association.</w:t>
      </w:r>
      <w:r w:rsidR="00DF1884" w:rsidRPr="00DF1884">
        <w:rPr>
          <w:b w:val="0"/>
          <w:sz w:val="18"/>
          <w:szCs w:val="18"/>
        </w:rPr>
        <w:t xml:space="preserve"> </w:t>
      </w:r>
      <w:r w:rsidRPr="00DF1884">
        <w:rPr>
          <w:b w:val="0"/>
          <w:sz w:val="18"/>
          <w:szCs w:val="18"/>
        </w:rPr>
        <w:t>All</w:t>
      </w:r>
      <w:r w:rsidR="00DF1884" w:rsidRPr="00DF1884">
        <w:rPr>
          <w:b w:val="0"/>
          <w:sz w:val="18"/>
          <w:szCs w:val="18"/>
        </w:rPr>
        <w:t xml:space="preserve"> </w:t>
      </w:r>
      <w:r w:rsidRPr="00DF1884">
        <w:rPr>
          <w:b w:val="0"/>
          <w:sz w:val="18"/>
          <w:szCs w:val="18"/>
        </w:rPr>
        <w:t>rights</w:t>
      </w:r>
      <w:r w:rsidR="00DF1884" w:rsidRPr="00DF1884">
        <w:rPr>
          <w:b w:val="0"/>
          <w:sz w:val="18"/>
          <w:szCs w:val="18"/>
        </w:rPr>
        <w:t xml:space="preserve"> </w:t>
      </w:r>
      <w:r w:rsidRPr="00DF1884">
        <w:rPr>
          <w:b w:val="0"/>
          <w:sz w:val="18"/>
          <w:szCs w:val="18"/>
        </w:rPr>
        <w:t>reserved.</w:t>
      </w:r>
    </w:p>
    <w:p w14:paraId="7E0B9957" w14:textId="77777777" w:rsidR="009604F5" w:rsidRPr="00DF1884" w:rsidRDefault="009604F5" w:rsidP="009604F5">
      <w:pPr>
        <w:pStyle w:val="MarginSubhead"/>
        <w:spacing w:before="60"/>
        <w:ind w:left="0"/>
        <w:rPr>
          <w:b w:val="0"/>
          <w:sz w:val="18"/>
          <w:szCs w:val="18"/>
        </w:rPr>
        <w:sectPr w:rsidR="009604F5" w:rsidRPr="00DF1884" w:rsidSect="00DF1884">
          <w:headerReference w:type="even" r:id="rId141"/>
          <w:headerReference w:type="default" r:id="rId142"/>
          <w:footerReference w:type="default" r:id="rId143"/>
          <w:pgSz w:w="15840" w:h="12240" w:orient="landscape" w:code="1"/>
          <w:pgMar w:top="1440" w:right="1080" w:bottom="1080" w:left="1080" w:header="720" w:footer="720" w:gutter="0"/>
          <w:cols w:space="720"/>
          <w:docGrid w:linePitch="272"/>
        </w:sectPr>
      </w:pPr>
    </w:p>
    <w:tbl>
      <w:tblPr>
        <w:tblW w:w="10804" w:type="dxa"/>
        <w:tblLayout w:type="fixed"/>
        <w:tblLook w:val="0000" w:firstRow="0" w:lastRow="0" w:firstColumn="0" w:lastColumn="0" w:noHBand="0" w:noVBand="0"/>
      </w:tblPr>
      <w:tblGrid>
        <w:gridCol w:w="1342"/>
        <w:gridCol w:w="363"/>
        <w:gridCol w:w="364"/>
        <w:gridCol w:w="364"/>
        <w:gridCol w:w="364"/>
        <w:gridCol w:w="364"/>
        <w:gridCol w:w="364"/>
        <w:gridCol w:w="364"/>
        <w:gridCol w:w="364"/>
        <w:gridCol w:w="364"/>
        <w:gridCol w:w="364"/>
        <w:gridCol w:w="364"/>
        <w:gridCol w:w="363"/>
        <w:gridCol w:w="364"/>
        <w:gridCol w:w="364"/>
        <w:gridCol w:w="364"/>
        <w:gridCol w:w="364"/>
        <w:gridCol w:w="364"/>
        <w:gridCol w:w="364"/>
        <w:gridCol w:w="364"/>
        <w:gridCol w:w="364"/>
        <w:gridCol w:w="364"/>
        <w:gridCol w:w="364"/>
        <w:gridCol w:w="286"/>
        <w:gridCol w:w="390"/>
        <w:gridCol w:w="390"/>
        <w:gridCol w:w="390"/>
      </w:tblGrid>
      <w:tr w:rsidR="00DF1884" w:rsidRPr="00DF1884" w14:paraId="7F23FBA6" w14:textId="77777777" w:rsidTr="00DF1884">
        <w:trPr>
          <w:cantSplit/>
        </w:trPr>
        <w:tc>
          <w:tcPr>
            <w:tcW w:w="10804" w:type="dxa"/>
            <w:gridSpan w:val="27"/>
            <w:tcBorders>
              <w:top w:val="single" w:sz="6" w:space="0" w:color="FFFFFF" w:themeColor="background1"/>
              <w:left w:val="single" w:sz="6" w:space="0" w:color="auto"/>
              <w:bottom w:val="single" w:sz="4" w:space="0" w:color="FFFFFF" w:themeColor="background1"/>
              <w:right w:val="single" w:sz="4" w:space="0" w:color="auto"/>
            </w:tcBorders>
            <w:shd w:val="clear" w:color="auto" w:fill="000000"/>
          </w:tcPr>
          <w:p w14:paraId="1E069F8F" w14:textId="08F01134" w:rsidR="00DF1884" w:rsidRPr="00DF1884" w:rsidRDefault="00DF1884" w:rsidP="00E9531F">
            <w:pPr>
              <w:pStyle w:val="TableHead"/>
              <w:rPr>
                <w:rFonts w:ascii="Arial Narrow Bold"/>
                <w:color w:val="auto"/>
              </w:rPr>
            </w:pPr>
            <w:r w:rsidRPr="00DF1884">
              <w:rPr>
                <w:color w:val="auto"/>
              </w:rPr>
              <w:t>ACCESS/AVA</w:t>
            </w:r>
            <w:r w:rsidR="008859E9">
              <w:rPr>
                <w:color w:val="auto"/>
              </w:rPr>
              <w:t xml:space="preserve">ILABILITY OF CARE, UTILIZATION AND </w:t>
            </w:r>
            <w:r w:rsidRPr="00DF1884">
              <w:rPr>
                <w:color w:val="auto"/>
              </w:rPr>
              <w:t>RISK ADJUSTED UTILIZATION</w:t>
            </w:r>
            <w:r w:rsidR="008859E9">
              <w:rPr>
                <w:color w:val="auto"/>
              </w:rPr>
              <w:t>,</w:t>
            </w:r>
            <w:r w:rsidRPr="00DF1884">
              <w:rPr>
                <w:color w:val="auto"/>
              </w:rPr>
              <w:t xml:space="preserve"> AND RELATIVE RESOURCE USE MEASURES</w:t>
            </w:r>
          </w:p>
        </w:tc>
      </w:tr>
      <w:tr w:rsidR="00DF1884" w:rsidRPr="00DF1884" w14:paraId="133FDB34" w14:textId="77777777" w:rsidTr="00A63675">
        <w:trPr>
          <w:cantSplit/>
          <w:trHeight w:val="576"/>
        </w:trPr>
        <w:tc>
          <w:tcPr>
            <w:tcW w:w="1342" w:type="dxa"/>
            <w:tcBorders>
              <w:top w:val="single" w:sz="4" w:space="0" w:color="FFFFFF" w:themeColor="background1"/>
              <w:left w:val="single" w:sz="6" w:space="0" w:color="auto"/>
              <w:bottom w:val="single" w:sz="6" w:space="0" w:color="auto"/>
              <w:right w:val="single" w:sz="6" w:space="0" w:color="FFFFFF"/>
            </w:tcBorders>
            <w:shd w:val="clear" w:color="auto" w:fill="000000"/>
            <w:tcMar>
              <w:left w:w="43" w:type="dxa"/>
              <w:right w:w="43" w:type="dxa"/>
            </w:tcMar>
            <w:vAlign w:val="bottom"/>
          </w:tcPr>
          <w:p w14:paraId="227A132E" w14:textId="539FFF52" w:rsidR="00A63675" w:rsidRPr="00DF1884" w:rsidRDefault="00A63675" w:rsidP="00E9531F">
            <w:pPr>
              <w:pStyle w:val="TableHead"/>
              <w:rPr>
                <w:color w:val="auto"/>
              </w:rPr>
            </w:pPr>
            <w:r w:rsidRPr="00DF1884">
              <w:rPr>
                <w:color w:val="auto"/>
              </w:rPr>
              <w:br w:type="page"/>
              <w:t>Logical</w:t>
            </w:r>
            <w:r w:rsidR="00DF1884" w:rsidRPr="00DF1884">
              <w:rPr>
                <w:color w:val="auto"/>
              </w:rPr>
              <w:t xml:space="preserve"> </w:t>
            </w:r>
            <w:r w:rsidRPr="00DF1884">
              <w:rPr>
                <w:color w:val="auto"/>
              </w:rPr>
              <w:t>Group</w:t>
            </w:r>
          </w:p>
        </w:tc>
        <w:tc>
          <w:tcPr>
            <w:tcW w:w="363"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403E9990" w14:textId="77777777" w:rsidR="00A63675" w:rsidRPr="00DF1884" w:rsidRDefault="00A63675" w:rsidP="00E9531F">
            <w:pPr>
              <w:pStyle w:val="TableHead"/>
              <w:ind w:left="43"/>
              <w:jc w:val="left"/>
              <w:rPr>
                <w:color w:val="auto"/>
              </w:rPr>
            </w:pPr>
            <w:r w:rsidRPr="00DF1884">
              <w:rPr>
                <w:color w:val="auto"/>
              </w:rPr>
              <w:t>AAP</w:t>
            </w:r>
          </w:p>
        </w:tc>
        <w:tc>
          <w:tcPr>
            <w:tcW w:w="364"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3C95F896" w14:textId="77777777" w:rsidR="00A63675" w:rsidRPr="00DF1884" w:rsidRDefault="00A63675" w:rsidP="00E9531F">
            <w:pPr>
              <w:pStyle w:val="TableHead"/>
              <w:ind w:left="43"/>
              <w:jc w:val="left"/>
              <w:rPr>
                <w:color w:val="auto"/>
              </w:rPr>
            </w:pPr>
            <w:r w:rsidRPr="00DF1884">
              <w:rPr>
                <w:color w:val="auto"/>
              </w:rPr>
              <w:t>CAP</w:t>
            </w:r>
          </w:p>
        </w:tc>
        <w:tc>
          <w:tcPr>
            <w:tcW w:w="364"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606E7313" w14:textId="77777777" w:rsidR="00A63675" w:rsidRPr="00DF1884" w:rsidRDefault="00A63675" w:rsidP="00E9531F">
            <w:pPr>
              <w:pStyle w:val="TableHead"/>
              <w:ind w:left="43"/>
              <w:jc w:val="left"/>
              <w:rPr>
                <w:color w:val="auto"/>
              </w:rPr>
            </w:pPr>
            <w:r w:rsidRPr="00DF1884">
              <w:rPr>
                <w:color w:val="auto"/>
              </w:rPr>
              <w:t>ADV</w:t>
            </w:r>
          </w:p>
        </w:tc>
        <w:tc>
          <w:tcPr>
            <w:tcW w:w="364"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08417EEA" w14:textId="77777777" w:rsidR="00A63675" w:rsidRPr="00DF1884" w:rsidRDefault="00A63675" w:rsidP="00E9531F">
            <w:pPr>
              <w:pStyle w:val="TableHead"/>
              <w:ind w:left="43"/>
              <w:jc w:val="left"/>
              <w:rPr>
                <w:color w:val="auto"/>
              </w:rPr>
            </w:pPr>
            <w:r w:rsidRPr="00DF1884">
              <w:rPr>
                <w:color w:val="auto"/>
              </w:rPr>
              <w:t>IET</w:t>
            </w:r>
          </w:p>
        </w:tc>
        <w:tc>
          <w:tcPr>
            <w:tcW w:w="364"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53AE96C5" w14:textId="77777777" w:rsidR="00A63675" w:rsidRPr="00DF1884" w:rsidRDefault="00A63675" w:rsidP="00E9531F">
            <w:pPr>
              <w:pStyle w:val="TableHead"/>
              <w:ind w:left="43"/>
              <w:jc w:val="left"/>
              <w:rPr>
                <w:color w:val="auto"/>
              </w:rPr>
            </w:pPr>
            <w:r w:rsidRPr="00DF1884">
              <w:rPr>
                <w:color w:val="auto"/>
              </w:rPr>
              <w:t>PPC</w:t>
            </w:r>
          </w:p>
        </w:tc>
        <w:tc>
          <w:tcPr>
            <w:tcW w:w="364"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6BDAF382" w14:textId="77777777" w:rsidR="00A63675" w:rsidRPr="00DF1884" w:rsidRDefault="00A63675" w:rsidP="00E9531F">
            <w:pPr>
              <w:pStyle w:val="TableHead"/>
              <w:ind w:left="43"/>
              <w:jc w:val="left"/>
              <w:rPr>
                <w:color w:val="auto"/>
              </w:rPr>
            </w:pPr>
            <w:r w:rsidRPr="00DF1884">
              <w:rPr>
                <w:color w:val="auto"/>
              </w:rPr>
              <w:t>CAT</w:t>
            </w:r>
          </w:p>
        </w:tc>
        <w:tc>
          <w:tcPr>
            <w:tcW w:w="364"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49BCAA4D" w14:textId="77777777" w:rsidR="00A63675" w:rsidRPr="00DF1884" w:rsidRDefault="00A63675" w:rsidP="00E9531F">
            <w:pPr>
              <w:pStyle w:val="TableHead"/>
              <w:ind w:left="43"/>
              <w:jc w:val="left"/>
              <w:rPr>
                <w:color w:val="auto"/>
              </w:rPr>
            </w:pPr>
            <w:r w:rsidRPr="00DF1884">
              <w:rPr>
                <w:color w:val="auto"/>
              </w:rPr>
              <w:t>APP</w:t>
            </w:r>
          </w:p>
        </w:tc>
        <w:tc>
          <w:tcPr>
            <w:tcW w:w="364"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65DE3159" w14:textId="77777777" w:rsidR="00A63675" w:rsidRPr="00DF1884" w:rsidRDefault="00A63675" w:rsidP="00E9531F">
            <w:pPr>
              <w:pStyle w:val="TableHead"/>
              <w:ind w:left="43"/>
              <w:jc w:val="left"/>
              <w:rPr>
                <w:color w:val="auto"/>
              </w:rPr>
            </w:pPr>
            <w:r w:rsidRPr="00DF1884">
              <w:rPr>
                <w:color w:val="auto"/>
              </w:rPr>
              <w:t>FPC</w:t>
            </w:r>
          </w:p>
        </w:tc>
        <w:tc>
          <w:tcPr>
            <w:tcW w:w="364"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tcMar>
            <w:textDirection w:val="btLr"/>
            <w:vAlign w:val="center"/>
          </w:tcPr>
          <w:p w14:paraId="18181A52" w14:textId="77777777" w:rsidR="00A63675" w:rsidRPr="00DF1884" w:rsidRDefault="00A63675" w:rsidP="00E9531F">
            <w:pPr>
              <w:pStyle w:val="TableHead"/>
              <w:ind w:left="43"/>
              <w:jc w:val="left"/>
              <w:rPr>
                <w:color w:val="auto"/>
              </w:rPr>
            </w:pPr>
            <w:r w:rsidRPr="00DF1884">
              <w:rPr>
                <w:color w:val="auto"/>
              </w:rPr>
              <w:t>W15</w:t>
            </w:r>
          </w:p>
        </w:tc>
        <w:tc>
          <w:tcPr>
            <w:tcW w:w="364"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6FB68059" w14:textId="77777777" w:rsidR="00A63675" w:rsidRPr="00DF1884" w:rsidRDefault="00A63675" w:rsidP="00E9531F">
            <w:pPr>
              <w:pStyle w:val="TableHead"/>
              <w:ind w:left="43"/>
              <w:jc w:val="left"/>
              <w:rPr>
                <w:color w:val="auto"/>
              </w:rPr>
            </w:pPr>
            <w:r w:rsidRPr="00DF1884">
              <w:rPr>
                <w:color w:val="auto"/>
              </w:rPr>
              <w:t>W34</w:t>
            </w:r>
          </w:p>
        </w:tc>
        <w:tc>
          <w:tcPr>
            <w:tcW w:w="364" w:type="dxa"/>
            <w:tcBorders>
              <w:top w:val="single" w:sz="6" w:space="0" w:color="FFFFFF" w:themeColor="background1"/>
              <w:left w:val="single" w:sz="6" w:space="0" w:color="FFFFFF"/>
              <w:bottom w:val="single" w:sz="6" w:space="0" w:color="auto"/>
              <w:right w:val="single" w:sz="4" w:space="0" w:color="FFFFFF"/>
            </w:tcBorders>
            <w:shd w:val="clear" w:color="auto" w:fill="000000"/>
            <w:tcMar>
              <w:left w:w="43" w:type="dxa"/>
              <w:right w:w="43" w:type="dxa"/>
            </w:tcMar>
            <w:textDirection w:val="btLr"/>
            <w:vAlign w:val="center"/>
          </w:tcPr>
          <w:p w14:paraId="4766B7E3" w14:textId="77777777" w:rsidR="00A63675" w:rsidRPr="00DF1884" w:rsidRDefault="00A63675" w:rsidP="00E9531F">
            <w:pPr>
              <w:pStyle w:val="TableHead"/>
              <w:ind w:left="43"/>
              <w:jc w:val="left"/>
              <w:rPr>
                <w:color w:val="auto"/>
              </w:rPr>
            </w:pPr>
            <w:r w:rsidRPr="00DF1884">
              <w:rPr>
                <w:color w:val="auto"/>
              </w:rPr>
              <w:t>AWC</w:t>
            </w:r>
          </w:p>
        </w:tc>
        <w:tc>
          <w:tcPr>
            <w:tcW w:w="363"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vAlign w:val="center"/>
          </w:tcPr>
          <w:p w14:paraId="4AA96C7C" w14:textId="77777777" w:rsidR="00A63675" w:rsidRPr="00DF1884" w:rsidRDefault="00A63675" w:rsidP="00E9531F">
            <w:pPr>
              <w:pStyle w:val="TableHead"/>
              <w:ind w:left="43"/>
              <w:jc w:val="left"/>
              <w:rPr>
                <w:color w:val="auto"/>
              </w:rPr>
            </w:pPr>
            <w:r w:rsidRPr="00DF1884">
              <w:rPr>
                <w:color w:val="auto"/>
              </w:rPr>
              <w:t>FSP</w:t>
            </w:r>
          </w:p>
        </w:tc>
        <w:tc>
          <w:tcPr>
            <w:tcW w:w="364"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vAlign w:val="center"/>
          </w:tcPr>
          <w:p w14:paraId="60B3B5E6" w14:textId="77777777" w:rsidR="00A63675" w:rsidRPr="00DF1884" w:rsidRDefault="00A63675" w:rsidP="00E9531F">
            <w:pPr>
              <w:pStyle w:val="TableHead"/>
              <w:ind w:left="43"/>
              <w:jc w:val="left"/>
              <w:rPr>
                <w:color w:val="auto"/>
              </w:rPr>
            </w:pPr>
            <w:r w:rsidRPr="00DF1884">
              <w:rPr>
                <w:color w:val="auto"/>
              </w:rPr>
              <w:t>AMB</w:t>
            </w:r>
          </w:p>
        </w:tc>
        <w:tc>
          <w:tcPr>
            <w:tcW w:w="364"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vAlign w:val="center"/>
          </w:tcPr>
          <w:p w14:paraId="69562520" w14:textId="77777777" w:rsidR="00A63675" w:rsidRPr="00DF1884" w:rsidRDefault="00A63675" w:rsidP="00E9531F">
            <w:pPr>
              <w:pStyle w:val="TableHead"/>
              <w:ind w:left="43"/>
              <w:jc w:val="left"/>
              <w:rPr>
                <w:color w:val="auto"/>
              </w:rPr>
            </w:pPr>
            <w:r w:rsidRPr="00DF1884">
              <w:rPr>
                <w:color w:val="auto"/>
              </w:rPr>
              <w:t>IPU</w:t>
            </w:r>
          </w:p>
        </w:tc>
        <w:tc>
          <w:tcPr>
            <w:tcW w:w="364"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vAlign w:val="center"/>
          </w:tcPr>
          <w:p w14:paraId="28DB1E09" w14:textId="77777777" w:rsidR="00A63675" w:rsidRPr="00DF1884" w:rsidRDefault="00A63675" w:rsidP="00E9531F">
            <w:pPr>
              <w:pStyle w:val="TableHead"/>
              <w:ind w:left="43"/>
              <w:jc w:val="left"/>
              <w:rPr>
                <w:color w:val="auto"/>
              </w:rPr>
            </w:pPr>
            <w:r w:rsidRPr="00DF1884">
              <w:rPr>
                <w:color w:val="auto"/>
              </w:rPr>
              <w:t>IAD</w:t>
            </w:r>
          </w:p>
        </w:tc>
        <w:tc>
          <w:tcPr>
            <w:tcW w:w="364"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vAlign w:val="center"/>
          </w:tcPr>
          <w:p w14:paraId="791BF7D6" w14:textId="77777777" w:rsidR="00A63675" w:rsidRPr="00DF1884" w:rsidRDefault="00A63675" w:rsidP="00E9531F">
            <w:pPr>
              <w:pStyle w:val="TableHead"/>
              <w:ind w:left="43"/>
              <w:jc w:val="left"/>
              <w:rPr>
                <w:color w:val="auto"/>
              </w:rPr>
            </w:pPr>
            <w:r w:rsidRPr="00DF1884">
              <w:rPr>
                <w:color w:val="auto"/>
              </w:rPr>
              <w:t>MPT</w:t>
            </w:r>
          </w:p>
        </w:tc>
        <w:tc>
          <w:tcPr>
            <w:tcW w:w="364"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vAlign w:val="center"/>
          </w:tcPr>
          <w:p w14:paraId="40FFD244" w14:textId="77777777" w:rsidR="00A63675" w:rsidRPr="00DF1884" w:rsidRDefault="00A63675" w:rsidP="00E9531F">
            <w:pPr>
              <w:pStyle w:val="TableHead"/>
              <w:ind w:left="43"/>
              <w:jc w:val="left"/>
              <w:rPr>
                <w:i/>
                <w:color w:val="auto"/>
                <w:szCs w:val="24"/>
              </w:rPr>
            </w:pPr>
            <w:r w:rsidRPr="00DF1884">
              <w:rPr>
                <w:color w:val="auto"/>
              </w:rPr>
              <w:t>ABX</w:t>
            </w:r>
          </w:p>
        </w:tc>
        <w:tc>
          <w:tcPr>
            <w:tcW w:w="364"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vAlign w:val="center"/>
          </w:tcPr>
          <w:p w14:paraId="3132488E" w14:textId="77777777" w:rsidR="00A63675" w:rsidRPr="00DF1884" w:rsidRDefault="00A63675" w:rsidP="00E9531F">
            <w:pPr>
              <w:pStyle w:val="TableHead"/>
              <w:ind w:left="43"/>
              <w:jc w:val="left"/>
              <w:rPr>
                <w:i/>
                <w:color w:val="auto"/>
                <w:szCs w:val="24"/>
              </w:rPr>
            </w:pPr>
            <w:r w:rsidRPr="00DF1884">
              <w:rPr>
                <w:color w:val="auto"/>
              </w:rPr>
              <w:t>PCR</w:t>
            </w:r>
          </w:p>
        </w:tc>
        <w:tc>
          <w:tcPr>
            <w:tcW w:w="364" w:type="dxa"/>
            <w:tcBorders>
              <w:top w:val="single" w:sz="6" w:space="0" w:color="FFFFFF" w:themeColor="background1"/>
              <w:left w:val="single" w:sz="4" w:space="0" w:color="FFFFFF"/>
              <w:bottom w:val="single" w:sz="6" w:space="0" w:color="auto"/>
              <w:right w:val="single" w:sz="4" w:space="0" w:color="FFFFFF"/>
            </w:tcBorders>
            <w:shd w:val="clear" w:color="auto" w:fill="000000"/>
            <w:textDirection w:val="btLr"/>
          </w:tcPr>
          <w:p w14:paraId="157CE26A" w14:textId="29AD14BD" w:rsidR="00A63675" w:rsidRPr="00DF1884" w:rsidRDefault="00A63675" w:rsidP="00E9531F">
            <w:pPr>
              <w:pStyle w:val="TableHead"/>
              <w:ind w:left="43"/>
              <w:jc w:val="left"/>
              <w:rPr>
                <w:color w:val="auto"/>
              </w:rPr>
            </w:pPr>
            <w:r w:rsidRPr="00DF1884">
              <w:rPr>
                <w:color w:val="auto"/>
              </w:rPr>
              <w:t>IHU</w:t>
            </w:r>
          </w:p>
        </w:tc>
        <w:tc>
          <w:tcPr>
            <w:tcW w:w="364" w:type="dxa"/>
            <w:tcBorders>
              <w:top w:val="single" w:sz="6" w:space="0" w:color="FFFFFF" w:themeColor="background1"/>
              <w:left w:val="single" w:sz="4" w:space="0" w:color="FFFFFF"/>
              <w:bottom w:val="single" w:sz="6" w:space="0" w:color="auto"/>
              <w:right w:val="single" w:sz="4" w:space="0" w:color="FFFFFF"/>
            </w:tcBorders>
            <w:shd w:val="clear" w:color="auto" w:fill="000000"/>
            <w:textDirection w:val="btLr"/>
          </w:tcPr>
          <w:p w14:paraId="6412C3AE" w14:textId="421BA781" w:rsidR="00A63675" w:rsidRPr="00DF1884" w:rsidRDefault="00A63675" w:rsidP="00E9531F">
            <w:pPr>
              <w:pStyle w:val="TableHead"/>
              <w:ind w:left="43"/>
              <w:jc w:val="left"/>
              <w:rPr>
                <w:color w:val="auto"/>
              </w:rPr>
            </w:pPr>
            <w:r w:rsidRPr="00DF1884">
              <w:rPr>
                <w:color w:val="auto"/>
              </w:rPr>
              <w:t>EDU</w:t>
            </w:r>
          </w:p>
        </w:tc>
        <w:tc>
          <w:tcPr>
            <w:tcW w:w="364" w:type="dxa"/>
            <w:tcBorders>
              <w:top w:val="single" w:sz="6" w:space="0" w:color="FFFFFF" w:themeColor="background1"/>
              <w:left w:val="single" w:sz="4" w:space="0" w:color="FFFFFF"/>
              <w:bottom w:val="single" w:sz="6" w:space="0" w:color="auto"/>
              <w:right w:val="single" w:sz="4" w:space="0" w:color="FFFFFF"/>
            </w:tcBorders>
            <w:shd w:val="clear" w:color="auto" w:fill="000000"/>
            <w:textDirection w:val="btLr"/>
          </w:tcPr>
          <w:p w14:paraId="71BD89C6" w14:textId="796FE11A" w:rsidR="00A63675" w:rsidRPr="00DF1884" w:rsidRDefault="00A63675" w:rsidP="00E9531F">
            <w:pPr>
              <w:pStyle w:val="TableHead"/>
              <w:ind w:left="43"/>
              <w:jc w:val="left"/>
              <w:rPr>
                <w:color w:val="auto"/>
              </w:rPr>
            </w:pPr>
            <w:r w:rsidRPr="00DF1884">
              <w:rPr>
                <w:color w:val="auto"/>
              </w:rPr>
              <w:t>HPC</w:t>
            </w:r>
          </w:p>
        </w:tc>
        <w:tc>
          <w:tcPr>
            <w:tcW w:w="364"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vAlign w:val="center"/>
          </w:tcPr>
          <w:p w14:paraId="71163EDB" w14:textId="04B6BEAC" w:rsidR="00A63675" w:rsidRPr="00DF1884" w:rsidRDefault="00A63675" w:rsidP="00E9531F">
            <w:pPr>
              <w:pStyle w:val="TableHead"/>
              <w:ind w:left="43"/>
              <w:jc w:val="left"/>
              <w:rPr>
                <w:rFonts w:ascii="Arial Narrow Bold"/>
                <w:i/>
                <w:color w:val="auto"/>
              </w:rPr>
            </w:pPr>
            <w:r w:rsidRPr="00DF1884">
              <w:rPr>
                <w:color w:val="auto"/>
              </w:rPr>
              <w:t>RDI</w:t>
            </w:r>
          </w:p>
        </w:tc>
        <w:tc>
          <w:tcPr>
            <w:tcW w:w="286"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vAlign w:val="center"/>
          </w:tcPr>
          <w:p w14:paraId="7D765E80" w14:textId="77777777" w:rsidR="00A63675" w:rsidRPr="00DF1884" w:rsidRDefault="00A63675" w:rsidP="00E9531F">
            <w:pPr>
              <w:pStyle w:val="TableHead"/>
              <w:ind w:left="43"/>
              <w:jc w:val="left"/>
              <w:rPr>
                <w:rFonts w:ascii="Arial Narrow Bold"/>
                <w:i/>
                <w:color w:val="auto"/>
              </w:rPr>
            </w:pPr>
            <w:r w:rsidRPr="00DF1884">
              <w:rPr>
                <w:color w:val="auto"/>
              </w:rPr>
              <w:t>RAS</w:t>
            </w:r>
          </w:p>
        </w:tc>
        <w:tc>
          <w:tcPr>
            <w:tcW w:w="390"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tcMar>
            <w:textDirection w:val="btLr"/>
            <w:vAlign w:val="center"/>
          </w:tcPr>
          <w:p w14:paraId="411459F3" w14:textId="77777777" w:rsidR="00A63675" w:rsidRPr="00DF1884" w:rsidRDefault="00A63675" w:rsidP="00E9531F">
            <w:pPr>
              <w:pStyle w:val="TableHead"/>
              <w:ind w:left="43"/>
              <w:jc w:val="left"/>
              <w:rPr>
                <w:rFonts w:ascii="Arial Narrow Bold"/>
                <w:color w:val="auto"/>
              </w:rPr>
            </w:pPr>
            <w:r w:rsidRPr="00DF1884">
              <w:rPr>
                <w:color w:val="auto"/>
              </w:rPr>
              <w:t>RCA</w:t>
            </w:r>
          </w:p>
        </w:tc>
        <w:tc>
          <w:tcPr>
            <w:tcW w:w="390"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vAlign w:val="center"/>
          </w:tcPr>
          <w:p w14:paraId="44CB8616" w14:textId="77777777" w:rsidR="00A63675" w:rsidRPr="00DF1884" w:rsidRDefault="00A63675" w:rsidP="00E9531F">
            <w:pPr>
              <w:pStyle w:val="TableHead"/>
              <w:ind w:left="43" w:right="29"/>
              <w:jc w:val="left"/>
              <w:rPr>
                <w:rFonts w:ascii="Arial Narrow Bold"/>
                <w:color w:val="auto"/>
              </w:rPr>
            </w:pPr>
            <w:r w:rsidRPr="00DF1884">
              <w:rPr>
                <w:color w:val="auto"/>
              </w:rPr>
              <w:t>RHY</w:t>
            </w:r>
          </w:p>
        </w:tc>
        <w:tc>
          <w:tcPr>
            <w:tcW w:w="390" w:type="dxa"/>
            <w:tcBorders>
              <w:top w:val="single" w:sz="6" w:space="0" w:color="FFFFFF" w:themeColor="background1"/>
              <w:left w:val="single" w:sz="4" w:space="0" w:color="FFFFFF"/>
              <w:bottom w:val="single" w:sz="6" w:space="0" w:color="auto"/>
              <w:right w:val="single" w:sz="6" w:space="0" w:color="auto"/>
            </w:tcBorders>
            <w:shd w:val="clear" w:color="auto" w:fill="000000"/>
            <w:tcMar>
              <w:left w:w="43" w:type="dxa"/>
            </w:tcMar>
            <w:textDirection w:val="btLr"/>
            <w:vAlign w:val="center"/>
          </w:tcPr>
          <w:p w14:paraId="4EE3C66B" w14:textId="77777777" w:rsidR="00A63675" w:rsidRPr="00DF1884" w:rsidRDefault="00A63675" w:rsidP="00E9531F">
            <w:pPr>
              <w:pStyle w:val="TableHead"/>
              <w:ind w:left="43" w:right="29"/>
              <w:jc w:val="left"/>
              <w:rPr>
                <w:rFonts w:ascii="Arial Narrow Bold"/>
                <w:color w:val="auto"/>
              </w:rPr>
            </w:pPr>
            <w:r w:rsidRPr="00DF1884">
              <w:rPr>
                <w:color w:val="auto"/>
              </w:rPr>
              <w:t>RCO</w:t>
            </w:r>
          </w:p>
        </w:tc>
      </w:tr>
      <w:tr w:rsidR="00DF1884" w:rsidRPr="00DF1884" w14:paraId="1E7FFE83" w14:textId="77777777" w:rsidTr="00932F29">
        <w:trPr>
          <w:cantSplit/>
        </w:trPr>
        <w:tc>
          <w:tcPr>
            <w:tcW w:w="1342"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3C915B0" w14:textId="77777777" w:rsidR="00A63675" w:rsidRPr="00DF1884" w:rsidRDefault="00A63675" w:rsidP="00E9531F">
            <w:pPr>
              <w:pStyle w:val="TableText"/>
              <w:rPr>
                <w:szCs w:val="20"/>
              </w:rPr>
            </w:pPr>
            <w:r w:rsidRPr="00DF1884">
              <w:rPr>
                <w:szCs w:val="20"/>
              </w:rPr>
              <w:t>Commercial</w:t>
            </w:r>
          </w:p>
        </w:tc>
        <w:tc>
          <w:tcPr>
            <w:tcW w:w="363"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451B278"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D385B8A"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61CB4F2"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6566C79"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C8C3F84"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B6D7177"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0A692C9"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159F779"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13779741"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DF2583A"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52F8B15"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3"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BF74839" w14:textId="77777777" w:rsidR="00A63675" w:rsidRPr="00DF1884" w:rsidRDefault="00A63675" w:rsidP="00932F29">
            <w:pPr>
              <w:pStyle w:val="TableText"/>
              <w:jc w:val="center"/>
              <w:rPr>
                <w:sz w:val="22"/>
                <w:szCs w:val="22"/>
                <w:highlight w:val="yellow"/>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89A70E6"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7E9F841"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5E5A123"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563BF85"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EB6F1E9"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B6B5202"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3777E42" w14:textId="092C7325" w:rsidR="00A63675" w:rsidRPr="00DF1884" w:rsidRDefault="00C83AA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B859C34" w14:textId="5A96325B" w:rsidR="00A63675" w:rsidRPr="00DF1884" w:rsidRDefault="005950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FA8D2C6"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F35F2D0" w14:textId="0F5B611A" w:rsidR="00A63675" w:rsidRPr="00DF1884" w:rsidRDefault="00A63675" w:rsidP="00932F29">
            <w:pPr>
              <w:pStyle w:val="TableText"/>
              <w:jc w:val="center"/>
              <w:rPr>
                <w:sz w:val="22"/>
                <w:szCs w:val="22"/>
              </w:rPr>
            </w:pPr>
            <w:r w:rsidRPr="00DF1884">
              <w:rPr>
                <w:sz w:val="22"/>
                <w:szCs w:val="22"/>
              </w:rPr>
              <w:sym w:font="Wingdings" w:char="F0FC"/>
            </w:r>
          </w:p>
        </w:tc>
        <w:tc>
          <w:tcPr>
            <w:tcW w:w="286"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3B0F877"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1738E472"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CA09C83"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38A14926" w14:textId="77777777" w:rsidR="00A63675" w:rsidRPr="00DF1884" w:rsidRDefault="00A63675" w:rsidP="00932F29">
            <w:pPr>
              <w:pStyle w:val="TableText"/>
              <w:jc w:val="center"/>
              <w:rPr>
                <w:sz w:val="22"/>
                <w:szCs w:val="22"/>
              </w:rPr>
            </w:pPr>
            <w:r w:rsidRPr="00DF1884">
              <w:rPr>
                <w:sz w:val="22"/>
                <w:szCs w:val="22"/>
              </w:rPr>
              <w:sym w:font="Wingdings" w:char="F0FC"/>
            </w:r>
          </w:p>
        </w:tc>
      </w:tr>
      <w:tr w:rsidR="00DF1884" w:rsidRPr="00DF1884" w14:paraId="261BE5A3" w14:textId="77777777" w:rsidTr="00932F29">
        <w:trPr>
          <w:cantSplit/>
        </w:trPr>
        <w:tc>
          <w:tcPr>
            <w:tcW w:w="134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F53BAE9" w14:textId="604836AB" w:rsidR="00A63675" w:rsidRPr="00DF1884" w:rsidRDefault="00A63675" w:rsidP="00E9531F">
            <w:pPr>
              <w:pStyle w:val="TableText"/>
              <w:rPr>
                <w:szCs w:val="20"/>
              </w:rPr>
            </w:pPr>
            <w:r w:rsidRPr="00DF1884">
              <w:rPr>
                <w:szCs w:val="20"/>
              </w:rPr>
              <w:t>Medicare</w:t>
            </w:r>
            <w:r w:rsidR="000B204C">
              <w:rPr>
                <w:vertAlign w:val="superscript"/>
              </w:rPr>
              <w:t>1</w:t>
            </w:r>
          </w:p>
        </w:tc>
        <w:tc>
          <w:tcPr>
            <w:tcW w:w="3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A3655E3"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189A5C1"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8A8B11C"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A9F4A66"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BF612FA"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A42FE8D"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72C3944"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69DE1F0"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11F16DCF"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60E6BD2"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24B5E63" w14:textId="77777777" w:rsidR="00A63675" w:rsidRPr="00DF1884" w:rsidRDefault="00A63675" w:rsidP="00932F29">
            <w:pPr>
              <w:pStyle w:val="TableText"/>
              <w:jc w:val="center"/>
              <w:rPr>
                <w:sz w:val="22"/>
                <w:szCs w:val="22"/>
              </w:rPr>
            </w:pPr>
          </w:p>
        </w:tc>
        <w:tc>
          <w:tcPr>
            <w:tcW w:w="3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070C29F" w14:textId="77777777" w:rsidR="00A63675" w:rsidRPr="00DF1884" w:rsidRDefault="00A63675" w:rsidP="00932F29">
            <w:pPr>
              <w:pStyle w:val="TableText"/>
              <w:jc w:val="center"/>
              <w:rPr>
                <w:sz w:val="22"/>
                <w:szCs w:val="22"/>
                <w:highlight w:val="yellow"/>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0E7329E"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08D9D9C"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3E424B7"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2615F6A"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C965022"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D8CEE1C"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9768B02" w14:textId="094A00AD" w:rsidR="00A63675" w:rsidRPr="00DF1884" w:rsidRDefault="00C83AA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39B840F" w14:textId="4F16A0D4" w:rsidR="00A63675" w:rsidRPr="00DF1884" w:rsidRDefault="005950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6DA5FC4" w14:textId="759CC685" w:rsidR="00A63675" w:rsidRPr="00DF1884" w:rsidRDefault="005950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2978622" w14:textId="1B18EDF0" w:rsidR="00A63675" w:rsidRPr="00DF1884" w:rsidRDefault="00A63675" w:rsidP="00932F29">
            <w:pPr>
              <w:pStyle w:val="TableText"/>
              <w:jc w:val="center"/>
              <w:rPr>
                <w:sz w:val="22"/>
                <w:szCs w:val="22"/>
              </w:rPr>
            </w:pPr>
            <w:r w:rsidRPr="00DF1884">
              <w:rPr>
                <w:sz w:val="22"/>
                <w:szCs w:val="22"/>
              </w:rPr>
              <w:sym w:font="Wingdings" w:char="F0FC"/>
            </w:r>
          </w:p>
        </w:tc>
        <w:tc>
          <w:tcPr>
            <w:tcW w:w="28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A0197A5"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2A239838" w14:textId="7CFB0949" w:rsidR="00A63675" w:rsidRPr="00DF1884" w:rsidRDefault="00A63675" w:rsidP="00932F29">
            <w:pPr>
              <w:pStyle w:val="TableText"/>
              <w:jc w:val="center"/>
              <w:rPr>
                <w:sz w:val="22"/>
                <w:szCs w:val="22"/>
              </w:rPr>
            </w:pPr>
            <w:r w:rsidRPr="00DF1884">
              <w:rPr>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29358D0" w14:textId="302555EA" w:rsidR="00A63675" w:rsidRPr="00DF1884" w:rsidRDefault="00A63675" w:rsidP="00932F29">
            <w:pPr>
              <w:pStyle w:val="TableText"/>
              <w:jc w:val="center"/>
              <w:rPr>
                <w:sz w:val="22"/>
                <w:szCs w:val="22"/>
              </w:rPr>
            </w:pPr>
            <w:r w:rsidRPr="00DF1884">
              <w:rPr>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59C2ED71" w14:textId="45A04289" w:rsidR="00A63675" w:rsidRPr="00DF1884" w:rsidRDefault="00A63675" w:rsidP="00932F29">
            <w:pPr>
              <w:pStyle w:val="TableText"/>
              <w:jc w:val="center"/>
              <w:rPr>
                <w:sz w:val="22"/>
                <w:szCs w:val="22"/>
              </w:rPr>
            </w:pPr>
            <w:r w:rsidRPr="00DF1884">
              <w:rPr>
                <w:sz w:val="22"/>
                <w:szCs w:val="22"/>
              </w:rPr>
              <w:sym w:font="Wingdings" w:char="F0FC"/>
            </w:r>
          </w:p>
        </w:tc>
      </w:tr>
      <w:tr w:rsidR="00DF1884" w:rsidRPr="00DF1884" w14:paraId="36251F6E" w14:textId="77777777" w:rsidTr="00932F29">
        <w:trPr>
          <w:cantSplit/>
        </w:trPr>
        <w:tc>
          <w:tcPr>
            <w:tcW w:w="1342"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7457309" w14:textId="77777777" w:rsidR="00A63675" w:rsidRPr="00DF1884" w:rsidRDefault="00A63675" w:rsidP="00E9531F">
            <w:pPr>
              <w:pStyle w:val="TableText"/>
              <w:rPr>
                <w:szCs w:val="20"/>
              </w:rPr>
            </w:pPr>
            <w:r w:rsidRPr="00DF1884">
              <w:rPr>
                <w:szCs w:val="20"/>
              </w:rPr>
              <w:t>Medicaid</w:t>
            </w:r>
          </w:p>
        </w:tc>
        <w:tc>
          <w:tcPr>
            <w:tcW w:w="363"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E5AEB6C"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1066F31"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EE4864A"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0009668"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196DF3C"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3FED744"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29516B5"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C94F0C6"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38E5BFA9"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0F6872A"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CAC4F1D"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3"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9640B37" w14:textId="77777777" w:rsidR="00A63675" w:rsidRPr="00DF1884" w:rsidRDefault="00A63675" w:rsidP="00932F29">
            <w:pPr>
              <w:pStyle w:val="TableText"/>
              <w:jc w:val="center"/>
              <w:rPr>
                <w:sz w:val="22"/>
                <w:szCs w:val="22"/>
                <w:highlight w:val="yellow"/>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E0F043C"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1226809"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FFDED06"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B7ACB29"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0D09E6B"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E5A1D07"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726210B"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CAAFAA4"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45992DF"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2186B30" w14:textId="5298A0B1" w:rsidR="00A63675" w:rsidRPr="00DF1884" w:rsidRDefault="00A63675" w:rsidP="00932F29">
            <w:pPr>
              <w:pStyle w:val="TableText"/>
              <w:jc w:val="center"/>
              <w:rPr>
                <w:sz w:val="22"/>
                <w:szCs w:val="22"/>
              </w:rPr>
            </w:pPr>
            <w:r w:rsidRPr="00DF1884">
              <w:rPr>
                <w:sz w:val="22"/>
                <w:szCs w:val="22"/>
              </w:rPr>
              <w:sym w:font="Wingdings" w:char="F0FC"/>
            </w:r>
          </w:p>
        </w:tc>
        <w:tc>
          <w:tcPr>
            <w:tcW w:w="286"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DD4E6FB"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2BADFD28"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CD5B66E"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3DC47E11" w14:textId="77777777" w:rsidR="00A63675" w:rsidRPr="00DF1884" w:rsidRDefault="00A63675" w:rsidP="00932F29">
            <w:pPr>
              <w:pStyle w:val="TableText"/>
              <w:jc w:val="center"/>
              <w:rPr>
                <w:sz w:val="22"/>
                <w:szCs w:val="22"/>
              </w:rPr>
            </w:pPr>
            <w:r w:rsidRPr="00DF1884">
              <w:rPr>
                <w:sz w:val="22"/>
                <w:szCs w:val="22"/>
              </w:rPr>
              <w:sym w:font="Wingdings" w:char="F0FC"/>
            </w:r>
          </w:p>
        </w:tc>
      </w:tr>
      <w:tr w:rsidR="00DF1884" w:rsidRPr="00DF1884" w14:paraId="4C00E9F2" w14:textId="77777777" w:rsidTr="00932F29">
        <w:trPr>
          <w:cantSplit/>
        </w:trPr>
        <w:tc>
          <w:tcPr>
            <w:tcW w:w="134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068F1F9" w14:textId="25E3D63A" w:rsidR="00A63675" w:rsidRPr="00DF1884" w:rsidRDefault="00A63675" w:rsidP="00E9531F">
            <w:pPr>
              <w:pStyle w:val="TableText"/>
              <w:rPr>
                <w:szCs w:val="20"/>
              </w:rPr>
            </w:pPr>
            <w:r w:rsidRPr="00DF1884">
              <w:rPr>
                <w:szCs w:val="20"/>
              </w:rPr>
              <w:t>Claims</w:t>
            </w:r>
            <w:r w:rsidR="00DF1884" w:rsidRPr="00DF1884">
              <w:rPr>
                <w:szCs w:val="20"/>
              </w:rPr>
              <w:t xml:space="preserve"> </w:t>
            </w:r>
            <w:r w:rsidRPr="00DF1884">
              <w:rPr>
                <w:szCs w:val="20"/>
              </w:rPr>
              <w:t>based</w:t>
            </w:r>
            <w:r w:rsidR="00DF1884" w:rsidRPr="00DF1884">
              <w:rPr>
                <w:szCs w:val="20"/>
              </w:rPr>
              <w:t xml:space="preserve"> </w:t>
            </w:r>
            <w:r w:rsidRPr="00DF1884">
              <w:rPr>
                <w:szCs w:val="20"/>
              </w:rPr>
              <w:t>denominator</w:t>
            </w:r>
          </w:p>
        </w:tc>
        <w:tc>
          <w:tcPr>
            <w:tcW w:w="3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517B6C6"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9CB912F"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18DAE50"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364FEAA"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48AA42A"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5C8A205"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CFC6D97"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B04F02E"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177EE2A4"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9C95D74"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D132DF7" w14:textId="77777777" w:rsidR="00A63675" w:rsidRPr="00DF1884" w:rsidRDefault="00A63675" w:rsidP="00932F29">
            <w:pPr>
              <w:pStyle w:val="TableText"/>
              <w:jc w:val="center"/>
              <w:rPr>
                <w:sz w:val="22"/>
                <w:szCs w:val="22"/>
              </w:rPr>
            </w:pPr>
          </w:p>
        </w:tc>
        <w:tc>
          <w:tcPr>
            <w:tcW w:w="3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3D73C44" w14:textId="77777777" w:rsidR="00A63675" w:rsidRPr="00DF1884" w:rsidRDefault="00A63675" w:rsidP="00932F29">
            <w:pPr>
              <w:pStyle w:val="TableText"/>
              <w:jc w:val="center"/>
              <w:rPr>
                <w:sz w:val="22"/>
                <w:szCs w:val="22"/>
                <w:highlight w:val="yellow"/>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32FC6E3"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AED9F33"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9012BDC"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CFC89F0"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F448F22"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433E81D"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15FD244"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EE8E6C3"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5A57261"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65C756F" w14:textId="4EA75CF1" w:rsidR="00A63675" w:rsidRPr="00DF1884" w:rsidRDefault="00A63675" w:rsidP="00932F29">
            <w:pPr>
              <w:pStyle w:val="TableText"/>
              <w:jc w:val="center"/>
              <w:rPr>
                <w:sz w:val="22"/>
                <w:szCs w:val="22"/>
              </w:rPr>
            </w:pPr>
            <w:r w:rsidRPr="00DF1884">
              <w:rPr>
                <w:sz w:val="22"/>
                <w:szCs w:val="22"/>
              </w:rPr>
              <w:sym w:font="Wingdings" w:char="F0FC"/>
            </w:r>
          </w:p>
        </w:tc>
        <w:tc>
          <w:tcPr>
            <w:tcW w:w="28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411CF14"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6A423576"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909F22C"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5D9C3097" w14:textId="77777777" w:rsidR="00A63675" w:rsidRPr="00DF1884" w:rsidRDefault="00A63675" w:rsidP="00932F29">
            <w:pPr>
              <w:pStyle w:val="TableText"/>
              <w:jc w:val="center"/>
              <w:rPr>
                <w:sz w:val="22"/>
                <w:szCs w:val="22"/>
              </w:rPr>
            </w:pPr>
            <w:r w:rsidRPr="00DF1884">
              <w:rPr>
                <w:sz w:val="22"/>
                <w:szCs w:val="22"/>
              </w:rPr>
              <w:sym w:font="Wingdings" w:char="F0FC"/>
            </w:r>
          </w:p>
        </w:tc>
      </w:tr>
      <w:tr w:rsidR="00DF1884" w:rsidRPr="00DF1884" w14:paraId="30108D04" w14:textId="77777777" w:rsidTr="00932F29">
        <w:trPr>
          <w:cantSplit/>
        </w:trPr>
        <w:tc>
          <w:tcPr>
            <w:tcW w:w="1342"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A1BC1A1" w14:textId="3EC83936" w:rsidR="00A63675" w:rsidRPr="00DF1884" w:rsidRDefault="00A63675" w:rsidP="00E9531F">
            <w:pPr>
              <w:pStyle w:val="TableText"/>
              <w:rPr>
                <w:szCs w:val="20"/>
              </w:rPr>
            </w:pPr>
            <w:r w:rsidRPr="00DF1884">
              <w:rPr>
                <w:szCs w:val="20"/>
              </w:rPr>
              <w:t>Membership-based</w:t>
            </w:r>
            <w:r w:rsidR="00DF1884" w:rsidRPr="00DF1884">
              <w:rPr>
                <w:szCs w:val="20"/>
              </w:rPr>
              <w:t xml:space="preserve"> </w:t>
            </w:r>
            <w:r w:rsidRPr="00DF1884">
              <w:rPr>
                <w:szCs w:val="20"/>
              </w:rPr>
              <w:t>denominator</w:t>
            </w:r>
          </w:p>
        </w:tc>
        <w:tc>
          <w:tcPr>
            <w:tcW w:w="363"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5E019B9"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147BF0D"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8791E7B"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9931678"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AD1E5DE"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16C3B2E"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0274321"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D4726A6"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6DA28A17"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F9881C1"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8B68414"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3"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CF5F198" w14:textId="77777777" w:rsidR="00A63675" w:rsidRPr="00DF1884" w:rsidRDefault="00A63675" w:rsidP="00932F29">
            <w:pPr>
              <w:pStyle w:val="TableText"/>
              <w:jc w:val="center"/>
              <w:rPr>
                <w:sz w:val="22"/>
                <w:szCs w:val="22"/>
                <w:highlight w:val="yellow"/>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2423780"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157F6D5"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6A4E7E0"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F605372"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D6DFDF0"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FB3C741"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D9B71AA" w14:textId="7708A318" w:rsidR="00A63675" w:rsidRPr="00DF1884" w:rsidRDefault="00C83AA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AC88DE2" w14:textId="3224C1B4" w:rsidR="00A63675" w:rsidRPr="00DF1884" w:rsidRDefault="005950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1AF2486" w14:textId="1A78CB4A" w:rsidR="00A63675" w:rsidRPr="00DF1884" w:rsidRDefault="005950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EEFC959" w14:textId="3721AB23" w:rsidR="00A63675" w:rsidRPr="00DF1884" w:rsidRDefault="00A63675" w:rsidP="00932F29">
            <w:pPr>
              <w:pStyle w:val="TableText"/>
              <w:jc w:val="center"/>
              <w:rPr>
                <w:sz w:val="22"/>
                <w:szCs w:val="22"/>
              </w:rPr>
            </w:pPr>
          </w:p>
        </w:tc>
        <w:tc>
          <w:tcPr>
            <w:tcW w:w="286"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00C5923"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04C46CA9"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E8933CE"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709570AD" w14:textId="77777777" w:rsidR="00A63675" w:rsidRPr="00DF1884" w:rsidRDefault="00A63675" w:rsidP="00932F29">
            <w:pPr>
              <w:pStyle w:val="TableText"/>
              <w:jc w:val="center"/>
              <w:rPr>
                <w:sz w:val="22"/>
                <w:szCs w:val="22"/>
              </w:rPr>
            </w:pPr>
          </w:p>
        </w:tc>
      </w:tr>
      <w:tr w:rsidR="00DF1884" w:rsidRPr="00DF1884" w14:paraId="4D248182" w14:textId="77777777" w:rsidTr="00932F29">
        <w:trPr>
          <w:cantSplit/>
        </w:trPr>
        <w:tc>
          <w:tcPr>
            <w:tcW w:w="134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5FEA926" w14:textId="31598D38" w:rsidR="00A63675" w:rsidRPr="00DF1884" w:rsidRDefault="00A63675" w:rsidP="00E9531F">
            <w:pPr>
              <w:pStyle w:val="TableText"/>
              <w:rPr>
                <w:szCs w:val="20"/>
              </w:rPr>
            </w:pPr>
            <w:r w:rsidRPr="00DF1884">
              <w:rPr>
                <w:szCs w:val="20"/>
              </w:rPr>
              <w:t>Pharmacy</w:t>
            </w:r>
            <w:r w:rsidR="00DF1884" w:rsidRPr="00DF1884">
              <w:rPr>
                <w:szCs w:val="20"/>
              </w:rPr>
              <w:t xml:space="preserve"> </w:t>
            </w:r>
            <w:r w:rsidRPr="00DF1884">
              <w:rPr>
                <w:szCs w:val="20"/>
              </w:rPr>
              <w:t>benefit</w:t>
            </w:r>
          </w:p>
        </w:tc>
        <w:tc>
          <w:tcPr>
            <w:tcW w:w="3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5ABD05A"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B64D359"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60D088C"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D0DCF95"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5E1501C"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FCB18DE"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D85B631"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DAB62D3"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52FAF724"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0E80CA7"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13A1DB6" w14:textId="77777777" w:rsidR="00A63675" w:rsidRPr="00DF1884" w:rsidRDefault="00A63675" w:rsidP="00932F29">
            <w:pPr>
              <w:pStyle w:val="TableText"/>
              <w:jc w:val="center"/>
              <w:rPr>
                <w:sz w:val="22"/>
                <w:szCs w:val="22"/>
              </w:rPr>
            </w:pPr>
          </w:p>
        </w:tc>
        <w:tc>
          <w:tcPr>
            <w:tcW w:w="3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D92AE0E" w14:textId="77777777" w:rsidR="00A63675" w:rsidRPr="00DF1884" w:rsidRDefault="00A63675" w:rsidP="00932F29">
            <w:pPr>
              <w:pStyle w:val="TableText"/>
              <w:jc w:val="center"/>
              <w:rPr>
                <w:sz w:val="22"/>
                <w:szCs w:val="22"/>
                <w:highlight w:val="yellow"/>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F2C1358"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8EF0303"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4538772"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37FF5D6"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F06C8EA"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2569F5D"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FDC4EA1"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59B16F1"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37FF122"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02C6AE7" w14:textId="5718F51B" w:rsidR="00A63675" w:rsidRPr="00DF1884" w:rsidRDefault="00A63675" w:rsidP="00932F29">
            <w:pPr>
              <w:pStyle w:val="TableText"/>
              <w:jc w:val="center"/>
              <w:rPr>
                <w:sz w:val="22"/>
                <w:szCs w:val="22"/>
              </w:rPr>
            </w:pPr>
          </w:p>
        </w:tc>
        <w:tc>
          <w:tcPr>
            <w:tcW w:w="28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30E21FE"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003AF3B4"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0A3FF8D"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5E8FC925" w14:textId="77777777" w:rsidR="00A63675" w:rsidRPr="00DF1884" w:rsidRDefault="00A63675" w:rsidP="00932F29">
            <w:pPr>
              <w:pStyle w:val="TableText"/>
              <w:jc w:val="center"/>
              <w:rPr>
                <w:sz w:val="22"/>
                <w:szCs w:val="22"/>
              </w:rPr>
            </w:pPr>
          </w:p>
        </w:tc>
      </w:tr>
      <w:tr w:rsidR="00DF1884" w:rsidRPr="00DF1884" w14:paraId="23218ABA" w14:textId="77777777" w:rsidTr="00932F29">
        <w:trPr>
          <w:cantSplit/>
        </w:trPr>
        <w:tc>
          <w:tcPr>
            <w:tcW w:w="1342"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C8935BE" w14:textId="4E4E77DF" w:rsidR="00A63675" w:rsidRPr="00DF1884" w:rsidRDefault="00A63675" w:rsidP="00E9531F">
            <w:pPr>
              <w:pStyle w:val="TableText"/>
              <w:rPr>
                <w:szCs w:val="20"/>
              </w:rPr>
            </w:pPr>
            <w:r w:rsidRPr="00DF1884">
              <w:rPr>
                <w:szCs w:val="20"/>
              </w:rPr>
              <w:t>MH</w:t>
            </w:r>
            <w:r w:rsidR="00DF1884" w:rsidRPr="00DF1884">
              <w:rPr>
                <w:szCs w:val="20"/>
              </w:rPr>
              <w:t xml:space="preserve"> </w:t>
            </w:r>
            <w:r w:rsidRPr="00DF1884">
              <w:rPr>
                <w:szCs w:val="20"/>
              </w:rPr>
              <w:t>or</w:t>
            </w:r>
            <w:r w:rsidR="00DF1884" w:rsidRPr="00DF1884">
              <w:rPr>
                <w:szCs w:val="20"/>
              </w:rPr>
              <w:t xml:space="preserve"> </w:t>
            </w:r>
            <w:r w:rsidRPr="00DF1884">
              <w:rPr>
                <w:szCs w:val="20"/>
              </w:rPr>
              <w:t>CD</w:t>
            </w:r>
            <w:r w:rsidR="00DF1884" w:rsidRPr="00DF1884">
              <w:rPr>
                <w:szCs w:val="20"/>
              </w:rPr>
              <w:t xml:space="preserve"> </w:t>
            </w:r>
            <w:r w:rsidRPr="00DF1884">
              <w:rPr>
                <w:szCs w:val="20"/>
              </w:rPr>
              <w:t>benefit</w:t>
            </w:r>
          </w:p>
        </w:tc>
        <w:tc>
          <w:tcPr>
            <w:tcW w:w="363"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6DF6184"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2ACADDD"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596D7DD"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6E43EA9"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D449928"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BB48379"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724A12E"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3485507"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78F2B5EC"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23A0A69"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7AE125E" w14:textId="77777777" w:rsidR="00A63675" w:rsidRPr="00DF1884" w:rsidRDefault="00A63675" w:rsidP="00932F29">
            <w:pPr>
              <w:pStyle w:val="TableText"/>
              <w:jc w:val="center"/>
              <w:rPr>
                <w:sz w:val="22"/>
                <w:szCs w:val="22"/>
              </w:rPr>
            </w:pPr>
          </w:p>
        </w:tc>
        <w:tc>
          <w:tcPr>
            <w:tcW w:w="363"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C039124" w14:textId="77777777" w:rsidR="00A63675" w:rsidRPr="00DF1884" w:rsidRDefault="00A63675" w:rsidP="00932F29">
            <w:pPr>
              <w:pStyle w:val="TableText"/>
              <w:jc w:val="center"/>
              <w:rPr>
                <w:sz w:val="22"/>
                <w:szCs w:val="22"/>
                <w:highlight w:val="yellow"/>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FE3E89F"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55FEDBC"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C301432"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B83A646"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48E7251"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7C471AD"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0FF8F02"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6F8455D"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4E51C0E"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649FB66" w14:textId="0E52ADE0" w:rsidR="00A63675" w:rsidRPr="00DF1884" w:rsidRDefault="00A63675" w:rsidP="00932F29">
            <w:pPr>
              <w:pStyle w:val="TableText"/>
              <w:jc w:val="center"/>
              <w:rPr>
                <w:sz w:val="22"/>
                <w:szCs w:val="22"/>
              </w:rPr>
            </w:pPr>
          </w:p>
        </w:tc>
        <w:tc>
          <w:tcPr>
            <w:tcW w:w="286"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F3E5425"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352ECBFC"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F545365"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41102328" w14:textId="77777777" w:rsidR="00A63675" w:rsidRPr="00DF1884" w:rsidRDefault="00A63675" w:rsidP="00932F29">
            <w:pPr>
              <w:pStyle w:val="TableText"/>
              <w:jc w:val="center"/>
              <w:rPr>
                <w:sz w:val="22"/>
                <w:szCs w:val="22"/>
              </w:rPr>
            </w:pPr>
          </w:p>
        </w:tc>
      </w:tr>
      <w:tr w:rsidR="00DF1884" w:rsidRPr="00DF1884" w14:paraId="4238EB3D" w14:textId="77777777" w:rsidTr="00932F29">
        <w:trPr>
          <w:cantSplit/>
        </w:trPr>
        <w:tc>
          <w:tcPr>
            <w:tcW w:w="134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8D3C933" w14:textId="48C860CB" w:rsidR="00A63675" w:rsidRPr="00DF1884" w:rsidRDefault="00A63675" w:rsidP="00E9531F">
            <w:pPr>
              <w:pStyle w:val="TableText"/>
              <w:rPr>
                <w:szCs w:val="20"/>
              </w:rPr>
            </w:pPr>
            <w:r w:rsidRPr="00DF1884">
              <w:rPr>
                <w:szCs w:val="20"/>
              </w:rPr>
              <w:t>Live</w:t>
            </w:r>
            <w:r w:rsidR="00DF1884" w:rsidRPr="00DF1884">
              <w:rPr>
                <w:szCs w:val="20"/>
              </w:rPr>
              <w:t xml:space="preserve"> </w:t>
            </w:r>
            <w:r w:rsidRPr="00DF1884">
              <w:rPr>
                <w:szCs w:val="20"/>
              </w:rPr>
              <w:t>birth</w:t>
            </w:r>
            <w:r w:rsidR="00DF1884" w:rsidRPr="00DF1884">
              <w:rPr>
                <w:szCs w:val="20"/>
              </w:rPr>
              <w:t xml:space="preserve"> </w:t>
            </w:r>
            <w:r w:rsidRPr="00DF1884">
              <w:rPr>
                <w:szCs w:val="20"/>
              </w:rPr>
              <w:t>methodology</w:t>
            </w:r>
          </w:p>
        </w:tc>
        <w:tc>
          <w:tcPr>
            <w:tcW w:w="3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FDA9C3E"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0A8D3E3"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7D56B61"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1853FC2"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FEBAEF2"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FA35FF7"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9A56FB4"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ABB3896"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2B76B76C"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467776A"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05CD46F" w14:textId="77777777" w:rsidR="00A63675" w:rsidRPr="00DF1884" w:rsidRDefault="00A63675" w:rsidP="00932F29">
            <w:pPr>
              <w:pStyle w:val="TableText"/>
              <w:jc w:val="center"/>
              <w:rPr>
                <w:sz w:val="22"/>
                <w:szCs w:val="22"/>
              </w:rPr>
            </w:pPr>
          </w:p>
        </w:tc>
        <w:tc>
          <w:tcPr>
            <w:tcW w:w="3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44E5F45" w14:textId="77777777" w:rsidR="00A63675" w:rsidRPr="00DF1884" w:rsidRDefault="00A63675" w:rsidP="00932F29">
            <w:pPr>
              <w:pStyle w:val="TableText"/>
              <w:jc w:val="center"/>
              <w:rPr>
                <w:sz w:val="22"/>
                <w:szCs w:val="22"/>
                <w:highlight w:val="yellow"/>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DA9B5B4"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2AC99D9"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2970368"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66A8400"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F56B7F6"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CDC288B"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51BABA4"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67C2406"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5CF01AA"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50C1D9D" w14:textId="347208F9" w:rsidR="00A63675" w:rsidRPr="00DF1884" w:rsidRDefault="00A63675" w:rsidP="00932F29">
            <w:pPr>
              <w:pStyle w:val="TableText"/>
              <w:jc w:val="center"/>
              <w:rPr>
                <w:sz w:val="22"/>
                <w:szCs w:val="22"/>
              </w:rPr>
            </w:pPr>
          </w:p>
        </w:tc>
        <w:tc>
          <w:tcPr>
            <w:tcW w:w="28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CD8BD98"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71EE347A"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A60185E"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3393A54B" w14:textId="77777777" w:rsidR="00A63675" w:rsidRPr="00DF1884" w:rsidRDefault="00A63675" w:rsidP="00932F29">
            <w:pPr>
              <w:pStyle w:val="TableText"/>
              <w:jc w:val="center"/>
              <w:rPr>
                <w:sz w:val="22"/>
                <w:szCs w:val="22"/>
              </w:rPr>
            </w:pPr>
          </w:p>
        </w:tc>
      </w:tr>
      <w:tr w:rsidR="00DF1884" w:rsidRPr="00DF1884" w14:paraId="68EB30DD" w14:textId="77777777" w:rsidTr="00932F29">
        <w:trPr>
          <w:cantSplit/>
        </w:trPr>
        <w:tc>
          <w:tcPr>
            <w:tcW w:w="1342"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CA55775" w14:textId="0A9E3E3E" w:rsidR="00A63675" w:rsidRPr="00DF1884" w:rsidRDefault="00A63675" w:rsidP="00E9531F">
            <w:pPr>
              <w:pStyle w:val="TableText"/>
              <w:rPr>
                <w:szCs w:val="20"/>
              </w:rPr>
            </w:pPr>
            <w:r w:rsidRPr="00DF1884">
              <w:rPr>
                <w:szCs w:val="20"/>
              </w:rPr>
              <w:t>Practitioner</w:t>
            </w:r>
            <w:r w:rsidR="00DF1884" w:rsidRPr="00DF1884">
              <w:rPr>
                <w:szCs w:val="20"/>
              </w:rPr>
              <w:t xml:space="preserve"> </w:t>
            </w:r>
            <w:r w:rsidRPr="00DF1884">
              <w:rPr>
                <w:szCs w:val="20"/>
              </w:rPr>
              <w:t>type</w:t>
            </w:r>
            <w:r w:rsidR="00DF1884" w:rsidRPr="00DF1884">
              <w:rPr>
                <w:szCs w:val="20"/>
              </w:rPr>
              <w:t xml:space="preserve"> </w:t>
            </w:r>
            <w:r w:rsidRPr="00DF1884">
              <w:rPr>
                <w:szCs w:val="20"/>
              </w:rPr>
              <w:t>requirement</w:t>
            </w:r>
          </w:p>
        </w:tc>
        <w:tc>
          <w:tcPr>
            <w:tcW w:w="363"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E18E43F"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BF8F5F6"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900DD98"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141FA8B"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B3576AC"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D166598"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F447281"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FE9831F"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4C58284F"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D0F35B0"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B8B9CB7"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3"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6081B62" w14:textId="77777777" w:rsidR="00A63675" w:rsidRPr="00DF1884" w:rsidRDefault="00A63675" w:rsidP="00932F29">
            <w:pPr>
              <w:pStyle w:val="TableText"/>
              <w:jc w:val="center"/>
              <w:rPr>
                <w:sz w:val="22"/>
                <w:szCs w:val="22"/>
                <w:highlight w:val="yellow"/>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00F3EAA"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3E3E537"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8DD205C"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62F37CC"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C7C66CD"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B808A35"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5C59121"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FB0427F"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79032D1"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D42F4E3" w14:textId="417F9BFE" w:rsidR="00A63675" w:rsidRPr="00DF1884" w:rsidRDefault="00A63675" w:rsidP="00932F29">
            <w:pPr>
              <w:pStyle w:val="TableText"/>
              <w:jc w:val="center"/>
              <w:rPr>
                <w:sz w:val="22"/>
                <w:szCs w:val="22"/>
              </w:rPr>
            </w:pPr>
          </w:p>
        </w:tc>
        <w:tc>
          <w:tcPr>
            <w:tcW w:w="286"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CB97604"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01F15139"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1C59C0D"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350055E0" w14:textId="77777777" w:rsidR="00A63675" w:rsidRPr="00DF1884" w:rsidRDefault="00A63675" w:rsidP="00932F29">
            <w:pPr>
              <w:pStyle w:val="TableText"/>
              <w:jc w:val="center"/>
              <w:rPr>
                <w:sz w:val="22"/>
                <w:szCs w:val="22"/>
              </w:rPr>
            </w:pPr>
          </w:p>
        </w:tc>
      </w:tr>
      <w:tr w:rsidR="00DF1884" w:rsidRPr="00DF1884" w14:paraId="38F0FC22" w14:textId="77777777" w:rsidTr="00932F29">
        <w:trPr>
          <w:cantSplit/>
        </w:trPr>
        <w:tc>
          <w:tcPr>
            <w:tcW w:w="134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1BE7ADC" w14:textId="4DDBF3D7" w:rsidR="00A63675" w:rsidRPr="00DF1884" w:rsidRDefault="00A63675" w:rsidP="00E9531F">
            <w:pPr>
              <w:pStyle w:val="TableText"/>
              <w:rPr>
                <w:szCs w:val="20"/>
              </w:rPr>
            </w:pPr>
            <w:r w:rsidRPr="00DF1884">
              <w:rPr>
                <w:szCs w:val="20"/>
              </w:rPr>
              <w:t>Risk</w:t>
            </w:r>
            <w:r w:rsidR="00DF1884" w:rsidRPr="00DF1884">
              <w:rPr>
                <w:szCs w:val="20"/>
              </w:rPr>
              <w:t xml:space="preserve"> </w:t>
            </w:r>
            <w:r w:rsidRPr="00DF1884">
              <w:rPr>
                <w:szCs w:val="20"/>
              </w:rPr>
              <w:t>adjustment</w:t>
            </w:r>
            <w:r w:rsidR="00DF1884" w:rsidRPr="00DF1884">
              <w:rPr>
                <w:szCs w:val="20"/>
              </w:rPr>
              <w:t xml:space="preserve"> </w:t>
            </w:r>
            <w:r w:rsidRPr="00DF1884">
              <w:rPr>
                <w:szCs w:val="20"/>
              </w:rPr>
              <w:t>methodology</w:t>
            </w:r>
          </w:p>
        </w:tc>
        <w:tc>
          <w:tcPr>
            <w:tcW w:w="3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37C04F8"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7D756AA"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B2496EB"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5BE8312"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8B7313E"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6E8D9FB"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DFF76CE"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C7DAA28"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6BF59AE4"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8441F47"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870C9C5" w14:textId="77777777" w:rsidR="00A63675" w:rsidRPr="00DF1884" w:rsidRDefault="00A63675" w:rsidP="00932F29">
            <w:pPr>
              <w:pStyle w:val="TableText"/>
              <w:jc w:val="center"/>
              <w:rPr>
                <w:sz w:val="22"/>
                <w:szCs w:val="22"/>
              </w:rPr>
            </w:pPr>
          </w:p>
        </w:tc>
        <w:tc>
          <w:tcPr>
            <w:tcW w:w="3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9F988C0" w14:textId="77777777" w:rsidR="00A63675" w:rsidRPr="00DF1884" w:rsidRDefault="00A63675" w:rsidP="00932F29">
            <w:pPr>
              <w:pStyle w:val="TableText"/>
              <w:jc w:val="center"/>
              <w:rPr>
                <w:sz w:val="22"/>
                <w:szCs w:val="22"/>
                <w:highlight w:val="yellow"/>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4FFDCBC"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6C3C781"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FC963FA"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C0D2591"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F670AE8"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F1A6151"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5EEA5D6" w14:textId="26462201" w:rsidR="00A63675" w:rsidRPr="00DF1884" w:rsidRDefault="00C83AA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DAD4122" w14:textId="606ECDAB" w:rsidR="00A63675" w:rsidRPr="00DF1884" w:rsidRDefault="005950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EC40ED5" w14:textId="66829F51" w:rsidR="00A63675" w:rsidRPr="00DF1884" w:rsidRDefault="005950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2141DA5" w14:textId="51FA6A12" w:rsidR="00A63675" w:rsidRPr="00DF1884" w:rsidRDefault="00A63675" w:rsidP="00932F29">
            <w:pPr>
              <w:pStyle w:val="TableText"/>
              <w:jc w:val="center"/>
              <w:rPr>
                <w:sz w:val="22"/>
                <w:szCs w:val="22"/>
              </w:rPr>
            </w:pPr>
            <w:r w:rsidRPr="00DF1884">
              <w:rPr>
                <w:sz w:val="22"/>
                <w:szCs w:val="22"/>
              </w:rPr>
              <w:sym w:font="Wingdings" w:char="F0FC"/>
            </w:r>
          </w:p>
        </w:tc>
        <w:tc>
          <w:tcPr>
            <w:tcW w:w="28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8C205C7"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26647E09"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843E879"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603A558D" w14:textId="77777777" w:rsidR="00A63675" w:rsidRPr="00DF1884" w:rsidRDefault="00A63675" w:rsidP="00932F29">
            <w:pPr>
              <w:pStyle w:val="TableText"/>
              <w:jc w:val="center"/>
              <w:rPr>
                <w:sz w:val="22"/>
                <w:szCs w:val="22"/>
              </w:rPr>
            </w:pPr>
            <w:r w:rsidRPr="00DF1884">
              <w:rPr>
                <w:sz w:val="22"/>
                <w:szCs w:val="22"/>
              </w:rPr>
              <w:sym w:font="Wingdings" w:char="F0FC"/>
            </w:r>
          </w:p>
        </w:tc>
      </w:tr>
      <w:tr w:rsidR="00DF1884" w:rsidRPr="00DF1884" w14:paraId="266EF841" w14:textId="77777777" w:rsidTr="00932F29">
        <w:trPr>
          <w:cantSplit/>
        </w:trPr>
        <w:tc>
          <w:tcPr>
            <w:tcW w:w="1342"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0056C23" w14:textId="7B93D491" w:rsidR="00A63675" w:rsidRPr="00DF1884" w:rsidRDefault="00A63675" w:rsidP="00E9531F">
            <w:pPr>
              <w:pStyle w:val="TableText"/>
              <w:rPr>
                <w:szCs w:val="20"/>
              </w:rPr>
            </w:pPr>
            <w:r w:rsidRPr="00DF1884">
              <w:rPr>
                <w:szCs w:val="20"/>
              </w:rPr>
              <w:t>Lab</w:t>
            </w:r>
            <w:r w:rsidR="00DF1884" w:rsidRPr="00DF1884">
              <w:rPr>
                <w:szCs w:val="20"/>
              </w:rPr>
              <w:t xml:space="preserve"> </w:t>
            </w:r>
            <w:r w:rsidRPr="00DF1884">
              <w:rPr>
                <w:szCs w:val="20"/>
              </w:rPr>
              <w:t>data</w:t>
            </w:r>
          </w:p>
        </w:tc>
        <w:tc>
          <w:tcPr>
            <w:tcW w:w="363"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B122EA4"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3941EB2"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46A79B1"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3CB4BC7"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926C7EA"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FD045CE"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412DBF6"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28D240B"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7BAC6BE5"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0B42F59"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B893D2D" w14:textId="77777777" w:rsidR="00A63675" w:rsidRPr="00DF1884" w:rsidRDefault="00A63675" w:rsidP="00932F29">
            <w:pPr>
              <w:pStyle w:val="TableText"/>
              <w:jc w:val="center"/>
              <w:rPr>
                <w:sz w:val="22"/>
                <w:szCs w:val="22"/>
              </w:rPr>
            </w:pPr>
          </w:p>
        </w:tc>
        <w:tc>
          <w:tcPr>
            <w:tcW w:w="363"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AFCCB01" w14:textId="77777777" w:rsidR="00A63675" w:rsidRPr="00DF1884" w:rsidRDefault="00A63675" w:rsidP="00932F29">
            <w:pPr>
              <w:pStyle w:val="TableText"/>
              <w:jc w:val="center"/>
              <w:rPr>
                <w:sz w:val="22"/>
                <w:szCs w:val="22"/>
                <w:highlight w:val="yellow"/>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F04AF2A"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1C0DB3E"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EA78C19"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CB68C38"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22E4B57"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50CF9FC"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9C62372"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2DCF645"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166EF60"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DDF06ED" w14:textId="1279B023" w:rsidR="00A63675" w:rsidRPr="00DF1884" w:rsidRDefault="00A63675" w:rsidP="00932F29">
            <w:pPr>
              <w:pStyle w:val="TableText"/>
              <w:jc w:val="center"/>
              <w:rPr>
                <w:sz w:val="22"/>
                <w:szCs w:val="22"/>
              </w:rPr>
            </w:pPr>
            <w:r w:rsidRPr="00DF1884">
              <w:rPr>
                <w:sz w:val="22"/>
                <w:szCs w:val="22"/>
              </w:rPr>
              <w:sym w:font="Wingdings" w:char="F0FC"/>
            </w:r>
          </w:p>
        </w:tc>
        <w:tc>
          <w:tcPr>
            <w:tcW w:w="286"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0197C6E"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3CC742A1"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353FCF2"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081B9D52" w14:textId="77777777" w:rsidR="00A63675" w:rsidRPr="00DF1884" w:rsidRDefault="00A63675" w:rsidP="00932F29">
            <w:pPr>
              <w:pStyle w:val="TableText"/>
              <w:jc w:val="center"/>
              <w:rPr>
                <w:sz w:val="22"/>
                <w:szCs w:val="22"/>
              </w:rPr>
            </w:pPr>
            <w:r w:rsidRPr="00DF1884">
              <w:rPr>
                <w:sz w:val="22"/>
                <w:szCs w:val="22"/>
              </w:rPr>
              <w:sym w:font="Wingdings" w:char="F0FC"/>
            </w:r>
          </w:p>
        </w:tc>
      </w:tr>
      <w:tr w:rsidR="00DF1884" w:rsidRPr="00DF1884" w14:paraId="223FAE47" w14:textId="77777777" w:rsidTr="00932F29">
        <w:trPr>
          <w:cantSplit/>
        </w:trPr>
        <w:tc>
          <w:tcPr>
            <w:tcW w:w="134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A36A890" w14:textId="73C71D73" w:rsidR="00A63675" w:rsidRPr="00DF1884" w:rsidRDefault="00A63675" w:rsidP="00E9531F">
            <w:pPr>
              <w:pStyle w:val="TableText"/>
              <w:rPr>
                <w:szCs w:val="20"/>
              </w:rPr>
            </w:pPr>
            <w:r w:rsidRPr="00DF1884">
              <w:rPr>
                <w:szCs w:val="20"/>
              </w:rPr>
              <w:t>Radiology</w:t>
            </w:r>
            <w:r w:rsidR="00DF1884" w:rsidRPr="00DF1884">
              <w:rPr>
                <w:szCs w:val="20"/>
              </w:rPr>
              <w:t xml:space="preserve"> </w:t>
            </w:r>
            <w:r w:rsidRPr="00DF1884">
              <w:rPr>
                <w:szCs w:val="20"/>
              </w:rPr>
              <w:t>data</w:t>
            </w:r>
          </w:p>
        </w:tc>
        <w:tc>
          <w:tcPr>
            <w:tcW w:w="3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DED52B5"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48AE503"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F80764A"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E46B254"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933F1E5"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8D3AC90"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B90105D"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0D0A9F6"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301504AE"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1615789"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E67F1D1" w14:textId="77777777" w:rsidR="00A63675" w:rsidRPr="00DF1884" w:rsidRDefault="00A63675" w:rsidP="00932F29">
            <w:pPr>
              <w:pStyle w:val="TableText"/>
              <w:jc w:val="center"/>
              <w:rPr>
                <w:sz w:val="22"/>
                <w:szCs w:val="22"/>
              </w:rPr>
            </w:pPr>
          </w:p>
        </w:tc>
        <w:tc>
          <w:tcPr>
            <w:tcW w:w="3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4B4D0F7" w14:textId="77777777" w:rsidR="00A63675" w:rsidRPr="00DF1884" w:rsidRDefault="00A63675" w:rsidP="00932F29">
            <w:pPr>
              <w:pStyle w:val="TableText"/>
              <w:jc w:val="center"/>
              <w:rPr>
                <w:sz w:val="22"/>
                <w:szCs w:val="22"/>
                <w:highlight w:val="yellow"/>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7C17F40"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53BAD44"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D72DC93"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A84C932"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3275C2D"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8082274"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837B905" w14:textId="77777777" w:rsidR="00A63675" w:rsidRPr="00DF1884" w:rsidRDefault="00A63675" w:rsidP="00932F29">
            <w:pPr>
              <w:pStyle w:val="TableText"/>
              <w:jc w:val="center"/>
              <w:rPr>
                <w:rFonts w:cs="Arial"/>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B3F5556" w14:textId="77777777" w:rsidR="00A63675" w:rsidRPr="00DF1884" w:rsidRDefault="00A63675" w:rsidP="00932F29">
            <w:pPr>
              <w:pStyle w:val="TableText"/>
              <w:jc w:val="center"/>
              <w:rPr>
                <w:rFonts w:cs="Arial"/>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C921F1A" w14:textId="77777777" w:rsidR="00A63675" w:rsidRPr="00DF1884" w:rsidRDefault="00A63675" w:rsidP="00932F29">
            <w:pPr>
              <w:pStyle w:val="TableText"/>
              <w:jc w:val="center"/>
              <w:rPr>
                <w:rFonts w:cs="Arial"/>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B1EC2DC" w14:textId="44FA2CB6" w:rsidR="00A63675" w:rsidRPr="00DF1884" w:rsidRDefault="00A63675" w:rsidP="00932F29">
            <w:pPr>
              <w:pStyle w:val="TableText"/>
              <w:jc w:val="center"/>
              <w:rPr>
                <w:sz w:val="22"/>
                <w:szCs w:val="22"/>
              </w:rPr>
            </w:pPr>
            <w:r w:rsidRPr="00DF1884">
              <w:rPr>
                <w:rFonts w:cs="Arial"/>
                <w:sz w:val="22"/>
                <w:szCs w:val="22"/>
              </w:rPr>
              <w:sym w:font="Wingdings" w:char="F0FC"/>
            </w:r>
          </w:p>
        </w:tc>
        <w:tc>
          <w:tcPr>
            <w:tcW w:w="28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626628B"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599F2245"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8F29E9D"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1EBBB5F1" w14:textId="77777777" w:rsidR="00A63675" w:rsidRPr="00DF1884" w:rsidRDefault="00A63675" w:rsidP="00932F29">
            <w:pPr>
              <w:pStyle w:val="TableText"/>
              <w:jc w:val="center"/>
              <w:rPr>
                <w:sz w:val="22"/>
                <w:szCs w:val="22"/>
              </w:rPr>
            </w:pPr>
            <w:r w:rsidRPr="00DF1884">
              <w:rPr>
                <w:sz w:val="22"/>
                <w:szCs w:val="22"/>
              </w:rPr>
              <w:sym w:font="Wingdings" w:char="F0FC"/>
            </w:r>
          </w:p>
        </w:tc>
      </w:tr>
      <w:tr w:rsidR="00DF1884" w:rsidRPr="00DF1884" w14:paraId="33DBB172" w14:textId="77777777" w:rsidTr="00932F29">
        <w:trPr>
          <w:cantSplit/>
        </w:trPr>
        <w:tc>
          <w:tcPr>
            <w:tcW w:w="1342"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00D9777" w14:textId="67D8FF60" w:rsidR="00A63675" w:rsidRPr="00DF1884" w:rsidRDefault="00A63675" w:rsidP="00E9531F">
            <w:pPr>
              <w:pStyle w:val="TableText"/>
              <w:rPr>
                <w:szCs w:val="20"/>
              </w:rPr>
            </w:pPr>
            <w:r w:rsidRPr="00DF1884">
              <w:rPr>
                <w:szCs w:val="20"/>
              </w:rPr>
              <w:t>MH</w:t>
            </w:r>
            <w:r w:rsidR="00DF1884" w:rsidRPr="00DF1884">
              <w:rPr>
                <w:szCs w:val="20"/>
              </w:rPr>
              <w:t xml:space="preserve"> </w:t>
            </w:r>
            <w:r w:rsidRPr="00DF1884">
              <w:rPr>
                <w:szCs w:val="20"/>
              </w:rPr>
              <w:t>or</w:t>
            </w:r>
            <w:r w:rsidR="00DF1884" w:rsidRPr="00DF1884">
              <w:rPr>
                <w:szCs w:val="20"/>
              </w:rPr>
              <w:t xml:space="preserve"> </w:t>
            </w:r>
            <w:r w:rsidRPr="00DF1884">
              <w:rPr>
                <w:szCs w:val="20"/>
              </w:rPr>
              <w:t>CD</w:t>
            </w:r>
            <w:r w:rsidR="00DF1884" w:rsidRPr="00DF1884">
              <w:rPr>
                <w:szCs w:val="20"/>
              </w:rPr>
              <w:t xml:space="preserve"> </w:t>
            </w:r>
            <w:r w:rsidRPr="00DF1884">
              <w:rPr>
                <w:szCs w:val="20"/>
              </w:rPr>
              <w:t>data</w:t>
            </w:r>
          </w:p>
        </w:tc>
        <w:tc>
          <w:tcPr>
            <w:tcW w:w="363"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4785027"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6A7AA2F"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9388F29"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9D8F9AC"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3EF3D43"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C0DFDE5"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FD209C4"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7CD7A4C"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30D98423"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3AEF3FB"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9D29FAE" w14:textId="77777777" w:rsidR="00A63675" w:rsidRPr="00DF1884" w:rsidRDefault="00A63675" w:rsidP="00932F29">
            <w:pPr>
              <w:pStyle w:val="TableText"/>
              <w:jc w:val="center"/>
              <w:rPr>
                <w:sz w:val="22"/>
                <w:szCs w:val="22"/>
              </w:rPr>
            </w:pPr>
          </w:p>
        </w:tc>
        <w:tc>
          <w:tcPr>
            <w:tcW w:w="363"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044923A" w14:textId="77777777" w:rsidR="00A63675" w:rsidRPr="00DF1884" w:rsidRDefault="00A63675" w:rsidP="00932F29">
            <w:pPr>
              <w:pStyle w:val="TableText"/>
              <w:jc w:val="center"/>
              <w:rPr>
                <w:sz w:val="22"/>
                <w:szCs w:val="22"/>
                <w:highlight w:val="yellow"/>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1AAA7DF"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AF6BF98"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7212327"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D4E6F73"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5167847"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A110C0A"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EEE9990" w14:textId="5D493259" w:rsidR="00A63675" w:rsidRPr="00DF1884" w:rsidRDefault="00C83AA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9090552" w14:textId="15D4F596" w:rsidR="00A63675" w:rsidRPr="00DF1884" w:rsidRDefault="005950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F88C0A6" w14:textId="37A4AB9D"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B07CA14" w14:textId="1CC0123F" w:rsidR="00A63675" w:rsidRPr="00DF1884" w:rsidRDefault="00A63675" w:rsidP="00932F29">
            <w:pPr>
              <w:pStyle w:val="TableText"/>
              <w:jc w:val="center"/>
              <w:rPr>
                <w:sz w:val="22"/>
                <w:szCs w:val="22"/>
              </w:rPr>
            </w:pPr>
          </w:p>
        </w:tc>
        <w:tc>
          <w:tcPr>
            <w:tcW w:w="286"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4E03110"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07C71DD0"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CCF76B9"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3E0A7FF5" w14:textId="77777777" w:rsidR="00A63675" w:rsidRPr="00DF1884" w:rsidRDefault="00A63675" w:rsidP="00932F29">
            <w:pPr>
              <w:pStyle w:val="TableText"/>
              <w:jc w:val="center"/>
              <w:rPr>
                <w:sz w:val="22"/>
                <w:szCs w:val="22"/>
              </w:rPr>
            </w:pPr>
          </w:p>
        </w:tc>
      </w:tr>
      <w:tr w:rsidR="00DF1884" w:rsidRPr="00DF1884" w14:paraId="6E7E85E1" w14:textId="77777777" w:rsidTr="00932F29">
        <w:trPr>
          <w:cantSplit/>
        </w:trPr>
        <w:tc>
          <w:tcPr>
            <w:tcW w:w="134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E333B48" w14:textId="035ADED0" w:rsidR="00A63675" w:rsidRPr="00DF1884" w:rsidRDefault="00A63675" w:rsidP="00E9531F">
            <w:pPr>
              <w:pStyle w:val="TableText"/>
              <w:rPr>
                <w:szCs w:val="20"/>
              </w:rPr>
            </w:pPr>
            <w:r w:rsidRPr="00DF1884">
              <w:rPr>
                <w:szCs w:val="20"/>
              </w:rPr>
              <w:t>Pharmacy</w:t>
            </w:r>
            <w:r w:rsidR="00DF1884" w:rsidRPr="00DF1884">
              <w:rPr>
                <w:szCs w:val="20"/>
              </w:rPr>
              <w:t xml:space="preserve"> </w:t>
            </w:r>
            <w:r w:rsidRPr="00DF1884">
              <w:rPr>
                <w:szCs w:val="20"/>
              </w:rPr>
              <w:t>data</w:t>
            </w:r>
          </w:p>
        </w:tc>
        <w:tc>
          <w:tcPr>
            <w:tcW w:w="3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E75FCF7"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F767854"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EF31E3C"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FDBB70B"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B09F344"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7C66279"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0BCB605"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29F8D3F"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2DFA82E7"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E7CA9A9"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F85BF1E" w14:textId="77777777" w:rsidR="00A63675" w:rsidRPr="00DF1884" w:rsidRDefault="00A63675" w:rsidP="00932F29">
            <w:pPr>
              <w:pStyle w:val="TableText"/>
              <w:jc w:val="center"/>
              <w:rPr>
                <w:sz w:val="22"/>
                <w:szCs w:val="22"/>
              </w:rPr>
            </w:pPr>
          </w:p>
        </w:tc>
        <w:tc>
          <w:tcPr>
            <w:tcW w:w="3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901AC28" w14:textId="77777777" w:rsidR="00A63675" w:rsidRPr="00DF1884" w:rsidRDefault="00A63675" w:rsidP="00932F29">
            <w:pPr>
              <w:pStyle w:val="TableText"/>
              <w:jc w:val="center"/>
              <w:rPr>
                <w:sz w:val="22"/>
                <w:szCs w:val="22"/>
                <w:highlight w:val="yellow"/>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0362E3B"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9987402"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8A76432"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8BB821E"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C7B9C53"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D291DC8"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7EC3B18"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B55699D"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4600A36"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D683E6D" w14:textId="0C5357E8" w:rsidR="00A63675" w:rsidRPr="00DF1884" w:rsidRDefault="00A63675" w:rsidP="00932F29">
            <w:pPr>
              <w:pStyle w:val="TableText"/>
              <w:jc w:val="center"/>
              <w:rPr>
                <w:sz w:val="22"/>
                <w:szCs w:val="22"/>
              </w:rPr>
            </w:pPr>
            <w:r w:rsidRPr="00DF1884">
              <w:rPr>
                <w:sz w:val="22"/>
                <w:szCs w:val="22"/>
              </w:rPr>
              <w:sym w:font="Wingdings" w:char="F0FC"/>
            </w:r>
          </w:p>
        </w:tc>
        <w:tc>
          <w:tcPr>
            <w:tcW w:w="28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32F9AFD"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1459A904"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EB5AE68"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2AF0AF36" w14:textId="77777777" w:rsidR="00A63675" w:rsidRPr="00DF1884" w:rsidRDefault="00A63675" w:rsidP="00932F29">
            <w:pPr>
              <w:pStyle w:val="TableText"/>
              <w:jc w:val="center"/>
              <w:rPr>
                <w:sz w:val="22"/>
                <w:szCs w:val="22"/>
              </w:rPr>
            </w:pPr>
            <w:r w:rsidRPr="00DF1884">
              <w:rPr>
                <w:sz w:val="22"/>
                <w:szCs w:val="22"/>
              </w:rPr>
              <w:sym w:font="Wingdings" w:char="F0FC"/>
            </w:r>
          </w:p>
        </w:tc>
      </w:tr>
      <w:tr w:rsidR="00DF1884" w:rsidRPr="00DF1884" w14:paraId="7AA482BA" w14:textId="77777777" w:rsidTr="00932F29">
        <w:trPr>
          <w:cantSplit/>
        </w:trPr>
        <w:tc>
          <w:tcPr>
            <w:tcW w:w="1342"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6E2EBB9" w14:textId="56A74A31" w:rsidR="00A63675" w:rsidRPr="00DF1884" w:rsidRDefault="00A63675" w:rsidP="00E9531F">
            <w:pPr>
              <w:pStyle w:val="TableText"/>
              <w:rPr>
                <w:szCs w:val="20"/>
              </w:rPr>
            </w:pPr>
            <w:r w:rsidRPr="00DF1884">
              <w:rPr>
                <w:szCs w:val="20"/>
              </w:rPr>
              <w:t>Vision</w:t>
            </w:r>
            <w:r w:rsidR="00DF1884" w:rsidRPr="00DF1884">
              <w:rPr>
                <w:szCs w:val="20"/>
              </w:rPr>
              <w:t xml:space="preserve"> </w:t>
            </w:r>
            <w:r w:rsidRPr="00DF1884">
              <w:rPr>
                <w:szCs w:val="20"/>
              </w:rPr>
              <w:t>data</w:t>
            </w:r>
          </w:p>
        </w:tc>
        <w:tc>
          <w:tcPr>
            <w:tcW w:w="363"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A79C9BC"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D3D0D9C"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A3FEB1E"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12BC8BF"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7C121F9"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7413E73"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D059852"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AB153C3"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0FE72EBE"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2F8ECC4"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29FE875" w14:textId="77777777" w:rsidR="00A63675" w:rsidRPr="00DF1884" w:rsidRDefault="00A63675" w:rsidP="00932F29">
            <w:pPr>
              <w:pStyle w:val="TableText"/>
              <w:jc w:val="center"/>
              <w:rPr>
                <w:sz w:val="22"/>
                <w:szCs w:val="22"/>
              </w:rPr>
            </w:pPr>
          </w:p>
        </w:tc>
        <w:tc>
          <w:tcPr>
            <w:tcW w:w="363"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BA58E66" w14:textId="77777777" w:rsidR="00A63675" w:rsidRPr="00DF1884" w:rsidRDefault="00A63675" w:rsidP="00932F29">
            <w:pPr>
              <w:pStyle w:val="TableText"/>
              <w:jc w:val="center"/>
              <w:rPr>
                <w:sz w:val="22"/>
                <w:szCs w:val="22"/>
                <w:highlight w:val="yellow"/>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95493E1"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CB9FABF"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5D573B1"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8C3FBFB"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1A6AC3E"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22A9B1E"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4E32A33"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C7E2E69"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07F59A8"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78DAA83" w14:textId="2374BCE5" w:rsidR="00A63675" w:rsidRPr="00DF1884" w:rsidRDefault="00A63675" w:rsidP="00932F29">
            <w:pPr>
              <w:pStyle w:val="TableText"/>
              <w:jc w:val="center"/>
              <w:rPr>
                <w:sz w:val="22"/>
                <w:szCs w:val="22"/>
              </w:rPr>
            </w:pPr>
          </w:p>
        </w:tc>
        <w:tc>
          <w:tcPr>
            <w:tcW w:w="286"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0D32A8D"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40141739"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DCBC1CB"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6CD6771D" w14:textId="77777777" w:rsidR="00A63675" w:rsidRPr="00DF1884" w:rsidRDefault="00A63675" w:rsidP="00932F29">
            <w:pPr>
              <w:pStyle w:val="TableText"/>
              <w:jc w:val="center"/>
              <w:rPr>
                <w:sz w:val="22"/>
                <w:szCs w:val="22"/>
              </w:rPr>
            </w:pPr>
          </w:p>
        </w:tc>
      </w:tr>
      <w:tr w:rsidR="00DF1884" w:rsidRPr="00DF1884" w14:paraId="414255F5" w14:textId="77777777" w:rsidTr="00932F29">
        <w:trPr>
          <w:cantSplit/>
        </w:trPr>
        <w:tc>
          <w:tcPr>
            <w:tcW w:w="134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43808B1" w14:textId="34D8886D" w:rsidR="00A63675" w:rsidRPr="00DF1884" w:rsidRDefault="00A63675" w:rsidP="00E9531F">
            <w:pPr>
              <w:pStyle w:val="TableText"/>
              <w:rPr>
                <w:szCs w:val="20"/>
              </w:rPr>
            </w:pPr>
            <w:r w:rsidRPr="00DF1884">
              <w:rPr>
                <w:szCs w:val="20"/>
              </w:rPr>
              <w:t>Optional</w:t>
            </w:r>
            <w:r w:rsidR="00DF1884" w:rsidRPr="00DF1884">
              <w:rPr>
                <w:szCs w:val="20"/>
              </w:rPr>
              <w:t xml:space="preserve"> </w:t>
            </w:r>
            <w:r w:rsidRPr="00DF1884">
              <w:rPr>
                <w:szCs w:val="20"/>
              </w:rPr>
              <w:t>exclusions</w:t>
            </w:r>
          </w:p>
        </w:tc>
        <w:tc>
          <w:tcPr>
            <w:tcW w:w="3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4B2302A"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2EE8823"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3E96821"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C4C836B"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E5A9104"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37A04B9"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B13DE82"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44C0EFF"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04E82A73"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9B14123"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01CC0DF" w14:textId="77777777" w:rsidR="00A63675" w:rsidRPr="00DF1884" w:rsidRDefault="00A63675" w:rsidP="00932F29">
            <w:pPr>
              <w:pStyle w:val="TableText"/>
              <w:jc w:val="center"/>
              <w:rPr>
                <w:sz w:val="22"/>
                <w:szCs w:val="22"/>
              </w:rPr>
            </w:pPr>
          </w:p>
        </w:tc>
        <w:tc>
          <w:tcPr>
            <w:tcW w:w="3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A1FE6BA" w14:textId="77777777" w:rsidR="00A63675" w:rsidRPr="00DF1884" w:rsidRDefault="00A63675" w:rsidP="00932F29">
            <w:pPr>
              <w:pStyle w:val="TableText"/>
              <w:jc w:val="center"/>
              <w:rPr>
                <w:sz w:val="22"/>
                <w:szCs w:val="22"/>
                <w:highlight w:val="yellow"/>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4E364DB"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2A11462"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8979983"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AE93358"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F63B860"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FA4E2A9"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028761B"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FEDE3EC"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FEFC504"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398588A" w14:textId="409F7246" w:rsidR="00A63675" w:rsidRPr="00DF1884" w:rsidRDefault="00A63675" w:rsidP="00932F29">
            <w:pPr>
              <w:pStyle w:val="TableText"/>
              <w:jc w:val="center"/>
              <w:rPr>
                <w:sz w:val="22"/>
                <w:szCs w:val="22"/>
              </w:rPr>
            </w:pPr>
            <w:r w:rsidRPr="00DF1884">
              <w:rPr>
                <w:sz w:val="22"/>
                <w:szCs w:val="22"/>
              </w:rPr>
              <w:sym w:font="Wingdings" w:char="F0FC"/>
            </w:r>
          </w:p>
        </w:tc>
        <w:tc>
          <w:tcPr>
            <w:tcW w:w="28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6899CBF"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584F138B"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CAD9243"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59D0FB37" w14:textId="77777777" w:rsidR="00A63675" w:rsidRPr="00DF1884" w:rsidRDefault="00A63675" w:rsidP="00932F29">
            <w:pPr>
              <w:pStyle w:val="TableText"/>
              <w:jc w:val="center"/>
              <w:rPr>
                <w:sz w:val="22"/>
                <w:szCs w:val="22"/>
              </w:rPr>
            </w:pPr>
          </w:p>
        </w:tc>
      </w:tr>
    </w:tbl>
    <w:p w14:paraId="51DCB502" w14:textId="77777777" w:rsidR="000B204C" w:rsidRPr="000B204C" w:rsidRDefault="000B204C" w:rsidP="000B204C">
      <w:pPr>
        <w:pStyle w:val="TableText"/>
      </w:pPr>
      <w:r>
        <w:rPr>
          <w:vertAlign w:val="superscript"/>
        </w:rPr>
        <w:t>1</w:t>
      </w:r>
      <w:r>
        <w:t>For the required measures list, r</w:t>
      </w:r>
      <w:r w:rsidRPr="00DF1884">
        <w:t xml:space="preserve">efer to the </w:t>
      </w:r>
      <w:r>
        <w:t xml:space="preserve">annual CMS </w:t>
      </w:r>
      <w:r w:rsidRPr="00DF1884">
        <w:t>Reporting Requirements</w:t>
      </w:r>
      <w:r>
        <w:t xml:space="preserve"> memo.</w:t>
      </w:r>
    </w:p>
    <w:p w14:paraId="53F5EFD5" w14:textId="77777777" w:rsidR="0003105D" w:rsidRDefault="0003105D">
      <w:pPr>
        <w:sectPr w:rsidR="0003105D" w:rsidSect="00DF1884">
          <w:headerReference w:type="default" r:id="rId144"/>
          <w:pgSz w:w="15840" w:h="12240" w:orient="landscape" w:code="1"/>
          <w:pgMar w:top="1440" w:right="1080" w:bottom="1080" w:left="1080" w:header="720" w:footer="720" w:gutter="0"/>
          <w:cols w:space="720"/>
          <w:docGrid w:linePitch="272"/>
        </w:sectPr>
      </w:pPr>
    </w:p>
    <w:tbl>
      <w:tblPr>
        <w:tblW w:w="10804" w:type="dxa"/>
        <w:tblLayout w:type="fixed"/>
        <w:tblLook w:val="0000" w:firstRow="0" w:lastRow="0" w:firstColumn="0" w:lastColumn="0" w:noHBand="0" w:noVBand="0"/>
      </w:tblPr>
      <w:tblGrid>
        <w:gridCol w:w="1342"/>
        <w:gridCol w:w="363"/>
        <w:gridCol w:w="364"/>
        <w:gridCol w:w="364"/>
        <w:gridCol w:w="364"/>
        <w:gridCol w:w="364"/>
        <w:gridCol w:w="364"/>
        <w:gridCol w:w="364"/>
        <w:gridCol w:w="364"/>
        <w:gridCol w:w="364"/>
        <w:gridCol w:w="364"/>
        <w:gridCol w:w="364"/>
        <w:gridCol w:w="363"/>
        <w:gridCol w:w="364"/>
        <w:gridCol w:w="364"/>
        <w:gridCol w:w="364"/>
        <w:gridCol w:w="364"/>
        <w:gridCol w:w="364"/>
        <w:gridCol w:w="364"/>
        <w:gridCol w:w="364"/>
        <w:gridCol w:w="364"/>
        <w:gridCol w:w="364"/>
        <w:gridCol w:w="364"/>
        <w:gridCol w:w="286"/>
        <w:gridCol w:w="390"/>
        <w:gridCol w:w="390"/>
        <w:gridCol w:w="390"/>
      </w:tblGrid>
      <w:tr w:rsidR="00DF1884" w:rsidRPr="00DF1884" w14:paraId="43C4512F" w14:textId="77777777" w:rsidTr="00DF1884">
        <w:trPr>
          <w:cantSplit/>
        </w:trPr>
        <w:tc>
          <w:tcPr>
            <w:tcW w:w="10804" w:type="dxa"/>
            <w:gridSpan w:val="27"/>
            <w:tcBorders>
              <w:top w:val="single" w:sz="6" w:space="0" w:color="FFFFFF" w:themeColor="background1"/>
              <w:left w:val="single" w:sz="6" w:space="0" w:color="auto"/>
              <w:bottom w:val="single" w:sz="4" w:space="0" w:color="FFFFFF" w:themeColor="background1"/>
              <w:right w:val="single" w:sz="4" w:space="0" w:color="auto"/>
            </w:tcBorders>
            <w:shd w:val="clear" w:color="auto" w:fill="000000"/>
          </w:tcPr>
          <w:p w14:paraId="633D5A76" w14:textId="40411F1F" w:rsidR="00DF1884" w:rsidRPr="00DF1884" w:rsidRDefault="00DF1884" w:rsidP="00DF1884">
            <w:pPr>
              <w:pStyle w:val="TableHead"/>
              <w:rPr>
                <w:rFonts w:ascii="Arial Narrow Bold"/>
                <w:color w:val="auto"/>
              </w:rPr>
            </w:pPr>
            <w:r w:rsidRPr="00DF1884">
              <w:rPr>
                <w:color w:val="auto"/>
              </w:rPr>
              <w:t>ACCESS/AV</w:t>
            </w:r>
            <w:r w:rsidR="008859E9">
              <w:rPr>
                <w:color w:val="auto"/>
              </w:rPr>
              <w:t>AILABILITY OF CARE, UTILIZATION AND</w:t>
            </w:r>
            <w:r w:rsidRPr="00DF1884">
              <w:rPr>
                <w:color w:val="auto"/>
              </w:rPr>
              <w:t xml:space="preserve"> RISK ADJUSTED UTILIZATION</w:t>
            </w:r>
            <w:r w:rsidR="008859E9">
              <w:rPr>
                <w:color w:val="auto"/>
              </w:rPr>
              <w:t>,</w:t>
            </w:r>
            <w:r w:rsidRPr="00DF1884">
              <w:rPr>
                <w:color w:val="auto"/>
              </w:rPr>
              <w:t xml:space="preserve"> AND RELATIVE RESOURCE USE MEASURES</w:t>
            </w:r>
          </w:p>
        </w:tc>
      </w:tr>
      <w:tr w:rsidR="00DF1884" w:rsidRPr="00DF1884" w14:paraId="05CB766E" w14:textId="77777777" w:rsidTr="00DF1884">
        <w:trPr>
          <w:cantSplit/>
          <w:trHeight w:val="576"/>
        </w:trPr>
        <w:tc>
          <w:tcPr>
            <w:tcW w:w="1342" w:type="dxa"/>
            <w:tcBorders>
              <w:top w:val="single" w:sz="4" w:space="0" w:color="FFFFFF" w:themeColor="background1"/>
              <w:left w:val="single" w:sz="6" w:space="0" w:color="auto"/>
              <w:bottom w:val="single" w:sz="6" w:space="0" w:color="auto"/>
              <w:right w:val="single" w:sz="6" w:space="0" w:color="FFFFFF"/>
            </w:tcBorders>
            <w:shd w:val="clear" w:color="auto" w:fill="000000"/>
            <w:tcMar>
              <w:left w:w="43" w:type="dxa"/>
              <w:right w:w="43" w:type="dxa"/>
            </w:tcMar>
            <w:vAlign w:val="bottom"/>
          </w:tcPr>
          <w:p w14:paraId="5D6B5CA0" w14:textId="77777777" w:rsidR="00DF1884" w:rsidRPr="00DF1884" w:rsidRDefault="00DF1884" w:rsidP="00DF1884">
            <w:pPr>
              <w:pStyle w:val="TableHead"/>
              <w:rPr>
                <w:color w:val="auto"/>
              </w:rPr>
            </w:pPr>
            <w:r w:rsidRPr="00DF1884">
              <w:rPr>
                <w:color w:val="auto"/>
              </w:rPr>
              <w:br w:type="page"/>
              <w:t>Logical Group</w:t>
            </w:r>
          </w:p>
        </w:tc>
        <w:tc>
          <w:tcPr>
            <w:tcW w:w="363"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7ACD5D2F" w14:textId="77777777" w:rsidR="00DF1884" w:rsidRPr="00DF1884" w:rsidRDefault="00DF1884" w:rsidP="00DF1884">
            <w:pPr>
              <w:pStyle w:val="TableHead"/>
              <w:ind w:left="43"/>
              <w:jc w:val="left"/>
              <w:rPr>
                <w:color w:val="auto"/>
              </w:rPr>
            </w:pPr>
            <w:r w:rsidRPr="00DF1884">
              <w:rPr>
                <w:color w:val="auto"/>
              </w:rPr>
              <w:t>AAP</w:t>
            </w:r>
          </w:p>
        </w:tc>
        <w:tc>
          <w:tcPr>
            <w:tcW w:w="364"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337CC5F7" w14:textId="77777777" w:rsidR="00DF1884" w:rsidRPr="00DF1884" w:rsidRDefault="00DF1884" w:rsidP="00DF1884">
            <w:pPr>
              <w:pStyle w:val="TableHead"/>
              <w:ind w:left="43"/>
              <w:jc w:val="left"/>
              <w:rPr>
                <w:color w:val="auto"/>
              </w:rPr>
            </w:pPr>
            <w:r w:rsidRPr="00DF1884">
              <w:rPr>
                <w:color w:val="auto"/>
              </w:rPr>
              <w:t>CAP</w:t>
            </w:r>
          </w:p>
        </w:tc>
        <w:tc>
          <w:tcPr>
            <w:tcW w:w="364"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54C3722A" w14:textId="77777777" w:rsidR="00DF1884" w:rsidRPr="00DF1884" w:rsidRDefault="00DF1884" w:rsidP="00DF1884">
            <w:pPr>
              <w:pStyle w:val="TableHead"/>
              <w:ind w:left="43"/>
              <w:jc w:val="left"/>
              <w:rPr>
                <w:color w:val="auto"/>
              </w:rPr>
            </w:pPr>
            <w:r w:rsidRPr="00DF1884">
              <w:rPr>
                <w:color w:val="auto"/>
              </w:rPr>
              <w:t>ADV</w:t>
            </w:r>
          </w:p>
        </w:tc>
        <w:tc>
          <w:tcPr>
            <w:tcW w:w="364"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68FFA280" w14:textId="77777777" w:rsidR="00DF1884" w:rsidRPr="00DF1884" w:rsidRDefault="00DF1884" w:rsidP="00DF1884">
            <w:pPr>
              <w:pStyle w:val="TableHead"/>
              <w:ind w:left="43"/>
              <w:jc w:val="left"/>
              <w:rPr>
                <w:color w:val="auto"/>
              </w:rPr>
            </w:pPr>
            <w:r w:rsidRPr="00DF1884">
              <w:rPr>
                <w:color w:val="auto"/>
              </w:rPr>
              <w:t>IET</w:t>
            </w:r>
          </w:p>
        </w:tc>
        <w:tc>
          <w:tcPr>
            <w:tcW w:w="364"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320A0242" w14:textId="77777777" w:rsidR="00DF1884" w:rsidRPr="00DF1884" w:rsidRDefault="00DF1884" w:rsidP="00DF1884">
            <w:pPr>
              <w:pStyle w:val="TableHead"/>
              <w:ind w:left="43"/>
              <w:jc w:val="left"/>
              <w:rPr>
                <w:color w:val="auto"/>
              </w:rPr>
            </w:pPr>
            <w:r w:rsidRPr="00DF1884">
              <w:rPr>
                <w:color w:val="auto"/>
              </w:rPr>
              <w:t>PPC</w:t>
            </w:r>
          </w:p>
        </w:tc>
        <w:tc>
          <w:tcPr>
            <w:tcW w:w="364"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45057E2F" w14:textId="77777777" w:rsidR="00DF1884" w:rsidRPr="00DF1884" w:rsidRDefault="00DF1884" w:rsidP="00DF1884">
            <w:pPr>
              <w:pStyle w:val="TableHead"/>
              <w:ind w:left="43"/>
              <w:jc w:val="left"/>
              <w:rPr>
                <w:color w:val="auto"/>
              </w:rPr>
            </w:pPr>
            <w:r w:rsidRPr="00DF1884">
              <w:rPr>
                <w:color w:val="auto"/>
              </w:rPr>
              <w:t>CAT</w:t>
            </w:r>
          </w:p>
        </w:tc>
        <w:tc>
          <w:tcPr>
            <w:tcW w:w="364"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7EC6B39A" w14:textId="77777777" w:rsidR="00DF1884" w:rsidRPr="00DF1884" w:rsidRDefault="00DF1884" w:rsidP="00DF1884">
            <w:pPr>
              <w:pStyle w:val="TableHead"/>
              <w:ind w:left="43"/>
              <w:jc w:val="left"/>
              <w:rPr>
                <w:color w:val="auto"/>
              </w:rPr>
            </w:pPr>
            <w:r w:rsidRPr="00DF1884">
              <w:rPr>
                <w:color w:val="auto"/>
              </w:rPr>
              <w:t>APP</w:t>
            </w:r>
          </w:p>
        </w:tc>
        <w:tc>
          <w:tcPr>
            <w:tcW w:w="364"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27E515AE" w14:textId="77777777" w:rsidR="00DF1884" w:rsidRPr="00DF1884" w:rsidRDefault="00DF1884" w:rsidP="00DF1884">
            <w:pPr>
              <w:pStyle w:val="TableHead"/>
              <w:ind w:left="43"/>
              <w:jc w:val="left"/>
              <w:rPr>
                <w:color w:val="auto"/>
              </w:rPr>
            </w:pPr>
            <w:r w:rsidRPr="00DF1884">
              <w:rPr>
                <w:color w:val="auto"/>
              </w:rPr>
              <w:t>FPC</w:t>
            </w:r>
          </w:p>
        </w:tc>
        <w:tc>
          <w:tcPr>
            <w:tcW w:w="364"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tcMar>
            <w:textDirection w:val="btLr"/>
            <w:vAlign w:val="center"/>
          </w:tcPr>
          <w:p w14:paraId="1A7D7C12" w14:textId="77777777" w:rsidR="00DF1884" w:rsidRPr="00DF1884" w:rsidRDefault="00DF1884" w:rsidP="00DF1884">
            <w:pPr>
              <w:pStyle w:val="TableHead"/>
              <w:ind w:left="43"/>
              <w:jc w:val="left"/>
              <w:rPr>
                <w:color w:val="auto"/>
              </w:rPr>
            </w:pPr>
            <w:r w:rsidRPr="00DF1884">
              <w:rPr>
                <w:color w:val="auto"/>
              </w:rPr>
              <w:t>W15</w:t>
            </w:r>
          </w:p>
        </w:tc>
        <w:tc>
          <w:tcPr>
            <w:tcW w:w="364"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5B0D796E" w14:textId="77777777" w:rsidR="00DF1884" w:rsidRPr="00DF1884" w:rsidRDefault="00DF1884" w:rsidP="00DF1884">
            <w:pPr>
              <w:pStyle w:val="TableHead"/>
              <w:ind w:left="43"/>
              <w:jc w:val="left"/>
              <w:rPr>
                <w:color w:val="auto"/>
              </w:rPr>
            </w:pPr>
            <w:r w:rsidRPr="00DF1884">
              <w:rPr>
                <w:color w:val="auto"/>
              </w:rPr>
              <w:t>W34</w:t>
            </w:r>
          </w:p>
        </w:tc>
        <w:tc>
          <w:tcPr>
            <w:tcW w:w="364" w:type="dxa"/>
            <w:tcBorders>
              <w:top w:val="single" w:sz="6" w:space="0" w:color="FFFFFF" w:themeColor="background1"/>
              <w:left w:val="single" w:sz="6" w:space="0" w:color="FFFFFF"/>
              <w:bottom w:val="single" w:sz="6" w:space="0" w:color="auto"/>
              <w:right w:val="single" w:sz="4" w:space="0" w:color="FFFFFF"/>
            </w:tcBorders>
            <w:shd w:val="clear" w:color="auto" w:fill="000000"/>
            <w:tcMar>
              <w:left w:w="43" w:type="dxa"/>
              <w:right w:w="43" w:type="dxa"/>
            </w:tcMar>
            <w:textDirection w:val="btLr"/>
            <w:vAlign w:val="center"/>
          </w:tcPr>
          <w:p w14:paraId="2EF86853" w14:textId="77777777" w:rsidR="00DF1884" w:rsidRPr="00DF1884" w:rsidRDefault="00DF1884" w:rsidP="00DF1884">
            <w:pPr>
              <w:pStyle w:val="TableHead"/>
              <w:ind w:left="43"/>
              <w:jc w:val="left"/>
              <w:rPr>
                <w:color w:val="auto"/>
              </w:rPr>
            </w:pPr>
            <w:r w:rsidRPr="00DF1884">
              <w:rPr>
                <w:color w:val="auto"/>
              </w:rPr>
              <w:t>AWC</w:t>
            </w:r>
          </w:p>
        </w:tc>
        <w:tc>
          <w:tcPr>
            <w:tcW w:w="363"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vAlign w:val="center"/>
          </w:tcPr>
          <w:p w14:paraId="0AC6F932" w14:textId="77777777" w:rsidR="00DF1884" w:rsidRPr="00DF1884" w:rsidRDefault="00DF1884" w:rsidP="00DF1884">
            <w:pPr>
              <w:pStyle w:val="TableHead"/>
              <w:ind w:left="43"/>
              <w:jc w:val="left"/>
              <w:rPr>
                <w:color w:val="auto"/>
              </w:rPr>
            </w:pPr>
            <w:r w:rsidRPr="00DF1884">
              <w:rPr>
                <w:color w:val="auto"/>
              </w:rPr>
              <w:t>FSP</w:t>
            </w:r>
          </w:p>
        </w:tc>
        <w:tc>
          <w:tcPr>
            <w:tcW w:w="364"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vAlign w:val="center"/>
          </w:tcPr>
          <w:p w14:paraId="0E5299C1" w14:textId="77777777" w:rsidR="00DF1884" w:rsidRPr="00DF1884" w:rsidRDefault="00DF1884" w:rsidP="00DF1884">
            <w:pPr>
              <w:pStyle w:val="TableHead"/>
              <w:ind w:left="43"/>
              <w:jc w:val="left"/>
              <w:rPr>
                <w:color w:val="auto"/>
              </w:rPr>
            </w:pPr>
            <w:r w:rsidRPr="00DF1884">
              <w:rPr>
                <w:color w:val="auto"/>
              </w:rPr>
              <w:t>AMB</w:t>
            </w:r>
          </w:p>
        </w:tc>
        <w:tc>
          <w:tcPr>
            <w:tcW w:w="364"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vAlign w:val="center"/>
          </w:tcPr>
          <w:p w14:paraId="11E1497F" w14:textId="77777777" w:rsidR="00DF1884" w:rsidRPr="00DF1884" w:rsidRDefault="00DF1884" w:rsidP="00DF1884">
            <w:pPr>
              <w:pStyle w:val="TableHead"/>
              <w:ind w:left="43"/>
              <w:jc w:val="left"/>
              <w:rPr>
                <w:color w:val="auto"/>
              </w:rPr>
            </w:pPr>
            <w:r w:rsidRPr="00DF1884">
              <w:rPr>
                <w:color w:val="auto"/>
              </w:rPr>
              <w:t>IPU</w:t>
            </w:r>
          </w:p>
        </w:tc>
        <w:tc>
          <w:tcPr>
            <w:tcW w:w="364"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vAlign w:val="center"/>
          </w:tcPr>
          <w:p w14:paraId="0ACD5273" w14:textId="77777777" w:rsidR="00DF1884" w:rsidRPr="00DF1884" w:rsidRDefault="00DF1884" w:rsidP="00DF1884">
            <w:pPr>
              <w:pStyle w:val="TableHead"/>
              <w:ind w:left="43"/>
              <w:jc w:val="left"/>
              <w:rPr>
                <w:color w:val="auto"/>
              </w:rPr>
            </w:pPr>
            <w:r w:rsidRPr="00DF1884">
              <w:rPr>
                <w:color w:val="auto"/>
              </w:rPr>
              <w:t>IAD</w:t>
            </w:r>
          </w:p>
        </w:tc>
        <w:tc>
          <w:tcPr>
            <w:tcW w:w="364"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vAlign w:val="center"/>
          </w:tcPr>
          <w:p w14:paraId="01E0B9EE" w14:textId="77777777" w:rsidR="00DF1884" w:rsidRPr="00DF1884" w:rsidRDefault="00DF1884" w:rsidP="00DF1884">
            <w:pPr>
              <w:pStyle w:val="TableHead"/>
              <w:ind w:left="43"/>
              <w:jc w:val="left"/>
              <w:rPr>
                <w:color w:val="auto"/>
              </w:rPr>
            </w:pPr>
            <w:r w:rsidRPr="00DF1884">
              <w:rPr>
                <w:color w:val="auto"/>
              </w:rPr>
              <w:t>MPT</w:t>
            </w:r>
          </w:p>
        </w:tc>
        <w:tc>
          <w:tcPr>
            <w:tcW w:w="364"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vAlign w:val="center"/>
          </w:tcPr>
          <w:p w14:paraId="2549A320" w14:textId="77777777" w:rsidR="00DF1884" w:rsidRPr="00DF1884" w:rsidRDefault="00DF1884" w:rsidP="00DF1884">
            <w:pPr>
              <w:pStyle w:val="TableHead"/>
              <w:ind w:left="43"/>
              <w:jc w:val="left"/>
              <w:rPr>
                <w:i/>
                <w:color w:val="auto"/>
                <w:szCs w:val="24"/>
              </w:rPr>
            </w:pPr>
            <w:r w:rsidRPr="00DF1884">
              <w:rPr>
                <w:color w:val="auto"/>
              </w:rPr>
              <w:t>ABX</w:t>
            </w:r>
          </w:p>
        </w:tc>
        <w:tc>
          <w:tcPr>
            <w:tcW w:w="364"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vAlign w:val="center"/>
          </w:tcPr>
          <w:p w14:paraId="1503B6EE" w14:textId="77777777" w:rsidR="00DF1884" w:rsidRPr="00DF1884" w:rsidRDefault="00DF1884" w:rsidP="00DF1884">
            <w:pPr>
              <w:pStyle w:val="TableHead"/>
              <w:ind w:left="43"/>
              <w:jc w:val="left"/>
              <w:rPr>
                <w:i/>
                <w:color w:val="auto"/>
                <w:szCs w:val="24"/>
              </w:rPr>
            </w:pPr>
            <w:r w:rsidRPr="00DF1884">
              <w:rPr>
                <w:color w:val="auto"/>
              </w:rPr>
              <w:t>PCR</w:t>
            </w:r>
          </w:p>
        </w:tc>
        <w:tc>
          <w:tcPr>
            <w:tcW w:w="364" w:type="dxa"/>
            <w:tcBorders>
              <w:top w:val="single" w:sz="6" w:space="0" w:color="FFFFFF" w:themeColor="background1"/>
              <w:left w:val="single" w:sz="4" w:space="0" w:color="FFFFFF"/>
              <w:bottom w:val="single" w:sz="6" w:space="0" w:color="auto"/>
              <w:right w:val="single" w:sz="4" w:space="0" w:color="FFFFFF"/>
            </w:tcBorders>
            <w:shd w:val="clear" w:color="auto" w:fill="000000"/>
            <w:textDirection w:val="btLr"/>
          </w:tcPr>
          <w:p w14:paraId="4A8D8AB2" w14:textId="77777777" w:rsidR="00DF1884" w:rsidRPr="00DF1884" w:rsidRDefault="00DF1884" w:rsidP="00DF1884">
            <w:pPr>
              <w:pStyle w:val="TableHead"/>
              <w:ind w:left="43"/>
              <w:jc w:val="left"/>
              <w:rPr>
                <w:color w:val="auto"/>
              </w:rPr>
            </w:pPr>
            <w:r w:rsidRPr="00DF1884">
              <w:rPr>
                <w:color w:val="auto"/>
              </w:rPr>
              <w:t>IHU</w:t>
            </w:r>
          </w:p>
        </w:tc>
        <w:tc>
          <w:tcPr>
            <w:tcW w:w="364" w:type="dxa"/>
            <w:tcBorders>
              <w:top w:val="single" w:sz="6" w:space="0" w:color="FFFFFF" w:themeColor="background1"/>
              <w:left w:val="single" w:sz="4" w:space="0" w:color="FFFFFF"/>
              <w:bottom w:val="single" w:sz="6" w:space="0" w:color="auto"/>
              <w:right w:val="single" w:sz="4" w:space="0" w:color="FFFFFF"/>
            </w:tcBorders>
            <w:shd w:val="clear" w:color="auto" w:fill="000000"/>
            <w:textDirection w:val="btLr"/>
          </w:tcPr>
          <w:p w14:paraId="330EBE62" w14:textId="77777777" w:rsidR="00DF1884" w:rsidRPr="00DF1884" w:rsidRDefault="00DF1884" w:rsidP="00DF1884">
            <w:pPr>
              <w:pStyle w:val="TableHead"/>
              <w:ind w:left="43"/>
              <w:jc w:val="left"/>
              <w:rPr>
                <w:color w:val="auto"/>
              </w:rPr>
            </w:pPr>
            <w:r w:rsidRPr="00DF1884">
              <w:rPr>
                <w:color w:val="auto"/>
              </w:rPr>
              <w:t>EDU</w:t>
            </w:r>
          </w:p>
        </w:tc>
        <w:tc>
          <w:tcPr>
            <w:tcW w:w="364" w:type="dxa"/>
            <w:tcBorders>
              <w:top w:val="single" w:sz="6" w:space="0" w:color="FFFFFF" w:themeColor="background1"/>
              <w:left w:val="single" w:sz="4" w:space="0" w:color="FFFFFF"/>
              <w:bottom w:val="single" w:sz="6" w:space="0" w:color="auto"/>
              <w:right w:val="single" w:sz="4" w:space="0" w:color="FFFFFF"/>
            </w:tcBorders>
            <w:shd w:val="clear" w:color="auto" w:fill="000000"/>
            <w:textDirection w:val="btLr"/>
          </w:tcPr>
          <w:p w14:paraId="57AA88C5" w14:textId="77777777" w:rsidR="00DF1884" w:rsidRPr="00DF1884" w:rsidRDefault="00DF1884" w:rsidP="00DF1884">
            <w:pPr>
              <w:pStyle w:val="TableHead"/>
              <w:ind w:left="43"/>
              <w:jc w:val="left"/>
              <w:rPr>
                <w:color w:val="auto"/>
              </w:rPr>
            </w:pPr>
            <w:r w:rsidRPr="00DF1884">
              <w:rPr>
                <w:color w:val="auto"/>
              </w:rPr>
              <w:t>HPC</w:t>
            </w:r>
          </w:p>
        </w:tc>
        <w:tc>
          <w:tcPr>
            <w:tcW w:w="364"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vAlign w:val="center"/>
          </w:tcPr>
          <w:p w14:paraId="444DDF3C" w14:textId="77777777" w:rsidR="00DF1884" w:rsidRPr="00DF1884" w:rsidRDefault="00DF1884" w:rsidP="00DF1884">
            <w:pPr>
              <w:pStyle w:val="TableHead"/>
              <w:ind w:left="43"/>
              <w:jc w:val="left"/>
              <w:rPr>
                <w:rFonts w:ascii="Arial Narrow Bold"/>
                <w:i/>
                <w:color w:val="auto"/>
              </w:rPr>
            </w:pPr>
            <w:r w:rsidRPr="00DF1884">
              <w:rPr>
                <w:color w:val="auto"/>
              </w:rPr>
              <w:t>RDI</w:t>
            </w:r>
          </w:p>
        </w:tc>
        <w:tc>
          <w:tcPr>
            <w:tcW w:w="286"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vAlign w:val="center"/>
          </w:tcPr>
          <w:p w14:paraId="7A79C953" w14:textId="77777777" w:rsidR="00DF1884" w:rsidRPr="00DF1884" w:rsidRDefault="00DF1884" w:rsidP="00DF1884">
            <w:pPr>
              <w:pStyle w:val="TableHead"/>
              <w:ind w:left="43"/>
              <w:jc w:val="left"/>
              <w:rPr>
                <w:rFonts w:ascii="Arial Narrow Bold"/>
                <w:i/>
                <w:color w:val="auto"/>
              </w:rPr>
            </w:pPr>
            <w:r w:rsidRPr="00DF1884">
              <w:rPr>
                <w:color w:val="auto"/>
              </w:rPr>
              <w:t>RAS</w:t>
            </w:r>
          </w:p>
        </w:tc>
        <w:tc>
          <w:tcPr>
            <w:tcW w:w="390"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tcMar>
            <w:textDirection w:val="btLr"/>
            <w:vAlign w:val="center"/>
          </w:tcPr>
          <w:p w14:paraId="2D2D6EC3" w14:textId="77777777" w:rsidR="00DF1884" w:rsidRPr="00DF1884" w:rsidRDefault="00DF1884" w:rsidP="00DF1884">
            <w:pPr>
              <w:pStyle w:val="TableHead"/>
              <w:ind w:left="43"/>
              <w:jc w:val="left"/>
              <w:rPr>
                <w:rFonts w:ascii="Arial Narrow Bold"/>
                <w:color w:val="auto"/>
              </w:rPr>
            </w:pPr>
            <w:r w:rsidRPr="00DF1884">
              <w:rPr>
                <w:color w:val="auto"/>
              </w:rPr>
              <w:t>RCA</w:t>
            </w:r>
          </w:p>
        </w:tc>
        <w:tc>
          <w:tcPr>
            <w:tcW w:w="390"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vAlign w:val="center"/>
          </w:tcPr>
          <w:p w14:paraId="42FF0130" w14:textId="77777777" w:rsidR="00DF1884" w:rsidRPr="00DF1884" w:rsidRDefault="00DF1884" w:rsidP="00DF1884">
            <w:pPr>
              <w:pStyle w:val="TableHead"/>
              <w:ind w:left="43" w:right="29"/>
              <w:jc w:val="left"/>
              <w:rPr>
                <w:rFonts w:ascii="Arial Narrow Bold"/>
                <w:color w:val="auto"/>
              </w:rPr>
            </w:pPr>
            <w:r w:rsidRPr="00DF1884">
              <w:rPr>
                <w:color w:val="auto"/>
              </w:rPr>
              <w:t>RHY</w:t>
            </w:r>
          </w:p>
        </w:tc>
        <w:tc>
          <w:tcPr>
            <w:tcW w:w="390" w:type="dxa"/>
            <w:tcBorders>
              <w:top w:val="single" w:sz="6" w:space="0" w:color="FFFFFF" w:themeColor="background1"/>
              <w:left w:val="single" w:sz="4" w:space="0" w:color="FFFFFF"/>
              <w:bottom w:val="single" w:sz="6" w:space="0" w:color="auto"/>
              <w:right w:val="single" w:sz="6" w:space="0" w:color="auto"/>
            </w:tcBorders>
            <w:shd w:val="clear" w:color="auto" w:fill="000000"/>
            <w:tcMar>
              <w:left w:w="43" w:type="dxa"/>
            </w:tcMar>
            <w:textDirection w:val="btLr"/>
            <w:vAlign w:val="center"/>
          </w:tcPr>
          <w:p w14:paraId="4BDD59D1" w14:textId="77777777" w:rsidR="00DF1884" w:rsidRPr="00DF1884" w:rsidRDefault="00DF1884" w:rsidP="00DF1884">
            <w:pPr>
              <w:pStyle w:val="TableHead"/>
              <w:ind w:left="43" w:right="29"/>
              <w:jc w:val="left"/>
              <w:rPr>
                <w:rFonts w:ascii="Arial Narrow Bold"/>
                <w:color w:val="auto"/>
              </w:rPr>
            </w:pPr>
            <w:r w:rsidRPr="00DF1884">
              <w:rPr>
                <w:color w:val="auto"/>
              </w:rPr>
              <w:t>RCO</w:t>
            </w:r>
          </w:p>
        </w:tc>
      </w:tr>
      <w:tr w:rsidR="0003105D" w:rsidRPr="00DF1884" w14:paraId="588CCB09" w14:textId="77777777" w:rsidTr="00932F29">
        <w:trPr>
          <w:cantSplit/>
        </w:trPr>
        <w:tc>
          <w:tcPr>
            <w:tcW w:w="1342"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0F18B7A" w14:textId="77777777" w:rsidR="0003105D" w:rsidRPr="00DF1884" w:rsidRDefault="0003105D" w:rsidP="003869BD">
            <w:pPr>
              <w:pStyle w:val="TableText"/>
              <w:rPr>
                <w:szCs w:val="20"/>
              </w:rPr>
            </w:pPr>
            <w:r w:rsidRPr="00DF1884">
              <w:rPr>
                <w:szCs w:val="20"/>
              </w:rPr>
              <w:t>Required exclusions</w:t>
            </w:r>
          </w:p>
        </w:tc>
        <w:tc>
          <w:tcPr>
            <w:tcW w:w="363"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D8087FC" w14:textId="77777777" w:rsidR="0003105D" w:rsidRPr="00DF1884" w:rsidRDefault="0003105D"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6ED9F05" w14:textId="77777777" w:rsidR="0003105D" w:rsidRPr="00DF1884" w:rsidRDefault="0003105D"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4FA6B43" w14:textId="77777777" w:rsidR="0003105D" w:rsidRPr="00DF1884" w:rsidRDefault="0003105D"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5F1F17C" w14:textId="77777777" w:rsidR="0003105D" w:rsidRPr="00DF1884" w:rsidRDefault="0003105D"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DC9FD88" w14:textId="77777777" w:rsidR="0003105D" w:rsidRPr="00DF1884" w:rsidRDefault="0003105D"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910424A" w14:textId="77777777" w:rsidR="0003105D" w:rsidRPr="00DF1884" w:rsidRDefault="0003105D"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FCC02B2" w14:textId="77777777" w:rsidR="0003105D" w:rsidRPr="00DF1884" w:rsidRDefault="0003105D"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0906392" w14:textId="77777777" w:rsidR="0003105D" w:rsidRPr="00DF1884" w:rsidRDefault="0003105D"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4E48AA16" w14:textId="77777777" w:rsidR="0003105D" w:rsidRPr="00DF1884" w:rsidRDefault="0003105D"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4B1E3DC" w14:textId="77777777" w:rsidR="0003105D" w:rsidRPr="00DF1884" w:rsidRDefault="0003105D"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77F4EE8" w14:textId="77777777" w:rsidR="0003105D" w:rsidRPr="00DF1884" w:rsidRDefault="0003105D" w:rsidP="00932F29">
            <w:pPr>
              <w:pStyle w:val="TableText"/>
              <w:jc w:val="center"/>
              <w:rPr>
                <w:sz w:val="22"/>
                <w:szCs w:val="22"/>
              </w:rPr>
            </w:pPr>
          </w:p>
        </w:tc>
        <w:tc>
          <w:tcPr>
            <w:tcW w:w="363"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A02E7E7" w14:textId="77777777" w:rsidR="0003105D" w:rsidRPr="00DF1884" w:rsidRDefault="0003105D" w:rsidP="00932F29">
            <w:pPr>
              <w:pStyle w:val="TableText"/>
              <w:jc w:val="center"/>
              <w:rPr>
                <w:sz w:val="22"/>
                <w:szCs w:val="22"/>
                <w:highlight w:val="yellow"/>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C879003" w14:textId="77777777" w:rsidR="0003105D" w:rsidRPr="00DF1884" w:rsidRDefault="0003105D"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7ACB01C" w14:textId="77777777" w:rsidR="0003105D" w:rsidRPr="00DF1884" w:rsidRDefault="0003105D"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6ED0707" w14:textId="77777777" w:rsidR="0003105D" w:rsidRPr="00DF1884" w:rsidRDefault="0003105D"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E335DC1" w14:textId="77777777" w:rsidR="0003105D" w:rsidRPr="00DF1884" w:rsidRDefault="0003105D"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3A07028" w14:textId="77777777" w:rsidR="0003105D" w:rsidRPr="00DF1884" w:rsidRDefault="0003105D"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CFB8D78" w14:textId="77777777" w:rsidR="0003105D" w:rsidRPr="00DF1884" w:rsidRDefault="0003105D"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96EED64" w14:textId="77777777" w:rsidR="0003105D" w:rsidRPr="00DF1884" w:rsidRDefault="0003105D"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F95E307" w14:textId="77777777" w:rsidR="0003105D" w:rsidRPr="00DF1884" w:rsidRDefault="0003105D"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4336B3E" w14:textId="5C1D772B" w:rsidR="0003105D" w:rsidRPr="00DF1884" w:rsidRDefault="00C83AA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3A61258" w14:textId="77777777" w:rsidR="0003105D" w:rsidRPr="00DF1884" w:rsidRDefault="0003105D" w:rsidP="00932F29">
            <w:pPr>
              <w:pStyle w:val="TableText"/>
              <w:jc w:val="center"/>
              <w:rPr>
                <w:sz w:val="22"/>
                <w:szCs w:val="22"/>
              </w:rPr>
            </w:pPr>
            <w:r w:rsidRPr="00DF1884">
              <w:rPr>
                <w:sz w:val="22"/>
                <w:szCs w:val="22"/>
              </w:rPr>
              <w:sym w:font="Wingdings" w:char="F0FC"/>
            </w:r>
          </w:p>
        </w:tc>
        <w:tc>
          <w:tcPr>
            <w:tcW w:w="286"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51ABEAB" w14:textId="77777777" w:rsidR="0003105D" w:rsidRPr="00DF1884" w:rsidRDefault="0003105D" w:rsidP="00932F29">
            <w:pPr>
              <w:pStyle w:val="TableText"/>
              <w:jc w:val="center"/>
              <w:rPr>
                <w:sz w:val="22"/>
                <w:szCs w:val="22"/>
              </w:rPr>
            </w:pPr>
            <w:r w:rsidRPr="00DF1884">
              <w:rPr>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2E1173F9" w14:textId="77777777" w:rsidR="0003105D" w:rsidRPr="00DF1884" w:rsidRDefault="0003105D" w:rsidP="00932F29">
            <w:pPr>
              <w:pStyle w:val="TableText"/>
              <w:jc w:val="center"/>
              <w:rPr>
                <w:sz w:val="22"/>
                <w:szCs w:val="22"/>
              </w:rPr>
            </w:pPr>
            <w:r w:rsidRPr="00DF1884">
              <w:rPr>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E9AE6BB" w14:textId="77777777" w:rsidR="0003105D" w:rsidRPr="00DF1884" w:rsidRDefault="0003105D" w:rsidP="00932F29">
            <w:pPr>
              <w:pStyle w:val="TableText"/>
              <w:jc w:val="center"/>
              <w:rPr>
                <w:sz w:val="22"/>
                <w:szCs w:val="22"/>
              </w:rPr>
            </w:pPr>
            <w:r w:rsidRPr="00DF1884">
              <w:rPr>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47927484" w14:textId="77777777" w:rsidR="0003105D" w:rsidRPr="00DF1884" w:rsidRDefault="0003105D" w:rsidP="00932F29">
            <w:pPr>
              <w:pStyle w:val="TableText"/>
              <w:jc w:val="center"/>
              <w:rPr>
                <w:sz w:val="22"/>
                <w:szCs w:val="22"/>
              </w:rPr>
            </w:pPr>
            <w:r w:rsidRPr="00DF1884">
              <w:rPr>
                <w:sz w:val="22"/>
                <w:szCs w:val="22"/>
              </w:rPr>
              <w:sym w:font="Wingdings" w:char="F0FC"/>
            </w:r>
          </w:p>
        </w:tc>
      </w:tr>
      <w:tr w:rsidR="0003105D" w:rsidRPr="00DF1884" w14:paraId="0944C26E" w14:textId="77777777" w:rsidTr="00932F29">
        <w:trPr>
          <w:cantSplit/>
        </w:trPr>
        <w:tc>
          <w:tcPr>
            <w:tcW w:w="134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C56055E" w14:textId="77777777" w:rsidR="0003105D" w:rsidRPr="00DF1884" w:rsidRDefault="0003105D" w:rsidP="003869BD">
            <w:pPr>
              <w:pStyle w:val="TableText"/>
              <w:rPr>
                <w:szCs w:val="20"/>
              </w:rPr>
            </w:pPr>
            <w:r w:rsidRPr="00DF1884">
              <w:rPr>
                <w:szCs w:val="20"/>
              </w:rPr>
              <w:t>CE pre-MY</w:t>
            </w:r>
          </w:p>
        </w:tc>
        <w:tc>
          <w:tcPr>
            <w:tcW w:w="3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B18AC9B" w14:textId="77777777" w:rsidR="0003105D" w:rsidRPr="00DF1884" w:rsidRDefault="0003105D"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CA29EC1" w14:textId="77777777" w:rsidR="0003105D" w:rsidRPr="00DF1884" w:rsidRDefault="0003105D"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5B15A69" w14:textId="77777777" w:rsidR="0003105D" w:rsidRPr="00DF1884" w:rsidRDefault="0003105D"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FE63134" w14:textId="77777777" w:rsidR="0003105D" w:rsidRPr="00DF1884" w:rsidRDefault="0003105D"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CFA8789" w14:textId="77777777" w:rsidR="0003105D" w:rsidRPr="00DF1884" w:rsidRDefault="0003105D"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22E5F1E" w14:textId="77777777" w:rsidR="0003105D" w:rsidRPr="00DF1884" w:rsidRDefault="0003105D"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804059F" w14:textId="77777777" w:rsidR="0003105D" w:rsidRPr="00DF1884" w:rsidRDefault="0003105D"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D588B30" w14:textId="77777777" w:rsidR="0003105D" w:rsidRPr="00DF1884" w:rsidRDefault="0003105D"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58E095F7" w14:textId="77777777" w:rsidR="0003105D" w:rsidRPr="00DF1884" w:rsidRDefault="0003105D"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AE6034A" w14:textId="77777777" w:rsidR="0003105D" w:rsidRPr="00DF1884" w:rsidRDefault="0003105D"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5191091" w14:textId="77777777" w:rsidR="0003105D" w:rsidRPr="00DF1884" w:rsidRDefault="0003105D" w:rsidP="00932F29">
            <w:pPr>
              <w:pStyle w:val="TableText"/>
              <w:jc w:val="center"/>
              <w:rPr>
                <w:sz w:val="22"/>
                <w:szCs w:val="22"/>
              </w:rPr>
            </w:pPr>
          </w:p>
        </w:tc>
        <w:tc>
          <w:tcPr>
            <w:tcW w:w="3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D9D469E" w14:textId="77777777" w:rsidR="0003105D" w:rsidRPr="00DF1884" w:rsidRDefault="0003105D" w:rsidP="00932F29">
            <w:pPr>
              <w:pStyle w:val="TableText"/>
              <w:jc w:val="center"/>
              <w:rPr>
                <w:sz w:val="22"/>
                <w:szCs w:val="22"/>
                <w:highlight w:val="yellow"/>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5AB013A" w14:textId="77777777" w:rsidR="0003105D" w:rsidRPr="00DF1884" w:rsidRDefault="0003105D"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C5AE224" w14:textId="77777777" w:rsidR="0003105D" w:rsidRPr="00DF1884" w:rsidRDefault="0003105D"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5A25147" w14:textId="77777777" w:rsidR="0003105D" w:rsidRPr="00DF1884" w:rsidRDefault="0003105D"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F14CE3C" w14:textId="77777777" w:rsidR="0003105D" w:rsidRPr="00DF1884" w:rsidRDefault="0003105D"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C38AB8A" w14:textId="77777777" w:rsidR="0003105D" w:rsidRPr="00DF1884" w:rsidRDefault="0003105D"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5199B82" w14:textId="77777777" w:rsidR="0003105D" w:rsidRPr="00DF1884" w:rsidRDefault="0003105D"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26FA3EB" w14:textId="2BB8E91C" w:rsidR="0003105D" w:rsidRPr="00DF1884" w:rsidRDefault="00C83AA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FF0321A" w14:textId="25DE3484" w:rsidR="0003105D" w:rsidRPr="00DF1884" w:rsidRDefault="005950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CBF1771" w14:textId="43588305" w:rsidR="0003105D" w:rsidRPr="00DF1884" w:rsidRDefault="005950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9F3179B" w14:textId="77777777" w:rsidR="0003105D" w:rsidRPr="00DF1884" w:rsidRDefault="0003105D" w:rsidP="00932F29">
            <w:pPr>
              <w:pStyle w:val="TableText"/>
              <w:jc w:val="center"/>
              <w:rPr>
                <w:sz w:val="22"/>
                <w:szCs w:val="22"/>
              </w:rPr>
            </w:pPr>
          </w:p>
        </w:tc>
        <w:tc>
          <w:tcPr>
            <w:tcW w:w="28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DDD48B5" w14:textId="77777777" w:rsidR="0003105D" w:rsidRPr="00DF1884" w:rsidRDefault="0003105D" w:rsidP="00932F29">
            <w:pPr>
              <w:pStyle w:val="TableText"/>
              <w:jc w:val="center"/>
              <w:rPr>
                <w:sz w:val="22"/>
                <w:szCs w:val="22"/>
              </w:rPr>
            </w:pPr>
            <w:r w:rsidRPr="00DF1884">
              <w:rPr>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3D3B38D2" w14:textId="77777777" w:rsidR="0003105D" w:rsidRPr="00DF1884" w:rsidRDefault="0003105D" w:rsidP="00932F29">
            <w:pPr>
              <w:pStyle w:val="TableText"/>
              <w:jc w:val="center"/>
              <w:rPr>
                <w:sz w:val="22"/>
                <w:szCs w:val="22"/>
              </w:rPr>
            </w:pPr>
            <w:r w:rsidRPr="00DF1884">
              <w:rPr>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3FFADCD" w14:textId="77777777" w:rsidR="0003105D" w:rsidRPr="00DF1884" w:rsidRDefault="0003105D"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22BB5F53" w14:textId="77777777" w:rsidR="0003105D" w:rsidRPr="00DF1884" w:rsidRDefault="0003105D" w:rsidP="00932F29">
            <w:pPr>
              <w:pStyle w:val="TableText"/>
              <w:jc w:val="center"/>
              <w:rPr>
                <w:sz w:val="22"/>
                <w:szCs w:val="22"/>
              </w:rPr>
            </w:pPr>
          </w:p>
        </w:tc>
      </w:tr>
      <w:tr w:rsidR="0003105D" w:rsidRPr="00DF1884" w14:paraId="1BE6FEDE" w14:textId="77777777" w:rsidTr="00932F29">
        <w:trPr>
          <w:cantSplit/>
        </w:trPr>
        <w:tc>
          <w:tcPr>
            <w:tcW w:w="1342"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DE3B02F" w14:textId="77777777" w:rsidR="0003105D" w:rsidRPr="00DF1884" w:rsidRDefault="0003105D" w:rsidP="003869BD">
            <w:pPr>
              <w:pStyle w:val="TableText"/>
              <w:rPr>
                <w:szCs w:val="20"/>
              </w:rPr>
            </w:pPr>
            <w:r w:rsidRPr="00DF1884">
              <w:rPr>
                <w:szCs w:val="20"/>
              </w:rPr>
              <w:t>Anchor date</w:t>
            </w:r>
          </w:p>
        </w:tc>
        <w:tc>
          <w:tcPr>
            <w:tcW w:w="363"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2EAB3B9" w14:textId="77777777" w:rsidR="0003105D" w:rsidRPr="00DF1884" w:rsidRDefault="0003105D"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0FD7FF8" w14:textId="77777777" w:rsidR="0003105D" w:rsidRPr="00DF1884" w:rsidRDefault="0003105D"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8233D0A" w14:textId="77777777" w:rsidR="0003105D" w:rsidRPr="00DF1884" w:rsidRDefault="0003105D"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AE96A58" w14:textId="77777777" w:rsidR="0003105D" w:rsidRPr="00DF1884" w:rsidRDefault="0003105D"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7A19746" w14:textId="77777777" w:rsidR="0003105D" w:rsidRPr="00DF1884" w:rsidRDefault="0003105D"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D352216" w14:textId="77777777" w:rsidR="0003105D" w:rsidRPr="00DF1884" w:rsidRDefault="0003105D"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A696EAC" w14:textId="77777777" w:rsidR="0003105D" w:rsidRPr="00DF1884" w:rsidRDefault="0003105D"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9C79DAA" w14:textId="77777777" w:rsidR="0003105D" w:rsidRPr="00DF1884" w:rsidRDefault="0003105D"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29F87327" w14:textId="77777777" w:rsidR="0003105D" w:rsidRPr="00DF1884" w:rsidRDefault="0003105D"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B666454" w14:textId="77777777" w:rsidR="0003105D" w:rsidRPr="00DF1884" w:rsidRDefault="0003105D"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223B717" w14:textId="77777777" w:rsidR="0003105D" w:rsidRPr="00DF1884" w:rsidRDefault="0003105D" w:rsidP="00932F29">
            <w:pPr>
              <w:pStyle w:val="TableText"/>
              <w:jc w:val="center"/>
              <w:rPr>
                <w:sz w:val="22"/>
                <w:szCs w:val="22"/>
              </w:rPr>
            </w:pPr>
            <w:r w:rsidRPr="00DF1884">
              <w:rPr>
                <w:rFonts w:cs="Arial"/>
                <w:sz w:val="22"/>
                <w:szCs w:val="22"/>
              </w:rPr>
              <w:sym w:font="Wingdings" w:char="F0FC"/>
            </w:r>
          </w:p>
        </w:tc>
        <w:tc>
          <w:tcPr>
            <w:tcW w:w="363"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F33DFA0" w14:textId="77777777" w:rsidR="0003105D" w:rsidRPr="00DF1884" w:rsidRDefault="0003105D" w:rsidP="00932F29">
            <w:pPr>
              <w:pStyle w:val="TableText"/>
              <w:jc w:val="center"/>
              <w:rPr>
                <w:sz w:val="22"/>
                <w:szCs w:val="22"/>
                <w:highlight w:val="yellow"/>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416B0AD" w14:textId="77777777" w:rsidR="0003105D" w:rsidRPr="00DF1884" w:rsidRDefault="0003105D"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584B57E" w14:textId="77777777" w:rsidR="0003105D" w:rsidRPr="00DF1884" w:rsidRDefault="0003105D"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F3351AE" w14:textId="77777777" w:rsidR="0003105D" w:rsidRPr="00DF1884" w:rsidRDefault="0003105D"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ED14ECF" w14:textId="77777777" w:rsidR="0003105D" w:rsidRPr="00DF1884" w:rsidRDefault="0003105D"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EC949CB" w14:textId="77777777" w:rsidR="0003105D" w:rsidRPr="00DF1884" w:rsidRDefault="0003105D"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B20CE7B" w14:textId="77777777" w:rsidR="0003105D" w:rsidRPr="00DF1884" w:rsidRDefault="0003105D"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49E2770" w14:textId="6FD39CED" w:rsidR="0003105D" w:rsidRPr="00DF1884" w:rsidRDefault="00C83AA5" w:rsidP="00932F29">
            <w:pPr>
              <w:pStyle w:val="TableText"/>
              <w:jc w:val="center"/>
              <w:rPr>
                <w:rFonts w:cs="Arial"/>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25BDCF7" w14:textId="58916832" w:rsidR="0003105D" w:rsidRPr="00DF1884" w:rsidRDefault="00595075" w:rsidP="00932F29">
            <w:pPr>
              <w:pStyle w:val="TableText"/>
              <w:jc w:val="center"/>
              <w:rPr>
                <w:rFonts w:cs="Arial"/>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938AB14" w14:textId="35A7409E" w:rsidR="0003105D" w:rsidRPr="00DF1884" w:rsidRDefault="00595075" w:rsidP="00932F29">
            <w:pPr>
              <w:pStyle w:val="TableText"/>
              <w:jc w:val="center"/>
              <w:rPr>
                <w:rFonts w:cs="Arial"/>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E07CC5A" w14:textId="77777777" w:rsidR="0003105D" w:rsidRPr="00DF1884" w:rsidRDefault="0003105D" w:rsidP="00932F29">
            <w:pPr>
              <w:pStyle w:val="TableText"/>
              <w:jc w:val="center"/>
              <w:rPr>
                <w:sz w:val="22"/>
                <w:szCs w:val="22"/>
              </w:rPr>
            </w:pPr>
            <w:r w:rsidRPr="00DF1884">
              <w:rPr>
                <w:rFonts w:cs="Arial"/>
                <w:sz w:val="22"/>
                <w:szCs w:val="22"/>
              </w:rPr>
              <w:sym w:font="Wingdings" w:char="F0FC"/>
            </w:r>
          </w:p>
        </w:tc>
        <w:tc>
          <w:tcPr>
            <w:tcW w:w="286"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C375802" w14:textId="77777777" w:rsidR="0003105D" w:rsidRPr="00DF1884" w:rsidRDefault="0003105D" w:rsidP="00932F29">
            <w:pPr>
              <w:pStyle w:val="TableText"/>
              <w:jc w:val="center"/>
              <w:rPr>
                <w:sz w:val="22"/>
                <w:szCs w:val="22"/>
              </w:rPr>
            </w:pPr>
            <w:r w:rsidRPr="00DF1884">
              <w:rPr>
                <w:rFonts w:cs="Arial"/>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72383138" w14:textId="77777777" w:rsidR="0003105D" w:rsidRPr="00DF1884" w:rsidRDefault="0003105D" w:rsidP="00932F29">
            <w:pPr>
              <w:pStyle w:val="TableText"/>
              <w:jc w:val="center"/>
              <w:rPr>
                <w:sz w:val="22"/>
                <w:szCs w:val="22"/>
              </w:rPr>
            </w:pPr>
            <w:r w:rsidRPr="00DF1884">
              <w:rPr>
                <w:rFonts w:cs="Arial"/>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0C53225" w14:textId="77777777" w:rsidR="0003105D" w:rsidRPr="00DF1884" w:rsidRDefault="0003105D" w:rsidP="00932F29">
            <w:pPr>
              <w:pStyle w:val="TableText"/>
              <w:jc w:val="center"/>
              <w:rPr>
                <w:sz w:val="22"/>
                <w:szCs w:val="22"/>
              </w:rPr>
            </w:pPr>
            <w:r w:rsidRPr="00DF1884">
              <w:rPr>
                <w:rFonts w:cs="Arial"/>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58219892" w14:textId="77777777" w:rsidR="0003105D" w:rsidRPr="00DF1884" w:rsidRDefault="0003105D" w:rsidP="00932F29">
            <w:pPr>
              <w:pStyle w:val="TableText"/>
              <w:jc w:val="center"/>
              <w:rPr>
                <w:sz w:val="22"/>
                <w:szCs w:val="22"/>
              </w:rPr>
            </w:pPr>
            <w:r w:rsidRPr="00DF1884">
              <w:rPr>
                <w:rFonts w:cs="Arial"/>
                <w:sz w:val="22"/>
                <w:szCs w:val="22"/>
              </w:rPr>
              <w:sym w:font="Wingdings" w:char="F0FC"/>
            </w:r>
          </w:p>
        </w:tc>
      </w:tr>
      <w:tr w:rsidR="00DF1884" w:rsidRPr="00DF1884" w14:paraId="19B33BE4" w14:textId="77777777" w:rsidTr="00932F29">
        <w:trPr>
          <w:cantSplit/>
        </w:trPr>
        <w:tc>
          <w:tcPr>
            <w:tcW w:w="134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356A270" w14:textId="14DCE4F8" w:rsidR="00A63675" w:rsidRPr="00DF1884" w:rsidRDefault="00A63675" w:rsidP="00E9531F">
            <w:pPr>
              <w:pStyle w:val="TableText"/>
              <w:rPr>
                <w:szCs w:val="20"/>
              </w:rPr>
            </w:pPr>
            <w:r w:rsidRPr="00DF1884">
              <w:rPr>
                <w:szCs w:val="20"/>
              </w:rPr>
              <w:t>MY</w:t>
            </w:r>
            <w:r w:rsidR="00DF1884" w:rsidRPr="00DF1884">
              <w:rPr>
                <w:szCs w:val="20"/>
              </w:rPr>
              <w:t xml:space="preserve"> </w:t>
            </w:r>
            <w:r w:rsidRPr="00DF1884">
              <w:rPr>
                <w:szCs w:val="20"/>
              </w:rPr>
              <w:t>+</w:t>
            </w:r>
            <w:r w:rsidR="00DF1884" w:rsidRPr="00DF1884">
              <w:rPr>
                <w:szCs w:val="20"/>
              </w:rPr>
              <w:t xml:space="preserve"> </w:t>
            </w:r>
            <w:r w:rsidRPr="00DF1884">
              <w:rPr>
                <w:szCs w:val="20"/>
              </w:rPr>
              <w:t>1</w:t>
            </w:r>
            <w:r w:rsidR="00DF1884" w:rsidRPr="00DF1884">
              <w:rPr>
                <w:szCs w:val="20"/>
              </w:rPr>
              <w:t xml:space="preserve"> </w:t>
            </w:r>
            <w:r w:rsidRPr="00DF1884">
              <w:rPr>
                <w:szCs w:val="20"/>
              </w:rPr>
              <w:t>year</w:t>
            </w:r>
            <w:r w:rsidR="00DF1884" w:rsidRPr="00DF1884">
              <w:rPr>
                <w:szCs w:val="20"/>
              </w:rPr>
              <w:t xml:space="preserve"> </w:t>
            </w:r>
            <w:r w:rsidRPr="00DF1884">
              <w:rPr>
                <w:szCs w:val="20"/>
              </w:rPr>
              <w:t>claims</w:t>
            </w:r>
            <w:r w:rsidR="00DF1884" w:rsidRPr="00DF1884">
              <w:rPr>
                <w:szCs w:val="20"/>
              </w:rPr>
              <w:t xml:space="preserve"> </w:t>
            </w:r>
            <w:r w:rsidRPr="00DF1884">
              <w:rPr>
                <w:szCs w:val="20"/>
              </w:rPr>
              <w:t>data</w:t>
            </w:r>
          </w:p>
        </w:tc>
        <w:tc>
          <w:tcPr>
            <w:tcW w:w="3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DA27D5A"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DAFB74A"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9178AAA"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72F9477"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75F8AF8"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763421C"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5EBE2F2"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56E2F49"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4F18E766"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97212C5"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846B374" w14:textId="77777777" w:rsidR="00A63675" w:rsidRPr="00DF1884" w:rsidRDefault="00A63675" w:rsidP="00932F29">
            <w:pPr>
              <w:pStyle w:val="TableText"/>
              <w:jc w:val="center"/>
              <w:rPr>
                <w:sz w:val="22"/>
                <w:szCs w:val="22"/>
              </w:rPr>
            </w:pPr>
          </w:p>
        </w:tc>
        <w:tc>
          <w:tcPr>
            <w:tcW w:w="3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B5F6991" w14:textId="77777777" w:rsidR="00A63675" w:rsidRPr="00DF1884" w:rsidRDefault="00A63675" w:rsidP="00932F29">
            <w:pPr>
              <w:pStyle w:val="TableText"/>
              <w:jc w:val="center"/>
              <w:rPr>
                <w:sz w:val="22"/>
                <w:szCs w:val="22"/>
                <w:highlight w:val="yellow"/>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661C668"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0053862"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350CEB6"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E16DE0E"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E5192EF"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A7E981D"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AA8CFE9" w14:textId="2438346C" w:rsidR="00A63675" w:rsidRPr="00DF1884" w:rsidRDefault="00C83AA5" w:rsidP="00932F29">
            <w:pPr>
              <w:pStyle w:val="TableText"/>
              <w:jc w:val="center"/>
              <w:rPr>
                <w:rFonts w:cs="Arial"/>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7EEF798" w14:textId="5D572180" w:rsidR="00A63675" w:rsidRPr="00DF1884" w:rsidRDefault="00595075" w:rsidP="00932F29">
            <w:pPr>
              <w:pStyle w:val="TableText"/>
              <w:jc w:val="center"/>
              <w:rPr>
                <w:rFonts w:cs="Arial"/>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56DAD9F" w14:textId="6C66B327" w:rsidR="00A63675" w:rsidRPr="00DF1884" w:rsidRDefault="00595075" w:rsidP="00932F29">
            <w:pPr>
              <w:pStyle w:val="TableText"/>
              <w:jc w:val="center"/>
              <w:rPr>
                <w:rFonts w:cs="Arial"/>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59E80B5" w14:textId="746FF096" w:rsidR="00A63675" w:rsidRPr="00DF1884" w:rsidRDefault="00A63675" w:rsidP="00932F29">
            <w:pPr>
              <w:pStyle w:val="TableText"/>
              <w:jc w:val="center"/>
              <w:rPr>
                <w:sz w:val="22"/>
                <w:szCs w:val="22"/>
              </w:rPr>
            </w:pPr>
            <w:r w:rsidRPr="00DF1884">
              <w:rPr>
                <w:rFonts w:cs="Arial"/>
                <w:sz w:val="22"/>
                <w:szCs w:val="22"/>
              </w:rPr>
              <w:sym w:font="Wingdings" w:char="F0FC"/>
            </w:r>
          </w:p>
        </w:tc>
        <w:tc>
          <w:tcPr>
            <w:tcW w:w="28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CBC5001"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5F5635AA"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955ABFA"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36B35AE8"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r>
      <w:tr w:rsidR="00DF1884" w:rsidRPr="00DF1884" w14:paraId="33D4F9C7" w14:textId="77777777" w:rsidTr="00932F29">
        <w:trPr>
          <w:cantSplit/>
        </w:trPr>
        <w:tc>
          <w:tcPr>
            <w:tcW w:w="1342"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C0D69DB" w14:textId="372E0FB5" w:rsidR="00A63675" w:rsidRPr="00DF1884" w:rsidRDefault="00A63675" w:rsidP="00E9531F">
            <w:pPr>
              <w:pStyle w:val="TableText"/>
              <w:rPr>
                <w:szCs w:val="20"/>
              </w:rPr>
            </w:pPr>
            <w:r w:rsidRPr="00DF1884">
              <w:rPr>
                <w:szCs w:val="20"/>
              </w:rPr>
              <w:t>At</w:t>
            </w:r>
            <w:r w:rsidR="00DF1884" w:rsidRPr="00DF1884">
              <w:rPr>
                <w:szCs w:val="20"/>
              </w:rPr>
              <w:t xml:space="preserve"> </w:t>
            </w:r>
            <w:r w:rsidRPr="00DF1884">
              <w:rPr>
                <w:szCs w:val="20"/>
              </w:rPr>
              <w:t>least</w:t>
            </w:r>
            <w:r w:rsidR="00DF1884" w:rsidRPr="00DF1884">
              <w:rPr>
                <w:szCs w:val="20"/>
              </w:rPr>
              <w:t xml:space="preserve"> </w:t>
            </w:r>
            <w:r w:rsidRPr="00DF1884">
              <w:rPr>
                <w:szCs w:val="20"/>
              </w:rPr>
              <w:t>MY</w:t>
            </w:r>
            <w:r w:rsidR="00DF1884" w:rsidRPr="00DF1884">
              <w:rPr>
                <w:szCs w:val="20"/>
              </w:rPr>
              <w:t xml:space="preserve"> </w:t>
            </w:r>
            <w:r w:rsidRPr="00DF1884">
              <w:rPr>
                <w:szCs w:val="20"/>
              </w:rPr>
              <w:t>+</w:t>
            </w:r>
            <w:r w:rsidR="00DF1884" w:rsidRPr="00DF1884">
              <w:rPr>
                <w:szCs w:val="20"/>
              </w:rPr>
              <w:t xml:space="preserve"> </w:t>
            </w:r>
            <w:r w:rsidRPr="00DF1884">
              <w:rPr>
                <w:szCs w:val="20"/>
              </w:rPr>
              <w:t>2</w:t>
            </w:r>
            <w:r w:rsidR="00DF1884" w:rsidRPr="00DF1884">
              <w:rPr>
                <w:szCs w:val="20"/>
              </w:rPr>
              <w:t xml:space="preserve"> </w:t>
            </w:r>
            <w:r w:rsidRPr="00DF1884">
              <w:rPr>
                <w:szCs w:val="20"/>
              </w:rPr>
              <w:t>years</w:t>
            </w:r>
            <w:r w:rsidR="00DF1884" w:rsidRPr="00DF1884">
              <w:rPr>
                <w:szCs w:val="20"/>
              </w:rPr>
              <w:t xml:space="preserve"> </w:t>
            </w:r>
            <w:r w:rsidRPr="00DF1884">
              <w:rPr>
                <w:szCs w:val="20"/>
              </w:rPr>
              <w:t>claims</w:t>
            </w:r>
            <w:r w:rsidR="00DF1884" w:rsidRPr="00DF1884">
              <w:rPr>
                <w:szCs w:val="20"/>
              </w:rPr>
              <w:t xml:space="preserve"> </w:t>
            </w:r>
            <w:r w:rsidRPr="00DF1884">
              <w:rPr>
                <w:szCs w:val="20"/>
              </w:rPr>
              <w:t>data</w:t>
            </w:r>
          </w:p>
        </w:tc>
        <w:tc>
          <w:tcPr>
            <w:tcW w:w="363"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9A2A9BB"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0566D75"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EB20B87"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F7114C8"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0371539"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C35FA02"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DC4F172"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76F90A2"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3E0C781C"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F689B2A"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B15A805" w14:textId="77777777" w:rsidR="00A63675" w:rsidRPr="00DF1884" w:rsidRDefault="00A63675" w:rsidP="00932F29">
            <w:pPr>
              <w:pStyle w:val="TableText"/>
              <w:jc w:val="center"/>
              <w:rPr>
                <w:sz w:val="22"/>
                <w:szCs w:val="22"/>
              </w:rPr>
            </w:pPr>
          </w:p>
        </w:tc>
        <w:tc>
          <w:tcPr>
            <w:tcW w:w="363"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8DBBB22" w14:textId="77777777" w:rsidR="00A63675" w:rsidRPr="00DF1884" w:rsidRDefault="00A63675" w:rsidP="00932F29">
            <w:pPr>
              <w:pStyle w:val="TableText"/>
              <w:jc w:val="center"/>
              <w:rPr>
                <w:sz w:val="22"/>
                <w:szCs w:val="22"/>
                <w:highlight w:val="yellow"/>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0A6CFCE"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A7F0479"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5DB92B6"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3983A98"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20C910B"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72512D6"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01AC24F"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36B1FF8"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182DE1C"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4506C4B" w14:textId="5BAA5B71" w:rsidR="00A63675" w:rsidRPr="00DF1884" w:rsidRDefault="00A63675" w:rsidP="00932F29">
            <w:pPr>
              <w:pStyle w:val="TableText"/>
              <w:jc w:val="center"/>
              <w:rPr>
                <w:sz w:val="22"/>
                <w:szCs w:val="22"/>
              </w:rPr>
            </w:pPr>
          </w:p>
        </w:tc>
        <w:tc>
          <w:tcPr>
            <w:tcW w:w="286"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C574DD7"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7C520DB7"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2E512CC"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590F1CE9" w14:textId="77777777" w:rsidR="00A63675" w:rsidRPr="00DF1884" w:rsidRDefault="00A63675" w:rsidP="00932F29">
            <w:pPr>
              <w:pStyle w:val="TableText"/>
              <w:jc w:val="center"/>
              <w:rPr>
                <w:sz w:val="22"/>
                <w:szCs w:val="22"/>
              </w:rPr>
            </w:pPr>
          </w:p>
        </w:tc>
      </w:tr>
      <w:tr w:rsidR="00DF1884" w:rsidRPr="00DF1884" w14:paraId="25CCD75E" w14:textId="77777777" w:rsidTr="00932F29">
        <w:trPr>
          <w:cantSplit/>
        </w:trPr>
        <w:tc>
          <w:tcPr>
            <w:tcW w:w="134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C7F06B0" w14:textId="77777777" w:rsidR="00A63675" w:rsidRPr="00DF1884" w:rsidRDefault="00A63675" w:rsidP="00E9531F">
            <w:pPr>
              <w:pStyle w:val="TableText"/>
              <w:rPr>
                <w:szCs w:val="20"/>
              </w:rPr>
            </w:pPr>
            <w:r w:rsidRPr="00DF1884">
              <w:rPr>
                <w:szCs w:val="20"/>
              </w:rPr>
              <w:t>Hybrid</w:t>
            </w:r>
          </w:p>
        </w:tc>
        <w:tc>
          <w:tcPr>
            <w:tcW w:w="3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right w:w="43" w:type="dxa"/>
            </w:tcMar>
            <w:vAlign w:val="center"/>
          </w:tcPr>
          <w:p w14:paraId="003034AE"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right w:w="43" w:type="dxa"/>
            </w:tcMar>
            <w:vAlign w:val="center"/>
          </w:tcPr>
          <w:p w14:paraId="5461A72A"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right w:w="43" w:type="dxa"/>
            </w:tcMar>
            <w:vAlign w:val="center"/>
          </w:tcPr>
          <w:p w14:paraId="4156D9B0"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right w:w="43" w:type="dxa"/>
            </w:tcMar>
            <w:vAlign w:val="center"/>
          </w:tcPr>
          <w:p w14:paraId="3BEA1E96"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right w:w="43" w:type="dxa"/>
            </w:tcMar>
            <w:vAlign w:val="center"/>
          </w:tcPr>
          <w:p w14:paraId="1FA43EAE"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right w:w="43" w:type="dxa"/>
            </w:tcMar>
            <w:vAlign w:val="center"/>
          </w:tcPr>
          <w:p w14:paraId="7B05590C"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right w:w="43" w:type="dxa"/>
            </w:tcMar>
            <w:vAlign w:val="center"/>
          </w:tcPr>
          <w:p w14:paraId="17361846"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right w:w="43" w:type="dxa"/>
            </w:tcMar>
            <w:vAlign w:val="center"/>
          </w:tcPr>
          <w:p w14:paraId="114DF319"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tcMar>
            <w:vAlign w:val="center"/>
          </w:tcPr>
          <w:p w14:paraId="7673CC5D" w14:textId="6A84B7E5" w:rsidR="00A63675" w:rsidRPr="00DF1884" w:rsidRDefault="00A63675" w:rsidP="00932F29">
            <w:pPr>
              <w:pStyle w:val="TableText"/>
              <w:jc w:val="center"/>
              <w:rPr>
                <w:sz w:val="22"/>
                <w:szCs w:val="22"/>
              </w:rPr>
            </w:pPr>
            <w:r w:rsidRPr="00DF1884">
              <w:rPr>
                <w:rFonts w:cs="Arial"/>
                <w:sz w:val="22"/>
                <w:szCs w:val="22"/>
              </w:rPr>
              <w:sym w:font="Wingdings" w:char="F0FC"/>
            </w:r>
            <w:r w:rsidR="000B204C">
              <w:rPr>
                <w:rFonts w:cs="Arial"/>
                <w:sz w:val="22"/>
                <w:szCs w:val="22"/>
                <w:vertAlign w:val="superscript"/>
              </w:rPr>
              <w:t>1</w:t>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right w:w="43" w:type="dxa"/>
            </w:tcMar>
            <w:vAlign w:val="center"/>
          </w:tcPr>
          <w:p w14:paraId="5373F429" w14:textId="2584A8AE" w:rsidR="00A63675" w:rsidRPr="00DF1884" w:rsidRDefault="00A63675" w:rsidP="00932F29">
            <w:pPr>
              <w:pStyle w:val="TableText"/>
              <w:jc w:val="center"/>
              <w:rPr>
                <w:sz w:val="22"/>
                <w:szCs w:val="22"/>
              </w:rPr>
            </w:pPr>
            <w:r w:rsidRPr="00DF1884">
              <w:rPr>
                <w:rFonts w:cs="Arial"/>
                <w:sz w:val="22"/>
                <w:szCs w:val="22"/>
              </w:rPr>
              <w:sym w:font="Wingdings" w:char="F0FC"/>
            </w:r>
            <w:r w:rsidR="000B204C">
              <w:rPr>
                <w:rFonts w:cs="Arial"/>
                <w:sz w:val="22"/>
                <w:szCs w:val="22"/>
                <w:vertAlign w:val="superscript"/>
              </w:rPr>
              <w:t>1</w:t>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right w:w="43" w:type="dxa"/>
            </w:tcMar>
            <w:vAlign w:val="center"/>
          </w:tcPr>
          <w:p w14:paraId="226AA3C9" w14:textId="77DF46F3" w:rsidR="00A63675" w:rsidRPr="00DF1884" w:rsidRDefault="00A63675" w:rsidP="00932F29">
            <w:pPr>
              <w:pStyle w:val="TableText"/>
              <w:jc w:val="center"/>
              <w:rPr>
                <w:sz w:val="22"/>
                <w:szCs w:val="22"/>
              </w:rPr>
            </w:pPr>
            <w:r w:rsidRPr="00DF1884">
              <w:rPr>
                <w:rFonts w:cs="Arial"/>
                <w:sz w:val="22"/>
                <w:szCs w:val="22"/>
              </w:rPr>
              <w:sym w:font="Wingdings" w:char="F0FC"/>
            </w:r>
            <w:r w:rsidR="000B204C">
              <w:rPr>
                <w:rFonts w:cs="Arial"/>
                <w:sz w:val="22"/>
                <w:szCs w:val="22"/>
                <w:vertAlign w:val="superscript"/>
              </w:rPr>
              <w:t>1</w:t>
            </w:r>
          </w:p>
        </w:tc>
        <w:tc>
          <w:tcPr>
            <w:tcW w:w="3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right w:w="43" w:type="dxa"/>
            </w:tcMar>
            <w:vAlign w:val="center"/>
          </w:tcPr>
          <w:p w14:paraId="701A1628" w14:textId="77777777" w:rsidR="00A63675" w:rsidRPr="00DF1884" w:rsidRDefault="00A63675" w:rsidP="00932F29">
            <w:pPr>
              <w:pStyle w:val="TableText"/>
              <w:jc w:val="center"/>
              <w:rPr>
                <w:sz w:val="22"/>
                <w:szCs w:val="22"/>
                <w:highlight w:val="yellow"/>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right w:w="43" w:type="dxa"/>
            </w:tcMar>
            <w:vAlign w:val="center"/>
          </w:tcPr>
          <w:p w14:paraId="33D0E8F4"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right w:w="43" w:type="dxa"/>
            </w:tcMar>
            <w:vAlign w:val="center"/>
          </w:tcPr>
          <w:p w14:paraId="7085AC2F"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right w:w="43" w:type="dxa"/>
            </w:tcMar>
            <w:vAlign w:val="center"/>
          </w:tcPr>
          <w:p w14:paraId="532B7538"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right w:w="43" w:type="dxa"/>
            </w:tcMar>
            <w:vAlign w:val="center"/>
          </w:tcPr>
          <w:p w14:paraId="453CBFC8"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right w:w="43" w:type="dxa"/>
            </w:tcMar>
            <w:vAlign w:val="center"/>
          </w:tcPr>
          <w:p w14:paraId="46963EB6"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right w:w="43" w:type="dxa"/>
            </w:tcMar>
            <w:vAlign w:val="center"/>
          </w:tcPr>
          <w:p w14:paraId="0CF0AAE8"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1D1BDAA"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E2DF79B"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6E3B7D1"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right w:w="43" w:type="dxa"/>
            </w:tcMar>
            <w:vAlign w:val="center"/>
          </w:tcPr>
          <w:p w14:paraId="07D93125" w14:textId="048FACC5" w:rsidR="00A63675" w:rsidRPr="00DF1884" w:rsidRDefault="00A63675" w:rsidP="00932F29">
            <w:pPr>
              <w:pStyle w:val="TableText"/>
              <w:jc w:val="center"/>
              <w:rPr>
                <w:sz w:val="22"/>
                <w:szCs w:val="22"/>
              </w:rPr>
            </w:pPr>
          </w:p>
        </w:tc>
        <w:tc>
          <w:tcPr>
            <w:tcW w:w="28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right w:w="43" w:type="dxa"/>
            </w:tcMar>
            <w:vAlign w:val="center"/>
          </w:tcPr>
          <w:p w14:paraId="323F0806"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tcMar>
            <w:vAlign w:val="center"/>
          </w:tcPr>
          <w:p w14:paraId="37238EC5"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right w:w="43" w:type="dxa"/>
            </w:tcMar>
            <w:vAlign w:val="center"/>
          </w:tcPr>
          <w:p w14:paraId="6A28E512"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tcMar>
            <w:vAlign w:val="center"/>
          </w:tcPr>
          <w:p w14:paraId="3DE8C4A6" w14:textId="77777777" w:rsidR="00A63675" w:rsidRPr="00DF1884" w:rsidRDefault="00A63675" w:rsidP="00932F29">
            <w:pPr>
              <w:pStyle w:val="TableText"/>
              <w:jc w:val="center"/>
              <w:rPr>
                <w:sz w:val="22"/>
                <w:szCs w:val="22"/>
              </w:rPr>
            </w:pPr>
          </w:p>
        </w:tc>
      </w:tr>
      <w:tr w:rsidR="00DF1884" w:rsidRPr="00DF1884" w14:paraId="747F2228" w14:textId="77777777" w:rsidTr="00932F29">
        <w:trPr>
          <w:cantSplit/>
        </w:trPr>
        <w:tc>
          <w:tcPr>
            <w:tcW w:w="1342"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E6EFA6E" w14:textId="1F8A2F08" w:rsidR="00A63675" w:rsidRPr="00DF1884" w:rsidRDefault="00A63675" w:rsidP="00E9531F">
            <w:pPr>
              <w:pStyle w:val="TableText"/>
              <w:rPr>
                <w:szCs w:val="20"/>
              </w:rPr>
            </w:pPr>
            <w:r w:rsidRPr="00DF1884">
              <w:rPr>
                <w:szCs w:val="20"/>
              </w:rPr>
              <w:t>Inpatient</w:t>
            </w:r>
            <w:r w:rsidR="00DF1884" w:rsidRPr="00DF1884">
              <w:rPr>
                <w:szCs w:val="20"/>
              </w:rPr>
              <w:t xml:space="preserve"> </w:t>
            </w:r>
            <w:r w:rsidRPr="00DF1884">
              <w:rPr>
                <w:szCs w:val="20"/>
              </w:rPr>
              <w:t>claims</w:t>
            </w:r>
            <w:r w:rsidR="00DF1884" w:rsidRPr="00DF1884">
              <w:rPr>
                <w:szCs w:val="20"/>
              </w:rPr>
              <w:t xml:space="preserve"> </w:t>
            </w:r>
            <w:r w:rsidRPr="00DF1884">
              <w:rPr>
                <w:szCs w:val="20"/>
              </w:rPr>
              <w:t>data</w:t>
            </w:r>
          </w:p>
        </w:tc>
        <w:tc>
          <w:tcPr>
            <w:tcW w:w="363"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right w:w="43" w:type="dxa"/>
            </w:tcMar>
            <w:vAlign w:val="center"/>
          </w:tcPr>
          <w:p w14:paraId="428A1A2A"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right w:w="43" w:type="dxa"/>
            </w:tcMar>
            <w:vAlign w:val="center"/>
          </w:tcPr>
          <w:p w14:paraId="471A8CAF"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right w:w="43" w:type="dxa"/>
            </w:tcMar>
            <w:vAlign w:val="center"/>
          </w:tcPr>
          <w:p w14:paraId="6093DDBA"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right w:w="43" w:type="dxa"/>
            </w:tcMar>
            <w:vAlign w:val="center"/>
          </w:tcPr>
          <w:p w14:paraId="23AE25B4"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right w:w="43" w:type="dxa"/>
            </w:tcMar>
            <w:vAlign w:val="center"/>
          </w:tcPr>
          <w:p w14:paraId="6AE92AE7"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right w:w="43" w:type="dxa"/>
            </w:tcMar>
            <w:vAlign w:val="center"/>
          </w:tcPr>
          <w:p w14:paraId="0E1FC8D2"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right w:w="43" w:type="dxa"/>
            </w:tcMar>
            <w:vAlign w:val="center"/>
          </w:tcPr>
          <w:p w14:paraId="7467DF27"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right w:w="43" w:type="dxa"/>
            </w:tcMar>
            <w:vAlign w:val="center"/>
          </w:tcPr>
          <w:p w14:paraId="4FE8C438"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tcMar>
            <w:vAlign w:val="center"/>
          </w:tcPr>
          <w:p w14:paraId="2FBC654C"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right w:w="43" w:type="dxa"/>
            </w:tcMar>
            <w:vAlign w:val="center"/>
          </w:tcPr>
          <w:p w14:paraId="6986DCFD"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right w:w="43" w:type="dxa"/>
            </w:tcMar>
            <w:vAlign w:val="center"/>
          </w:tcPr>
          <w:p w14:paraId="75D8C194" w14:textId="77777777" w:rsidR="00A63675" w:rsidRPr="00DF1884" w:rsidRDefault="00A63675" w:rsidP="00932F29">
            <w:pPr>
              <w:pStyle w:val="TableText"/>
              <w:jc w:val="center"/>
              <w:rPr>
                <w:sz w:val="22"/>
                <w:szCs w:val="22"/>
              </w:rPr>
            </w:pPr>
          </w:p>
        </w:tc>
        <w:tc>
          <w:tcPr>
            <w:tcW w:w="363"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right w:w="43" w:type="dxa"/>
            </w:tcMar>
            <w:vAlign w:val="center"/>
          </w:tcPr>
          <w:p w14:paraId="17874BA5" w14:textId="77777777" w:rsidR="00A63675" w:rsidRPr="00DF1884" w:rsidRDefault="00A63675" w:rsidP="00932F29">
            <w:pPr>
              <w:pStyle w:val="TableText"/>
              <w:jc w:val="center"/>
              <w:rPr>
                <w:sz w:val="22"/>
                <w:szCs w:val="22"/>
                <w:highlight w:val="yellow"/>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right w:w="43" w:type="dxa"/>
            </w:tcMar>
            <w:vAlign w:val="center"/>
          </w:tcPr>
          <w:p w14:paraId="3C6DBC9A"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right w:w="43" w:type="dxa"/>
            </w:tcMar>
            <w:vAlign w:val="center"/>
          </w:tcPr>
          <w:p w14:paraId="58E93A9B"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right w:w="43" w:type="dxa"/>
            </w:tcMar>
            <w:vAlign w:val="center"/>
          </w:tcPr>
          <w:p w14:paraId="067A4446"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right w:w="43" w:type="dxa"/>
            </w:tcMar>
            <w:vAlign w:val="center"/>
          </w:tcPr>
          <w:p w14:paraId="1B99DD7D"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right w:w="43" w:type="dxa"/>
            </w:tcMar>
            <w:vAlign w:val="center"/>
          </w:tcPr>
          <w:p w14:paraId="78D2D6C1"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right w:w="43" w:type="dxa"/>
            </w:tcMar>
            <w:vAlign w:val="center"/>
          </w:tcPr>
          <w:p w14:paraId="4B859BDB"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4C2E6C8" w14:textId="1B3FE4AF" w:rsidR="00A63675" w:rsidRPr="00DF1884" w:rsidRDefault="00C83AA5" w:rsidP="00932F29">
            <w:pPr>
              <w:pStyle w:val="TableText"/>
              <w:jc w:val="center"/>
              <w:rPr>
                <w:rFonts w:cs="Arial"/>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1BF1B45" w14:textId="72AD1572" w:rsidR="00A63675" w:rsidRPr="00DF1884" w:rsidRDefault="00595075" w:rsidP="00932F29">
            <w:pPr>
              <w:pStyle w:val="TableText"/>
              <w:jc w:val="center"/>
              <w:rPr>
                <w:rFonts w:cs="Arial"/>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5A91F78" w14:textId="3AF3E37E" w:rsidR="00A63675" w:rsidRPr="00DF1884" w:rsidRDefault="00595075" w:rsidP="00932F29">
            <w:pPr>
              <w:pStyle w:val="TableText"/>
              <w:jc w:val="center"/>
              <w:rPr>
                <w:rFonts w:cs="Arial"/>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right w:w="43" w:type="dxa"/>
            </w:tcMar>
            <w:vAlign w:val="center"/>
          </w:tcPr>
          <w:p w14:paraId="5FB8F035" w14:textId="390F93E2" w:rsidR="00A63675" w:rsidRPr="00DF1884" w:rsidRDefault="00A63675" w:rsidP="00932F29">
            <w:pPr>
              <w:pStyle w:val="TableText"/>
              <w:jc w:val="center"/>
              <w:rPr>
                <w:sz w:val="22"/>
                <w:szCs w:val="22"/>
              </w:rPr>
            </w:pPr>
            <w:r w:rsidRPr="00DF1884">
              <w:rPr>
                <w:rFonts w:cs="Arial"/>
                <w:sz w:val="22"/>
                <w:szCs w:val="22"/>
              </w:rPr>
              <w:sym w:font="Wingdings" w:char="F0FC"/>
            </w:r>
          </w:p>
        </w:tc>
        <w:tc>
          <w:tcPr>
            <w:tcW w:w="286"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right w:w="43" w:type="dxa"/>
            </w:tcMar>
            <w:vAlign w:val="center"/>
          </w:tcPr>
          <w:p w14:paraId="54E3FE50"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tcMar>
            <w:vAlign w:val="center"/>
          </w:tcPr>
          <w:p w14:paraId="49A033D4"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right w:w="43" w:type="dxa"/>
            </w:tcMar>
            <w:vAlign w:val="center"/>
          </w:tcPr>
          <w:p w14:paraId="21F13405"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tcMar>
            <w:vAlign w:val="center"/>
          </w:tcPr>
          <w:p w14:paraId="3D655BCA"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r>
      <w:tr w:rsidR="00DF1884" w:rsidRPr="00DF1884" w14:paraId="633D2C0D" w14:textId="77777777" w:rsidTr="00932F29">
        <w:trPr>
          <w:cantSplit/>
        </w:trPr>
        <w:tc>
          <w:tcPr>
            <w:tcW w:w="134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C4E4733" w14:textId="5AEADA56" w:rsidR="00A63675" w:rsidRPr="00DF1884" w:rsidRDefault="00A63675" w:rsidP="00E9531F">
            <w:pPr>
              <w:pStyle w:val="TableText"/>
              <w:rPr>
                <w:szCs w:val="20"/>
              </w:rPr>
            </w:pPr>
            <w:r w:rsidRPr="00DF1884">
              <w:rPr>
                <w:szCs w:val="20"/>
              </w:rPr>
              <w:t>V</w:t>
            </w:r>
            <w:r w:rsidR="00DF1884" w:rsidRPr="00DF1884">
              <w:rPr>
                <w:szCs w:val="20"/>
              </w:rPr>
              <w:t xml:space="preserve"> </w:t>
            </w:r>
            <w:r w:rsidRPr="00DF1884">
              <w:rPr>
                <w:szCs w:val="20"/>
              </w:rPr>
              <w:t>codes</w:t>
            </w:r>
          </w:p>
        </w:tc>
        <w:tc>
          <w:tcPr>
            <w:tcW w:w="3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right w:w="43" w:type="dxa"/>
            </w:tcMar>
            <w:vAlign w:val="center"/>
          </w:tcPr>
          <w:p w14:paraId="720E544E"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right w:w="43" w:type="dxa"/>
            </w:tcMar>
            <w:vAlign w:val="center"/>
          </w:tcPr>
          <w:p w14:paraId="2AC519F1"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right w:w="43" w:type="dxa"/>
            </w:tcMar>
            <w:vAlign w:val="center"/>
          </w:tcPr>
          <w:p w14:paraId="6680F1B7"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right w:w="43" w:type="dxa"/>
            </w:tcMar>
            <w:vAlign w:val="center"/>
          </w:tcPr>
          <w:p w14:paraId="7BC5D809"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right w:w="43" w:type="dxa"/>
            </w:tcMar>
            <w:vAlign w:val="center"/>
          </w:tcPr>
          <w:p w14:paraId="6FFDDA50"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right w:w="43" w:type="dxa"/>
            </w:tcMar>
            <w:vAlign w:val="center"/>
          </w:tcPr>
          <w:p w14:paraId="78AD1171"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right w:w="43" w:type="dxa"/>
            </w:tcMar>
            <w:vAlign w:val="center"/>
          </w:tcPr>
          <w:p w14:paraId="228308EC"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right w:w="43" w:type="dxa"/>
            </w:tcMar>
            <w:vAlign w:val="center"/>
          </w:tcPr>
          <w:p w14:paraId="17FA1CBB"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tcMar>
            <w:vAlign w:val="center"/>
          </w:tcPr>
          <w:p w14:paraId="712CE0FC"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right w:w="43" w:type="dxa"/>
            </w:tcMar>
            <w:vAlign w:val="center"/>
          </w:tcPr>
          <w:p w14:paraId="61C02672"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right w:w="43" w:type="dxa"/>
            </w:tcMar>
            <w:vAlign w:val="center"/>
          </w:tcPr>
          <w:p w14:paraId="238FC9D8"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right w:w="43" w:type="dxa"/>
            </w:tcMar>
            <w:vAlign w:val="center"/>
          </w:tcPr>
          <w:p w14:paraId="5E3F228F" w14:textId="77777777" w:rsidR="00A63675" w:rsidRPr="00DF1884" w:rsidRDefault="00A63675" w:rsidP="00932F29">
            <w:pPr>
              <w:pStyle w:val="TableText"/>
              <w:jc w:val="center"/>
              <w:rPr>
                <w:sz w:val="22"/>
                <w:szCs w:val="22"/>
                <w:highlight w:val="yellow"/>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right w:w="43" w:type="dxa"/>
            </w:tcMar>
            <w:vAlign w:val="center"/>
          </w:tcPr>
          <w:p w14:paraId="371D9F8B"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right w:w="43" w:type="dxa"/>
            </w:tcMar>
            <w:vAlign w:val="center"/>
          </w:tcPr>
          <w:p w14:paraId="067E57F0"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right w:w="43" w:type="dxa"/>
            </w:tcMar>
            <w:vAlign w:val="center"/>
          </w:tcPr>
          <w:p w14:paraId="38004DC2"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right w:w="43" w:type="dxa"/>
            </w:tcMar>
            <w:vAlign w:val="center"/>
          </w:tcPr>
          <w:p w14:paraId="7EB3CE75"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right w:w="43" w:type="dxa"/>
            </w:tcMar>
            <w:vAlign w:val="center"/>
          </w:tcPr>
          <w:p w14:paraId="53046D8B"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right w:w="43" w:type="dxa"/>
            </w:tcMar>
            <w:vAlign w:val="center"/>
          </w:tcPr>
          <w:p w14:paraId="6BEB3DE4"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3AE0BC4" w14:textId="77777777" w:rsidR="00A63675" w:rsidRPr="00DF1884" w:rsidRDefault="00A63675" w:rsidP="00932F29">
            <w:pPr>
              <w:pStyle w:val="TableText"/>
              <w:jc w:val="center"/>
              <w:rPr>
                <w:rFonts w:cs="Arial"/>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93C7811" w14:textId="77777777" w:rsidR="00A63675" w:rsidRPr="00DF1884" w:rsidRDefault="00A63675" w:rsidP="00932F29">
            <w:pPr>
              <w:pStyle w:val="TableText"/>
              <w:jc w:val="center"/>
              <w:rPr>
                <w:rFonts w:cs="Arial"/>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231AA56" w14:textId="77777777" w:rsidR="00A63675" w:rsidRPr="00DF1884" w:rsidRDefault="00A63675" w:rsidP="00932F29">
            <w:pPr>
              <w:pStyle w:val="TableText"/>
              <w:jc w:val="center"/>
              <w:rPr>
                <w:rFonts w:cs="Arial"/>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right w:w="43" w:type="dxa"/>
            </w:tcMar>
            <w:vAlign w:val="center"/>
          </w:tcPr>
          <w:p w14:paraId="3AB25036" w14:textId="6428F451" w:rsidR="00A63675" w:rsidRPr="00DF1884" w:rsidRDefault="00A63675" w:rsidP="00932F29">
            <w:pPr>
              <w:pStyle w:val="TableText"/>
              <w:jc w:val="center"/>
              <w:rPr>
                <w:sz w:val="22"/>
                <w:szCs w:val="22"/>
              </w:rPr>
            </w:pPr>
            <w:r w:rsidRPr="00DF1884">
              <w:rPr>
                <w:rFonts w:cs="Arial"/>
                <w:sz w:val="22"/>
                <w:szCs w:val="22"/>
              </w:rPr>
              <w:sym w:font="Wingdings" w:char="F0FC"/>
            </w:r>
          </w:p>
        </w:tc>
        <w:tc>
          <w:tcPr>
            <w:tcW w:w="28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right w:w="43" w:type="dxa"/>
            </w:tcMar>
            <w:vAlign w:val="center"/>
          </w:tcPr>
          <w:p w14:paraId="65BBEF2C"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tcMar>
            <w:vAlign w:val="center"/>
          </w:tcPr>
          <w:p w14:paraId="75D356BA"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right w:w="43" w:type="dxa"/>
            </w:tcMar>
            <w:vAlign w:val="center"/>
          </w:tcPr>
          <w:p w14:paraId="47B3256A"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0" w:type="dxa"/>
            </w:tcMar>
            <w:vAlign w:val="center"/>
          </w:tcPr>
          <w:p w14:paraId="3EAF397C"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r>
      <w:tr w:rsidR="00DF1884" w:rsidRPr="00DF1884" w14:paraId="6668F33D" w14:textId="77777777" w:rsidTr="00932F29">
        <w:trPr>
          <w:cantSplit/>
        </w:trPr>
        <w:tc>
          <w:tcPr>
            <w:tcW w:w="1342"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CCFDF0A" w14:textId="35525650" w:rsidR="00A63675" w:rsidRPr="00DF1884" w:rsidRDefault="00A63675" w:rsidP="00E9531F">
            <w:pPr>
              <w:pStyle w:val="TableText"/>
              <w:rPr>
                <w:szCs w:val="20"/>
              </w:rPr>
            </w:pPr>
            <w:r w:rsidRPr="00DF1884">
              <w:rPr>
                <w:szCs w:val="20"/>
              </w:rPr>
              <w:t>Rev</w:t>
            </w:r>
            <w:r w:rsidR="00DF1884" w:rsidRPr="00DF1884">
              <w:rPr>
                <w:szCs w:val="20"/>
              </w:rPr>
              <w:t xml:space="preserve"> </w:t>
            </w:r>
            <w:r w:rsidRPr="00DF1884">
              <w:rPr>
                <w:szCs w:val="20"/>
              </w:rPr>
              <w:t>codes</w:t>
            </w:r>
          </w:p>
        </w:tc>
        <w:tc>
          <w:tcPr>
            <w:tcW w:w="363"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right w:w="43" w:type="dxa"/>
            </w:tcMar>
            <w:vAlign w:val="center"/>
          </w:tcPr>
          <w:p w14:paraId="0DAC6731"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right w:w="43" w:type="dxa"/>
            </w:tcMar>
            <w:vAlign w:val="center"/>
          </w:tcPr>
          <w:p w14:paraId="29FF6D23"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right w:w="43" w:type="dxa"/>
            </w:tcMar>
            <w:vAlign w:val="center"/>
          </w:tcPr>
          <w:p w14:paraId="470AA33E"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right w:w="43" w:type="dxa"/>
            </w:tcMar>
            <w:vAlign w:val="center"/>
          </w:tcPr>
          <w:p w14:paraId="7E255EF5"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right w:w="43" w:type="dxa"/>
            </w:tcMar>
            <w:vAlign w:val="center"/>
          </w:tcPr>
          <w:p w14:paraId="7AB8CA3F"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right w:w="43" w:type="dxa"/>
            </w:tcMar>
            <w:vAlign w:val="center"/>
          </w:tcPr>
          <w:p w14:paraId="1E33CCCC"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right w:w="43" w:type="dxa"/>
            </w:tcMar>
            <w:vAlign w:val="center"/>
          </w:tcPr>
          <w:p w14:paraId="444475F7"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right w:w="43" w:type="dxa"/>
            </w:tcMar>
            <w:vAlign w:val="center"/>
          </w:tcPr>
          <w:p w14:paraId="116E65FE"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tcMar>
            <w:vAlign w:val="center"/>
          </w:tcPr>
          <w:p w14:paraId="534B6BE8"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right w:w="43" w:type="dxa"/>
            </w:tcMar>
            <w:vAlign w:val="center"/>
          </w:tcPr>
          <w:p w14:paraId="0F778AB0"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right w:w="43" w:type="dxa"/>
            </w:tcMar>
            <w:vAlign w:val="center"/>
          </w:tcPr>
          <w:p w14:paraId="78102886" w14:textId="77777777" w:rsidR="00A63675" w:rsidRPr="00DF1884" w:rsidRDefault="00A63675" w:rsidP="00932F29">
            <w:pPr>
              <w:pStyle w:val="TableText"/>
              <w:jc w:val="center"/>
              <w:rPr>
                <w:sz w:val="22"/>
                <w:szCs w:val="22"/>
              </w:rPr>
            </w:pPr>
          </w:p>
        </w:tc>
        <w:tc>
          <w:tcPr>
            <w:tcW w:w="363"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right w:w="43" w:type="dxa"/>
            </w:tcMar>
            <w:vAlign w:val="center"/>
          </w:tcPr>
          <w:p w14:paraId="1EEF8B6D" w14:textId="77777777" w:rsidR="00A63675" w:rsidRPr="00DF1884" w:rsidRDefault="00A63675" w:rsidP="00932F29">
            <w:pPr>
              <w:pStyle w:val="TableText"/>
              <w:jc w:val="center"/>
              <w:rPr>
                <w:sz w:val="22"/>
                <w:szCs w:val="22"/>
                <w:highlight w:val="yellow"/>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right w:w="43" w:type="dxa"/>
            </w:tcMar>
            <w:vAlign w:val="center"/>
          </w:tcPr>
          <w:p w14:paraId="66C49A0E"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right w:w="43" w:type="dxa"/>
            </w:tcMar>
            <w:vAlign w:val="center"/>
          </w:tcPr>
          <w:p w14:paraId="1F56F38A"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right w:w="43" w:type="dxa"/>
            </w:tcMar>
            <w:vAlign w:val="center"/>
          </w:tcPr>
          <w:p w14:paraId="65C9B08D"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right w:w="43" w:type="dxa"/>
            </w:tcMar>
            <w:vAlign w:val="center"/>
          </w:tcPr>
          <w:p w14:paraId="0586ECA4"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right w:w="43" w:type="dxa"/>
            </w:tcMar>
            <w:vAlign w:val="center"/>
          </w:tcPr>
          <w:p w14:paraId="2430F3C5"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right w:w="43" w:type="dxa"/>
            </w:tcMar>
            <w:vAlign w:val="center"/>
          </w:tcPr>
          <w:p w14:paraId="05049C25"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8EADE44" w14:textId="4A26F99B" w:rsidR="00A63675" w:rsidRPr="00DF1884" w:rsidRDefault="00991EDB" w:rsidP="00932F29">
            <w:pPr>
              <w:pStyle w:val="TableText"/>
              <w:jc w:val="center"/>
              <w:rPr>
                <w:rFonts w:cs="Arial"/>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27D57ED" w14:textId="7AF29D6C" w:rsidR="00A63675" w:rsidRPr="00DF1884" w:rsidRDefault="00197956" w:rsidP="00932F29">
            <w:pPr>
              <w:pStyle w:val="TableText"/>
              <w:jc w:val="center"/>
              <w:rPr>
                <w:rFonts w:cs="Arial"/>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7DF6C0A" w14:textId="6FBBCC72" w:rsidR="00A63675" w:rsidRPr="00DF1884" w:rsidRDefault="008205F0" w:rsidP="00932F29">
            <w:pPr>
              <w:pStyle w:val="TableText"/>
              <w:jc w:val="center"/>
              <w:rPr>
                <w:rFonts w:cs="Arial"/>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right w:w="43" w:type="dxa"/>
            </w:tcMar>
            <w:vAlign w:val="center"/>
          </w:tcPr>
          <w:p w14:paraId="1CE6E72C" w14:textId="16604FBB" w:rsidR="00A63675" w:rsidRPr="00DF1884" w:rsidRDefault="00A63675" w:rsidP="00932F29">
            <w:pPr>
              <w:pStyle w:val="TableText"/>
              <w:jc w:val="center"/>
              <w:rPr>
                <w:sz w:val="22"/>
                <w:szCs w:val="22"/>
              </w:rPr>
            </w:pPr>
            <w:r w:rsidRPr="00DF1884">
              <w:rPr>
                <w:rFonts w:cs="Arial"/>
                <w:sz w:val="22"/>
                <w:szCs w:val="22"/>
              </w:rPr>
              <w:sym w:font="Wingdings" w:char="F0FC"/>
            </w:r>
          </w:p>
        </w:tc>
        <w:tc>
          <w:tcPr>
            <w:tcW w:w="286"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right w:w="43" w:type="dxa"/>
            </w:tcMar>
            <w:vAlign w:val="center"/>
          </w:tcPr>
          <w:p w14:paraId="613F5182"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tcMar>
            <w:vAlign w:val="center"/>
          </w:tcPr>
          <w:p w14:paraId="5526CFDA"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right w:w="43" w:type="dxa"/>
            </w:tcMar>
            <w:vAlign w:val="center"/>
          </w:tcPr>
          <w:p w14:paraId="4D00C00D"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0" w:type="dxa"/>
            </w:tcMar>
            <w:vAlign w:val="center"/>
          </w:tcPr>
          <w:p w14:paraId="30D4951B"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r>
    </w:tbl>
    <w:p w14:paraId="5008E853" w14:textId="12B4A199" w:rsidR="009604F5" w:rsidRPr="00DF1884" w:rsidRDefault="000B204C" w:rsidP="009604F5">
      <w:pPr>
        <w:pStyle w:val="TableText"/>
      </w:pPr>
      <w:r>
        <w:rPr>
          <w:vertAlign w:val="superscript"/>
        </w:rPr>
        <w:t>1</w:t>
      </w:r>
      <w:r w:rsidR="009604F5" w:rsidRPr="00DF1884">
        <w:t>Only</w:t>
      </w:r>
      <w:r w:rsidR="00DF1884" w:rsidRPr="00DF1884">
        <w:t xml:space="preserve"> </w:t>
      </w:r>
      <w:r w:rsidR="009604F5" w:rsidRPr="00DF1884">
        <w:t>the</w:t>
      </w:r>
      <w:r w:rsidR="00DF1884" w:rsidRPr="00DF1884">
        <w:t xml:space="preserve"> </w:t>
      </w:r>
      <w:r w:rsidR="009604F5" w:rsidRPr="00DF1884">
        <w:t>Administrative</w:t>
      </w:r>
      <w:r w:rsidR="00DF1884" w:rsidRPr="00DF1884">
        <w:t xml:space="preserve"> </w:t>
      </w:r>
      <w:r w:rsidR="009604F5" w:rsidRPr="00DF1884">
        <w:t>Method</w:t>
      </w:r>
      <w:r w:rsidR="00DF1884" w:rsidRPr="00DF1884">
        <w:t xml:space="preserve"> </w:t>
      </w:r>
      <w:r w:rsidR="009604F5" w:rsidRPr="00DF1884">
        <w:t>of</w:t>
      </w:r>
      <w:r w:rsidR="00DF1884" w:rsidRPr="00DF1884">
        <w:t xml:space="preserve"> </w:t>
      </w:r>
      <w:r w:rsidR="009604F5" w:rsidRPr="00DF1884">
        <w:t>data</w:t>
      </w:r>
      <w:r w:rsidR="00DF1884" w:rsidRPr="00DF1884">
        <w:t xml:space="preserve"> </w:t>
      </w:r>
      <w:r w:rsidR="009604F5" w:rsidRPr="00DF1884">
        <w:t>collection</w:t>
      </w:r>
      <w:r w:rsidR="00DF1884" w:rsidRPr="00DF1884">
        <w:t xml:space="preserve"> </w:t>
      </w:r>
      <w:r w:rsidR="009604F5" w:rsidRPr="00DF1884">
        <w:t>may</w:t>
      </w:r>
      <w:r w:rsidR="00DF1884" w:rsidRPr="00DF1884">
        <w:t xml:space="preserve"> </w:t>
      </w:r>
      <w:r w:rsidR="009604F5" w:rsidRPr="00DF1884">
        <w:t>be</w:t>
      </w:r>
      <w:r w:rsidR="00DF1884" w:rsidRPr="00DF1884">
        <w:t xml:space="preserve"> </w:t>
      </w:r>
      <w:r w:rsidR="009604F5" w:rsidRPr="00DF1884">
        <w:t>used</w:t>
      </w:r>
      <w:r w:rsidR="00DF1884" w:rsidRPr="00DF1884">
        <w:t xml:space="preserve"> </w:t>
      </w:r>
      <w:r w:rsidR="009604F5" w:rsidRPr="00DF1884">
        <w:t>when</w:t>
      </w:r>
      <w:r w:rsidR="00DF1884" w:rsidRPr="00DF1884">
        <w:t xml:space="preserve"> </w:t>
      </w:r>
      <w:r w:rsidR="009604F5" w:rsidRPr="00DF1884">
        <w:t>reporting</w:t>
      </w:r>
      <w:r w:rsidR="00DF1884" w:rsidRPr="00DF1884">
        <w:t xml:space="preserve"> </w:t>
      </w:r>
      <w:r w:rsidR="009604F5" w:rsidRPr="00DF1884">
        <w:t>this</w:t>
      </w:r>
      <w:r w:rsidR="00DF1884" w:rsidRPr="00DF1884">
        <w:t xml:space="preserve"> </w:t>
      </w:r>
      <w:r w:rsidR="009604F5" w:rsidRPr="00DF1884">
        <w:t>measure</w:t>
      </w:r>
      <w:r w:rsidR="00DF1884" w:rsidRPr="00DF1884">
        <w:t xml:space="preserve"> </w:t>
      </w:r>
      <w:r w:rsidR="009604F5" w:rsidRPr="00DF1884">
        <w:t>for</w:t>
      </w:r>
      <w:r w:rsidR="00DF1884" w:rsidRPr="00DF1884">
        <w:t xml:space="preserve"> </w:t>
      </w:r>
      <w:r w:rsidR="009604F5" w:rsidRPr="00DF1884">
        <w:t>the</w:t>
      </w:r>
      <w:r w:rsidR="00DF1884" w:rsidRPr="00DF1884">
        <w:t xml:space="preserve"> </w:t>
      </w:r>
      <w:r w:rsidR="009604F5" w:rsidRPr="00DF1884">
        <w:t>commercial</w:t>
      </w:r>
      <w:r w:rsidR="00DF1884" w:rsidRPr="00DF1884">
        <w:t xml:space="preserve"> </w:t>
      </w:r>
      <w:r w:rsidR="009604F5" w:rsidRPr="00DF1884">
        <w:t>population.</w:t>
      </w:r>
    </w:p>
    <w:p w14:paraId="00C5A1BB" w14:textId="77777777" w:rsidR="009604F5" w:rsidRPr="00DF1884" w:rsidRDefault="009604F5" w:rsidP="009604F5">
      <w:pPr>
        <w:pStyle w:val="TableText"/>
      </w:pPr>
    </w:p>
    <w:p w14:paraId="38DA33CA" w14:textId="77777777" w:rsidR="009604F5" w:rsidRPr="00DF1884" w:rsidRDefault="009604F5" w:rsidP="009604F5">
      <w:pPr>
        <w:pStyle w:val="TableText"/>
        <w:sectPr w:rsidR="009604F5" w:rsidRPr="00DF1884" w:rsidSect="00DF1884">
          <w:pgSz w:w="15840" w:h="12240" w:orient="landscape" w:code="1"/>
          <w:pgMar w:top="1440" w:right="1080" w:bottom="1080" w:left="1080" w:header="720" w:footer="720" w:gutter="0"/>
          <w:cols w:space="720"/>
          <w:docGrid w:linePitch="272"/>
        </w:sectPr>
      </w:pPr>
    </w:p>
    <w:tbl>
      <w:tblPr>
        <w:tblW w:w="10804" w:type="dxa"/>
        <w:tblLayout w:type="fixed"/>
        <w:tblLook w:val="0000" w:firstRow="0" w:lastRow="0" w:firstColumn="0" w:lastColumn="0" w:noHBand="0" w:noVBand="0"/>
      </w:tblPr>
      <w:tblGrid>
        <w:gridCol w:w="1342"/>
        <w:gridCol w:w="363"/>
        <w:gridCol w:w="364"/>
        <w:gridCol w:w="364"/>
        <w:gridCol w:w="364"/>
        <w:gridCol w:w="364"/>
        <w:gridCol w:w="364"/>
        <w:gridCol w:w="364"/>
        <w:gridCol w:w="364"/>
        <w:gridCol w:w="364"/>
        <w:gridCol w:w="364"/>
        <w:gridCol w:w="364"/>
        <w:gridCol w:w="363"/>
        <w:gridCol w:w="364"/>
        <w:gridCol w:w="364"/>
        <w:gridCol w:w="364"/>
        <w:gridCol w:w="364"/>
        <w:gridCol w:w="364"/>
        <w:gridCol w:w="364"/>
        <w:gridCol w:w="364"/>
        <w:gridCol w:w="364"/>
        <w:gridCol w:w="364"/>
        <w:gridCol w:w="364"/>
        <w:gridCol w:w="286"/>
        <w:gridCol w:w="390"/>
        <w:gridCol w:w="390"/>
        <w:gridCol w:w="390"/>
      </w:tblGrid>
      <w:tr w:rsidR="0003105D" w:rsidRPr="00DF1884" w14:paraId="250B5B9C" w14:textId="77777777" w:rsidTr="003869BD">
        <w:trPr>
          <w:cantSplit/>
        </w:trPr>
        <w:tc>
          <w:tcPr>
            <w:tcW w:w="10804" w:type="dxa"/>
            <w:gridSpan w:val="27"/>
            <w:tcBorders>
              <w:top w:val="single" w:sz="6" w:space="0" w:color="FFFFFF" w:themeColor="background1"/>
              <w:left w:val="single" w:sz="6" w:space="0" w:color="auto"/>
              <w:bottom w:val="single" w:sz="4" w:space="0" w:color="FFFFFF" w:themeColor="background1"/>
              <w:right w:val="single" w:sz="4" w:space="0" w:color="auto"/>
            </w:tcBorders>
            <w:shd w:val="clear" w:color="auto" w:fill="000000"/>
          </w:tcPr>
          <w:p w14:paraId="26019059" w14:textId="7C8A76C0" w:rsidR="0003105D" w:rsidRPr="00DF1884" w:rsidRDefault="0003105D" w:rsidP="00A63675">
            <w:pPr>
              <w:pStyle w:val="TableHead"/>
              <w:rPr>
                <w:rFonts w:ascii="Arial Narrow Bold"/>
                <w:color w:val="auto"/>
              </w:rPr>
            </w:pPr>
            <w:r w:rsidRPr="00DF1884">
              <w:rPr>
                <w:color w:val="auto"/>
              </w:rPr>
              <w:t>ACCESS/AVA</w:t>
            </w:r>
            <w:r w:rsidR="008859E9">
              <w:rPr>
                <w:color w:val="auto"/>
              </w:rPr>
              <w:t xml:space="preserve">ILABILITY OF CARE, UTILIZATION AND </w:t>
            </w:r>
            <w:r w:rsidRPr="00DF1884">
              <w:rPr>
                <w:color w:val="auto"/>
              </w:rPr>
              <w:t>RISK ADJUSTED UTILIZATION</w:t>
            </w:r>
            <w:r w:rsidR="008859E9">
              <w:rPr>
                <w:color w:val="auto"/>
              </w:rPr>
              <w:t>,</w:t>
            </w:r>
            <w:r w:rsidRPr="00DF1884">
              <w:rPr>
                <w:color w:val="auto"/>
              </w:rPr>
              <w:t xml:space="preserve"> AND RELATIVE RESOURCE USE MEASURES</w:t>
            </w:r>
          </w:p>
        </w:tc>
      </w:tr>
      <w:tr w:rsidR="00A63675" w:rsidRPr="00DF1884" w14:paraId="6B6DF695" w14:textId="77777777" w:rsidTr="00A63675">
        <w:trPr>
          <w:cantSplit/>
          <w:trHeight w:val="576"/>
        </w:trPr>
        <w:tc>
          <w:tcPr>
            <w:tcW w:w="1342" w:type="dxa"/>
            <w:tcBorders>
              <w:top w:val="single" w:sz="4" w:space="0" w:color="FFFFFF" w:themeColor="background1"/>
              <w:left w:val="single" w:sz="6" w:space="0" w:color="auto"/>
              <w:bottom w:val="single" w:sz="6" w:space="0" w:color="auto"/>
              <w:right w:val="single" w:sz="6" w:space="0" w:color="FFFFFF"/>
            </w:tcBorders>
            <w:shd w:val="clear" w:color="auto" w:fill="000000"/>
            <w:tcMar>
              <w:left w:w="43" w:type="dxa"/>
              <w:right w:w="43" w:type="dxa"/>
            </w:tcMar>
            <w:vAlign w:val="bottom"/>
          </w:tcPr>
          <w:p w14:paraId="3FC628C4" w14:textId="3C12AED2" w:rsidR="00A63675" w:rsidRPr="00DF1884" w:rsidRDefault="00A63675" w:rsidP="00E9531F">
            <w:pPr>
              <w:pStyle w:val="TableHead"/>
              <w:rPr>
                <w:color w:val="auto"/>
              </w:rPr>
            </w:pPr>
            <w:r w:rsidRPr="00DF1884">
              <w:rPr>
                <w:color w:val="auto"/>
              </w:rPr>
              <w:br w:type="page"/>
              <w:t>Logical</w:t>
            </w:r>
            <w:r w:rsidR="00DF1884" w:rsidRPr="00DF1884">
              <w:rPr>
                <w:color w:val="auto"/>
              </w:rPr>
              <w:t xml:space="preserve"> </w:t>
            </w:r>
            <w:r w:rsidRPr="00DF1884">
              <w:rPr>
                <w:color w:val="auto"/>
              </w:rPr>
              <w:t>Group</w:t>
            </w:r>
          </w:p>
        </w:tc>
        <w:tc>
          <w:tcPr>
            <w:tcW w:w="363"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3016D0C7" w14:textId="77777777" w:rsidR="00A63675" w:rsidRPr="00DF1884" w:rsidRDefault="00A63675" w:rsidP="00E9531F">
            <w:pPr>
              <w:pStyle w:val="TableHead"/>
              <w:ind w:left="43"/>
              <w:jc w:val="left"/>
              <w:rPr>
                <w:color w:val="auto"/>
              </w:rPr>
            </w:pPr>
            <w:r w:rsidRPr="00DF1884">
              <w:rPr>
                <w:color w:val="auto"/>
              </w:rPr>
              <w:t>AAP</w:t>
            </w:r>
          </w:p>
        </w:tc>
        <w:tc>
          <w:tcPr>
            <w:tcW w:w="364"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76543982" w14:textId="77777777" w:rsidR="00A63675" w:rsidRPr="00DF1884" w:rsidRDefault="00A63675" w:rsidP="00E9531F">
            <w:pPr>
              <w:pStyle w:val="TableHead"/>
              <w:ind w:left="43"/>
              <w:jc w:val="left"/>
              <w:rPr>
                <w:color w:val="auto"/>
              </w:rPr>
            </w:pPr>
            <w:r w:rsidRPr="00DF1884">
              <w:rPr>
                <w:color w:val="auto"/>
              </w:rPr>
              <w:t>CAP</w:t>
            </w:r>
          </w:p>
        </w:tc>
        <w:tc>
          <w:tcPr>
            <w:tcW w:w="364"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182F1A8D" w14:textId="77777777" w:rsidR="00A63675" w:rsidRPr="00DF1884" w:rsidRDefault="00A63675" w:rsidP="00E9531F">
            <w:pPr>
              <w:pStyle w:val="TableHead"/>
              <w:ind w:left="43"/>
              <w:jc w:val="left"/>
              <w:rPr>
                <w:color w:val="auto"/>
              </w:rPr>
            </w:pPr>
            <w:r w:rsidRPr="00DF1884">
              <w:rPr>
                <w:color w:val="auto"/>
              </w:rPr>
              <w:t>ADV</w:t>
            </w:r>
          </w:p>
        </w:tc>
        <w:tc>
          <w:tcPr>
            <w:tcW w:w="364"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621A6378" w14:textId="77777777" w:rsidR="00A63675" w:rsidRPr="00DF1884" w:rsidRDefault="00A63675" w:rsidP="00E9531F">
            <w:pPr>
              <w:pStyle w:val="TableHead"/>
              <w:ind w:left="43"/>
              <w:jc w:val="left"/>
              <w:rPr>
                <w:color w:val="auto"/>
              </w:rPr>
            </w:pPr>
            <w:r w:rsidRPr="00DF1884">
              <w:rPr>
                <w:color w:val="auto"/>
              </w:rPr>
              <w:t>IET</w:t>
            </w:r>
          </w:p>
        </w:tc>
        <w:tc>
          <w:tcPr>
            <w:tcW w:w="364"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2966E10A" w14:textId="77777777" w:rsidR="00A63675" w:rsidRPr="00DF1884" w:rsidRDefault="00A63675" w:rsidP="00E9531F">
            <w:pPr>
              <w:pStyle w:val="TableHead"/>
              <w:ind w:left="43"/>
              <w:jc w:val="left"/>
              <w:rPr>
                <w:color w:val="auto"/>
              </w:rPr>
            </w:pPr>
            <w:r w:rsidRPr="00DF1884">
              <w:rPr>
                <w:color w:val="auto"/>
              </w:rPr>
              <w:t>PPC</w:t>
            </w:r>
          </w:p>
        </w:tc>
        <w:tc>
          <w:tcPr>
            <w:tcW w:w="364"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6AD40C6E" w14:textId="77777777" w:rsidR="00A63675" w:rsidRPr="00DF1884" w:rsidRDefault="00A63675" w:rsidP="00E9531F">
            <w:pPr>
              <w:pStyle w:val="TableHead"/>
              <w:ind w:left="43"/>
              <w:jc w:val="left"/>
              <w:rPr>
                <w:color w:val="auto"/>
              </w:rPr>
            </w:pPr>
            <w:r w:rsidRPr="00DF1884">
              <w:rPr>
                <w:color w:val="auto"/>
              </w:rPr>
              <w:t>CAT</w:t>
            </w:r>
          </w:p>
        </w:tc>
        <w:tc>
          <w:tcPr>
            <w:tcW w:w="364"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63EDC2F5" w14:textId="77777777" w:rsidR="00A63675" w:rsidRPr="00DF1884" w:rsidRDefault="00A63675" w:rsidP="00E9531F">
            <w:pPr>
              <w:pStyle w:val="TableHead"/>
              <w:ind w:left="43"/>
              <w:jc w:val="left"/>
              <w:rPr>
                <w:color w:val="auto"/>
              </w:rPr>
            </w:pPr>
            <w:r w:rsidRPr="00DF1884">
              <w:rPr>
                <w:color w:val="auto"/>
              </w:rPr>
              <w:t>APP</w:t>
            </w:r>
          </w:p>
        </w:tc>
        <w:tc>
          <w:tcPr>
            <w:tcW w:w="364"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335D1988" w14:textId="77777777" w:rsidR="00A63675" w:rsidRPr="00DF1884" w:rsidRDefault="00A63675" w:rsidP="00E9531F">
            <w:pPr>
              <w:pStyle w:val="TableHead"/>
              <w:ind w:left="43"/>
              <w:jc w:val="left"/>
              <w:rPr>
                <w:color w:val="auto"/>
              </w:rPr>
            </w:pPr>
            <w:r w:rsidRPr="00DF1884">
              <w:rPr>
                <w:color w:val="auto"/>
              </w:rPr>
              <w:t>FPC</w:t>
            </w:r>
          </w:p>
        </w:tc>
        <w:tc>
          <w:tcPr>
            <w:tcW w:w="364"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tcMar>
            <w:textDirection w:val="btLr"/>
            <w:vAlign w:val="center"/>
          </w:tcPr>
          <w:p w14:paraId="15A938CC" w14:textId="77777777" w:rsidR="00A63675" w:rsidRPr="00DF1884" w:rsidRDefault="00A63675" w:rsidP="00E9531F">
            <w:pPr>
              <w:pStyle w:val="TableHead"/>
              <w:ind w:left="43"/>
              <w:jc w:val="left"/>
              <w:rPr>
                <w:color w:val="auto"/>
              </w:rPr>
            </w:pPr>
            <w:r w:rsidRPr="00DF1884">
              <w:rPr>
                <w:color w:val="auto"/>
              </w:rPr>
              <w:t>W15</w:t>
            </w:r>
          </w:p>
        </w:tc>
        <w:tc>
          <w:tcPr>
            <w:tcW w:w="364" w:type="dxa"/>
            <w:tcBorders>
              <w:top w:val="single" w:sz="6" w:space="0" w:color="FFFFFF" w:themeColor="background1"/>
              <w:left w:val="single" w:sz="6" w:space="0" w:color="FFFFFF"/>
              <w:bottom w:val="single" w:sz="6" w:space="0" w:color="auto"/>
              <w:right w:val="single" w:sz="6" w:space="0" w:color="FFFFFF"/>
            </w:tcBorders>
            <w:shd w:val="clear" w:color="auto" w:fill="000000"/>
            <w:tcMar>
              <w:left w:w="43" w:type="dxa"/>
              <w:right w:w="43" w:type="dxa"/>
            </w:tcMar>
            <w:textDirection w:val="btLr"/>
            <w:vAlign w:val="center"/>
          </w:tcPr>
          <w:p w14:paraId="17F49B0A" w14:textId="77777777" w:rsidR="00A63675" w:rsidRPr="00DF1884" w:rsidRDefault="00A63675" w:rsidP="00E9531F">
            <w:pPr>
              <w:pStyle w:val="TableHead"/>
              <w:ind w:left="43"/>
              <w:jc w:val="left"/>
              <w:rPr>
                <w:color w:val="auto"/>
              </w:rPr>
            </w:pPr>
            <w:r w:rsidRPr="00DF1884">
              <w:rPr>
                <w:color w:val="auto"/>
              </w:rPr>
              <w:t>W34</w:t>
            </w:r>
          </w:p>
        </w:tc>
        <w:tc>
          <w:tcPr>
            <w:tcW w:w="364" w:type="dxa"/>
            <w:tcBorders>
              <w:top w:val="single" w:sz="6" w:space="0" w:color="FFFFFF" w:themeColor="background1"/>
              <w:left w:val="single" w:sz="6" w:space="0" w:color="FFFFFF"/>
              <w:bottom w:val="single" w:sz="6" w:space="0" w:color="auto"/>
              <w:right w:val="single" w:sz="4" w:space="0" w:color="FFFFFF"/>
            </w:tcBorders>
            <w:shd w:val="clear" w:color="auto" w:fill="000000"/>
            <w:tcMar>
              <w:left w:w="43" w:type="dxa"/>
              <w:right w:w="43" w:type="dxa"/>
            </w:tcMar>
            <w:textDirection w:val="btLr"/>
            <w:vAlign w:val="center"/>
          </w:tcPr>
          <w:p w14:paraId="1DEC9990" w14:textId="77777777" w:rsidR="00A63675" w:rsidRPr="00DF1884" w:rsidRDefault="00A63675" w:rsidP="00E9531F">
            <w:pPr>
              <w:pStyle w:val="TableHead"/>
              <w:ind w:left="43"/>
              <w:jc w:val="left"/>
              <w:rPr>
                <w:color w:val="auto"/>
              </w:rPr>
            </w:pPr>
            <w:r w:rsidRPr="00DF1884">
              <w:rPr>
                <w:color w:val="auto"/>
              </w:rPr>
              <w:t>AWC</w:t>
            </w:r>
          </w:p>
        </w:tc>
        <w:tc>
          <w:tcPr>
            <w:tcW w:w="363"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vAlign w:val="center"/>
          </w:tcPr>
          <w:p w14:paraId="18CBF55E" w14:textId="77777777" w:rsidR="00A63675" w:rsidRPr="00DF1884" w:rsidRDefault="00A63675" w:rsidP="00E9531F">
            <w:pPr>
              <w:pStyle w:val="TableHead"/>
              <w:ind w:left="43"/>
              <w:jc w:val="left"/>
              <w:rPr>
                <w:color w:val="auto"/>
              </w:rPr>
            </w:pPr>
            <w:r w:rsidRPr="00DF1884">
              <w:rPr>
                <w:color w:val="auto"/>
              </w:rPr>
              <w:t>FSP</w:t>
            </w:r>
          </w:p>
        </w:tc>
        <w:tc>
          <w:tcPr>
            <w:tcW w:w="364"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vAlign w:val="center"/>
          </w:tcPr>
          <w:p w14:paraId="6390D8A2" w14:textId="77777777" w:rsidR="00A63675" w:rsidRPr="00DF1884" w:rsidRDefault="00A63675" w:rsidP="00E9531F">
            <w:pPr>
              <w:pStyle w:val="TableHead"/>
              <w:ind w:left="43"/>
              <w:jc w:val="left"/>
              <w:rPr>
                <w:color w:val="auto"/>
              </w:rPr>
            </w:pPr>
            <w:r w:rsidRPr="00DF1884">
              <w:rPr>
                <w:color w:val="auto"/>
              </w:rPr>
              <w:t>AMB</w:t>
            </w:r>
          </w:p>
        </w:tc>
        <w:tc>
          <w:tcPr>
            <w:tcW w:w="364"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vAlign w:val="center"/>
          </w:tcPr>
          <w:p w14:paraId="46D3B59D" w14:textId="77777777" w:rsidR="00A63675" w:rsidRPr="00DF1884" w:rsidRDefault="00A63675" w:rsidP="00E9531F">
            <w:pPr>
              <w:pStyle w:val="TableHead"/>
              <w:ind w:left="43"/>
              <w:jc w:val="left"/>
              <w:rPr>
                <w:color w:val="auto"/>
              </w:rPr>
            </w:pPr>
            <w:r w:rsidRPr="00DF1884">
              <w:rPr>
                <w:color w:val="auto"/>
              </w:rPr>
              <w:t>IPU</w:t>
            </w:r>
          </w:p>
        </w:tc>
        <w:tc>
          <w:tcPr>
            <w:tcW w:w="364"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vAlign w:val="center"/>
          </w:tcPr>
          <w:p w14:paraId="42EB1E0E" w14:textId="77777777" w:rsidR="00A63675" w:rsidRPr="00DF1884" w:rsidRDefault="00A63675" w:rsidP="00E9531F">
            <w:pPr>
              <w:pStyle w:val="TableHead"/>
              <w:ind w:left="43"/>
              <w:jc w:val="left"/>
              <w:rPr>
                <w:color w:val="auto"/>
              </w:rPr>
            </w:pPr>
            <w:r w:rsidRPr="00DF1884">
              <w:rPr>
                <w:color w:val="auto"/>
              </w:rPr>
              <w:t>IAD</w:t>
            </w:r>
          </w:p>
        </w:tc>
        <w:tc>
          <w:tcPr>
            <w:tcW w:w="364"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vAlign w:val="center"/>
          </w:tcPr>
          <w:p w14:paraId="50ECC6A4" w14:textId="77777777" w:rsidR="00A63675" w:rsidRPr="00DF1884" w:rsidRDefault="00A63675" w:rsidP="00E9531F">
            <w:pPr>
              <w:pStyle w:val="TableHead"/>
              <w:ind w:left="43"/>
              <w:jc w:val="left"/>
              <w:rPr>
                <w:color w:val="auto"/>
              </w:rPr>
            </w:pPr>
            <w:r w:rsidRPr="00DF1884">
              <w:rPr>
                <w:color w:val="auto"/>
              </w:rPr>
              <w:t>MPT</w:t>
            </w:r>
          </w:p>
        </w:tc>
        <w:tc>
          <w:tcPr>
            <w:tcW w:w="364"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vAlign w:val="center"/>
          </w:tcPr>
          <w:p w14:paraId="268D6D54" w14:textId="77777777" w:rsidR="00A63675" w:rsidRPr="00DF1884" w:rsidRDefault="00A63675" w:rsidP="00E9531F">
            <w:pPr>
              <w:pStyle w:val="TableHead"/>
              <w:ind w:left="43"/>
              <w:jc w:val="left"/>
              <w:rPr>
                <w:i/>
                <w:color w:val="auto"/>
                <w:szCs w:val="24"/>
              </w:rPr>
            </w:pPr>
            <w:r w:rsidRPr="00DF1884">
              <w:rPr>
                <w:color w:val="auto"/>
              </w:rPr>
              <w:t>ABX</w:t>
            </w:r>
          </w:p>
        </w:tc>
        <w:tc>
          <w:tcPr>
            <w:tcW w:w="364"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vAlign w:val="center"/>
          </w:tcPr>
          <w:p w14:paraId="1AA7EAA3" w14:textId="77777777" w:rsidR="00A63675" w:rsidRPr="00DF1884" w:rsidRDefault="00A63675" w:rsidP="00E9531F">
            <w:pPr>
              <w:pStyle w:val="TableHead"/>
              <w:ind w:left="43"/>
              <w:jc w:val="left"/>
              <w:rPr>
                <w:i/>
                <w:color w:val="auto"/>
                <w:szCs w:val="24"/>
              </w:rPr>
            </w:pPr>
            <w:r w:rsidRPr="00DF1884">
              <w:rPr>
                <w:color w:val="auto"/>
              </w:rPr>
              <w:t>PCR</w:t>
            </w:r>
          </w:p>
        </w:tc>
        <w:tc>
          <w:tcPr>
            <w:tcW w:w="364" w:type="dxa"/>
            <w:tcBorders>
              <w:top w:val="single" w:sz="6" w:space="0" w:color="FFFFFF" w:themeColor="background1"/>
              <w:left w:val="single" w:sz="4" w:space="0" w:color="FFFFFF"/>
              <w:bottom w:val="single" w:sz="6" w:space="0" w:color="auto"/>
              <w:right w:val="single" w:sz="4" w:space="0" w:color="FFFFFF"/>
            </w:tcBorders>
            <w:shd w:val="clear" w:color="auto" w:fill="000000"/>
            <w:textDirection w:val="btLr"/>
          </w:tcPr>
          <w:p w14:paraId="7D19A1FC" w14:textId="22E1DB1A" w:rsidR="00A63675" w:rsidRPr="00DF1884" w:rsidRDefault="00A63675" w:rsidP="00E9531F">
            <w:pPr>
              <w:pStyle w:val="TableHead"/>
              <w:ind w:left="43"/>
              <w:jc w:val="left"/>
              <w:rPr>
                <w:color w:val="auto"/>
              </w:rPr>
            </w:pPr>
            <w:r w:rsidRPr="00DF1884">
              <w:rPr>
                <w:color w:val="auto"/>
              </w:rPr>
              <w:t>IHU</w:t>
            </w:r>
          </w:p>
        </w:tc>
        <w:tc>
          <w:tcPr>
            <w:tcW w:w="364" w:type="dxa"/>
            <w:tcBorders>
              <w:top w:val="single" w:sz="6" w:space="0" w:color="FFFFFF" w:themeColor="background1"/>
              <w:left w:val="single" w:sz="4" w:space="0" w:color="FFFFFF"/>
              <w:bottom w:val="single" w:sz="6" w:space="0" w:color="auto"/>
              <w:right w:val="single" w:sz="4" w:space="0" w:color="FFFFFF"/>
            </w:tcBorders>
            <w:shd w:val="clear" w:color="auto" w:fill="000000"/>
            <w:textDirection w:val="btLr"/>
          </w:tcPr>
          <w:p w14:paraId="167F0BD3" w14:textId="1DB8FEA2" w:rsidR="00A63675" w:rsidRPr="00DF1884" w:rsidRDefault="00A63675" w:rsidP="00E9531F">
            <w:pPr>
              <w:pStyle w:val="TableHead"/>
              <w:ind w:left="43"/>
              <w:jc w:val="left"/>
              <w:rPr>
                <w:color w:val="auto"/>
              </w:rPr>
            </w:pPr>
            <w:r w:rsidRPr="00DF1884">
              <w:rPr>
                <w:color w:val="auto"/>
              </w:rPr>
              <w:t>EDU</w:t>
            </w:r>
          </w:p>
        </w:tc>
        <w:tc>
          <w:tcPr>
            <w:tcW w:w="364" w:type="dxa"/>
            <w:tcBorders>
              <w:top w:val="single" w:sz="6" w:space="0" w:color="FFFFFF" w:themeColor="background1"/>
              <w:left w:val="single" w:sz="4" w:space="0" w:color="FFFFFF"/>
              <w:bottom w:val="single" w:sz="6" w:space="0" w:color="auto"/>
              <w:right w:val="single" w:sz="4" w:space="0" w:color="FFFFFF"/>
            </w:tcBorders>
            <w:shd w:val="clear" w:color="auto" w:fill="000000"/>
            <w:textDirection w:val="btLr"/>
          </w:tcPr>
          <w:p w14:paraId="7DD7CF2B" w14:textId="60A54471" w:rsidR="00A63675" w:rsidRPr="00DF1884" w:rsidRDefault="00A63675" w:rsidP="00E9531F">
            <w:pPr>
              <w:pStyle w:val="TableHead"/>
              <w:ind w:left="43"/>
              <w:jc w:val="left"/>
              <w:rPr>
                <w:color w:val="auto"/>
              </w:rPr>
            </w:pPr>
            <w:r w:rsidRPr="00DF1884">
              <w:rPr>
                <w:color w:val="auto"/>
              </w:rPr>
              <w:t>HPC</w:t>
            </w:r>
          </w:p>
        </w:tc>
        <w:tc>
          <w:tcPr>
            <w:tcW w:w="364"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vAlign w:val="center"/>
          </w:tcPr>
          <w:p w14:paraId="36E12EC1" w14:textId="79243A26" w:rsidR="00A63675" w:rsidRPr="00DF1884" w:rsidRDefault="00A63675" w:rsidP="00E9531F">
            <w:pPr>
              <w:pStyle w:val="TableHead"/>
              <w:ind w:left="43"/>
              <w:jc w:val="left"/>
              <w:rPr>
                <w:rFonts w:ascii="Arial Narrow Bold"/>
                <w:i/>
                <w:color w:val="auto"/>
              </w:rPr>
            </w:pPr>
            <w:r w:rsidRPr="00DF1884">
              <w:rPr>
                <w:color w:val="auto"/>
              </w:rPr>
              <w:t>RDI</w:t>
            </w:r>
          </w:p>
        </w:tc>
        <w:tc>
          <w:tcPr>
            <w:tcW w:w="286"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vAlign w:val="center"/>
          </w:tcPr>
          <w:p w14:paraId="77CB7D26" w14:textId="77777777" w:rsidR="00A63675" w:rsidRPr="00DF1884" w:rsidRDefault="00A63675" w:rsidP="00E9531F">
            <w:pPr>
              <w:pStyle w:val="TableHead"/>
              <w:ind w:left="43"/>
              <w:jc w:val="left"/>
              <w:rPr>
                <w:rFonts w:ascii="Arial Narrow Bold"/>
                <w:i/>
                <w:color w:val="auto"/>
              </w:rPr>
            </w:pPr>
            <w:r w:rsidRPr="00DF1884">
              <w:rPr>
                <w:color w:val="auto"/>
              </w:rPr>
              <w:t>RAS</w:t>
            </w:r>
          </w:p>
        </w:tc>
        <w:tc>
          <w:tcPr>
            <w:tcW w:w="390"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tcMar>
            <w:textDirection w:val="btLr"/>
            <w:vAlign w:val="center"/>
          </w:tcPr>
          <w:p w14:paraId="548D0F3E" w14:textId="77777777" w:rsidR="00A63675" w:rsidRPr="00DF1884" w:rsidRDefault="00A63675" w:rsidP="00E9531F">
            <w:pPr>
              <w:pStyle w:val="TableHead"/>
              <w:ind w:left="43"/>
              <w:jc w:val="left"/>
              <w:rPr>
                <w:rFonts w:ascii="Arial Narrow Bold"/>
                <w:color w:val="auto"/>
              </w:rPr>
            </w:pPr>
            <w:r w:rsidRPr="00DF1884">
              <w:rPr>
                <w:color w:val="auto"/>
              </w:rPr>
              <w:t>RCA</w:t>
            </w:r>
          </w:p>
        </w:tc>
        <w:tc>
          <w:tcPr>
            <w:tcW w:w="390" w:type="dxa"/>
            <w:tcBorders>
              <w:top w:val="single" w:sz="6" w:space="0" w:color="FFFFFF" w:themeColor="background1"/>
              <w:left w:val="single" w:sz="4" w:space="0" w:color="FFFFFF"/>
              <w:bottom w:val="single" w:sz="6" w:space="0" w:color="auto"/>
              <w:right w:val="single" w:sz="4" w:space="0" w:color="FFFFFF"/>
            </w:tcBorders>
            <w:shd w:val="clear" w:color="auto" w:fill="000000"/>
            <w:tcMar>
              <w:left w:w="43" w:type="dxa"/>
              <w:right w:w="43" w:type="dxa"/>
            </w:tcMar>
            <w:textDirection w:val="btLr"/>
            <w:vAlign w:val="center"/>
          </w:tcPr>
          <w:p w14:paraId="428EA1DA" w14:textId="77777777" w:rsidR="00A63675" w:rsidRPr="00DF1884" w:rsidRDefault="00A63675" w:rsidP="00E9531F">
            <w:pPr>
              <w:pStyle w:val="TableHead"/>
              <w:ind w:left="43" w:right="29"/>
              <w:jc w:val="left"/>
              <w:rPr>
                <w:rFonts w:ascii="Arial Narrow Bold"/>
                <w:color w:val="auto"/>
              </w:rPr>
            </w:pPr>
            <w:r w:rsidRPr="00DF1884">
              <w:rPr>
                <w:color w:val="auto"/>
              </w:rPr>
              <w:t>RHY</w:t>
            </w:r>
          </w:p>
        </w:tc>
        <w:tc>
          <w:tcPr>
            <w:tcW w:w="390" w:type="dxa"/>
            <w:tcBorders>
              <w:top w:val="single" w:sz="6" w:space="0" w:color="FFFFFF" w:themeColor="background1"/>
              <w:left w:val="single" w:sz="4" w:space="0" w:color="FFFFFF"/>
              <w:bottom w:val="single" w:sz="6" w:space="0" w:color="auto"/>
              <w:right w:val="single" w:sz="6" w:space="0" w:color="auto"/>
            </w:tcBorders>
            <w:shd w:val="clear" w:color="auto" w:fill="000000"/>
            <w:tcMar>
              <w:left w:w="43" w:type="dxa"/>
            </w:tcMar>
            <w:textDirection w:val="btLr"/>
            <w:vAlign w:val="center"/>
          </w:tcPr>
          <w:p w14:paraId="74E40A59" w14:textId="77777777" w:rsidR="00A63675" w:rsidRPr="00DF1884" w:rsidRDefault="00A63675" w:rsidP="00E9531F">
            <w:pPr>
              <w:pStyle w:val="TableHead"/>
              <w:ind w:left="43" w:right="29"/>
              <w:jc w:val="left"/>
              <w:rPr>
                <w:rFonts w:ascii="Arial Narrow Bold"/>
                <w:color w:val="auto"/>
              </w:rPr>
            </w:pPr>
            <w:r w:rsidRPr="00DF1884">
              <w:rPr>
                <w:color w:val="auto"/>
              </w:rPr>
              <w:t>RCO</w:t>
            </w:r>
          </w:p>
        </w:tc>
      </w:tr>
      <w:tr w:rsidR="00A63675" w:rsidRPr="00DF1884" w14:paraId="0F346703" w14:textId="77777777" w:rsidTr="00932F29">
        <w:trPr>
          <w:cantSplit/>
        </w:trPr>
        <w:tc>
          <w:tcPr>
            <w:tcW w:w="1342"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499B4E0" w14:textId="52CEEA4F" w:rsidR="00A63675" w:rsidRPr="00DF1884" w:rsidRDefault="00A63675" w:rsidP="00E9531F">
            <w:pPr>
              <w:pStyle w:val="TableText"/>
              <w:rPr>
                <w:szCs w:val="20"/>
              </w:rPr>
            </w:pPr>
            <w:r w:rsidRPr="00DF1884">
              <w:rPr>
                <w:szCs w:val="20"/>
              </w:rPr>
              <w:t>POS</w:t>
            </w:r>
            <w:r w:rsidR="00DF1884" w:rsidRPr="00DF1884">
              <w:rPr>
                <w:szCs w:val="20"/>
              </w:rPr>
              <w:t xml:space="preserve"> </w:t>
            </w:r>
            <w:r w:rsidRPr="00DF1884">
              <w:rPr>
                <w:szCs w:val="20"/>
              </w:rPr>
              <w:t>codes</w:t>
            </w:r>
          </w:p>
        </w:tc>
        <w:tc>
          <w:tcPr>
            <w:tcW w:w="363"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7BCF43A"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6F242D7"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6FB0FEB"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89E6DBB"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0E48417"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9AC2212"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BA403D3"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E339616"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5C119B10"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A76A32F"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45F0AE8" w14:textId="77777777" w:rsidR="00A63675" w:rsidRPr="00DF1884" w:rsidRDefault="00A63675" w:rsidP="00932F29">
            <w:pPr>
              <w:pStyle w:val="TableText"/>
              <w:jc w:val="center"/>
              <w:rPr>
                <w:sz w:val="22"/>
                <w:szCs w:val="22"/>
              </w:rPr>
            </w:pPr>
          </w:p>
        </w:tc>
        <w:tc>
          <w:tcPr>
            <w:tcW w:w="363"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D322F09" w14:textId="77777777" w:rsidR="00A63675" w:rsidRPr="00DF1884" w:rsidRDefault="00A63675" w:rsidP="00932F29">
            <w:pPr>
              <w:pStyle w:val="TableText"/>
              <w:jc w:val="center"/>
              <w:rPr>
                <w:sz w:val="22"/>
                <w:szCs w:val="22"/>
                <w:highlight w:val="yellow"/>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943546C"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70A794A"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7DC05B8"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ED424A7"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B8F1F71"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CB606CC"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846E5FB"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7A956FF" w14:textId="488E2A33" w:rsidR="00A63675" w:rsidRPr="00DF1884" w:rsidRDefault="00197956"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66C8E3A" w14:textId="22F54D75"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E2F844C" w14:textId="5B339F21" w:rsidR="00A63675" w:rsidRPr="00DF1884" w:rsidRDefault="00A63675" w:rsidP="00932F29">
            <w:pPr>
              <w:pStyle w:val="TableText"/>
              <w:jc w:val="center"/>
              <w:rPr>
                <w:sz w:val="22"/>
                <w:szCs w:val="22"/>
              </w:rPr>
            </w:pPr>
            <w:r w:rsidRPr="00DF1884">
              <w:rPr>
                <w:sz w:val="22"/>
                <w:szCs w:val="22"/>
              </w:rPr>
              <w:sym w:font="Wingdings" w:char="F0FC"/>
            </w:r>
          </w:p>
        </w:tc>
        <w:tc>
          <w:tcPr>
            <w:tcW w:w="286"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FF31653"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3BAC4944"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B838ABF"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606EA171" w14:textId="77777777" w:rsidR="00A63675" w:rsidRPr="00DF1884" w:rsidRDefault="00A63675" w:rsidP="00932F29">
            <w:pPr>
              <w:pStyle w:val="TableText"/>
              <w:jc w:val="center"/>
              <w:rPr>
                <w:sz w:val="22"/>
                <w:szCs w:val="22"/>
              </w:rPr>
            </w:pPr>
            <w:r w:rsidRPr="00DF1884">
              <w:rPr>
                <w:sz w:val="22"/>
                <w:szCs w:val="22"/>
              </w:rPr>
              <w:sym w:font="Wingdings" w:char="F0FC"/>
            </w:r>
          </w:p>
        </w:tc>
      </w:tr>
      <w:tr w:rsidR="00A63675" w:rsidRPr="00DF1884" w14:paraId="483EFE8F" w14:textId="77777777" w:rsidTr="00932F29">
        <w:trPr>
          <w:cantSplit/>
        </w:trPr>
        <w:tc>
          <w:tcPr>
            <w:tcW w:w="134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8609456" w14:textId="7D036C30" w:rsidR="00A63675" w:rsidRPr="00DF1884" w:rsidRDefault="00A63675" w:rsidP="00E9531F">
            <w:pPr>
              <w:pStyle w:val="TableText"/>
              <w:rPr>
                <w:szCs w:val="20"/>
              </w:rPr>
            </w:pPr>
            <w:r w:rsidRPr="00DF1884">
              <w:rPr>
                <w:szCs w:val="20"/>
              </w:rPr>
              <w:t>TOB</w:t>
            </w:r>
            <w:r w:rsidR="00DF1884" w:rsidRPr="00DF1884">
              <w:rPr>
                <w:szCs w:val="20"/>
              </w:rPr>
              <w:t xml:space="preserve"> </w:t>
            </w:r>
            <w:r w:rsidRPr="00DF1884">
              <w:rPr>
                <w:szCs w:val="20"/>
              </w:rPr>
              <w:t>codes</w:t>
            </w:r>
          </w:p>
        </w:tc>
        <w:tc>
          <w:tcPr>
            <w:tcW w:w="3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C279490"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57B32AC"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253F2F0"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99B9DCE"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201BFA7"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8223F03"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4D82BA9"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40FB681"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29D950FA"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1043FB2"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B0C3DF8" w14:textId="77777777" w:rsidR="00A63675" w:rsidRPr="00DF1884" w:rsidRDefault="00A63675" w:rsidP="00932F29">
            <w:pPr>
              <w:pStyle w:val="TableText"/>
              <w:jc w:val="center"/>
              <w:rPr>
                <w:sz w:val="22"/>
                <w:szCs w:val="22"/>
              </w:rPr>
            </w:pPr>
          </w:p>
        </w:tc>
        <w:tc>
          <w:tcPr>
            <w:tcW w:w="3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FB236AC"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2E84DC3"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4FBED2F"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FC6F885"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F38EBFF"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5C25BD9"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C4A4EE1"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CEFD287" w14:textId="54429A88" w:rsidR="00A63675" w:rsidRPr="00DF1884" w:rsidRDefault="00991EDB" w:rsidP="00932F29">
            <w:pPr>
              <w:pStyle w:val="TableText"/>
              <w:jc w:val="center"/>
              <w:rPr>
                <w:rFonts w:cs="Arial"/>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4F13F4E" w14:textId="77777777" w:rsidR="00A63675" w:rsidRPr="00DF1884" w:rsidRDefault="00A63675" w:rsidP="00932F29">
            <w:pPr>
              <w:pStyle w:val="TableText"/>
              <w:jc w:val="center"/>
              <w:rPr>
                <w:rFonts w:cs="Arial"/>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87BE634" w14:textId="129F19CB" w:rsidR="00A63675" w:rsidRPr="00DF1884" w:rsidRDefault="008205F0" w:rsidP="00932F29">
            <w:pPr>
              <w:pStyle w:val="TableText"/>
              <w:jc w:val="center"/>
              <w:rPr>
                <w:rFonts w:cs="Arial"/>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9C0C650" w14:textId="6D992DB8" w:rsidR="00A63675" w:rsidRPr="00DF1884" w:rsidRDefault="00A63675" w:rsidP="00932F29">
            <w:pPr>
              <w:pStyle w:val="TableText"/>
              <w:jc w:val="center"/>
              <w:rPr>
                <w:sz w:val="22"/>
                <w:szCs w:val="22"/>
              </w:rPr>
            </w:pPr>
            <w:r w:rsidRPr="00DF1884">
              <w:rPr>
                <w:rFonts w:cs="Arial"/>
                <w:sz w:val="22"/>
                <w:szCs w:val="22"/>
              </w:rPr>
              <w:sym w:font="Wingdings" w:char="F0FC"/>
            </w:r>
          </w:p>
        </w:tc>
        <w:tc>
          <w:tcPr>
            <w:tcW w:w="28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384A3DC"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628EFC9F"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27E4777"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618862B1"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r>
      <w:tr w:rsidR="00A63675" w:rsidRPr="00DF1884" w14:paraId="7D40A38F" w14:textId="77777777" w:rsidTr="00932F29">
        <w:trPr>
          <w:cantSplit/>
        </w:trPr>
        <w:tc>
          <w:tcPr>
            <w:tcW w:w="1342"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3B8A11F" w14:textId="77777777" w:rsidR="00A63675" w:rsidRPr="00DF1884" w:rsidRDefault="00A63675" w:rsidP="00E9531F">
            <w:pPr>
              <w:pStyle w:val="TableText"/>
              <w:rPr>
                <w:szCs w:val="20"/>
              </w:rPr>
            </w:pPr>
            <w:r w:rsidRPr="00DF1884">
              <w:rPr>
                <w:szCs w:val="20"/>
              </w:rPr>
              <w:t>DRGs</w:t>
            </w:r>
          </w:p>
        </w:tc>
        <w:tc>
          <w:tcPr>
            <w:tcW w:w="363"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D09EEB0"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116BA45"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FF4A4DC"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76563D0"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7B2FEDF"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8E8A8D2"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0A16B22"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B97F84D"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101D930B"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99EC438"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ADA6D2A" w14:textId="77777777" w:rsidR="00A63675" w:rsidRPr="00DF1884" w:rsidRDefault="00A63675" w:rsidP="00932F29">
            <w:pPr>
              <w:pStyle w:val="TableText"/>
              <w:jc w:val="center"/>
              <w:rPr>
                <w:sz w:val="22"/>
                <w:szCs w:val="22"/>
              </w:rPr>
            </w:pPr>
          </w:p>
        </w:tc>
        <w:tc>
          <w:tcPr>
            <w:tcW w:w="363"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89AAF69"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148301B"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96A30EF"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9E41259"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DA0ABC9"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7EB147C"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07DCA6B"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8D0789B" w14:textId="1A2F2A7A" w:rsidR="00A63675" w:rsidRPr="00DF1884" w:rsidRDefault="00991EDB"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BEA5E17"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BE85AB1" w14:textId="661698A2"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4CB179A" w14:textId="343B2432" w:rsidR="00A63675" w:rsidRPr="00DF1884" w:rsidRDefault="00A63675" w:rsidP="00932F29">
            <w:pPr>
              <w:pStyle w:val="TableText"/>
              <w:jc w:val="center"/>
              <w:rPr>
                <w:sz w:val="22"/>
                <w:szCs w:val="22"/>
              </w:rPr>
            </w:pPr>
          </w:p>
        </w:tc>
        <w:tc>
          <w:tcPr>
            <w:tcW w:w="286"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E5559A5"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6B5CDB97"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4612916"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7E722D4B" w14:textId="77777777" w:rsidR="00A63675" w:rsidRPr="00DF1884" w:rsidRDefault="00A63675" w:rsidP="00932F29">
            <w:pPr>
              <w:pStyle w:val="TableText"/>
              <w:jc w:val="center"/>
              <w:rPr>
                <w:sz w:val="22"/>
                <w:szCs w:val="22"/>
              </w:rPr>
            </w:pPr>
          </w:p>
        </w:tc>
      </w:tr>
      <w:tr w:rsidR="00A63675" w:rsidRPr="00DF1884" w14:paraId="3602A9B6" w14:textId="77777777" w:rsidTr="00932F29">
        <w:trPr>
          <w:cantSplit/>
        </w:trPr>
        <w:tc>
          <w:tcPr>
            <w:tcW w:w="134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3CF94F8" w14:textId="2FA946E1" w:rsidR="00A63675" w:rsidRPr="00DF1884" w:rsidRDefault="00A63675" w:rsidP="00E9531F">
            <w:pPr>
              <w:pStyle w:val="TableText"/>
              <w:rPr>
                <w:szCs w:val="20"/>
              </w:rPr>
            </w:pPr>
            <w:r w:rsidRPr="00DF1884">
              <w:rPr>
                <w:szCs w:val="20"/>
              </w:rPr>
              <w:t>HCPCS</w:t>
            </w:r>
            <w:r w:rsidR="00DF1884" w:rsidRPr="00DF1884">
              <w:rPr>
                <w:szCs w:val="20"/>
              </w:rPr>
              <w:t xml:space="preserve"> </w:t>
            </w:r>
            <w:r w:rsidRPr="00DF1884">
              <w:rPr>
                <w:szCs w:val="20"/>
              </w:rPr>
              <w:t>codes</w:t>
            </w:r>
          </w:p>
        </w:tc>
        <w:tc>
          <w:tcPr>
            <w:tcW w:w="3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D92B6D9"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07D8AFC"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B49AB75"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4436D0A"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9BAE1B0"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170FA99"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64A9B5F"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737528C"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40667FD4"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742BFFB"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6CBE377"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6E2198F"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AFB47CF"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4FEA745"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863B817"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49A22C6"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834C64B"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BA80636"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9B1D5EC" w14:textId="1E7D4059" w:rsidR="00A63675" w:rsidRPr="00DF1884" w:rsidRDefault="00991EDB" w:rsidP="00932F29">
            <w:pPr>
              <w:pStyle w:val="TableText"/>
              <w:jc w:val="center"/>
              <w:rPr>
                <w:rFonts w:cs="Arial"/>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92BA4F9" w14:textId="10F5CB02" w:rsidR="00A63675" w:rsidRPr="00DF1884" w:rsidRDefault="00197956" w:rsidP="00932F29">
            <w:pPr>
              <w:pStyle w:val="TableText"/>
              <w:jc w:val="center"/>
              <w:rPr>
                <w:rFonts w:cs="Arial"/>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F4389EB" w14:textId="7CAD3544" w:rsidR="00A63675" w:rsidRPr="00DF1884" w:rsidRDefault="008205F0" w:rsidP="00932F29">
            <w:pPr>
              <w:pStyle w:val="TableText"/>
              <w:jc w:val="center"/>
              <w:rPr>
                <w:rFonts w:cs="Arial"/>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8030CB9" w14:textId="7BEC31E8" w:rsidR="00A63675" w:rsidRPr="00DF1884" w:rsidRDefault="00A63675" w:rsidP="00932F29">
            <w:pPr>
              <w:pStyle w:val="TableText"/>
              <w:jc w:val="center"/>
              <w:rPr>
                <w:sz w:val="22"/>
                <w:szCs w:val="22"/>
              </w:rPr>
            </w:pPr>
            <w:r w:rsidRPr="00DF1884">
              <w:rPr>
                <w:rFonts w:cs="Arial"/>
                <w:sz w:val="22"/>
                <w:szCs w:val="22"/>
              </w:rPr>
              <w:sym w:font="Wingdings" w:char="F0FC"/>
            </w:r>
          </w:p>
        </w:tc>
        <w:tc>
          <w:tcPr>
            <w:tcW w:w="28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80BFD82"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3F093812"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FB8EE31"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5496BDF8"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r>
      <w:tr w:rsidR="00A63675" w:rsidRPr="00DF1884" w14:paraId="08B6591D" w14:textId="77777777" w:rsidTr="00932F29">
        <w:trPr>
          <w:cantSplit/>
        </w:trPr>
        <w:tc>
          <w:tcPr>
            <w:tcW w:w="1342"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F35840F" w14:textId="0304441F" w:rsidR="00A63675" w:rsidRPr="00DF1884" w:rsidRDefault="00A63675" w:rsidP="00E9531F">
            <w:pPr>
              <w:pStyle w:val="TableText"/>
              <w:rPr>
                <w:szCs w:val="20"/>
              </w:rPr>
            </w:pPr>
            <w:r w:rsidRPr="00DF1884">
              <w:rPr>
                <w:szCs w:val="20"/>
              </w:rPr>
              <w:t>J</w:t>
            </w:r>
            <w:r w:rsidR="00DF1884" w:rsidRPr="00DF1884">
              <w:rPr>
                <w:szCs w:val="20"/>
              </w:rPr>
              <w:t xml:space="preserve"> </w:t>
            </w:r>
            <w:r w:rsidRPr="00DF1884">
              <w:rPr>
                <w:szCs w:val="20"/>
              </w:rPr>
              <w:t>codes</w:t>
            </w:r>
          </w:p>
        </w:tc>
        <w:tc>
          <w:tcPr>
            <w:tcW w:w="363"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317FE3A"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A80DB8D"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C7379F4"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51A554A"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E46D4F2"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E641251"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01F956E"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6B454EE"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7F2B2299"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4DB3667"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8C2D9C5" w14:textId="77777777" w:rsidR="00A63675" w:rsidRPr="00DF1884" w:rsidRDefault="00A63675" w:rsidP="00932F29">
            <w:pPr>
              <w:pStyle w:val="TableText"/>
              <w:jc w:val="center"/>
              <w:rPr>
                <w:sz w:val="22"/>
                <w:szCs w:val="22"/>
              </w:rPr>
            </w:pPr>
          </w:p>
        </w:tc>
        <w:tc>
          <w:tcPr>
            <w:tcW w:w="363"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62937ED"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6536560"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864EB64"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2A73B2A"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49579F3"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57421E3"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344EDAA"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6EB62FB"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83280C6"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A0C4C04" w14:textId="7A64CDA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65E5152" w14:textId="4D0EC0EE" w:rsidR="00A63675" w:rsidRPr="00DF1884" w:rsidRDefault="00A63675" w:rsidP="00932F29">
            <w:pPr>
              <w:pStyle w:val="TableText"/>
              <w:jc w:val="center"/>
              <w:rPr>
                <w:sz w:val="22"/>
                <w:szCs w:val="22"/>
              </w:rPr>
            </w:pPr>
          </w:p>
        </w:tc>
        <w:tc>
          <w:tcPr>
            <w:tcW w:w="286"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B62AA55"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332D35F4"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87B9885"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68972013" w14:textId="77777777" w:rsidR="00A63675" w:rsidRPr="00DF1884" w:rsidRDefault="00A63675" w:rsidP="00932F29">
            <w:pPr>
              <w:pStyle w:val="TableText"/>
              <w:jc w:val="center"/>
              <w:rPr>
                <w:sz w:val="22"/>
                <w:szCs w:val="22"/>
              </w:rPr>
            </w:pPr>
          </w:p>
        </w:tc>
      </w:tr>
      <w:tr w:rsidR="00A63675" w:rsidRPr="00DF1884" w14:paraId="71FFBBED" w14:textId="77777777" w:rsidTr="00932F29">
        <w:trPr>
          <w:cantSplit/>
        </w:trPr>
        <w:tc>
          <w:tcPr>
            <w:tcW w:w="134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68569B4" w14:textId="4649C6DB" w:rsidR="00A63675" w:rsidRPr="00DF1884" w:rsidRDefault="00A63675" w:rsidP="00E9531F">
            <w:pPr>
              <w:pStyle w:val="TableText"/>
              <w:rPr>
                <w:szCs w:val="20"/>
              </w:rPr>
            </w:pPr>
            <w:r w:rsidRPr="00DF1884">
              <w:rPr>
                <w:szCs w:val="20"/>
              </w:rPr>
              <w:t>LOINC</w:t>
            </w:r>
            <w:r w:rsidR="00DF1884" w:rsidRPr="00DF1884">
              <w:rPr>
                <w:szCs w:val="20"/>
              </w:rPr>
              <w:t xml:space="preserve"> </w:t>
            </w:r>
            <w:r w:rsidRPr="00DF1884">
              <w:rPr>
                <w:szCs w:val="20"/>
              </w:rPr>
              <w:t>codes</w:t>
            </w:r>
          </w:p>
        </w:tc>
        <w:tc>
          <w:tcPr>
            <w:tcW w:w="3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734F2C2"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551EA8C"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29FD02E"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8024DF3"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B7549ED"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DA20375"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B6B6ACF"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2ED4FBC"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65188C2D"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9C692FB"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201A8F5" w14:textId="77777777" w:rsidR="00A63675" w:rsidRPr="00DF1884" w:rsidRDefault="00A63675" w:rsidP="00932F29">
            <w:pPr>
              <w:pStyle w:val="TableText"/>
              <w:jc w:val="center"/>
              <w:rPr>
                <w:sz w:val="22"/>
                <w:szCs w:val="22"/>
              </w:rPr>
            </w:pPr>
          </w:p>
        </w:tc>
        <w:tc>
          <w:tcPr>
            <w:tcW w:w="3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4BBAFEC"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F58C04F"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AD66CCB"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F187646"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87E1CB1"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91F9427"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B83A4E9"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A123492"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B936C85"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CAAA111" w14:textId="1482DE36"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45A6B85" w14:textId="54CD2253" w:rsidR="00A63675" w:rsidRPr="00DF1884" w:rsidRDefault="00A63675" w:rsidP="00932F29">
            <w:pPr>
              <w:pStyle w:val="TableText"/>
              <w:jc w:val="center"/>
              <w:rPr>
                <w:sz w:val="22"/>
                <w:szCs w:val="22"/>
              </w:rPr>
            </w:pPr>
          </w:p>
        </w:tc>
        <w:tc>
          <w:tcPr>
            <w:tcW w:w="28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BDB7DDE"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5E78A276"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4FD6999"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18C8FF88" w14:textId="77777777" w:rsidR="00A63675" w:rsidRPr="00DF1884" w:rsidRDefault="00A63675" w:rsidP="00932F29">
            <w:pPr>
              <w:pStyle w:val="TableText"/>
              <w:jc w:val="center"/>
              <w:rPr>
                <w:sz w:val="22"/>
                <w:szCs w:val="22"/>
              </w:rPr>
            </w:pPr>
          </w:p>
        </w:tc>
      </w:tr>
      <w:tr w:rsidR="00A63675" w:rsidRPr="00DF1884" w14:paraId="07BDFDE2" w14:textId="77777777" w:rsidTr="00932F29">
        <w:trPr>
          <w:cantSplit/>
        </w:trPr>
        <w:tc>
          <w:tcPr>
            <w:tcW w:w="1342"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7AD963C9" w14:textId="38EC36CC" w:rsidR="00A63675" w:rsidRPr="00DF1884" w:rsidRDefault="00A63675" w:rsidP="00E9531F">
            <w:pPr>
              <w:pStyle w:val="TableText"/>
              <w:rPr>
                <w:szCs w:val="20"/>
              </w:rPr>
            </w:pPr>
            <w:r w:rsidRPr="00DF1884">
              <w:rPr>
                <w:szCs w:val="20"/>
              </w:rPr>
              <w:t>CPT</w:t>
            </w:r>
            <w:r w:rsidR="00DF1884" w:rsidRPr="00DF1884">
              <w:rPr>
                <w:szCs w:val="20"/>
              </w:rPr>
              <w:t xml:space="preserve"> </w:t>
            </w:r>
            <w:r w:rsidRPr="00DF1884">
              <w:rPr>
                <w:szCs w:val="20"/>
              </w:rPr>
              <w:t>II</w:t>
            </w:r>
            <w:r w:rsidR="00DF1884" w:rsidRPr="00DF1884">
              <w:rPr>
                <w:szCs w:val="20"/>
              </w:rPr>
              <w:t xml:space="preserve"> </w:t>
            </w:r>
            <w:r w:rsidRPr="00DF1884">
              <w:rPr>
                <w:szCs w:val="20"/>
              </w:rPr>
              <w:t>codes</w:t>
            </w:r>
          </w:p>
        </w:tc>
        <w:tc>
          <w:tcPr>
            <w:tcW w:w="363"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0D61D6B"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1334E0A"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845AA02"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397BB92"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F03B202"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BD0D057"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4D57CBC"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D1F1E0D"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4DD0A5D3"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87665F8"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132BE86" w14:textId="77777777" w:rsidR="00A63675" w:rsidRPr="00DF1884" w:rsidRDefault="00A63675" w:rsidP="00932F29">
            <w:pPr>
              <w:pStyle w:val="TableText"/>
              <w:jc w:val="center"/>
              <w:rPr>
                <w:sz w:val="22"/>
                <w:szCs w:val="22"/>
              </w:rPr>
            </w:pPr>
          </w:p>
        </w:tc>
        <w:tc>
          <w:tcPr>
            <w:tcW w:w="363"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2C3F5F2"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52BF0188"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4AA963A"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1F51DE0D"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22C06E4B"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B53F75B"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6F453C2A"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6B485D8"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937D576"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6A9B392" w14:textId="61B71F4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4E221CDB" w14:textId="18F1FDFE" w:rsidR="00A63675" w:rsidRPr="00DF1884" w:rsidRDefault="00A63675" w:rsidP="00932F29">
            <w:pPr>
              <w:pStyle w:val="TableText"/>
              <w:jc w:val="center"/>
              <w:rPr>
                <w:sz w:val="22"/>
                <w:szCs w:val="22"/>
              </w:rPr>
            </w:pPr>
          </w:p>
        </w:tc>
        <w:tc>
          <w:tcPr>
            <w:tcW w:w="286"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0DB9D24E"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2CC5BE86"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43" w:type="dxa"/>
            </w:tcMar>
            <w:vAlign w:val="center"/>
          </w:tcPr>
          <w:p w14:paraId="392AD965"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tcMar>
            <w:vAlign w:val="center"/>
          </w:tcPr>
          <w:p w14:paraId="3BE2D2CE" w14:textId="77777777" w:rsidR="00A63675" w:rsidRPr="00DF1884" w:rsidRDefault="00A63675" w:rsidP="00932F29">
            <w:pPr>
              <w:pStyle w:val="TableText"/>
              <w:jc w:val="center"/>
              <w:rPr>
                <w:sz w:val="22"/>
                <w:szCs w:val="22"/>
              </w:rPr>
            </w:pPr>
          </w:p>
        </w:tc>
      </w:tr>
      <w:tr w:rsidR="009D726B" w:rsidRPr="00DF1884" w14:paraId="65DF2D39" w14:textId="77777777" w:rsidTr="00932F29">
        <w:trPr>
          <w:cantSplit/>
        </w:trPr>
        <w:tc>
          <w:tcPr>
            <w:tcW w:w="134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3D8F8C9" w14:textId="3DD6D2C0" w:rsidR="009D726B" w:rsidRPr="00DF1884" w:rsidRDefault="009D726B" w:rsidP="00E9531F">
            <w:pPr>
              <w:pStyle w:val="TableText"/>
              <w:rPr>
                <w:szCs w:val="20"/>
              </w:rPr>
            </w:pPr>
            <w:r>
              <w:rPr>
                <w:szCs w:val="20"/>
              </w:rPr>
              <w:t>SNOMED CT codes</w:t>
            </w:r>
          </w:p>
        </w:tc>
        <w:tc>
          <w:tcPr>
            <w:tcW w:w="3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5CD1B46" w14:textId="77777777" w:rsidR="009D726B" w:rsidRPr="00DF1884" w:rsidRDefault="009D726B"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89C279E" w14:textId="77777777" w:rsidR="009D726B" w:rsidRPr="00DF1884" w:rsidRDefault="009D726B"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9A8B469" w14:textId="77777777" w:rsidR="009D726B" w:rsidRPr="00DF1884" w:rsidRDefault="009D726B"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81DFC14" w14:textId="77777777" w:rsidR="009D726B" w:rsidRPr="00DF1884" w:rsidRDefault="009D726B"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15C8699" w14:textId="77777777" w:rsidR="009D726B" w:rsidRPr="00DF1884" w:rsidRDefault="009D726B"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5A474AC" w14:textId="77777777" w:rsidR="009D726B" w:rsidRPr="00DF1884" w:rsidRDefault="009D726B"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11CC334" w14:textId="77777777" w:rsidR="009D726B" w:rsidRPr="00DF1884" w:rsidRDefault="009D726B"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77957C4" w14:textId="77777777" w:rsidR="009D726B" w:rsidRPr="00DF1884" w:rsidRDefault="009D726B"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1528C4B0" w14:textId="77777777" w:rsidR="009D726B" w:rsidRPr="00DF1884" w:rsidRDefault="009D726B"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80E41A5" w14:textId="77777777" w:rsidR="009D726B" w:rsidRPr="00DF1884" w:rsidRDefault="009D726B"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5F92924" w14:textId="77777777" w:rsidR="009D726B" w:rsidRPr="00DF1884" w:rsidRDefault="009D726B" w:rsidP="00932F29">
            <w:pPr>
              <w:pStyle w:val="TableText"/>
              <w:jc w:val="center"/>
              <w:rPr>
                <w:sz w:val="22"/>
                <w:szCs w:val="22"/>
              </w:rPr>
            </w:pPr>
          </w:p>
        </w:tc>
        <w:tc>
          <w:tcPr>
            <w:tcW w:w="3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2AC0785" w14:textId="77777777" w:rsidR="009D726B" w:rsidRPr="00DF1884" w:rsidRDefault="009D726B"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CA95110" w14:textId="77777777" w:rsidR="009D726B" w:rsidRPr="00DF1884" w:rsidRDefault="009D726B"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6977AD3" w14:textId="77777777" w:rsidR="009D726B" w:rsidRPr="00DF1884" w:rsidRDefault="009D726B"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C4FCA58" w14:textId="77777777" w:rsidR="009D726B" w:rsidRPr="00DF1884" w:rsidRDefault="009D726B"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C1255B4" w14:textId="77777777" w:rsidR="009D726B" w:rsidRPr="00DF1884" w:rsidRDefault="009D726B"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66EBC06" w14:textId="77777777" w:rsidR="009D726B" w:rsidRPr="00DF1884" w:rsidRDefault="009D726B"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12FFFBB" w14:textId="77777777" w:rsidR="009D726B" w:rsidRPr="00DF1884" w:rsidRDefault="009D726B"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97282B3" w14:textId="77777777" w:rsidR="009D726B" w:rsidRPr="00DF1884" w:rsidRDefault="009D726B"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90CD7BB" w14:textId="77777777" w:rsidR="009D726B" w:rsidRPr="00DF1884" w:rsidRDefault="009D726B"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CBCFE71" w14:textId="77777777" w:rsidR="009D726B" w:rsidRPr="00DF1884" w:rsidRDefault="009D726B"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97A2943" w14:textId="77777777" w:rsidR="009D726B" w:rsidRPr="00DF1884" w:rsidRDefault="009D726B" w:rsidP="00932F29">
            <w:pPr>
              <w:pStyle w:val="TableText"/>
              <w:jc w:val="center"/>
              <w:rPr>
                <w:sz w:val="22"/>
                <w:szCs w:val="22"/>
              </w:rPr>
            </w:pPr>
          </w:p>
        </w:tc>
        <w:tc>
          <w:tcPr>
            <w:tcW w:w="28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E8DE4FA" w14:textId="77777777" w:rsidR="009D726B" w:rsidRPr="00DF1884" w:rsidRDefault="009D726B" w:rsidP="00932F29">
            <w:pPr>
              <w:pStyle w:val="TableText"/>
              <w:jc w:val="center"/>
              <w:rPr>
                <w:rFonts w:cs="Arial"/>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64962B67" w14:textId="77777777" w:rsidR="009D726B" w:rsidRPr="00DF1884" w:rsidRDefault="009D726B"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00BED6D" w14:textId="77777777" w:rsidR="009D726B" w:rsidRPr="00DF1884" w:rsidRDefault="009D726B"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14A054BA" w14:textId="77777777" w:rsidR="009D726B" w:rsidRPr="00DF1884" w:rsidRDefault="009D726B" w:rsidP="00932F29">
            <w:pPr>
              <w:pStyle w:val="TableText"/>
              <w:jc w:val="center"/>
              <w:rPr>
                <w:sz w:val="22"/>
                <w:szCs w:val="22"/>
              </w:rPr>
            </w:pPr>
          </w:p>
        </w:tc>
      </w:tr>
      <w:tr w:rsidR="009D726B" w:rsidRPr="00DF1884" w14:paraId="5AE6ABEC" w14:textId="77777777" w:rsidTr="009D726B">
        <w:trPr>
          <w:cantSplit/>
        </w:trPr>
        <w:tc>
          <w:tcPr>
            <w:tcW w:w="1342" w:type="dxa"/>
            <w:tcBorders>
              <w:top w:val="single" w:sz="6" w:space="0" w:color="auto"/>
              <w:left w:val="single" w:sz="6" w:space="0" w:color="auto"/>
              <w:bottom w:val="single" w:sz="6" w:space="0" w:color="auto"/>
              <w:right w:val="single" w:sz="6" w:space="0" w:color="auto"/>
            </w:tcBorders>
            <w:shd w:val="clear" w:color="auto" w:fill="auto"/>
            <w:tcMar>
              <w:left w:w="43" w:type="dxa"/>
              <w:right w:w="43" w:type="dxa"/>
            </w:tcMar>
            <w:vAlign w:val="center"/>
          </w:tcPr>
          <w:p w14:paraId="1EC180CC" w14:textId="48FFDA0A" w:rsidR="00A63675" w:rsidRPr="00DF1884" w:rsidRDefault="00A63675" w:rsidP="00E9531F">
            <w:pPr>
              <w:pStyle w:val="TableText"/>
              <w:rPr>
                <w:szCs w:val="20"/>
              </w:rPr>
            </w:pPr>
            <w:r w:rsidRPr="00DF1884">
              <w:rPr>
                <w:szCs w:val="20"/>
              </w:rPr>
              <w:t>Principal</w:t>
            </w:r>
            <w:r w:rsidR="00DF1884" w:rsidRPr="00DF1884">
              <w:rPr>
                <w:szCs w:val="20"/>
              </w:rPr>
              <w:t xml:space="preserve"> </w:t>
            </w:r>
            <w:r w:rsidRPr="00DF1884">
              <w:rPr>
                <w:szCs w:val="20"/>
              </w:rPr>
              <w:t>diagnosis</w:t>
            </w:r>
          </w:p>
        </w:tc>
        <w:tc>
          <w:tcPr>
            <w:tcW w:w="363" w:type="dxa"/>
            <w:tcBorders>
              <w:top w:val="single" w:sz="6" w:space="0" w:color="auto"/>
              <w:left w:val="single" w:sz="6" w:space="0" w:color="auto"/>
              <w:bottom w:val="single" w:sz="6" w:space="0" w:color="auto"/>
              <w:right w:val="single" w:sz="6" w:space="0" w:color="auto"/>
            </w:tcBorders>
            <w:shd w:val="clear" w:color="auto" w:fill="auto"/>
            <w:tcMar>
              <w:left w:w="43" w:type="dxa"/>
              <w:right w:w="43" w:type="dxa"/>
            </w:tcMar>
            <w:vAlign w:val="center"/>
          </w:tcPr>
          <w:p w14:paraId="0076E6B5"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auto"/>
            <w:tcMar>
              <w:left w:w="43" w:type="dxa"/>
              <w:right w:w="43" w:type="dxa"/>
            </w:tcMar>
            <w:vAlign w:val="center"/>
          </w:tcPr>
          <w:p w14:paraId="6C7D6400"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auto"/>
            <w:tcMar>
              <w:left w:w="43" w:type="dxa"/>
              <w:right w:w="43" w:type="dxa"/>
            </w:tcMar>
            <w:vAlign w:val="center"/>
          </w:tcPr>
          <w:p w14:paraId="21724153"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auto"/>
            <w:tcMar>
              <w:left w:w="43" w:type="dxa"/>
              <w:right w:w="43" w:type="dxa"/>
            </w:tcMar>
            <w:vAlign w:val="center"/>
          </w:tcPr>
          <w:p w14:paraId="3740CCC4"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auto"/>
            <w:tcMar>
              <w:left w:w="43" w:type="dxa"/>
              <w:right w:w="43" w:type="dxa"/>
            </w:tcMar>
            <w:vAlign w:val="center"/>
          </w:tcPr>
          <w:p w14:paraId="4BFC5D35"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auto"/>
            <w:tcMar>
              <w:left w:w="43" w:type="dxa"/>
              <w:right w:w="43" w:type="dxa"/>
            </w:tcMar>
            <w:vAlign w:val="center"/>
          </w:tcPr>
          <w:p w14:paraId="2B90AA93"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auto"/>
            <w:tcMar>
              <w:left w:w="43" w:type="dxa"/>
              <w:right w:w="43" w:type="dxa"/>
            </w:tcMar>
            <w:vAlign w:val="center"/>
          </w:tcPr>
          <w:p w14:paraId="67EC8797"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auto"/>
            <w:tcMar>
              <w:left w:w="43" w:type="dxa"/>
              <w:right w:w="43" w:type="dxa"/>
            </w:tcMar>
            <w:vAlign w:val="center"/>
          </w:tcPr>
          <w:p w14:paraId="781AA2EA"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auto"/>
            <w:tcMar>
              <w:left w:w="43" w:type="dxa"/>
            </w:tcMar>
            <w:vAlign w:val="center"/>
          </w:tcPr>
          <w:p w14:paraId="30E8DCE6"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auto"/>
            <w:tcMar>
              <w:left w:w="43" w:type="dxa"/>
              <w:right w:w="43" w:type="dxa"/>
            </w:tcMar>
            <w:vAlign w:val="center"/>
          </w:tcPr>
          <w:p w14:paraId="706F40FD"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auto"/>
            <w:tcMar>
              <w:left w:w="43" w:type="dxa"/>
              <w:right w:w="43" w:type="dxa"/>
            </w:tcMar>
            <w:vAlign w:val="center"/>
          </w:tcPr>
          <w:p w14:paraId="771D1727" w14:textId="77777777" w:rsidR="00A63675" w:rsidRPr="00DF1884" w:rsidRDefault="00A63675" w:rsidP="00932F29">
            <w:pPr>
              <w:pStyle w:val="TableText"/>
              <w:jc w:val="center"/>
              <w:rPr>
                <w:sz w:val="22"/>
                <w:szCs w:val="22"/>
              </w:rPr>
            </w:pPr>
          </w:p>
        </w:tc>
        <w:tc>
          <w:tcPr>
            <w:tcW w:w="363" w:type="dxa"/>
            <w:tcBorders>
              <w:top w:val="single" w:sz="6" w:space="0" w:color="auto"/>
              <w:left w:val="single" w:sz="6" w:space="0" w:color="auto"/>
              <w:bottom w:val="single" w:sz="6" w:space="0" w:color="auto"/>
              <w:right w:val="single" w:sz="6" w:space="0" w:color="auto"/>
            </w:tcBorders>
            <w:shd w:val="clear" w:color="auto" w:fill="auto"/>
            <w:tcMar>
              <w:left w:w="43" w:type="dxa"/>
              <w:right w:w="43" w:type="dxa"/>
            </w:tcMar>
            <w:vAlign w:val="center"/>
          </w:tcPr>
          <w:p w14:paraId="320E2D14"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auto"/>
            <w:tcMar>
              <w:left w:w="43" w:type="dxa"/>
              <w:right w:w="43" w:type="dxa"/>
            </w:tcMar>
            <w:vAlign w:val="center"/>
          </w:tcPr>
          <w:p w14:paraId="64E4201F"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auto"/>
            <w:tcMar>
              <w:left w:w="43" w:type="dxa"/>
              <w:right w:w="43" w:type="dxa"/>
            </w:tcMar>
            <w:vAlign w:val="center"/>
          </w:tcPr>
          <w:p w14:paraId="1EB12685"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auto"/>
            <w:tcMar>
              <w:left w:w="43" w:type="dxa"/>
              <w:right w:w="43" w:type="dxa"/>
            </w:tcMar>
            <w:vAlign w:val="center"/>
          </w:tcPr>
          <w:p w14:paraId="0D1F8D51"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auto"/>
            <w:tcMar>
              <w:left w:w="43" w:type="dxa"/>
              <w:right w:w="43" w:type="dxa"/>
            </w:tcMar>
            <w:vAlign w:val="center"/>
          </w:tcPr>
          <w:p w14:paraId="0E7D1D78"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auto"/>
            <w:tcMar>
              <w:left w:w="43" w:type="dxa"/>
              <w:right w:w="43" w:type="dxa"/>
            </w:tcMar>
            <w:vAlign w:val="center"/>
          </w:tcPr>
          <w:p w14:paraId="70E02B2E"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auto"/>
            <w:tcMar>
              <w:left w:w="43" w:type="dxa"/>
              <w:right w:w="43" w:type="dxa"/>
            </w:tcMar>
            <w:vAlign w:val="center"/>
          </w:tcPr>
          <w:p w14:paraId="62E57274" w14:textId="77777777" w:rsidR="00A63675" w:rsidRPr="00DF1884" w:rsidRDefault="00A636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auto"/>
            <w:vAlign w:val="center"/>
          </w:tcPr>
          <w:p w14:paraId="2359692E" w14:textId="7D34D20E" w:rsidR="00A63675" w:rsidRPr="00DF1884" w:rsidRDefault="00C83AA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auto"/>
            <w:vAlign w:val="center"/>
          </w:tcPr>
          <w:p w14:paraId="1F2763AD" w14:textId="751CB078" w:rsidR="00A63675" w:rsidRPr="00DF1884" w:rsidRDefault="00595075" w:rsidP="00932F29">
            <w:pPr>
              <w:pStyle w:val="TableText"/>
              <w:jc w:val="center"/>
              <w:rPr>
                <w:sz w:val="22"/>
                <w:szCs w:val="22"/>
              </w:rPr>
            </w:pPr>
            <w:r w:rsidRPr="00DF1884">
              <w:rPr>
                <w:sz w:val="22"/>
                <w:szCs w:val="22"/>
              </w:rPr>
              <w:sym w:font="Wingdings" w:char="F0FC"/>
            </w:r>
          </w:p>
        </w:tc>
        <w:tc>
          <w:tcPr>
            <w:tcW w:w="364" w:type="dxa"/>
            <w:tcBorders>
              <w:top w:val="single" w:sz="6" w:space="0" w:color="auto"/>
              <w:left w:val="single" w:sz="6" w:space="0" w:color="auto"/>
              <w:bottom w:val="single" w:sz="6" w:space="0" w:color="auto"/>
              <w:right w:val="single" w:sz="6" w:space="0" w:color="auto"/>
            </w:tcBorders>
            <w:shd w:val="clear" w:color="auto" w:fill="auto"/>
            <w:vAlign w:val="center"/>
          </w:tcPr>
          <w:p w14:paraId="3BDE93AD" w14:textId="5F3F9131"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auto"/>
            <w:tcMar>
              <w:left w:w="43" w:type="dxa"/>
              <w:right w:w="43" w:type="dxa"/>
            </w:tcMar>
            <w:vAlign w:val="center"/>
          </w:tcPr>
          <w:p w14:paraId="1764B7F7" w14:textId="075AA7A8" w:rsidR="00A63675" w:rsidRPr="00DF1884" w:rsidRDefault="00A63675" w:rsidP="00932F29">
            <w:pPr>
              <w:pStyle w:val="TableText"/>
              <w:jc w:val="center"/>
              <w:rPr>
                <w:sz w:val="22"/>
                <w:szCs w:val="22"/>
              </w:rPr>
            </w:pPr>
          </w:p>
        </w:tc>
        <w:tc>
          <w:tcPr>
            <w:tcW w:w="286" w:type="dxa"/>
            <w:tcBorders>
              <w:top w:val="single" w:sz="6" w:space="0" w:color="auto"/>
              <w:left w:val="single" w:sz="6" w:space="0" w:color="auto"/>
              <w:bottom w:val="single" w:sz="6" w:space="0" w:color="auto"/>
              <w:right w:val="single" w:sz="6" w:space="0" w:color="auto"/>
            </w:tcBorders>
            <w:shd w:val="clear" w:color="auto" w:fill="auto"/>
            <w:tcMar>
              <w:left w:w="43" w:type="dxa"/>
              <w:right w:w="43" w:type="dxa"/>
            </w:tcMar>
            <w:vAlign w:val="center"/>
          </w:tcPr>
          <w:p w14:paraId="0DF240D2" w14:textId="77777777" w:rsidR="00A63675" w:rsidRPr="00DF1884" w:rsidRDefault="00A63675" w:rsidP="00932F29">
            <w:pPr>
              <w:pStyle w:val="TableText"/>
              <w:jc w:val="center"/>
              <w:rPr>
                <w:sz w:val="22"/>
                <w:szCs w:val="22"/>
              </w:rPr>
            </w:pPr>
            <w:r w:rsidRPr="00DF1884">
              <w:rPr>
                <w:rFonts w:cs="Arial"/>
                <w:sz w:val="22"/>
                <w:szCs w:val="22"/>
              </w:rPr>
              <w:sym w:font="Wingdings" w:char="F0FC"/>
            </w:r>
          </w:p>
        </w:tc>
        <w:tc>
          <w:tcPr>
            <w:tcW w:w="390" w:type="dxa"/>
            <w:tcBorders>
              <w:top w:val="single" w:sz="6" w:space="0" w:color="auto"/>
              <w:left w:val="single" w:sz="6" w:space="0" w:color="auto"/>
              <w:bottom w:val="single" w:sz="6" w:space="0" w:color="auto"/>
              <w:right w:val="single" w:sz="6" w:space="0" w:color="auto"/>
            </w:tcBorders>
            <w:shd w:val="clear" w:color="auto" w:fill="auto"/>
            <w:tcMar>
              <w:left w:w="43" w:type="dxa"/>
            </w:tcMar>
            <w:vAlign w:val="center"/>
          </w:tcPr>
          <w:p w14:paraId="21AD73B6"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auto"/>
            <w:tcMar>
              <w:left w:w="43" w:type="dxa"/>
              <w:right w:w="43" w:type="dxa"/>
            </w:tcMar>
            <w:vAlign w:val="center"/>
          </w:tcPr>
          <w:p w14:paraId="163CC22B"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auto"/>
            <w:tcMar>
              <w:left w:w="43" w:type="dxa"/>
            </w:tcMar>
            <w:vAlign w:val="center"/>
          </w:tcPr>
          <w:p w14:paraId="33F1B62D" w14:textId="77777777" w:rsidR="00A63675" w:rsidRPr="00DF1884" w:rsidRDefault="00A63675" w:rsidP="00932F29">
            <w:pPr>
              <w:pStyle w:val="TableText"/>
              <w:jc w:val="center"/>
              <w:rPr>
                <w:sz w:val="22"/>
                <w:szCs w:val="22"/>
              </w:rPr>
            </w:pPr>
          </w:p>
        </w:tc>
      </w:tr>
      <w:tr w:rsidR="009D726B" w:rsidRPr="00DF1884" w14:paraId="415A6E8F" w14:textId="77777777" w:rsidTr="009D726B">
        <w:trPr>
          <w:cantSplit/>
        </w:trPr>
        <w:tc>
          <w:tcPr>
            <w:tcW w:w="134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E5E52D3" w14:textId="6A627E02" w:rsidR="00A63675" w:rsidRPr="00DF1884" w:rsidRDefault="00A63675" w:rsidP="00E9531F">
            <w:pPr>
              <w:pStyle w:val="TableText"/>
              <w:rPr>
                <w:szCs w:val="20"/>
              </w:rPr>
            </w:pPr>
            <w:r w:rsidRPr="00DF1884">
              <w:rPr>
                <w:szCs w:val="20"/>
              </w:rPr>
              <w:t>Survey</w:t>
            </w:r>
            <w:r w:rsidR="00DF1884" w:rsidRPr="00DF1884">
              <w:rPr>
                <w:szCs w:val="20"/>
              </w:rPr>
              <w:t xml:space="preserve"> </w:t>
            </w:r>
            <w:r w:rsidRPr="00DF1884">
              <w:rPr>
                <w:szCs w:val="20"/>
              </w:rPr>
              <w:t>measure</w:t>
            </w:r>
          </w:p>
        </w:tc>
        <w:tc>
          <w:tcPr>
            <w:tcW w:w="3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39C5D8A"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0BD5EC3"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7BE91A54"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8A41143"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9370964"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F6FF0D6"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476FB5D"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395EC6A"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299B58E1"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7AD7652"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4A105AC" w14:textId="77777777" w:rsidR="00A63675" w:rsidRPr="00DF1884" w:rsidRDefault="00A63675" w:rsidP="00932F29">
            <w:pPr>
              <w:pStyle w:val="TableText"/>
              <w:jc w:val="center"/>
              <w:rPr>
                <w:sz w:val="22"/>
                <w:szCs w:val="22"/>
              </w:rPr>
            </w:pPr>
          </w:p>
        </w:tc>
        <w:tc>
          <w:tcPr>
            <w:tcW w:w="3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063882E"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56C0761"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2C63F6B2"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1FBD811"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059CD002"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6BE4894E"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39747876"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4F6468C"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D468169" w14:textId="77777777"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8882607" w14:textId="4527A735" w:rsidR="00A63675" w:rsidRPr="00DF1884" w:rsidRDefault="00A63675" w:rsidP="00932F29">
            <w:pPr>
              <w:pStyle w:val="TableText"/>
              <w:jc w:val="center"/>
              <w:rPr>
                <w:sz w:val="22"/>
                <w:szCs w:val="22"/>
              </w:rPr>
            </w:pPr>
          </w:p>
        </w:tc>
        <w:tc>
          <w:tcPr>
            <w:tcW w:w="36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443E1BE9" w14:textId="64D41DCD" w:rsidR="00A63675" w:rsidRPr="00DF1884" w:rsidRDefault="00A63675" w:rsidP="00932F29">
            <w:pPr>
              <w:pStyle w:val="TableText"/>
              <w:jc w:val="center"/>
              <w:rPr>
                <w:sz w:val="22"/>
                <w:szCs w:val="22"/>
              </w:rPr>
            </w:pPr>
          </w:p>
        </w:tc>
        <w:tc>
          <w:tcPr>
            <w:tcW w:w="28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1DC199B4"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273262FD"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43" w:type="dxa"/>
            </w:tcMar>
            <w:vAlign w:val="center"/>
          </w:tcPr>
          <w:p w14:paraId="530C3A28" w14:textId="77777777" w:rsidR="00A63675" w:rsidRPr="00DF1884" w:rsidRDefault="00A63675" w:rsidP="00932F29">
            <w:pPr>
              <w:pStyle w:val="TableText"/>
              <w:jc w:val="center"/>
              <w:rPr>
                <w:sz w:val="22"/>
                <w:szCs w:val="22"/>
              </w:rPr>
            </w:pPr>
          </w:p>
        </w:tc>
        <w:tc>
          <w:tcPr>
            <w:tcW w:w="3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tcMar>
            <w:vAlign w:val="center"/>
          </w:tcPr>
          <w:p w14:paraId="171FFDDB" w14:textId="77777777" w:rsidR="00A63675" w:rsidRPr="00DF1884" w:rsidRDefault="00A63675" w:rsidP="00932F29">
            <w:pPr>
              <w:pStyle w:val="TableText"/>
              <w:jc w:val="center"/>
              <w:rPr>
                <w:sz w:val="22"/>
                <w:szCs w:val="22"/>
              </w:rPr>
            </w:pPr>
          </w:p>
        </w:tc>
      </w:tr>
    </w:tbl>
    <w:p w14:paraId="20BB0DDC" w14:textId="77777777" w:rsidR="0003105D" w:rsidRPr="00DF1884" w:rsidRDefault="0003105D" w:rsidP="003E4000">
      <w:pPr>
        <w:pStyle w:val="Body"/>
        <w:spacing w:before="4440"/>
        <w:rPr>
          <w:sz w:val="18"/>
          <w:szCs w:val="18"/>
        </w:rPr>
      </w:pPr>
      <w:r w:rsidRPr="00DF1884">
        <w:rPr>
          <w:sz w:val="18"/>
          <w:szCs w:val="18"/>
        </w:rPr>
        <w:t>____________</w:t>
      </w:r>
    </w:p>
    <w:p w14:paraId="430F679F" w14:textId="77777777" w:rsidR="0003105D" w:rsidRPr="00DF1884" w:rsidRDefault="0003105D" w:rsidP="0003105D">
      <w:pPr>
        <w:spacing w:before="60"/>
        <w:sectPr w:rsidR="0003105D" w:rsidRPr="00DF1884" w:rsidSect="0003105D">
          <w:headerReference w:type="even" r:id="rId145"/>
          <w:pgSz w:w="15840" w:h="12240" w:orient="landscape"/>
          <w:pgMar w:top="1440" w:right="1080" w:bottom="1080" w:left="1080" w:header="720" w:footer="720" w:gutter="0"/>
          <w:cols w:space="720"/>
          <w:docGrid w:linePitch="360"/>
        </w:sectPr>
      </w:pPr>
      <w:r w:rsidRPr="00DF1884">
        <w:rPr>
          <w:sz w:val="18"/>
          <w:szCs w:val="18"/>
        </w:rPr>
        <w:t>Current Procedural Terminology © 2015 American Medical Association. All rights reserved.</w:t>
      </w:r>
    </w:p>
    <w:tbl>
      <w:tblPr>
        <w:tblW w:w="10098" w:type="dxa"/>
        <w:tblLayout w:type="fixed"/>
        <w:tblLook w:val="0000" w:firstRow="0" w:lastRow="0" w:firstColumn="0" w:lastColumn="0" w:noHBand="0" w:noVBand="0"/>
      </w:tblPr>
      <w:tblGrid>
        <w:gridCol w:w="2160"/>
        <w:gridCol w:w="378"/>
        <w:gridCol w:w="378"/>
        <w:gridCol w:w="378"/>
        <w:gridCol w:w="378"/>
        <w:gridCol w:w="378"/>
        <w:gridCol w:w="378"/>
        <w:gridCol w:w="378"/>
        <w:gridCol w:w="378"/>
        <w:gridCol w:w="378"/>
        <w:gridCol w:w="378"/>
        <w:gridCol w:w="378"/>
        <w:gridCol w:w="378"/>
        <w:gridCol w:w="378"/>
        <w:gridCol w:w="378"/>
        <w:gridCol w:w="378"/>
        <w:gridCol w:w="378"/>
        <w:gridCol w:w="378"/>
        <w:gridCol w:w="378"/>
        <w:gridCol w:w="378"/>
        <w:gridCol w:w="378"/>
        <w:gridCol w:w="378"/>
      </w:tblGrid>
      <w:tr w:rsidR="0003105D" w:rsidRPr="00DF1884" w14:paraId="77699B31" w14:textId="77777777" w:rsidTr="003869BD">
        <w:trPr>
          <w:cantSplit/>
          <w:trHeight w:val="332"/>
        </w:trPr>
        <w:tc>
          <w:tcPr>
            <w:tcW w:w="10098" w:type="dxa"/>
            <w:gridSpan w:val="22"/>
            <w:tcBorders>
              <w:top w:val="single" w:sz="4" w:space="0" w:color="auto"/>
              <w:left w:val="single" w:sz="4" w:space="0" w:color="auto"/>
              <w:bottom w:val="single" w:sz="4" w:space="0" w:color="FFFFFF"/>
              <w:right w:val="single" w:sz="4" w:space="0" w:color="auto"/>
            </w:tcBorders>
            <w:shd w:val="clear" w:color="auto" w:fill="000000"/>
          </w:tcPr>
          <w:p w14:paraId="32B57C2D" w14:textId="083702F0" w:rsidR="0003105D" w:rsidRPr="00DF1884" w:rsidRDefault="0003105D" w:rsidP="00A63675">
            <w:pPr>
              <w:spacing w:before="40" w:after="40"/>
              <w:jc w:val="center"/>
            </w:pPr>
            <w:r w:rsidRPr="00DF1884">
              <w:rPr>
                <w:rFonts w:ascii="Arial Narrow Bold" w:hAnsi="Arial Narrow"/>
                <w:b/>
              </w:rPr>
              <w:t xml:space="preserve">HEALTH PLAN DESCRIPTIVE INFORMATION, MEASURES COLLECTED USING ELECTRONIC CLINICAL DATA SYSTEMS </w:t>
            </w:r>
            <w:r>
              <w:rPr>
                <w:rFonts w:ascii="Arial Narrow Bold" w:hAnsi="Arial Narrow"/>
                <w:b/>
              </w:rPr>
              <w:br/>
            </w:r>
            <w:r w:rsidRPr="00DF1884">
              <w:rPr>
                <w:rFonts w:ascii="Arial Narrow Bold" w:hAnsi="Arial Narrow"/>
                <w:b/>
              </w:rPr>
              <w:t>AND SURVEY MEASURES</w:t>
            </w:r>
          </w:p>
        </w:tc>
      </w:tr>
      <w:tr w:rsidR="00A63675" w:rsidRPr="00DF1884" w14:paraId="610520A8" w14:textId="77777777" w:rsidTr="00A63675">
        <w:trPr>
          <w:cantSplit/>
          <w:trHeight w:val="576"/>
        </w:trPr>
        <w:tc>
          <w:tcPr>
            <w:tcW w:w="2160" w:type="dxa"/>
            <w:tcBorders>
              <w:top w:val="single" w:sz="4" w:space="0" w:color="FFFFFF"/>
              <w:left w:val="single" w:sz="6" w:space="0" w:color="auto"/>
              <w:bottom w:val="single" w:sz="6" w:space="0" w:color="auto"/>
              <w:right w:val="single" w:sz="6" w:space="0" w:color="FFFFFF"/>
            </w:tcBorders>
            <w:shd w:val="clear" w:color="auto" w:fill="000000"/>
            <w:tcMar>
              <w:left w:w="43" w:type="dxa"/>
              <w:right w:w="0" w:type="dxa"/>
            </w:tcMar>
            <w:vAlign w:val="bottom"/>
          </w:tcPr>
          <w:p w14:paraId="2973A6A1" w14:textId="742658D7" w:rsidR="00A63675" w:rsidRPr="00DF1884" w:rsidRDefault="00A63675" w:rsidP="00E9531F">
            <w:pPr>
              <w:pStyle w:val="TableHead"/>
              <w:rPr>
                <w:color w:val="auto"/>
              </w:rPr>
            </w:pPr>
            <w:r w:rsidRPr="00DF1884">
              <w:rPr>
                <w:color w:val="auto"/>
                <w:sz w:val="18"/>
                <w:szCs w:val="18"/>
              </w:rPr>
              <w:br w:type="page"/>
            </w:r>
            <w:r w:rsidRPr="00DF1884">
              <w:rPr>
                <w:color w:val="auto"/>
              </w:rPr>
              <w:t>Logical</w:t>
            </w:r>
            <w:r w:rsidR="00DF1884" w:rsidRPr="00DF1884">
              <w:rPr>
                <w:color w:val="auto"/>
              </w:rPr>
              <w:t xml:space="preserve"> </w:t>
            </w:r>
            <w:r w:rsidRPr="00DF1884">
              <w:rPr>
                <w:color w:val="auto"/>
              </w:rPr>
              <w:t>Group</w:t>
            </w:r>
          </w:p>
        </w:tc>
        <w:tc>
          <w:tcPr>
            <w:tcW w:w="378" w:type="dxa"/>
            <w:tcBorders>
              <w:top w:val="single" w:sz="4" w:space="0" w:color="FFFFFF"/>
              <w:left w:val="single" w:sz="6" w:space="0" w:color="FFFFFF"/>
              <w:bottom w:val="single" w:sz="6" w:space="0" w:color="auto"/>
              <w:right w:val="single" w:sz="6" w:space="0" w:color="FFFFFF"/>
            </w:tcBorders>
            <w:shd w:val="clear" w:color="auto" w:fill="000000"/>
            <w:textDirection w:val="btLr"/>
            <w:vAlign w:val="center"/>
          </w:tcPr>
          <w:p w14:paraId="54CC43D5" w14:textId="77777777" w:rsidR="00A63675" w:rsidRPr="00DF1884" w:rsidRDefault="00A63675" w:rsidP="00E9531F">
            <w:pPr>
              <w:pStyle w:val="TableHead"/>
              <w:spacing w:before="0" w:after="0"/>
              <w:ind w:left="29" w:right="115"/>
              <w:jc w:val="left"/>
              <w:rPr>
                <w:color w:val="auto"/>
              </w:rPr>
            </w:pPr>
            <w:r w:rsidRPr="00DF1884">
              <w:rPr>
                <w:color w:val="auto"/>
              </w:rPr>
              <w:t>BCR</w:t>
            </w:r>
          </w:p>
        </w:tc>
        <w:tc>
          <w:tcPr>
            <w:tcW w:w="378" w:type="dxa"/>
            <w:tcBorders>
              <w:top w:val="single" w:sz="4" w:space="0" w:color="FFFFFF"/>
              <w:left w:val="single" w:sz="6" w:space="0" w:color="FFFFFF"/>
              <w:bottom w:val="single" w:sz="6" w:space="0" w:color="auto"/>
              <w:right w:val="single" w:sz="6" w:space="0" w:color="FFFFFF"/>
            </w:tcBorders>
            <w:shd w:val="clear" w:color="auto" w:fill="000000"/>
            <w:textDirection w:val="btLr"/>
            <w:vAlign w:val="center"/>
          </w:tcPr>
          <w:p w14:paraId="3B5317F3" w14:textId="77777777" w:rsidR="00A63675" w:rsidRPr="00DF1884" w:rsidRDefault="00A63675" w:rsidP="00E9531F">
            <w:pPr>
              <w:pStyle w:val="TableHead"/>
              <w:spacing w:before="0" w:after="0"/>
              <w:ind w:left="29" w:right="115"/>
              <w:jc w:val="left"/>
              <w:rPr>
                <w:color w:val="auto"/>
              </w:rPr>
            </w:pPr>
            <w:r w:rsidRPr="00DF1884">
              <w:rPr>
                <w:color w:val="auto"/>
              </w:rPr>
              <w:t>ENP</w:t>
            </w:r>
          </w:p>
        </w:tc>
        <w:tc>
          <w:tcPr>
            <w:tcW w:w="378" w:type="dxa"/>
            <w:tcBorders>
              <w:top w:val="single" w:sz="4" w:space="0" w:color="FFFFFF"/>
              <w:left w:val="single" w:sz="6" w:space="0" w:color="FFFFFF"/>
              <w:bottom w:val="single" w:sz="6" w:space="0" w:color="auto"/>
              <w:right w:val="single" w:sz="6" w:space="0" w:color="FFFFFF"/>
            </w:tcBorders>
            <w:shd w:val="clear" w:color="auto" w:fill="000000"/>
            <w:textDirection w:val="btLr"/>
            <w:vAlign w:val="center"/>
          </w:tcPr>
          <w:p w14:paraId="7DCA8962" w14:textId="77777777" w:rsidR="00A63675" w:rsidRPr="00DF1884" w:rsidRDefault="00A63675" w:rsidP="00E9531F">
            <w:pPr>
              <w:pStyle w:val="TableHead"/>
              <w:spacing w:before="0" w:after="0"/>
              <w:ind w:left="29" w:right="115"/>
              <w:jc w:val="left"/>
              <w:rPr>
                <w:color w:val="auto"/>
              </w:rPr>
            </w:pPr>
            <w:r w:rsidRPr="00DF1884">
              <w:rPr>
                <w:color w:val="auto"/>
              </w:rPr>
              <w:t>EBS</w:t>
            </w:r>
          </w:p>
        </w:tc>
        <w:tc>
          <w:tcPr>
            <w:tcW w:w="378" w:type="dxa"/>
            <w:tcBorders>
              <w:top w:val="single" w:sz="4" w:space="0" w:color="FFFFFF"/>
              <w:left w:val="single" w:sz="6" w:space="0" w:color="FFFFFF"/>
              <w:bottom w:val="single" w:sz="6" w:space="0" w:color="auto"/>
              <w:right w:val="single" w:sz="6" w:space="0" w:color="FFFFFF"/>
            </w:tcBorders>
            <w:shd w:val="clear" w:color="auto" w:fill="000000"/>
            <w:textDirection w:val="btLr"/>
            <w:vAlign w:val="center"/>
          </w:tcPr>
          <w:p w14:paraId="5E057913" w14:textId="77777777" w:rsidR="00A63675" w:rsidRPr="00DF1884" w:rsidRDefault="00A63675" w:rsidP="00E9531F">
            <w:pPr>
              <w:pStyle w:val="TableHead"/>
              <w:spacing w:before="0" w:after="0"/>
              <w:ind w:left="29" w:right="115"/>
              <w:jc w:val="left"/>
              <w:rPr>
                <w:color w:val="auto"/>
              </w:rPr>
            </w:pPr>
            <w:r w:rsidRPr="00DF1884">
              <w:rPr>
                <w:color w:val="auto"/>
              </w:rPr>
              <w:t>LDM</w:t>
            </w:r>
          </w:p>
        </w:tc>
        <w:tc>
          <w:tcPr>
            <w:tcW w:w="378" w:type="dxa"/>
            <w:tcBorders>
              <w:top w:val="single" w:sz="4" w:space="0" w:color="FFFFFF"/>
              <w:left w:val="single" w:sz="6" w:space="0" w:color="FFFFFF"/>
              <w:bottom w:val="single" w:sz="6" w:space="0" w:color="auto"/>
              <w:right w:val="single" w:sz="6" w:space="0" w:color="FFFFFF"/>
            </w:tcBorders>
            <w:shd w:val="clear" w:color="auto" w:fill="000000"/>
            <w:textDirection w:val="btLr"/>
            <w:vAlign w:val="center"/>
          </w:tcPr>
          <w:p w14:paraId="1302AD24" w14:textId="77777777" w:rsidR="00A63675" w:rsidRPr="00DF1884" w:rsidRDefault="00A63675" w:rsidP="00E9531F">
            <w:pPr>
              <w:pStyle w:val="TableHead"/>
              <w:spacing w:before="0" w:after="0"/>
              <w:ind w:left="29" w:right="115"/>
              <w:jc w:val="left"/>
              <w:rPr>
                <w:color w:val="auto"/>
              </w:rPr>
            </w:pPr>
            <w:r w:rsidRPr="00DF1884">
              <w:rPr>
                <w:color w:val="auto"/>
              </w:rPr>
              <w:t>RDM</w:t>
            </w:r>
          </w:p>
        </w:tc>
        <w:tc>
          <w:tcPr>
            <w:tcW w:w="378" w:type="dxa"/>
            <w:tcBorders>
              <w:top w:val="single" w:sz="4" w:space="0" w:color="FFFFFF"/>
              <w:left w:val="single" w:sz="6" w:space="0" w:color="FFFFFF"/>
              <w:bottom w:val="single" w:sz="6" w:space="0" w:color="auto"/>
              <w:right w:val="single" w:sz="6" w:space="0" w:color="FFFFFF"/>
            </w:tcBorders>
            <w:shd w:val="clear" w:color="auto" w:fill="000000"/>
            <w:textDirection w:val="btLr"/>
            <w:vAlign w:val="center"/>
          </w:tcPr>
          <w:p w14:paraId="68B8EC62" w14:textId="77777777" w:rsidR="00A63675" w:rsidRPr="00DF1884" w:rsidRDefault="00A63675" w:rsidP="00E9531F">
            <w:pPr>
              <w:pStyle w:val="TableHead"/>
              <w:spacing w:before="0" w:after="0"/>
              <w:ind w:left="29" w:right="115"/>
              <w:jc w:val="left"/>
              <w:rPr>
                <w:color w:val="auto"/>
              </w:rPr>
            </w:pPr>
            <w:r w:rsidRPr="00DF1884">
              <w:rPr>
                <w:color w:val="auto"/>
              </w:rPr>
              <w:t>WOP</w:t>
            </w:r>
          </w:p>
        </w:tc>
        <w:tc>
          <w:tcPr>
            <w:tcW w:w="378" w:type="dxa"/>
            <w:tcBorders>
              <w:top w:val="single" w:sz="4" w:space="0" w:color="FFFFFF"/>
              <w:left w:val="single" w:sz="6" w:space="0" w:color="FFFFFF"/>
              <w:bottom w:val="single" w:sz="6" w:space="0" w:color="auto"/>
              <w:right w:val="single" w:sz="6" w:space="0" w:color="FFFFFF"/>
            </w:tcBorders>
            <w:shd w:val="clear" w:color="auto" w:fill="000000"/>
            <w:textDirection w:val="btLr"/>
            <w:vAlign w:val="center"/>
          </w:tcPr>
          <w:p w14:paraId="19514F2F" w14:textId="77777777" w:rsidR="00A63675" w:rsidRPr="00DF1884" w:rsidRDefault="00A63675" w:rsidP="00E9531F">
            <w:pPr>
              <w:pStyle w:val="TableHead"/>
              <w:spacing w:before="0" w:after="0"/>
              <w:ind w:left="29" w:right="115"/>
              <w:jc w:val="left"/>
              <w:rPr>
                <w:color w:val="auto"/>
              </w:rPr>
            </w:pPr>
            <w:r w:rsidRPr="00DF1884">
              <w:rPr>
                <w:color w:val="auto"/>
              </w:rPr>
              <w:t>TLM</w:t>
            </w:r>
          </w:p>
        </w:tc>
        <w:tc>
          <w:tcPr>
            <w:tcW w:w="378" w:type="dxa"/>
            <w:tcBorders>
              <w:top w:val="single" w:sz="4" w:space="0" w:color="FFFFFF"/>
              <w:left w:val="single" w:sz="6" w:space="0" w:color="FFFFFF"/>
              <w:bottom w:val="single" w:sz="6" w:space="0" w:color="auto"/>
              <w:right w:val="single" w:sz="6" w:space="0" w:color="FFFFFF"/>
            </w:tcBorders>
            <w:shd w:val="clear" w:color="auto" w:fill="000000"/>
            <w:textDirection w:val="btLr"/>
          </w:tcPr>
          <w:p w14:paraId="53C0F37B" w14:textId="701A87CE" w:rsidR="00A63675" w:rsidRPr="00DF1884" w:rsidRDefault="00F755BD" w:rsidP="00E9531F">
            <w:pPr>
              <w:pStyle w:val="TableHead"/>
              <w:spacing w:before="0" w:after="0"/>
              <w:ind w:left="29" w:right="115"/>
              <w:jc w:val="left"/>
              <w:rPr>
                <w:color w:val="auto"/>
              </w:rPr>
            </w:pPr>
            <w:r>
              <w:rPr>
                <w:color w:val="auto"/>
              </w:rPr>
              <w:t>DMS</w:t>
            </w:r>
          </w:p>
        </w:tc>
        <w:tc>
          <w:tcPr>
            <w:tcW w:w="378" w:type="dxa"/>
            <w:tcBorders>
              <w:top w:val="single" w:sz="4" w:space="0" w:color="FFFFFF"/>
              <w:left w:val="single" w:sz="6" w:space="0" w:color="FFFFFF"/>
              <w:bottom w:val="single" w:sz="6" w:space="0" w:color="auto"/>
              <w:right w:val="single" w:sz="6" w:space="0" w:color="FFFFFF"/>
            </w:tcBorders>
            <w:shd w:val="clear" w:color="auto" w:fill="000000"/>
            <w:textDirection w:val="btLr"/>
            <w:vAlign w:val="center"/>
          </w:tcPr>
          <w:p w14:paraId="5F5780E9" w14:textId="1586142E" w:rsidR="00A63675" w:rsidRPr="00DF1884" w:rsidRDefault="00A63675" w:rsidP="00E9531F">
            <w:pPr>
              <w:pStyle w:val="TableHead"/>
              <w:spacing w:before="0" w:after="0"/>
              <w:ind w:left="29" w:right="115"/>
              <w:jc w:val="left"/>
              <w:rPr>
                <w:color w:val="auto"/>
              </w:rPr>
            </w:pPr>
            <w:r w:rsidRPr="00DF1884">
              <w:rPr>
                <w:color w:val="auto"/>
              </w:rPr>
              <w:t>HOS</w:t>
            </w:r>
          </w:p>
        </w:tc>
        <w:tc>
          <w:tcPr>
            <w:tcW w:w="378" w:type="dxa"/>
            <w:tcBorders>
              <w:top w:val="single" w:sz="4" w:space="0" w:color="FFFFFF"/>
              <w:left w:val="single" w:sz="6" w:space="0" w:color="FFFFFF"/>
              <w:bottom w:val="single" w:sz="6" w:space="0" w:color="auto"/>
              <w:right w:val="single" w:sz="6" w:space="0" w:color="FFFFFF"/>
            </w:tcBorders>
            <w:shd w:val="clear" w:color="auto" w:fill="000000"/>
            <w:textDirection w:val="btLr"/>
            <w:vAlign w:val="center"/>
          </w:tcPr>
          <w:p w14:paraId="3AF94562" w14:textId="77777777" w:rsidR="00A63675" w:rsidRPr="00DF1884" w:rsidRDefault="00A63675" w:rsidP="00E9531F">
            <w:pPr>
              <w:pStyle w:val="TableHead"/>
              <w:spacing w:before="0" w:after="0"/>
              <w:ind w:left="29" w:right="115"/>
              <w:jc w:val="left"/>
              <w:rPr>
                <w:color w:val="auto"/>
              </w:rPr>
            </w:pPr>
            <w:r w:rsidRPr="00DF1884">
              <w:rPr>
                <w:color w:val="auto"/>
              </w:rPr>
              <w:t>FRM</w:t>
            </w:r>
          </w:p>
        </w:tc>
        <w:tc>
          <w:tcPr>
            <w:tcW w:w="378" w:type="dxa"/>
            <w:tcBorders>
              <w:top w:val="single" w:sz="4" w:space="0" w:color="FFFFFF"/>
              <w:left w:val="single" w:sz="6" w:space="0" w:color="FFFFFF"/>
              <w:bottom w:val="single" w:sz="6" w:space="0" w:color="auto"/>
              <w:right w:val="single" w:sz="6" w:space="0" w:color="FFFFFF"/>
            </w:tcBorders>
            <w:shd w:val="clear" w:color="auto" w:fill="000000"/>
            <w:textDirection w:val="btLr"/>
            <w:vAlign w:val="center"/>
          </w:tcPr>
          <w:p w14:paraId="07E7992C" w14:textId="77777777" w:rsidR="00A63675" w:rsidRPr="00DF1884" w:rsidRDefault="00A63675" w:rsidP="00E9531F">
            <w:pPr>
              <w:pStyle w:val="TableHead"/>
              <w:spacing w:before="0" w:after="0"/>
              <w:ind w:left="29" w:right="115"/>
              <w:jc w:val="left"/>
              <w:rPr>
                <w:color w:val="auto"/>
              </w:rPr>
            </w:pPr>
            <w:r w:rsidRPr="00DF1884">
              <w:rPr>
                <w:color w:val="auto"/>
              </w:rPr>
              <w:t>MUI</w:t>
            </w:r>
          </w:p>
        </w:tc>
        <w:tc>
          <w:tcPr>
            <w:tcW w:w="378" w:type="dxa"/>
            <w:tcBorders>
              <w:top w:val="single" w:sz="4" w:space="0" w:color="FFFFFF"/>
              <w:left w:val="single" w:sz="6" w:space="0" w:color="FFFFFF"/>
              <w:bottom w:val="single" w:sz="6" w:space="0" w:color="auto"/>
              <w:right w:val="single" w:sz="4" w:space="0" w:color="FFFFFF"/>
            </w:tcBorders>
            <w:shd w:val="clear" w:color="auto" w:fill="000000"/>
            <w:textDirection w:val="btLr"/>
            <w:vAlign w:val="center"/>
          </w:tcPr>
          <w:p w14:paraId="5AEBD4EB" w14:textId="77777777" w:rsidR="00A63675" w:rsidRPr="00DF1884" w:rsidRDefault="00A63675" w:rsidP="00E9531F">
            <w:pPr>
              <w:pStyle w:val="TableHead"/>
              <w:spacing w:before="0" w:after="0"/>
              <w:ind w:left="29" w:right="115"/>
              <w:jc w:val="left"/>
              <w:rPr>
                <w:color w:val="auto"/>
              </w:rPr>
            </w:pPr>
            <w:r w:rsidRPr="00DF1884">
              <w:rPr>
                <w:color w:val="auto"/>
              </w:rPr>
              <w:t>OTO</w:t>
            </w:r>
          </w:p>
        </w:tc>
        <w:tc>
          <w:tcPr>
            <w:tcW w:w="378" w:type="dxa"/>
            <w:tcBorders>
              <w:top w:val="single" w:sz="4" w:space="0" w:color="FFFFFF"/>
              <w:left w:val="single" w:sz="4" w:space="0" w:color="FFFFFF"/>
              <w:bottom w:val="single" w:sz="6" w:space="0" w:color="auto"/>
              <w:right w:val="single" w:sz="4" w:space="0" w:color="FFFFFF"/>
            </w:tcBorders>
            <w:shd w:val="clear" w:color="auto" w:fill="000000"/>
            <w:textDirection w:val="btLr"/>
            <w:vAlign w:val="center"/>
          </w:tcPr>
          <w:p w14:paraId="24543475" w14:textId="77777777" w:rsidR="00A63675" w:rsidRPr="00DF1884" w:rsidRDefault="00A63675" w:rsidP="00E9531F">
            <w:pPr>
              <w:pStyle w:val="TableHead"/>
              <w:spacing w:before="0" w:after="0"/>
              <w:ind w:left="29" w:right="115"/>
              <w:jc w:val="left"/>
              <w:rPr>
                <w:color w:val="auto"/>
              </w:rPr>
            </w:pPr>
            <w:r w:rsidRPr="00DF1884">
              <w:rPr>
                <w:color w:val="auto"/>
              </w:rPr>
              <w:t>PAO</w:t>
            </w:r>
          </w:p>
        </w:tc>
        <w:tc>
          <w:tcPr>
            <w:tcW w:w="378" w:type="dxa"/>
            <w:tcBorders>
              <w:top w:val="single" w:sz="4" w:space="0" w:color="FFFFFF"/>
              <w:left w:val="single" w:sz="4" w:space="0" w:color="FFFFFF"/>
              <w:bottom w:val="single" w:sz="6" w:space="0" w:color="auto"/>
              <w:right w:val="single" w:sz="4" w:space="0" w:color="FFFFFF"/>
            </w:tcBorders>
            <w:shd w:val="clear" w:color="auto" w:fill="000000"/>
            <w:textDirection w:val="btLr"/>
          </w:tcPr>
          <w:p w14:paraId="4D6D345C" w14:textId="77777777" w:rsidR="00A63675" w:rsidRPr="00DF1884" w:rsidRDefault="00A63675" w:rsidP="00E9531F">
            <w:pPr>
              <w:pStyle w:val="TableHead"/>
              <w:spacing w:before="0" w:after="0"/>
              <w:ind w:left="29" w:right="115"/>
              <w:jc w:val="left"/>
              <w:rPr>
                <w:color w:val="auto"/>
              </w:rPr>
            </w:pPr>
            <w:r w:rsidRPr="00DF1884">
              <w:rPr>
                <w:color w:val="auto"/>
              </w:rPr>
              <w:t>ASP</w:t>
            </w:r>
          </w:p>
        </w:tc>
        <w:tc>
          <w:tcPr>
            <w:tcW w:w="378" w:type="dxa"/>
            <w:tcBorders>
              <w:top w:val="single" w:sz="4" w:space="0" w:color="FFFFFF"/>
              <w:left w:val="single" w:sz="4" w:space="0" w:color="FFFFFF"/>
              <w:bottom w:val="single" w:sz="6" w:space="0" w:color="auto"/>
              <w:right w:val="single" w:sz="4" w:space="0" w:color="FFFFFF"/>
            </w:tcBorders>
            <w:shd w:val="clear" w:color="auto" w:fill="000000"/>
            <w:textDirection w:val="btLr"/>
            <w:vAlign w:val="center"/>
          </w:tcPr>
          <w:p w14:paraId="717E8EAD" w14:textId="77777777" w:rsidR="00A63675" w:rsidRPr="00DF1884" w:rsidRDefault="00A63675" w:rsidP="00E9531F">
            <w:pPr>
              <w:pStyle w:val="TableHead"/>
              <w:spacing w:before="0" w:after="0"/>
              <w:ind w:left="29" w:right="115"/>
              <w:jc w:val="left"/>
              <w:rPr>
                <w:color w:val="auto"/>
              </w:rPr>
            </w:pPr>
            <w:r w:rsidRPr="00DF1884">
              <w:rPr>
                <w:color w:val="auto"/>
              </w:rPr>
              <w:t>FVA</w:t>
            </w:r>
          </w:p>
        </w:tc>
        <w:tc>
          <w:tcPr>
            <w:tcW w:w="378" w:type="dxa"/>
            <w:tcBorders>
              <w:top w:val="single" w:sz="4" w:space="0" w:color="FFFFFF"/>
              <w:left w:val="single" w:sz="4" w:space="0" w:color="FFFFFF"/>
              <w:bottom w:val="single" w:sz="6" w:space="0" w:color="auto"/>
              <w:right w:val="single" w:sz="4" w:space="0" w:color="FFFFFF"/>
            </w:tcBorders>
            <w:shd w:val="clear" w:color="auto" w:fill="000000"/>
            <w:textDirection w:val="btLr"/>
            <w:vAlign w:val="center"/>
          </w:tcPr>
          <w:p w14:paraId="1F347A36" w14:textId="77777777" w:rsidR="00A63675" w:rsidRPr="00DF1884" w:rsidRDefault="00A63675" w:rsidP="00E9531F">
            <w:pPr>
              <w:pStyle w:val="TableHead"/>
              <w:spacing w:before="0" w:after="0"/>
              <w:ind w:left="29" w:right="115"/>
              <w:jc w:val="left"/>
              <w:rPr>
                <w:color w:val="auto"/>
              </w:rPr>
            </w:pPr>
            <w:r w:rsidRPr="00DF1884">
              <w:rPr>
                <w:color w:val="auto"/>
              </w:rPr>
              <w:t>FVO</w:t>
            </w:r>
          </w:p>
        </w:tc>
        <w:tc>
          <w:tcPr>
            <w:tcW w:w="378" w:type="dxa"/>
            <w:tcBorders>
              <w:top w:val="single" w:sz="4" w:space="0" w:color="FFFFFF"/>
              <w:left w:val="single" w:sz="4" w:space="0" w:color="FFFFFF"/>
              <w:bottom w:val="single" w:sz="6" w:space="0" w:color="auto"/>
              <w:right w:val="single" w:sz="4" w:space="0" w:color="FFFFFF"/>
            </w:tcBorders>
            <w:shd w:val="clear" w:color="auto" w:fill="000000"/>
            <w:textDirection w:val="btLr"/>
            <w:vAlign w:val="center"/>
          </w:tcPr>
          <w:p w14:paraId="3B412ABB" w14:textId="77777777" w:rsidR="00A63675" w:rsidRPr="00DF1884" w:rsidRDefault="00A63675" w:rsidP="00E9531F">
            <w:pPr>
              <w:pStyle w:val="TableHead"/>
              <w:spacing w:before="0" w:after="0"/>
              <w:ind w:left="29" w:right="115"/>
              <w:jc w:val="left"/>
              <w:rPr>
                <w:color w:val="auto"/>
              </w:rPr>
            </w:pPr>
            <w:r w:rsidRPr="00DF1884">
              <w:rPr>
                <w:color w:val="auto"/>
              </w:rPr>
              <w:t>MSC</w:t>
            </w:r>
          </w:p>
        </w:tc>
        <w:tc>
          <w:tcPr>
            <w:tcW w:w="378" w:type="dxa"/>
            <w:tcBorders>
              <w:top w:val="single" w:sz="4" w:space="0" w:color="FFFFFF"/>
              <w:left w:val="single" w:sz="4" w:space="0" w:color="FFFFFF"/>
              <w:bottom w:val="single" w:sz="6" w:space="0" w:color="auto"/>
              <w:right w:val="single" w:sz="4" w:space="0" w:color="FFFFFF"/>
            </w:tcBorders>
            <w:shd w:val="clear" w:color="auto" w:fill="000000"/>
            <w:textDirection w:val="btLr"/>
            <w:vAlign w:val="center"/>
          </w:tcPr>
          <w:p w14:paraId="4E111BDA" w14:textId="77777777" w:rsidR="00A63675" w:rsidRPr="00DF1884" w:rsidRDefault="00A63675" w:rsidP="00E9531F">
            <w:pPr>
              <w:pStyle w:val="TableHead"/>
              <w:spacing w:before="0" w:after="0"/>
              <w:ind w:left="29" w:right="115"/>
              <w:jc w:val="left"/>
              <w:rPr>
                <w:color w:val="auto"/>
              </w:rPr>
            </w:pPr>
            <w:r w:rsidRPr="00DF1884">
              <w:rPr>
                <w:color w:val="auto"/>
              </w:rPr>
              <w:t>PNU</w:t>
            </w:r>
          </w:p>
        </w:tc>
        <w:tc>
          <w:tcPr>
            <w:tcW w:w="378" w:type="dxa"/>
            <w:tcBorders>
              <w:top w:val="single" w:sz="4" w:space="0" w:color="FFFFFF"/>
              <w:left w:val="single" w:sz="4" w:space="0" w:color="FFFFFF"/>
              <w:bottom w:val="single" w:sz="6" w:space="0" w:color="auto"/>
              <w:right w:val="single" w:sz="4" w:space="0" w:color="FFFFFF"/>
            </w:tcBorders>
            <w:shd w:val="clear" w:color="auto" w:fill="000000"/>
            <w:textDirection w:val="btLr"/>
            <w:vAlign w:val="center"/>
          </w:tcPr>
          <w:p w14:paraId="016664D3" w14:textId="77777777" w:rsidR="00A63675" w:rsidRPr="00DF1884" w:rsidRDefault="00A63675" w:rsidP="00E9531F">
            <w:pPr>
              <w:pStyle w:val="TableHead"/>
              <w:spacing w:before="0" w:after="0"/>
              <w:ind w:left="29" w:right="115"/>
              <w:jc w:val="left"/>
              <w:rPr>
                <w:color w:val="auto"/>
              </w:rPr>
            </w:pPr>
            <w:r w:rsidRPr="00DF1884">
              <w:rPr>
                <w:color w:val="auto"/>
              </w:rPr>
              <w:t>CPA</w:t>
            </w:r>
          </w:p>
        </w:tc>
        <w:tc>
          <w:tcPr>
            <w:tcW w:w="378" w:type="dxa"/>
            <w:tcBorders>
              <w:top w:val="single" w:sz="4" w:space="0" w:color="FFFFFF"/>
              <w:left w:val="single" w:sz="4" w:space="0" w:color="FFFFFF"/>
              <w:bottom w:val="single" w:sz="6" w:space="0" w:color="auto"/>
              <w:right w:val="single" w:sz="4" w:space="0" w:color="FFFFFF"/>
            </w:tcBorders>
            <w:shd w:val="clear" w:color="auto" w:fill="000000"/>
            <w:textDirection w:val="btLr"/>
            <w:vAlign w:val="center"/>
          </w:tcPr>
          <w:p w14:paraId="503691F9" w14:textId="77777777" w:rsidR="00A63675" w:rsidRPr="00DF1884" w:rsidRDefault="00A63675" w:rsidP="00E9531F">
            <w:pPr>
              <w:pStyle w:val="TableHead"/>
              <w:spacing w:before="0" w:after="0"/>
              <w:ind w:left="29" w:right="115"/>
              <w:jc w:val="left"/>
              <w:rPr>
                <w:color w:val="auto"/>
              </w:rPr>
            </w:pPr>
            <w:r w:rsidRPr="00DF1884">
              <w:rPr>
                <w:color w:val="auto"/>
              </w:rPr>
              <w:t>CPC</w:t>
            </w:r>
          </w:p>
        </w:tc>
        <w:tc>
          <w:tcPr>
            <w:tcW w:w="378" w:type="dxa"/>
            <w:tcBorders>
              <w:top w:val="single" w:sz="4" w:space="0" w:color="FFFFFF"/>
              <w:left w:val="single" w:sz="4" w:space="0" w:color="FFFFFF"/>
              <w:bottom w:val="single" w:sz="6" w:space="0" w:color="auto"/>
              <w:right w:val="single" w:sz="6" w:space="0" w:color="auto"/>
            </w:tcBorders>
            <w:shd w:val="clear" w:color="auto" w:fill="000000"/>
            <w:textDirection w:val="btLr"/>
            <w:vAlign w:val="center"/>
          </w:tcPr>
          <w:p w14:paraId="588AD473" w14:textId="77777777" w:rsidR="00A63675" w:rsidRPr="00DF1884" w:rsidRDefault="00A63675" w:rsidP="00E9531F">
            <w:pPr>
              <w:pStyle w:val="TableHead"/>
              <w:spacing w:before="0" w:after="0"/>
              <w:ind w:left="29" w:right="115"/>
              <w:jc w:val="left"/>
              <w:rPr>
                <w:color w:val="auto"/>
              </w:rPr>
            </w:pPr>
            <w:r w:rsidRPr="00DF1884">
              <w:rPr>
                <w:color w:val="auto"/>
              </w:rPr>
              <w:t>CCC</w:t>
            </w:r>
          </w:p>
        </w:tc>
      </w:tr>
      <w:tr w:rsidR="00A63675" w:rsidRPr="00DF1884" w14:paraId="7F4AE872" w14:textId="77777777" w:rsidTr="00932F29">
        <w:tc>
          <w:tcPr>
            <w:tcW w:w="2160" w:type="dxa"/>
            <w:tcBorders>
              <w:top w:val="single" w:sz="6" w:space="0" w:color="auto"/>
              <w:left w:val="single" w:sz="6" w:space="0" w:color="auto"/>
              <w:bottom w:val="single" w:sz="6" w:space="0" w:color="auto"/>
              <w:right w:val="single" w:sz="6" w:space="0" w:color="auto"/>
            </w:tcBorders>
            <w:shd w:val="clear" w:color="auto" w:fill="auto"/>
            <w:tcMar>
              <w:left w:w="43" w:type="dxa"/>
              <w:right w:w="0" w:type="dxa"/>
            </w:tcMar>
            <w:vAlign w:val="center"/>
          </w:tcPr>
          <w:p w14:paraId="1CC2C7EB" w14:textId="77777777" w:rsidR="00A63675" w:rsidRPr="00DF1884" w:rsidRDefault="00A63675" w:rsidP="00E9531F">
            <w:pPr>
              <w:pStyle w:val="TableHead"/>
              <w:spacing w:before="30" w:after="30"/>
              <w:jc w:val="left"/>
              <w:rPr>
                <w:b w:val="0"/>
                <w:color w:val="auto"/>
              </w:rPr>
            </w:pPr>
            <w:r w:rsidRPr="00DF1884">
              <w:rPr>
                <w:b w:val="0"/>
                <w:color w:val="auto"/>
              </w:rPr>
              <w:t>Commercial</w:t>
            </w:r>
          </w:p>
        </w:tc>
        <w:tc>
          <w:tcPr>
            <w:tcW w:w="378" w:type="dxa"/>
            <w:tcBorders>
              <w:top w:val="single" w:sz="6" w:space="0" w:color="auto"/>
              <w:left w:val="single" w:sz="6" w:space="0" w:color="auto"/>
              <w:bottom w:val="single" w:sz="6" w:space="0" w:color="auto"/>
              <w:right w:val="single" w:sz="6" w:space="0" w:color="auto"/>
            </w:tcBorders>
            <w:vAlign w:val="center"/>
          </w:tcPr>
          <w:p w14:paraId="777C31A6"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vAlign w:val="center"/>
          </w:tcPr>
          <w:p w14:paraId="72899EBE"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vAlign w:val="center"/>
          </w:tcPr>
          <w:p w14:paraId="249BDF87"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vAlign w:val="center"/>
          </w:tcPr>
          <w:p w14:paraId="0ADB054E"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vAlign w:val="center"/>
          </w:tcPr>
          <w:p w14:paraId="0F672AD9"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vAlign w:val="center"/>
          </w:tcPr>
          <w:p w14:paraId="03E39270"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vAlign w:val="center"/>
          </w:tcPr>
          <w:p w14:paraId="4C7590BA"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vAlign w:val="center"/>
          </w:tcPr>
          <w:p w14:paraId="1C631145" w14:textId="428F41E2" w:rsidR="00A63675" w:rsidRPr="00DF1884" w:rsidRDefault="005F6BFB"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vAlign w:val="center"/>
          </w:tcPr>
          <w:p w14:paraId="553E18B2" w14:textId="2C498AEB"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vAlign w:val="center"/>
          </w:tcPr>
          <w:p w14:paraId="4A46386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vAlign w:val="center"/>
          </w:tcPr>
          <w:p w14:paraId="02EFD704"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vAlign w:val="center"/>
          </w:tcPr>
          <w:p w14:paraId="46185C04"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vAlign w:val="center"/>
          </w:tcPr>
          <w:p w14:paraId="2F8EDBB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vAlign w:val="center"/>
          </w:tcPr>
          <w:p w14:paraId="168F2F22"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vAlign w:val="center"/>
          </w:tcPr>
          <w:p w14:paraId="0E0FDB4F"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vAlign w:val="center"/>
          </w:tcPr>
          <w:p w14:paraId="115D22C5"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vAlign w:val="center"/>
          </w:tcPr>
          <w:p w14:paraId="3D0B9477"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vAlign w:val="center"/>
          </w:tcPr>
          <w:p w14:paraId="004B7C37"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vAlign w:val="center"/>
          </w:tcPr>
          <w:p w14:paraId="6AE8FB6E"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vAlign w:val="center"/>
          </w:tcPr>
          <w:p w14:paraId="0702A6AC"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vAlign w:val="center"/>
          </w:tcPr>
          <w:p w14:paraId="0BC0D227"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r>
      <w:tr w:rsidR="00A63675" w:rsidRPr="00DF1884" w14:paraId="0A73AD26" w14:textId="77777777" w:rsidTr="00932F29">
        <w:tc>
          <w:tcPr>
            <w:tcW w:w="216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0" w:type="dxa"/>
            </w:tcMar>
            <w:vAlign w:val="center"/>
          </w:tcPr>
          <w:p w14:paraId="77C46C26" w14:textId="2C9B2477" w:rsidR="00A63675" w:rsidRPr="00DF1884" w:rsidRDefault="00A63675" w:rsidP="00E9531F">
            <w:pPr>
              <w:pStyle w:val="TableHead"/>
              <w:spacing w:before="30" w:after="30"/>
              <w:jc w:val="left"/>
              <w:rPr>
                <w:b w:val="0"/>
                <w:color w:val="auto"/>
              </w:rPr>
            </w:pPr>
            <w:r w:rsidRPr="00DF1884">
              <w:rPr>
                <w:b w:val="0"/>
                <w:color w:val="auto"/>
              </w:rPr>
              <w:t>Medicare</w:t>
            </w:r>
            <w:r w:rsidR="00932F29" w:rsidRPr="00932F29">
              <w:rPr>
                <w:color w:val="000000" w:themeColor="text1"/>
                <w:vertAlign w:val="superscript"/>
              </w:rPr>
              <w:t>1</w:t>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575EF0E"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860D2A9"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57E90C9"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3853E5F"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9B683B4"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9E744EB"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84BAB83"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D373FCC" w14:textId="0CDF47C2" w:rsidR="00A63675" w:rsidRPr="00DF1884" w:rsidRDefault="005F6BFB"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9FF86A6" w14:textId="1F9A4AE0"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ADD61C7"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9FCD01B"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2C87A38"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0058B16"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FB5B58B"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902545D"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96B367A"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1158CC2"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2C5CF48"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9ADF112"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106194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205900A" w14:textId="77777777" w:rsidR="00A63675" w:rsidRPr="00DF1884" w:rsidRDefault="00A63675" w:rsidP="00932F29">
            <w:pPr>
              <w:pStyle w:val="TableText"/>
              <w:spacing w:before="30" w:after="30"/>
              <w:jc w:val="center"/>
              <w:rPr>
                <w:sz w:val="22"/>
                <w:szCs w:val="22"/>
              </w:rPr>
            </w:pPr>
          </w:p>
        </w:tc>
      </w:tr>
      <w:tr w:rsidR="00A63675" w:rsidRPr="00DF1884" w14:paraId="1B4A02FA" w14:textId="77777777" w:rsidTr="00932F29">
        <w:tc>
          <w:tcPr>
            <w:tcW w:w="2160" w:type="dxa"/>
            <w:tcBorders>
              <w:top w:val="single" w:sz="6" w:space="0" w:color="auto"/>
              <w:left w:val="single" w:sz="6" w:space="0" w:color="auto"/>
              <w:bottom w:val="single" w:sz="6" w:space="0" w:color="auto"/>
              <w:right w:val="single" w:sz="6" w:space="0" w:color="auto"/>
            </w:tcBorders>
            <w:shd w:val="clear" w:color="auto" w:fill="FFFFFF"/>
            <w:tcMar>
              <w:left w:w="43" w:type="dxa"/>
              <w:right w:w="0" w:type="dxa"/>
            </w:tcMar>
            <w:vAlign w:val="center"/>
          </w:tcPr>
          <w:p w14:paraId="12C63DC2" w14:textId="77777777" w:rsidR="00A63675" w:rsidRPr="00DF1884" w:rsidRDefault="00A63675" w:rsidP="00E9531F">
            <w:pPr>
              <w:pStyle w:val="TableHead"/>
              <w:spacing w:before="30" w:after="30"/>
              <w:jc w:val="left"/>
              <w:rPr>
                <w:b w:val="0"/>
                <w:color w:val="auto"/>
              </w:rPr>
            </w:pPr>
            <w:r w:rsidRPr="00DF1884">
              <w:rPr>
                <w:b w:val="0"/>
                <w:color w:val="auto"/>
              </w:rPr>
              <w:t>Medicaid</w:t>
            </w:r>
          </w:p>
        </w:tc>
        <w:tc>
          <w:tcPr>
            <w:tcW w:w="378" w:type="dxa"/>
            <w:tcBorders>
              <w:top w:val="single" w:sz="6" w:space="0" w:color="auto"/>
              <w:left w:val="single" w:sz="6" w:space="0" w:color="auto"/>
              <w:bottom w:val="single" w:sz="6" w:space="0" w:color="auto"/>
              <w:right w:val="single" w:sz="6" w:space="0" w:color="auto"/>
            </w:tcBorders>
            <w:shd w:val="clear" w:color="auto" w:fill="FFFFFF"/>
            <w:vAlign w:val="center"/>
          </w:tcPr>
          <w:p w14:paraId="5A3C02BB"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FFFFFF"/>
            <w:vAlign w:val="center"/>
          </w:tcPr>
          <w:p w14:paraId="4B41B62C"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FFFFFF"/>
            <w:vAlign w:val="center"/>
          </w:tcPr>
          <w:p w14:paraId="32F68197"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FFFFFF"/>
            <w:vAlign w:val="center"/>
          </w:tcPr>
          <w:p w14:paraId="35D63BE6"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FFFFFF"/>
            <w:vAlign w:val="center"/>
          </w:tcPr>
          <w:p w14:paraId="76C4A950"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FFFFFF"/>
            <w:vAlign w:val="center"/>
          </w:tcPr>
          <w:p w14:paraId="71A05C31"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FFFFFF"/>
            <w:vAlign w:val="center"/>
          </w:tcPr>
          <w:p w14:paraId="2FFDC700"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FFFFFF"/>
            <w:vAlign w:val="center"/>
          </w:tcPr>
          <w:p w14:paraId="0E0EBDB5" w14:textId="6CD089FB" w:rsidR="00A63675" w:rsidRPr="00DF1884" w:rsidRDefault="005F6BFB"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FFFFFF"/>
            <w:vAlign w:val="center"/>
          </w:tcPr>
          <w:p w14:paraId="35C826F0" w14:textId="4B977FCD"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vAlign w:val="center"/>
          </w:tcPr>
          <w:p w14:paraId="5A8A9A28"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vAlign w:val="center"/>
          </w:tcPr>
          <w:p w14:paraId="1248C9A0"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vAlign w:val="center"/>
          </w:tcPr>
          <w:p w14:paraId="0D6BB17B"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vAlign w:val="center"/>
          </w:tcPr>
          <w:p w14:paraId="7784718E"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vAlign w:val="center"/>
          </w:tcPr>
          <w:p w14:paraId="2F05456E"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FFFFFF"/>
            <w:vAlign w:val="center"/>
          </w:tcPr>
          <w:p w14:paraId="784555B7"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vAlign w:val="center"/>
          </w:tcPr>
          <w:p w14:paraId="16F635A2"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vAlign w:val="center"/>
          </w:tcPr>
          <w:p w14:paraId="7E744DE8"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FFFFFF"/>
            <w:vAlign w:val="center"/>
          </w:tcPr>
          <w:p w14:paraId="4EDDB71D"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vAlign w:val="center"/>
          </w:tcPr>
          <w:p w14:paraId="2AC6BADD"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FFFFFF"/>
            <w:vAlign w:val="center"/>
          </w:tcPr>
          <w:p w14:paraId="24FB7645"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FFFFFF"/>
            <w:vAlign w:val="center"/>
          </w:tcPr>
          <w:p w14:paraId="5DF50191"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r>
      <w:tr w:rsidR="00A63675" w:rsidRPr="00DF1884" w14:paraId="64339079" w14:textId="77777777" w:rsidTr="00932F29">
        <w:tc>
          <w:tcPr>
            <w:tcW w:w="216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0" w:type="dxa"/>
            </w:tcMar>
            <w:vAlign w:val="center"/>
          </w:tcPr>
          <w:p w14:paraId="39FC29D6" w14:textId="119CA440" w:rsidR="00A63675" w:rsidRPr="00DF1884" w:rsidRDefault="00A63675" w:rsidP="00E9531F">
            <w:pPr>
              <w:pStyle w:val="TableHead"/>
              <w:spacing w:before="30" w:after="30"/>
              <w:jc w:val="left"/>
              <w:rPr>
                <w:b w:val="0"/>
                <w:color w:val="auto"/>
              </w:rPr>
            </w:pPr>
            <w:r w:rsidRPr="00DF1884">
              <w:rPr>
                <w:b w:val="0"/>
                <w:color w:val="auto"/>
              </w:rPr>
              <w:t>Claims-based</w:t>
            </w:r>
            <w:r w:rsidR="00DF1884" w:rsidRPr="00DF1884">
              <w:rPr>
                <w:b w:val="0"/>
                <w:color w:val="auto"/>
              </w:rPr>
              <w:t xml:space="preserve"> </w:t>
            </w:r>
            <w:r w:rsidRPr="00DF1884">
              <w:rPr>
                <w:b w:val="0"/>
                <w:color w:val="auto"/>
              </w:rPr>
              <w:t>denominator</w:t>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9DDD262"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DDCB2B2"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6C0403D"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86D3B7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18E9C11"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7062A98"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29CCAC9"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A37CE5B" w14:textId="72BD79CC"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41C3206" w14:textId="673DD596"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8B7E21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168E132"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F94236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11E8047"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A2C128A"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7CFFD71"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13AB290"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3E12855"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FD545FC"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3EA86D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74321EB"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5792956" w14:textId="77777777" w:rsidR="00A63675" w:rsidRPr="00DF1884" w:rsidRDefault="00A63675" w:rsidP="00932F29">
            <w:pPr>
              <w:pStyle w:val="TableText"/>
              <w:spacing w:before="30" w:after="30"/>
              <w:jc w:val="center"/>
              <w:rPr>
                <w:sz w:val="22"/>
                <w:szCs w:val="22"/>
              </w:rPr>
            </w:pPr>
          </w:p>
        </w:tc>
      </w:tr>
      <w:tr w:rsidR="00A63675" w:rsidRPr="00DF1884" w14:paraId="449ED2E7" w14:textId="77777777" w:rsidTr="00932F29">
        <w:tc>
          <w:tcPr>
            <w:tcW w:w="216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0" w:type="dxa"/>
            </w:tcMar>
            <w:vAlign w:val="center"/>
          </w:tcPr>
          <w:p w14:paraId="293A4FB2" w14:textId="17F7C41B" w:rsidR="00A63675" w:rsidRPr="00DF1884" w:rsidRDefault="00A63675" w:rsidP="00E9531F">
            <w:pPr>
              <w:pStyle w:val="TableHead"/>
              <w:spacing w:before="30" w:after="30"/>
              <w:jc w:val="left"/>
              <w:rPr>
                <w:b w:val="0"/>
                <w:color w:val="auto"/>
              </w:rPr>
            </w:pPr>
            <w:r w:rsidRPr="00DF1884">
              <w:rPr>
                <w:b w:val="0"/>
                <w:color w:val="auto"/>
              </w:rPr>
              <w:t>Membership-based</w:t>
            </w:r>
            <w:r w:rsidR="00DF1884" w:rsidRPr="00DF1884">
              <w:rPr>
                <w:b w:val="0"/>
                <w:color w:val="auto"/>
              </w:rPr>
              <w:t xml:space="preserve"> </w:t>
            </w:r>
            <w:r w:rsidRPr="00DF1884">
              <w:rPr>
                <w:b w:val="0"/>
                <w:color w:val="auto"/>
              </w:rPr>
              <w:t>denominator</w:t>
            </w: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D101C0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E112E5D"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42C6120"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597036F"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D6B87FF"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14D3734"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A4B7925"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FBAD519"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C733D37" w14:textId="59F4645B"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C000B82"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8C655F9"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BDD2E97"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F51175F"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4FA5A0D"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35D6397"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0C25A8B"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B18534D"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F406B6A"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565B56C"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9EDC9FF"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26B2CB4"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r>
      <w:tr w:rsidR="00A63675" w:rsidRPr="00DF1884" w14:paraId="0400A663" w14:textId="77777777" w:rsidTr="00932F29">
        <w:tc>
          <w:tcPr>
            <w:tcW w:w="216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0" w:type="dxa"/>
            </w:tcMar>
            <w:vAlign w:val="center"/>
          </w:tcPr>
          <w:p w14:paraId="1C0DB5C5" w14:textId="6648433E" w:rsidR="00A63675" w:rsidRPr="00DF1884" w:rsidRDefault="00A63675" w:rsidP="00E9531F">
            <w:pPr>
              <w:pStyle w:val="TableHead"/>
              <w:spacing w:before="30" w:after="30"/>
              <w:jc w:val="left"/>
              <w:rPr>
                <w:b w:val="0"/>
                <w:color w:val="auto"/>
              </w:rPr>
            </w:pPr>
            <w:r w:rsidRPr="00DF1884">
              <w:rPr>
                <w:b w:val="0"/>
                <w:color w:val="auto"/>
              </w:rPr>
              <w:t>Pharmacy</w:t>
            </w:r>
            <w:r w:rsidR="00DF1884" w:rsidRPr="00DF1884">
              <w:rPr>
                <w:b w:val="0"/>
                <w:color w:val="auto"/>
              </w:rPr>
              <w:t xml:space="preserve"> </w:t>
            </w:r>
            <w:r w:rsidRPr="00DF1884">
              <w:rPr>
                <w:b w:val="0"/>
                <w:color w:val="auto"/>
              </w:rPr>
              <w:t>benefit</w:t>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50315D7"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269B9A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D0573F2"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53DF10B"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454FC94"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B6A7B7A"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F0FDC9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4BD8957"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E8FAFC7" w14:textId="0D8DD1FD"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9575469"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64E284C"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F6CB1AB"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7E8C098"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7314809"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8A53951"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594AD2B"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3C4352C"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93897B2"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B208924"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A39FF1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DFD2852" w14:textId="77777777" w:rsidR="00A63675" w:rsidRPr="00DF1884" w:rsidRDefault="00A63675" w:rsidP="00932F29">
            <w:pPr>
              <w:pStyle w:val="TableText"/>
              <w:spacing w:before="30" w:after="30"/>
              <w:jc w:val="center"/>
              <w:rPr>
                <w:sz w:val="22"/>
                <w:szCs w:val="22"/>
              </w:rPr>
            </w:pPr>
          </w:p>
        </w:tc>
      </w:tr>
      <w:tr w:rsidR="00A63675" w:rsidRPr="00DF1884" w14:paraId="0F63137F" w14:textId="77777777" w:rsidTr="00932F29">
        <w:tc>
          <w:tcPr>
            <w:tcW w:w="216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0" w:type="dxa"/>
            </w:tcMar>
            <w:vAlign w:val="center"/>
          </w:tcPr>
          <w:p w14:paraId="27FBDA37" w14:textId="5A735C43" w:rsidR="00A63675" w:rsidRPr="00DF1884" w:rsidRDefault="00A63675" w:rsidP="00E9531F">
            <w:pPr>
              <w:pStyle w:val="TableHead"/>
              <w:spacing w:before="30" w:after="30"/>
              <w:jc w:val="left"/>
              <w:rPr>
                <w:b w:val="0"/>
                <w:color w:val="auto"/>
              </w:rPr>
            </w:pPr>
            <w:r w:rsidRPr="00DF1884">
              <w:rPr>
                <w:b w:val="0"/>
                <w:color w:val="auto"/>
              </w:rPr>
              <w:t>MH</w:t>
            </w:r>
            <w:r w:rsidR="00DF1884" w:rsidRPr="00DF1884">
              <w:rPr>
                <w:b w:val="0"/>
                <w:color w:val="auto"/>
              </w:rPr>
              <w:t xml:space="preserve"> </w:t>
            </w:r>
            <w:r w:rsidRPr="00DF1884">
              <w:rPr>
                <w:b w:val="0"/>
                <w:color w:val="auto"/>
              </w:rPr>
              <w:t>or</w:t>
            </w:r>
            <w:r w:rsidR="00DF1884" w:rsidRPr="00DF1884">
              <w:rPr>
                <w:b w:val="0"/>
                <w:color w:val="auto"/>
              </w:rPr>
              <w:t xml:space="preserve"> </w:t>
            </w:r>
            <w:r w:rsidRPr="00DF1884">
              <w:rPr>
                <w:b w:val="0"/>
                <w:color w:val="auto"/>
              </w:rPr>
              <w:t>CD</w:t>
            </w:r>
            <w:r w:rsidR="00DF1884" w:rsidRPr="00DF1884">
              <w:rPr>
                <w:b w:val="0"/>
                <w:color w:val="auto"/>
              </w:rPr>
              <w:t xml:space="preserve"> </w:t>
            </w:r>
            <w:r w:rsidRPr="00DF1884">
              <w:rPr>
                <w:b w:val="0"/>
                <w:color w:val="auto"/>
              </w:rPr>
              <w:t>benefit</w:t>
            </w: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3EF36F1"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B1B6F8E"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693504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C7CC99B"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A4F1027"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62BA7FE"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3D8B6D6"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4D4812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BEAD116" w14:textId="464A8B72"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A640C4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B39324E"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C4B9A9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B77C01E"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C123091"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0DDF349"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DCAEB5E"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CB469A9"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046639E"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7687B8B"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E58407D"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AAECFB5" w14:textId="77777777" w:rsidR="00A63675" w:rsidRPr="00DF1884" w:rsidRDefault="00A63675" w:rsidP="00932F29">
            <w:pPr>
              <w:pStyle w:val="TableText"/>
              <w:spacing w:before="30" w:after="30"/>
              <w:jc w:val="center"/>
              <w:rPr>
                <w:sz w:val="22"/>
                <w:szCs w:val="22"/>
              </w:rPr>
            </w:pPr>
          </w:p>
        </w:tc>
      </w:tr>
      <w:tr w:rsidR="00A63675" w:rsidRPr="00DF1884" w14:paraId="13339684" w14:textId="77777777" w:rsidTr="00932F29">
        <w:tc>
          <w:tcPr>
            <w:tcW w:w="216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0" w:type="dxa"/>
            </w:tcMar>
            <w:vAlign w:val="center"/>
          </w:tcPr>
          <w:p w14:paraId="66EFA036" w14:textId="5E3B4E57" w:rsidR="00A63675" w:rsidRPr="00DF1884" w:rsidRDefault="00A63675" w:rsidP="00E9531F">
            <w:pPr>
              <w:pStyle w:val="TableHead"/>
              <w:spacing w:before="30" w:after="30"/>
              <w:jc w:val="left"/>
              <w:rPr>
                <w:b w:val="0"/>
                <w:color w:val="auto"/>
              </w:rPr>
            </w:pPr>
            <w:r w:rsidRPr="00DF1884">
              <w:rPr>
                <w:b w:val="0"/>
                <w:color w:val="auto"/>
              </w:rPr>
              <w:t>Live</w:t>
            </w:r>
            <w:r w:rsidR="00DF1884" w:rsidRPr="00DF1884">
              <w:rPr>
                <w:b w:val="0"/>
                <w:color w:val="auto"/>
              </w:rPr>
              <w:t xml:space="preserve"> </w:t>
            </w:r>
            <w:r w:rsidRPr="00DF1884">
              <w:rPr>
                <w:b w:val="0"/>
                <w:color w:val="auto"/>
              </w:rPr>
              <w:t>birth</w:t>
            </w:r>
            <w:r w:rsidR="00DF1884" w:rsidRPr="00DF1884">
              <w:rPr>
                <w:b w:val="0"/>
                <w:color w:val="auto"/>
              </w:rPr>
              <w:t xml:space="preserve"> </w:t>
            </w:r>
            <w:r w:rsidRPr="00DF1884">
              <w:rPr>
                <w:b w:val="0"/>
                <w:color w:val="auto"/>
              </w:rPr>
              <w:t>methodology</w:t>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1E236D9"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E5EE6A5"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9C30A2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A6A5011"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B8E6F58"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25274A3"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05159D2"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AD4575B"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BEFA780" w14:textId="576AE4B2"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3F9CE04"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161343C"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91DD842"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8FE3C8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C6618F5"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3D85521"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D46C2E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EB10C8A"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93AC91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F40A78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E68E1A2"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8A4BEAB" w14:textId="77777777" w:rsidR="00A63675" w:rsidRPr="00DF1884" w:rsidRDefault="00A63675" w:rsidP="00932F29">
            <w:pPr>
              <w:pStyle w:val="TableText"/>
              <w:spacing w:before="30" w:after="30"/>
              <w:jc w:val="center"/>
              <w:rPr>
                <w:sz w:val="22"/>
                <w:szCs w:val="22"/>
              </w:rPr>
            </w:pPr>
          </w:p>
        </w:tc>
      </w:tr>
      <w:tr w:rsidR="00A63675" w:rsidRPr="00DF1884" w14:paraId="363D6F08" w14:textId="77777777" w:rsidTr="00932F29">
        <w:tc>
          <w:tcPr>
            <w:tcW w:w="216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0" w:type="dxa"/>
            </w:tcMar>
            <w:vAlign w:val="center"/>
          </w:tcPr>
          <w:p w14:paraId="3D220B1D" w14:textId="19CB646A" w:rsidR="00A63675" w:rsidRPr="00DF1884" w:rsidRDefault="00A63675" w:rsidP="00E9531F">
            <w:pPr>
              <w:pStyle w:val="TableHead"/>
              <w:spacing w:before="30" w:after="30"/>
              <w:jc w:val="left"/>
              <w:rPr>
                <w:b w:val="0"/>
                <w:color w:val="auto"/>
              </w:rPr>
            </w:pPr>
            <w:r w:rsidRPr="00DF1884">
              <w:rPr>
                <w:b w:val="0"/>
                <w:color w:val="auto"/>
              </w:rPr>
              <w:t>Practitioner</w:t>
            </w:r>
            <w:r w:rsidR="00DF1884" w:rsidRPr="00DF1884">
              <w:rPr>
                <w:b w:val="0"/>
                <w:color w:val="auto"/>
              </w:rPr>
              <w:t xml:space="preserve"> </w:t>
            </w:r>
            <w:r w:rsidRPr="00DF1884">
              <w:rPr>
                <w:b w:val="0"/>
                <w:color w:val="auto"/>
              </w:rPr>
              <w:t>type</w:t>
            </w:r>
            <w:r w:rsidR="00DF1884" w:rsidRPr="00DF1884">
              <w:rPr>
                <w:b w:val="0"/>
                <w:color w:val="auto"/>
              </w:rPr>
              <w:t xml:space="preserve"> </w:t>
            </w:r>
            <w:r w:rsidRPr="00DF1884">
              <w:rPr>
                <w:b w:val="0"/>
                <w:color w:val="auto"/>
              </w:rPr>
              <w:t>requirement</w:t>
            </w: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E11241C"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2A33870"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AB8FA9A"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572BE97"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E0655C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414E870"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125FF48"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11279C0"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9BF4AE5" w14:textId="7F281DF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AA8EF96"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DFC1068"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A0E2121"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B199D12"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0AB8A38"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FE22F2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338D15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5C34048"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E85EFE8"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3518AE5"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A4A5771"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1098B9B" w14:textId="77777777" w:rsidR="00A63675" w:rsidRPr="00DF1884" w:rsidRDefault="00A63675" w:rsidP="00932F29">
            <w:pPr>
              <w:pStyle w:val="TableText"/>
              <w:spacing w:before="30" w:after="30"/>
              <w:jc w:val="center"/>
              <w:rPr>
                <w:sz w:val="22"/>
                <w:szCs w:val="22"/>
              </w:rPr>
            </w:pPr>
          </w:p>
        </w:tc>
      </w:tr>
      <w:tr w:rsidR="00A63675" w:rsidRPr="00DF1884" w14:paraId="1EBD2354" w14:textId="77777777" w:rsidTr="00932F29">
        <w:tc>
          <w:tcPr>
            <w:tcW w:w="216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0" w:type="dxa"/>
            </w:tcMar>
            <w:vAlign w:val="center"/>
          </w:tcPr>
          <w:p w14:paraId="6DD968CF" w14:textId="3BBFE7EB" w:rsidR="00A63675" w:rsidRPr="00DF1884" w:rsidRDefault="00A63675" w:rsidP="00E9531F">
            <w:pPr>
              <w:pStyle w:val="TableHead"/>
              <w:spacing w:before="30" w:after="30"/>
              <w:jc w:val="left"/>
              <w:rPr>
                <w:b w:val="0"/>
                <w:color w:val="auto"/>
              </w:rPr>
            </w:pPr>
            <w:r w:rsidRPr="00DF1884">
              <w:rPr>
                <w:b w:val="0"/>
                <w:color w:val="auto"/>
              </w:rPr>
              <w:t>Risk</w:t>
            </w:r>
            <w:r w:rsidR="00DF1884" w:rsidRPr="00DF1884">
              <w:rPr>
                <w:b w:val="0"/>
                <w:color w:val="auto"/>
              </w:rPr>
              <w:t xml:space="preserve"> </w:t>
            </w:r>
            <w:r w:rsidRPr="00DF1884">
              <w:rPr>
                <w:b w:val="0"/>
                <w:color w:val="auto"/>
              </w:rPr>
              <w:t>adjustment</w:t>
            </w:r>
            <w:r w:rsidR="00DF1884" w:rsidRPr="00DF1884">
              <w:rPr>
                <w:b w:val="0"/>
                <w:color w:val="auto"/>
              </w:rPr>
              <w:t xml:space="preserve"> </w:t>
            </w:r>
            <w:r w:rsidRPr="00DF1884">
              <w:rPr>
                <w:b w:val="0"/>
                <w:color w:val="auto"/>
              </w:rPr>
              <w:t>methodology</w:t>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896C469"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AF9C9A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BBB1ABD"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3FD882C"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05DCCB7"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9833BF5"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A9FF7AE"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A5BA364"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5ED8F9F" w14:textId="7CD59FAD"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5ABB68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7873FB9"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AA489C1"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5457A2B"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56CA148"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37422F1"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96D64F2"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4C67940"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D263DDA"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F1FB77A"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ECE90A6"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58FF52A" w14:textId="77777777" w:rsidR="00A63675" w:rsidRPr="00DF1884" w:rsidRDefault="00A63675" w:rsidP="00932F29">
            <w:pPr>
              <w:pStyle w:val="TableText"/>
              <w:spacing w:before="30" w:after="30"/>
              <w:jc w:val="center"/>
              <w:rPr>
                <w:sz w:val="22"/>
                <w:szCs w:val="22"/>
              </w:rPr>
            </w:pPr>
          </w:p>
        </w:tc>
      </w:tr>
      <w:tr w:rsidR="00A63675" w:rsidRPr="00DF1884" w14:paraId="55BC7E48" w14:textId="77777777" w:rsidTr="00932F29">
        <w:tc>
          <w:tcPr>
            <w:tcW w:w="216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0" w:type="dxa"/>
            </w:tcMar>
            <w:vAlign w:val="center"/>
          </w:tcPr>
          <w:p w14:paraId="5901038A" w14:textId="0F67E85C" w:rsidR="00A63675" w:rsidRPr="00DF1884" w:rsidRDefault="00A63675" w:rsidP="00E9531F">
            <w:pPr>
              <w:pStyle w:val="TableHead"/>
              <w:spacing w:before="30" w:after="30"/>
              <w:jc w:val="left"/>
              <w:rPr>
                <w:b w:val="0"/>
                <w:color w:val="auto"/>
              </w:rPr>
            </w:pPr>
            <w:r w:rsidRPr="00DF1884">
              <w:rPr>
                <w:b w:val="0"/>
                <w:color w:val="auto"/>
              </w:rPr>
              <w:t>Lab</w:t>
            </w:r>
            <w:r w:rsidR="00DF1884" w:rsidRPr="00DF1884">
              <w:rPr>
                <w:b w:val="0"/>
                <w:color w:val="auto"/>
              </w:rPr>
              <w:t xml:space="preserve"> </w:t>
            </w:r>
            <w:r w:rsidRPr="00DF1884">
              <w:rPr>
                <w:b w:val="0"/>
                <w:color w:val="auto"/>
              </w:rPr>
              <w:t>data</w:t>
            </w: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6F19D8D"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E35EA96"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5755776"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1A8EA9D"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83D4AF9"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272064D"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B68A718"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708384E"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8DF0595" w14:textId="1897EA6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EE5F201"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681F824"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319468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BB2C35D"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3FDB455"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6FBE9C8"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94493B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6E4C40D"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142135E"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EEDE5AD"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790E03C"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BF73516" w14:textId="77777777" w:rsidR="00A63675" w:rsidRPr="00DF1884" w:rsidRDefault="00A63675" w:rsidP="00932F29">
            <w:pPr>
              <w:pStyle w:val="TableText"/>
              <w:spacing w:before="30" w:after="30"/>
              <w:jc w:val="center"/>
              <w:rPr>
                <w:sz w:val="22"/>
                <w:szCs w:val="22"/>
              </w:rPr>
            </w:pPr>
          </w:p>
        </w:tc>
      </w:tr>
      <w:tr w:rsidR="00A63675" w:rsidRPr="00DF1884" w14:paraId="605F05AF" w14:textId="77777777" w:rsidTr="00932F29">
        <w:tc>
          <w:tcPr>
            <w:tcW w:w="216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0" w:type="dxa"/>
            </w:tcMar>
            <w:vAlign w:val="center"/>
          </w:tcPr>
          <w:p w14:paraId="3B458293" w14:textId="4A7DACEE" w:rsidR="00A63675" w:rsidRPr="00DF1884" w:rsidRDefault="00A63675" w:rsidP="00E9531F">
            <w:pPr>
              <w:pStyle w:val="TableHead"/>
              <w:spacing w:before="30" w:after="30"/>
              <w:jc w:val="left"/>
              <w:rPr>
                <w:b w:val="0"/>
                <w:color w:val="auto"/>
              </w:rPr>
            </w:pPr>
            <w:r w:rsidRPr="00DF1884">
              <w:rPr>
                <w:b w:val="0"/>
                <w:color w:val="auto"/>
              </w:rPr>
              <w:t>Radiology</w:t>
            </w:r>
            <w:r w:rsidR="00DF1884" w:rsidRPr="00DF1884">
              <w:rPr>
                <w:b w:val="0"/>
                <w:color w:val="auto"/>
              </w:rPr>
              <w:t xml:space="preserve"> </w:t>
            </w:r>
            <w:r w:rsidRPr="00DF1884">
              <w:rPr>
                <w:b w:val="0"/>
                <w:color w:val="auto"/>
              </w:rPr>
              <w:t>data</w:t>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4AF02E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90EB539"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44B482A"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71C41DC"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2175D27"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55D7EE7"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EDA46AD"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F8EB75A"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6D61DC3" w14:textId="3164B55E"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F407D2E"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80F4885"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D5DE4F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626B378"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5C00291"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22F7E2B"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3081D7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95E98D8"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D1A8F07"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EEDE36C"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73A84F2"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B0B022B" w14:textId="77777777" w:rsidR="00A63675" w:rsidRPr="00DF1884" w:rsidRDefault="00A63675" w:rsidP="00932F29">
            <w:pPr>
              <w:pStyle w:val="TableText"/>
              <w:spacing w:before="30" w:after="30"/>
              <w:jc w:val="center"/>
              <w:rPr>
                <w:sz w:val="22"/>
                <w:szCs w:val="22"/>
              </w:rPr>
            </w:pPr>
          </w:p>
        </w:tc>
      </w:tr>
      <w:tr w:rsidR="00A63675" w:rsidRPr="00DF1884" w14:paraId="2A3AD792" w14:textId="77777777" w:rsidTr="00932F29">
        <w:tc>
          <w:tcPr>
            <w:tcW w:w="216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0" w:type="dxa"/>
            </w:tcMar>
            <w:vAlign w:val="center"/>
          </w:tcPr>
          <w:p w14:paraId="3869F127" w14:textId="7E776A95" w:rsidR="00A63675" w:rsidRPr="00DF1884" w:rsidRDefault="00A63675" w:rsidP="00E9531F">
            <w:pPr>
              <w:pStyle w:val="TableHead"/>
              <w:spacing w:before="30" w:after="30"/>
              <w:jc w:val="left"/>
              <w:rPr>
                <w:b w:val="0"/>
                <w:color w:val="auto"/>
              </w:rPr>
            </w:pPr>
            <w:r w:rsidRPr="00DF1884">
              <w:rPr>
                <w:b w:val="0"/>
                <w:color w:val="auto"/>
              </w:rPr>
              <w:t>MH</w:t>
            </w:r>
            <w:r w:rsidR="00DF1884" w:rsidRPr="00DF1884">
              <w:rPr>
                <w:b w:val="0"/>
                <w:color w:val="auto"/>
              </w:rPr>
              <w:t xml:space="preserve"> </w:t>
            </w:r>
            <w:r w:rsidRPr="00DF1884">
              <w:rPr>
                <w:b w:val="0"/>
                <w:color w:val="auto"/>
              </w:rPr>
              <w:t>or</w:t>
            </w:r>
            <w:r w:rsidR="00DF1884" w:rsidRPr="00DF1884">
              <w:rPr>
                <w:b w:val="0"/>
                <w:color w:val="auto"/>
              </w:rPr>
              <w:t xml:space="preserve"> </w:t>
            </w:r>
            <w:r w:rsidRPr="00DF1884">
              <w:rPr>
                <w:b w:val="0"/>
                <w:color w:val="auto"/>
              </w:rPr>
              <w:t>CD</w:t>
            </w:r>
            <w:r w:rsidR="00DF1884" w:rsidRPr="00DF1884">
              <w:rPr>
                <w:b w:val="0"/>
                <w:color w:val="auto"/>
              </w:rPr>
              <w:t xml:space="preserve"> </w:t>
            </w:r>
            <w:r w:rsidRPr="00DF1884">
              <w:rPr>
                <w:b w:val="0"/>
                <w:color w:val="auto"/>
              </w:rPr>
              <w:t>data</w:t>
            </w: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3553232"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6737784"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6BCC425"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2BD73F7"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916B13C"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69A10DC"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F857508"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0AC754C" w14:textId="1B1208B3" w:rsidR="00A63675" w:rsidRPr="00DF1884" w:rsidRDefault="005F6BFB"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DE774B8" w14:textId="211D009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3759541"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0EBB35B"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D4C949C"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DEDE38A"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A3EE7D2"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A503017"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151C32A"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8B8EFC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9D4B1F7"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FBC1B6E"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E754ED5"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55E3598" w14:textId="77777777" w:rsidR="00A63675" w:rsidRPr="00DF1884" w:rsidRDefault="00A63675" w:rsidP="00932F29">
            <w:pPr>
              <w:pStyle w:val="TableText"/>
              <w:spacing w:before="30" w:after="30"/>
              <w:jc w:val="center"/>
              <w:rPr>
                <w:sz w:val="22"/>
                <w:szCs w:val="22"/>
              </w:rPr>
            </w:pPr>
          </w:p>
        </w:tc>
      </w:tr>
      <w:tr w:rsidR="00A63675" w:rsidRPr="00DF1884" w14:paraId="6B3119FA" w14:textId="77777777" w:rsidTr="00932F29">
        <w:tc>
          <w:tcPr>
            <w:tcW w:w="216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0" w:type="dxa"/>
            </w:tcMar>
            <w:vAlign w:val="center"/>
          </w:tcPr>
          <w:p w14:paraId="2E6CBD3A" w14:textId="3D9CACF5" w:rsidR="00A63675" w:rsidRPr="00DF1884" w:rsidRDefault="00A63675" w:rsidP="00E9531F">
            <w:pPr>
              <w:pStyle w:val="TableHead"/>
              <w:spacing w:before="30" w:after="30"/>
              <w:jc w:val="left"/>
              <w:rPr>
                <w:b w:val="0"/>
                <w:color w:val="auto"/>
              </w:rPr>
            </w:pPr>
            <w:r w:rsidRPr="00DF1884">
              <w:rPr>
                <w:b w:val="0"/>
                <w:color w:val="auto"/>
              </w:rPr>
              <w:t>Pharmacy</w:t>
            </w:r>
            <w:r w:rsidR="00DF1884" w:rsidRPr="00DF1884">
              <w:rPr>
                <w:b w:val="0"/>
                <w:color w:val="auto"/>
              </w:rPr>
              <w:t xml:space="preserve"> </w:t>
            </w:r>
            <w:r w:rsidRPr="00DF1884">
              <w:rPr>
                <w:b w:val="0"/>
                <w:color w:val="auto"/>
              </w:rPr>
              <w:t>data</w:t>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CA434F6"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2908181"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CC51E48"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127A9FE"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9B13616"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E74C866"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138EC2A"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4D684A8"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FC8CB71" w14:textId="231CD9A6"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5319322"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9E6341A"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F699E7C"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1F20179"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C2F2D57"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8EB26CB"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03BF876"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7B7A1FB"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ACDEF3A"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95F6422"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B911A95"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8B5A2BD" w14:textId="77777777" w:rsidR="00A63675" w:rsidRPr="00DF1884" w:rsidRDefault="00A63675" w:rsidP="00932F29">
            <w:pPr>
              <w:pStyle w:val="TableText"/>
              <w:spacing w:before="30" w:after="30"/>
              <w:jc w:val="center"/>
              <w:rPr>
                <w:sz w:val="22"/>
                <w:szCs w:val="22"/>
              </w:rPr>
            </w:pPr>
          </w:p>
        </w:tc>
      </w:tr>
      <w:tr w:rsidR="00A63675" w:rsidRPr="00DF1884" w14:paraId="3F3A0990" w14:textId="77777777" w:rsidTr="00932F29">
        <w:tc>
          <w:tcPr>
            <w:tcW w:w="216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0" w:type="dxa"/>
            </w:tcMar>
            <w:vAlign w:val="center"/>
          </w:tcPr>
          <w:p w14:paraId="55BE8C9F" w14:textId="36B2EA76" w:rsidR="00A63675" w:rsidRPr="00DF1884" w:rsidRDefault="00A63675" w:rsidP="00E9531F">
            <w:pPr>
              <w:pStyle w:val="TableHead"/>
              <w:spacing w:before="30" w:after="30"/>
              <w:jc w:val="left"/>
              <w:rPr>
                <w:b w:val="0"/>
                <w:color w:val="auto"/>
              </w:rPr>
            </w:pPr>
            <w:r w:rsidRPr="00DF1884">
              <w:rPr>
                <w:b w:val="0"/>
                <w:color w:val="auto"/>
              </w:rPr>
              <w:t>Vision</w:t>
            </w:r>
            <w:r w:rsidR="00DF1884" w:rsidRPr="00DF1884">
              <w:rPr>
                <w:b w:val="0"/>
                <w:color w:val="auto"/>
              </w:rPr>
              <w:t xml:space="preserve"> </w:t>
            </w:r>
            <w:r w:rsidRPr="00DF1884">
              <w:rPr>
                <w:b w:val="0"/>
                <w:color w:val="auto"/>
              </w:rPr>
              <w:t>data</w:t>
            </w: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A2592E5"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E811A94"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9E5933C"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74E14C1"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97EED2E"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55DD8FA"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C59AB6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112593B"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712BF82" w14:textId="54ABE238"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5498D35"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1BAFFD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DF505C2"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BEAE7F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DD1348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DD85A55"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00E596E"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1898FAD"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559BAF6"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E66520C"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66678AA"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42FF797" w14:textId="77777777" w:rsidR="00A63675" w:rsidRPr="00DF1884" w:rsidRDefault="00A63675" w:rsidP="00932F29">
            <w:pPr>
              <w:pStyle w:val="TableText"/>
              <w:spacing w:before="30" w:after="30"/>
              <w:jc w:val="center"/>
              <w:rPr>
                <w:sz w:val="22"/>
                <w:szCs w:val="22"/>
              </w:rPr>
            </w:pPr>
          </w:p>
        </w:tc>
      </w:tr>
      <w:tr w:rsidR="00A63675" w:rsidRPr="00DF1884" w14:paraId="2121795B" w14:textId="77777777" w:rsidTr="00932F29">
        <w:tc>
          <w:tcPr>
            <w:tcW w:w="216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0" w:type="dxa"/>
            </w:tcMar>
            <w:vAlign w:val="center"/>
          </w:tcPr>
          <w:p w14:paraId="308DAB83" w14:textId="1A524E75" w:rsidR="00A63675" w:rsidRPr="00DF1884" w:rsidRDefault="00A63675" w:rsidP="00E9531F">
            <w:pPr>
              <w:pStyle w:val="TableHead"/>
              <w:spacing w:before="30" w:after="30"/>
              <w:jc w:val="left"/>
              <w:rPr>
                <w:b w:val="0"/>
                <w:color w:val="auto"/>
              </w:rPr>
            </w:pPr>
            <w:r w:rsidRPr="00DF1884">
              <w:rPr>
                <w:b w:val="0"/>
                <w:color w:val="auto"/>
              </w:rPr>
              <w:t>Optional</w:t>
            </w:r>
            <w:r w:rsidR="00DF1884" w:rsidRPr="00DF1884">
              <w:rPr>
                <w:b w:val="0"/>
                <w:color w:val="auto"/>
              </w:rPr>
              <w:t xml:space="preserve"> </w:t>
            </w:r>
            <w:r w:rsidRPr="00DF1884">
              <w:rPr>
                <w:b w:val="0"/>
                <w:color w:val="auto"/>
              </w:rPr>
              <w:t>exclusions</w:t>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5F97E08"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F64D0A7"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9A53EAE"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36272E6"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2DECBA7"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837A74D"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A1A0272"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641473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2DCC893" w14:textId="17F612F0"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B077E4C"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985341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62BB085"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51F9C35"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8B87871"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7F16311"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27238C0"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2F7F2B9"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D2755EE"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9188A8A"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D87C372"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C61DB29" w14:textId="77777777" w:rsidR="00A63675" w:rsidRPr="00DF1884" w:rsidRDefault="00A63675" w:rsidP="00932F29">
            <w:pPr>
              <w:pStyle w:val="TableText"/>
              <w:spacing w:before="30" w:after="30"/>
              <w:jc w:val="center"/>
              <w:rPr>
                <w:sz w:val="22"/>
                <w:szCs w:val="22"/>
              </w:rPr>
            </w:pPr>
          </w:p>
        </w:tc>
      </w:tr>
      <w:tr w:rsidR="00A63675" w:rsidRPr="00DF1884" w14:paraId="5288B6CD" w14:textId="77777777" w:rsidTr="00932F29">
        <w:tc>
          <w:tcPr>
            <w:tcW w:w="216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0" w:type="dxa"/>
            </w:tcMar>
            <w:vAlign w:val="center"/>
          </w:tcPr>
          <w:p w14:paraId="1C395A26" w14:textId="14ABDEC3" w:rsidR="00A63675" w:rsidRPr="00DF1884" w:rsidRDefault="00A63675" w:rsidP="00E9531F">
            <w:pPr>
              <w:pStyle w:val="TableHead"/>
              <w:spacing w:before="30" w:after="30"/>
              <w:jc w:val="left"/>
              <w:rPr>
                <w:b w:val="0"/>
                <w:color w:val="auto"/>
              </w:rPr>
            </w:pPr>
            <w:r w:rsidRPr="00DF1884">
              <w:rPr>
                <w:b w:val="0"/>
                <w:color w:val="auto"/>
              </w:rPr>
              <w:t>Required</w:t>
            </w:r>
            <w:r w:rsidR="00DF1884" w:rsidRPr="00DF1884">
              <w:rPr>
                <w:b w:val="0"/>
                <w:color w:val="auto"/>
              </w:rPr>
              <w:t xml:space="preserve"> </w:t>
            </w:r>
            <w:r w:rsidRPr="00DF1884">
              <w:rPr>
                <w:b w:val="0"/>
                <w:color w:val="auto"/>
              </w:rPr>
              <w:t>exclusions</w:t>
            </w: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F441F39"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36EA91E"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75AD4D0"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2A32580"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7E27597"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5C616B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B635EA6"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3F4FD3D" w14:textId="1DE46D62" w:rsidR="00A63675" w:rsidRPr="00DF1884" w:rsidRDefault="005F6BFB"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E32E829" w14:textId="21570F5C"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2014F47"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74B1D4C"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7AFE9E4"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2AC9E47"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340EA7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C6F23C2"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EBB851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AEEC037"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450E288"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E0F7277"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1A7313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6172F91" w14:textId="77777777" w:rsidR="00A63675" w:rsidRPr="00DF1884" w:rsidRDefault="00A63675" w:rsidP="00932F29">
            <w:pPr>
              <w:pStyle w:val="TableText"/>
              <w:spacing w:before="30" w:after="30"/>
              <w:jc w:val="center"/>
              <w:rPr>
                <w:sz w:val="22"/>
                <w:szCs w:val="22"/>
              </w:rPr>
            </w:pPr>
          </w:p>
        </w:tc>
      </w:tr>
      <w:tr w:rsidR="00A63675" w:rsidRPr="00DF1884" w14:paraId="6402513D" w14:textId="77777777" w:rsidTr="00932F29">
        <w:tc>
          <w:tcPr>
            <w:tcW w:w="216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0" w:type="dxa"/>
            </w:tcMar>
            <w:vAlign w:val="center"/>
          </w:tcPr>
          <w:p w14:paraId="61D9AA3E" w14:textId="7127AB1F" w:rsidR="00A63675" w:rsidRPr="00DF1884" w:rsidRDefault="00A63675" w:rsidP="00E9531F">
            <w:pPr>
              <w:pStyle w:val="TableHead"/>
              <w:spacing w:before="30" w:after="30"/>
              <w:jc w:val="left"/>
              <w:rPr>
                <w:b w:val="0"/>
                <w:color w:val="auto"/>
              </w:rPr>
            </w:pPr>
            <w:r w:rsidRPr="00DF1884">
              <w:rPr>
                <w:b w:val="0"/>
                <w:color w:val="auto"/>
              </w:rPr>
              <w:t>CE</w:t>
            </w:r>
            <w:r w:rsidR="00DF1884" w:rsidRPr="00DF1884">
              <w:rPr>
                <w:b w:val="0"/>
                <w:color w:val="auto"/>
              </w:rPr>
              <w:t xml:space="preserve"> </w:t>
            </w:r>
            <w:r w:rsidRPr="00DF1884">
              <w:rPr>
                <w:b w:val="0"/>
                <w:color w:val="auto"/>
              </w:rPr>
              <w:t>pre-MY</w:t>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664E935"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8538A8C"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7F6CCBD"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2194B1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F63C3A6"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155738D"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63E9D32"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DD15700"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B21711D" w14:textId="08A3C536"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CFD44B1"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B412E84"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EA24D4E"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37C6A87"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70F7191"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684AE2E"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B1AE0C5"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12DB909"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2207572"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24674D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3FC9766"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C48E83E" w14:textId="77777777" w:rsidR="00A63675" w:rsidRPr="00DF1884" w:rsidRDefault="00A63675" w:rsidP="00932F29">
            <w:pPr>
              <w:pStyle w:val="TableText"/>
              <w:spacing w:before="30" w:after="30"/>
              <w:jc w:val="center"/>
              <w:rPr>
                <w:sz w:val="22"/>
                <w:szCs w:val="22"/>
              </w:rPr>
            </w:pPr>
          </w:p>
        </w:tc>
      </w:tr>
      <w:tr w:rsidR="00A63675" w:rsidRPr="00DF1884" w14:paraId="68864E78" w14:textId="77777777" w:rsidTr="00932F29">
        <w:tc>
          <w:tcPr>
            <w:tcW w:w="216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0" w:type="dxa"/>
            </w:tcMar>
            <w:vAlign w:val="center"/>
          </w:tcPr>
          <w:p w14:paraId="47F36C46" w14:textId="454A3C53" w:rsidR="00A63675" w:rsidRPr="00DF1884" w:rsidRDefault="00A63675" w:rsidP="00E9531F">
            <w:pPr>
              <w:pStyle w:val="TableHead"/>
              <w:spacing w:before="30" w:after="30"/>
              <w:jc w:val="left"/>
              <w:rPr>
                <w:b w:val="0"/>
                <w:color w:val="auto"/>
              </w:rPr>
            </w:pPr>
            <w:r w:rsidRPr="00DF1884">
              <w:rPr>
                <w:b w:val="0"/>
                <w:color w:val="auto"/>
              </w:rPr>
              <w:t>Anchor</w:t>
            </w:r>
            <w:r w:rsidR="00DF1884" w:rsidRPr="00DF1884">
              <w:rPr>
                <w:b w:val="0"/>
                <w:color w:val="auto"/>
              </w:rPr>
              <w:t xml:space="preserve"> </w:t>
            </w:r>
            <w:r w:rsidRPr="00DF1884">
              <w:rPr>
                <w:b w:val="0"/>
                <w:color w:val="auto"/>
              </w:rPr>
              <w:t>date</w:t>
            </w: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08D8E79"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19F9804"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297A60C"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EC9F6F9"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514756A"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CE93DDF"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AF77019"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3677328" w14:textId="5F44FE79" w:rsidR="00A63675" w:rsidRPr="00DF1884" w:rsidRDefault="005F6BFB"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19451FC" w14:textId="33035F30"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21A27C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07416F2"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0A0F0BE"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9409705"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DEE672B"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DF8B9FB"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A03B876"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BC85E62"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0D9B570"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B124961"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795D0D9"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97A0107" w14:textId="77777777" w:rsidR="00A63675" w:rsidRPr="00DF1884" w:rsidRDefault="00A63675" w:rsidP="00932F29">
            <w:pPr>
              <w:pStyle w:val="TableText"/>
              <w:spacing w:before="30" w:after="30"/>
              <w:jc w:val="center"/>
              <w:rPr>
                <w:sz w:val="22"/>
                <w:szCs w:val="22"/>
              </w:rPr>
            </w:pPr>
          </w:p>
        </w:tc>
      </w:tr>
      <w:tr w:rsidR="00A63675" w:rsidRPr="00DF1884" w14:paraId="25772237" w14:textId="77777777" w:rsidTr="00932F29">
        <w:tc>
          <w:tcPr>
            <w:tcW w:w="216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0" w:type="dxa"/>
            </w:tcMar>
            <w:vAlign w:val="center"/>
          </w:tcPr>
          <w:p w14:paraId="037D4523" w14:textId="59E95F0F" w:rsidR="00A63675" w:rsidRPr="00DF1884" w:rsidRDefault="00A63675" w:rsidP="00E9531F">
            <w:pPr>
              <w:pStyle w:val="TableHead"/>
              <w:spacing w:before="30" w:after="30"/>
              <w:jc w:val="left"/>
              <w:rPr>
                <w:b w:val="0"/>
                <w:color w:val="auto"/>
              </w:rPr>
            </w:pPr>
            <w:r w:rsidRPr="00DF1884">
              <w:rPr>
                <w:b w:val="0"/>
                <w:color w:val="auto"/>
              </w:rPr>
              <w:t>MY</w:t>
            </w:r>
            <w:r w:rsidR="00DF1884" w:rsidRPr="00DF1884">
              <w:rPr>
                <w:b w:val="0"/>
                <w:color w:val="auto"/>
              </w:rPr>
              <w:t xml:space="preserve"> </w:t>
            </w:r>
            <w:r w:rsidRPr="00DF1884">
              <w:rPr>
                <w:b w:val="0"/>
                <w:color w:val="auto"/>
              </w:rPr>
              <w:t>+</w:t>
            </w:r>
            <w:r w:rsidR="00DF1884" w:rsidRPr="00DF1884">
              <w:rPr>
                <w:b w:val="0"/>
                <w:color w:val="auto"/>
              </w:rPr>
              <w:t xml:space="preserve"> </w:t>
            </w:r>
            <w:r w:rsidRPr="00DF1884">
              <w:rPr>
                <w:b w:val="0"/>
                <w:color w:val="auto"/>
              </w:rPr>
              <w:t>1</w:t>
            </w:r>
            <w:r w:rsidR="00DF1884" w:rsidRPr="00DF1884">
              <w:rPr>
                <w:b w:val="0"/>
                <w:color w:val="auto"/>
              </w:rPr>
              <w:t xml:space="preserve"> </w:t>
            </w:r>
            <w:r w:rsidRPr="00DF1884">
              <w:rPr>
                <w:b w:val="0"/>
                <w:color w:val="auto"/>
              </w:rPr>
              <w:t>year</w:t>
            </w:r>
            <w:r w:rsidR="00DF1884" w:rsidRPr="00DF1884">
              <w:rPr>
                <w:b w:val="0"/>
                <w:color w:val="auto"/>
              </w:rPr>
              <w:t xml:space="preserve"> </w:t>
            </w:r>
            <w:r w:rsidRPr="00DF1884">
              <w:rPr>
                <w:b w:val="0"/>
                <w:color w:val="auto"/>
              </w:rPr>
              <w:t>claims</w:t>
            </w:r>
            <w:r w:rsidR="00DF1884" w:rsidRPr="00DF1884">
              <w:rPr>
                <w:b w:val="0"/>
                <w:color w:val="auto"/>
              </w:rPr>
              <w:t xml:space="preserve"> </w:t>
            </w:r>
            <w:r w:rsidRPr="00DF1884">
              <w:rPr>
                <w:b w:val="0"/>
                <w:color w:val="auto"/>
              </w:rPr>
              <w:t>data</w:t>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7D206A2"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F557A86"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D4A4252"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4DEFCE2"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99853AD"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3CEEB11"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41CAF2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094F13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B77A1E3" w14:textId="52B97A48"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78A68F0"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3E8B98C"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222FB16"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30762EB"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D6AA8BC"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FD82C8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33231F5"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7B34CD7"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4977680"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1A9CE4A"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A5BB2CB"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AE6DB48"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r>
    </w:tbl>
    <w:p w14:paraId="622C715F" w14:textId="77777777" w:rsidR="00932F29" w:rsidRPr="000B204C" w:rsidRDefault="00932F29" w:rsidP="00932F29">
      <w:pPr>
        <w:pStyle w:val="TableText"/>
      </w:pPr>
      <w:r>
        <w:rPr>
          <w:vertAlign w:val="superscript"/>
        </w:rPr>
        <w:t>1</w:t>
      </w:r>
      <w:r>
        <w:t>For the required measures list, r</w:t>
      </w:r>
      <w:r w:rsidRPr="00DF1884">
        <w:t xml:space="preserve">efer to the </w:t>
      </w:r>
      <w:r>
        <w:t xml:space="preserve">annual CMS </w:t>
      </w:r>
      <w:r w:rsidRPr="00DF1884">
        <w:t>Reporting Requirements</w:t>
      </w:r>
      <w:r>
        <w:t xml:space="preserve"> memo.</w:t>
      </w:r>
    </w:p>
    <w:p w14:paraId="4AB63294" w14:textId="3B7AE672" w:rsidR="009604F5" w:rsidRPr="00DF1884" w:rsidRDefault="009604F5" w:rsidP="009604F5">
      <w:pPr>
        <w:spacing w:before="60"/>
        <w:sectPr w:rsidR="009604F5" w:rsidRPr="00DF1884" w:rsidSect="0003105D">
          <w:headerReference w:type="even" r:id="rId146"/>
          <w:pgSz w:w="15840" w:h="12240" w:orient="landscape"/>
          <w:pgMar w:top="1440" w:right="1080" w:bottom="1080" w:left="1080" w:header="720" w:footer="720" w:gutter="0"/>
          <w:cols w:space="720"/>
          <w:docGrid w:linePitch="360"/>
        </w:sectPr>
      </w:pPr>
    </w:p>
    <w:tbl>
      <w:tblPr>
        <w:tblW w:w="10098" w:type="dxa"/>
        <w:tblLayout w:type="fixed"/>
        <w:tblLook w:val="0000" w:firstRow="0" w:lastRow="0" w:firstColumn="0" w:lastColumn="0" w:noHBand="0" w:noVBand="0"/>
      </w:tblPr>
      <w:tblGrid>
        <w:gridCol w:w="2160"/>
        <w:gridCol w:w="378"/>
        <w:gridCol w:w="378"/>
        <w:gridCol w:w="378"/>
        <w:gridCol w:w="378"/>
        <w:gridCol w:w="378"/>
        <w:gridCol w:w="378"/>
        <w:gridCol w:w="378"/>
        <w:gridCol w:w="378"/>
        <w:gridCol w:w="378"/>
        <w:gridCol w:w="378"/>
        <w:gridCol w:w="378"/>
        <w:gridCol w:w="378"/>
        <w:gridCol w:w="378"/>
        <w:gridCol w:w="378"/>
        <w:gridCol w:w="378"/>
        <w:gridCol w:w="378"/>
        <w:gridCol w:w="378"/>
        <w:gridCol w:w="378"/>
        <w:gridCol w:w="378"/>
        <w:gridCol w:w="378"/>
        <w:gridCol w:w="378"/>
      </w:tblGrid>
      <w:tr w:rsidR="0003105D" w:rsidRPr="00DF1884" w14:paraId="26CD173A" w14:textId="77777777" w:rsidTr="003869BD">
        <w:trPr>
          <w:cantSplit/>
          <w:trHeight w:val="332"/>
        </w:trPr>
        <w:tc>
          <w:tcPr>
            <w:tcW w:w="10098" w:type="dxa"/>
            <w:gridSpan w:val="22"/>
            <w:tcBorders>
              <w:top w:val="single" w:sz="4" w:space="0" w:color="auto"/>
              <w:left w:val="single" w:sz="4" w:space="0" w:color="auto"/>
              <w:bottom w:val="single" w:sz="4" w:space="0" w:color="FFFFFF"/>
              <w:right w:val="single" w:sz="4" w:space="0" w:color="auto"/>
            </w:tcBorders>
            <w:shd w:val="clear" w:color="auto" w:fill="000000"/>
          </w:tcPr>
          <w:p w14:paraId="4ABF4529" w14:textId="2AB94E1E" w:rsidR="0003105D" w:rsidRPr="00DF1884" w:rsidRDefault="0003105D" w:rsidP="00E9531F">
            <w:pPr>
              <w:spacing w:before="40" w:after="40"/>
              <w:jc w:val="center"/>
            </w:pPr>
            <w:r w:rsidRPr="00DF1884">
              <w:rPr>
                <w:rFonts w:ascii="Arial Narrow Bold" w:hAnsi="Arial Narrow"/>
                <w:b/>
              </w:rPr>
              <w:t>HEALTH PLAN DESCRIPTIVE INFORMATION, HEALTH PLAN STABILITY AND SURVEY MEASURES</w:t>
            </w:r>
          </w:p>
        </w:tc>
      </w:tr>
      <w:tr w:rsidR="00A63675" w:rsidRPr="00DF1884" w14:paraId="783C355A" w14:textId="77777777" w:rsidTr="00A63675">
        <w:trPr>
          <w:cantSplit/>
          <w:trHeight w:val="576"/>
        </w:trPr>
        <w:tc>
          <w:tcPr>
            <w:tcW w:w="2160" w:type="dxa"/>
            <w:tcBorders>
              <w:top w:val="single" w:sz="4" w:space="0" w:color="FFFFFF"/>
              <w:left w:val="single" w:sz="6" w:space="0" w:color="auto"/>
              <w:bottom w:val="single" w:sz="6" w:space="0" w:color="auto"/>
              <w:right w:val="single" w:sz="6" w:space="0" w:color="FFFFFF"/>
            </w:tcBorders>
            <w:shd w:val="clear" w:color="auto" w:fill="000000"/>
            <w:tcMar>
              <w:left w:w="43" w:type="dxa"/>
              <w:right w:w="0" w:type="dxa"/>
            </w:tcMar>
            <w:vAlign w:val="bottom"/>
          </w:tcPr>
          <w:p w14:paraId="2500E40A" w14:textId="0FD0F7E1" w:rsidR="00A63675" w:rsidRPr="00DF1884" w:rsidRDefault="00A63675" w:rsidP="00E9531F">
            <w:pPr>
              <w:pStyle w:val="TableHead"/>
              <w:rPr>
                <w:color w:val="auto"/>
              </w:rPr>
            </w:pPr>
            <w:r w:rsidRPr="00DF1884">
              <w:rPr>
                <w:color w:val="auto"/>
                <w:sz w:val="18"/>
                <w:szCs w:val="18"/>
              </w:rPr>
              <w:br w:type="page"/>
            </w:r>
            <w:r w:rsidRPr="00DF1884">
              <w:rPr>
                <w:color w:val="auto"/>
              </w:rPr>
              <w:t>Logical</w:t>
            </w:r>
            <w:r w:rsidR="00DF1884" w:rsidRPr="00DF1884">
              <w:rPr>
                <w:color w:val="auto"/>
              </w:rPr>
              <w:t xml:space="preserve"> </w:t>
            </w:r>
            <w:r w:rsidRPr="00DF1884">
              <w:rPr>
                <w:color w:val="auto"/>
              </w:rPr>
              <w:t>Group</w:t>
            </w:r>
          </w:p>
        </w:tc>
        <w:tc>
          <w:tcPr>
            <w:tcW w:w="378" w:type="dxa"/>
            <w:tcBorders>
              <w:top w:val="single" w:sz="4" w:space="0" w:color="FFFFFF"/>
              <w:left w:val="single" w:sz="6" w:space="0" w:color="FFFFFF"/>
              <w:bottom w:val="single" w:sz="6" w:space="0" w:color="auto"/>
              <w:right w:val="single" w:sz="6" w:space="0" w:color="FFFFFF"/>
            </w:tcBorders>
            <w:shd w:val="clear" w:color="auto" w:fill="000000"/>
            <w:textDirection w:val="btLr"/>
            <w:vAlign w:val="center"/>
          </w:tcPr>
          <w:p w14:paraId="2E39108D" w14:textId="77777777" w:rsidR="00A63675" w:rsidRPr="00DF1884" w:rsidRDefault="00A63675" w:rsidP="00E9531F">
            <w:pPr>
              <w:pStyle w:val="TableHead"/>
              <w:spacing w:before="0" w:after="0"/>
              <w:ind w:left="29" w:right="115"/>
              <w:jc w:val="left"/>
              <w:rPr>
                <w:color w:val="auto"/>
              </w:rPr>
            </w:pPr>
            <w:r w:rsidRPr="00DF1884">
              <w:rPr>
                <w:color w:val="auto"/>
              </w:rPr>
              <w:t>BCR</w:t>
            </w:r>
          </w:p>
        </w:tc>
        <w:tc>
          <w:tcPr>
            <w:tcW w:w="378" w:type="dxa"/>
            <w:tcBorders>
              <w:top w:val="single" w:sz="4" w:space="0" w:color="FFFFFF"/>
              <w:left w:val="single" w:sz="6" w:space="0" w:color="FFFFFF"/>
              <w:bottom w:val="single" w:sz="6" w:space="0" w:color="auto"/>
              <w:right w:val="single" w:sz="6" w:space="0" w:color="FFFFFF"/>
            </w:tcBorders>
            <w:shd w:val="clear" w:color="auto" w:fill="000000"/>
            <w:textDirection w:val="btLr"/>
            <w:vAlign w:val="center"/>
          </w:tcPr>
          <w:p w14:paraId="5E3CBE8C" w14:textId="77777777" w:rsidR="00A63675" w:rsidRPr="00DF1884" w:rsidRDefault="00A63675" w:rsidP="00E9531F">
            <w:pPr>
              <w:pStyle w:val="TableHead"/>
              <w:spacing w:before="0" w:after="0"/>
              <w:ind w:left="29" w:right="115"/>
              <w:jc w:val="left"/>
              <w:rPr>
                <w:color w:val="auto"/>
              </w:rPr>
            </w:pPr>
            <w:r w:rsidRPr="00DF1884">
              <w:rPr>
                <w:color w:val="auto"/>
              </w:rPr>
              <w:t>ENP</w:t>
            </w:r>
          </w:p>
        </w:tc>
        <w:tc>
          <w:tcPr>
            <w:tcW w:w="378" w:type="dxa"/>
            <w:tcBorders>
              <w:top w:val="single" w:sz="4" w:space="0" w:color="FFFFFF"/>
              <w:left w:val="single" w:sz="6" w:space="0" w:color="FFFFFF"/>
              <w:bottom w:val="single" w:sz="6" w:space="0" w:color="auto"/>
              <w:right w:val="single" w:sz="6" w:space="0" w:color="FFFFFF"/>
            </w:tcBorders>
            <w:shd w:val="clear" w:color="auto" w:fill="000000"/>
            <w:textDirection w:val="btLr"/>
            <w:vAlign w:val="center"/>
          </w:tcPr>
          <w:p w14:paraId="5B66EC15" w14:textId="77777777" w:rsidR="00A63675" w:rsidRPr="00DF1884" w:rsidRDefault="00A63675" w:rsidP="00E9531F">
            <w:pPr>
              <w:pStyle w:val="TableHead"/>
              <w:spacing w:before="0" w:after="0"/>
              <w:ind w:left="29" w:right="115"/>
              <w:jc w:val="left"/>
              <w:rPr>
                <w:color w:val="auto"/>
              </w:rPr>
            </w:pPr>
            <w:r w:rsidRPr="00DF1884">
              <w:rPr>
                <w:color w:val="auto"/>
              </w:rPr>
              <w:t>EBS</w:t>
            </w:r>
          </w:p>
        </w:tc>
        <w:tc>
          <w:tcPr>
            <w:tcW w:w="378" w:type="dxa"/>
            <w:tcBorders>
              <w:top w:val="single" w:sz="4" w:space="0" w:color="FFFFFF"/>
              <w:left w:val="single" w:sz="6" w:space="0" w:color="FFFFFF"/>
              <w:bottom w:val="single" w:sz="6" w:space="0" w:color="auto"/>
              <w:right w:val="single" w:sz="6" w:space="0" w:color="FFFFFF"/>
            </w:tcBorders>
            <w:shd w:val="clear" w:color="auto" w:fill="000000"/>
            <w:textDirection w:val="btLr"/>
            <w:vAlign w:val="center"/>
          </w:tcPr>
          <w:p w14:paraId="167BB8B3" w14:textId="77777777" w:rsidR="00A63675" w:rsidRPr="00DF1884" w:rsidRDefault="00A63675" w:rsidP="00E9531F">
            <w:pPr>
              <w:pStyle w:val="TableHead"/>
              <w:spacing w:before="0" w:after="0"/>
              <w:ind w:left="29" w:right="115"/>
              <w:jc w:val="left"/>
              <w:rPr>
                <w:color w:val="auto"/>
              </w:rPr>
            </w:pPr>
            <w:r w:rsidRPr="00DF1884">
              <w:rPr>
                <w:color w:val="auto"/>
              </w:rPr>
              <w:t>LDM</w:t>
            </w:r>
          </w:p>
        </w:tc>
        <w:tc>
          <w:tcPr>
            <w:tcW w:w="378" w:type="dxa"/>
            <w:tcBorders>
              <w:top w:val="single" w:sz="4" w:space="0" w:color="FFFFFF"/>
              <w:left w:val="single" w:sz="6" w:space="0" w:color="FFFFFF"/>
              <w:bottom w:val="single" w:sz="6" w:space="0" w:color="auto"/>
              <w:right w:val="single" w:sz="6" w:space="0" w:color="FFFFFF"/>
            </w:tcBorders>
            <w:shd w:val="clear" w:color="auto" w:fill="000000"/>
            <w:textDirection w:val="btLr"/>
            <w:vAlign w:val="center"/>
          </w:tcPr>
          <w:p w14:paraId="2369610D" w14:textId="77777777" w:rsidR="00A63675" w:rsidRPr="00DF1884" w:rsidRDefault="00A63675" w:rsidP="00E9531F">
            <w:pPr>
              <w:pStyle w:val="TableHead"/>
              <w:spacing w:before="0" w:after="0"/>
              <w:ind w:left="29" w:right="115"/>
              <w:jc w:val="left"/>
              <w:rPr>
                <w:color w:val="auto"/>
              </w:rPr>
            </w:pPr>
            <w:r w:rsidRPr="00DF1884">
              <w:rPr>
                <w:color w:val="auto"/>
              </w:rPr>
              <w:t>RDM</w:t>
            </w:r>
          </w:p>
        </w:tc>
        <w:tc>
          <w:tcPr>
            <w:tcW w:w="378" w:type="dxa"/>
            <w:tcBorders>
              <w:top w:val="single" w:sz="4" w:space="0" w:color="FFFFFF"/>
              <w:left w:val="single" w:sz="6" w:space="0" w:color="FFFFFF"/>
              <w:bottom w:val="single" w:sz="6" w:space="0" w:color="auto"/>
              <w:right w:val="single" w:sz="6" w:space="0" w:color="FFFFFF"/>
            </w:tcBorders>
            <w:shd w:val="clear" w:color="auto" w:fill="000000"/>
            <w:textDirection w:val="btLr"/>
            <w:vAlign w:val="center"/>
          </w:tcPr>
          <w:p w14:paraId="1CBD0824" w14:textId="77777777" w:rsidR="00A63675" w:rsidRPr="00DF1884" w:rsidRDefault="00A63675" w:rsidP="00E9531F">
            <w:pPr>
              <w:pStyle w:val="TableHead"/>
              <w:spacing w:before="0" w:after="0"/>
              <w:ind w:left="29" w:right="115"/>
              <w:jc w:val="left"/>
              <w:rPr>
                <w:color w:val="auto"/>
              </w:rPr>
            </w:pPr>
            <w:r w:rsidRPr="00DF1884">
              <w:rPr>
                <w:color w:val="auto"/>
              </w:rPr>
              <w:t>WOP</w:t>
            </w:r>
          </w:p>
        </w:tc>
        <w:tc>
          <w:tcPr>
            <w:tcW w:w="378" w:type="dxa"/>
            <w:tcBorders>
              <w:top w:val="single" w:sz="4" w:space="0" w:color="FFFFFF"/>
              <w:left w:val="single" w:sz="6" w:space="0" w:color="FFFFFF"/>
              <w:bottom w:val="single" w:sz="6" w:space="0" w:color="auto"/>
              <w:right w:val="single" w:sz="6" w:space="0" w:color="FFFFFF"/>
            </w:tcBorders>
            <w:shd w:val="clear" w:color="auto" w:fill="000000"/>
            <w:textDirection w:val="btLr"/>
            <w:vAlign w:val="center"/>
          </w:tcPr>
          <w:p w14:paraId="1AEE0D72" w14:textId="77777777" w:rsidR="00A63675" w:rsidRPr="00DF1884" w:rsidRDefault="00A63675" w:rsidP="00E9531F">
            <w:pPr>
              <w:pStyle w:val="TableHead"/>
              <w:spacing w:before="0" w:after="0"/>
              <w:ind w:left="29" w:right="115"/>
              <w:jc w:val="left"/>
              <w:rPr>
                <w:color w:val="auto"/>
              </w:rPr>
            </w:pPr>
            <w:r w:rsidRPr="00DF1884">
              <w:rPr>
                <w:color w:val="auto"/>
              </w:rPr>
              <w:t>TLM</w:t>
            </w:r>
          </w:p>
        </w:tc>
        <w:tc>
          <w:tcPr>
            <w:tcW w:w="378" w:type="dxa"/>
            <w:tcBorders>
              <w:top w:val="single" w:sz="4" w:space="0" w:color="FFFFFF"/>
              <w:left w:val="single" w:sz="6" w:space="0" w:color="FFFFFF"/>
              <w:bottom w:val="single" w:sz="6" w:space="0" w:color="auto"/>
              <w:right w:val="single" w:sz="6" w:space="0" w:color="FFFFFF"/>
            </w:tcBorders>
            <w:shd w:val="clear" w:color="auto" w:fill="000000"/>
            <w:textDirection w:val="btLr"/>
          </w:tcPr>
          <w:p w14:paraId="62402E7C" w14:textId="357BCE8E" w:rsidR="00A63675" w:rsidRPr="00DF1884" w:rsidRDefault="005F6BFB" w:rsidP="00E9531F">
            <w:pPr>
              <w:pStyle w:val="TableHead"/>
              <w:spacing w:before="0" w:after="0"/>
              <w:ind w:left="29" w:right="115"/>
              <w:jc w:val="left"/>
              <w:rPr>
                <w:color w:val="auto"/>
              </w:rPr>
            </w:pPr>
            <w:r>
              <w:rPr>
                <w:color w:val="auto"/>
              </w:rPr>
              <w:t>DMS</w:t>
            </w:r>
          </w:p>
        </w:tc>
        <w:tc>
          <w:tcPr>
            <w:tcW w:w="378" w:type="dxa"/>
            <w:tcBorders>
              <w:top w:val="single" w:sz="4" w:space="0" w:color="FFFFFF"/>
              <w:left w:val="single" w:sz="6" w:space="0" w:color="FFFFFF"/>
              <w:bottom w:val="single" w:sz="6" w:space="0" w:color="auto"/>
              <w:right w:val="single" w:sz="6" w:space="0" w:color="FFFFFF"/>
            </w:tcBorders>
            <w:shd w:val="clear" w:color="auto" w:fill="000000"/>
            <w:textDirection w:val="btLr"/>
            <w:vAlign w:val="center"/>
          </w:tcPr>
          <w:p w14:paraId="39868304" w14:textId="2B046269" w:rsidR="00A63675" w:rsidRPr="00DF1884" w:rsidRDefault="00A63675" w:rsidP="00E9531F">
            <w:pPr>
              <w:pStyle w:val="TableHead"/>
              <w:spacing w:before="0" w:after="0"/>
              <w:ind w:left="29" w:right="115"/>
              <w:jc w:val="left"/>
              <w:rPr>
                <w:color w:val="auto"/>
              </w:rPr>
            </w:pPr>
            <w:r w:rsidRPr="00DF1884">
              <w:rPr>
                <w:color w:val="auto"/>
              </w:rPr>
              <w:t>HOS</w:t>
            </w:r>
          </w:p>
        </w:tc>
        <w:tc>
          <w:tcPr>
            <w:tcW w:w="378" w:type="dxa"/>
            <w:tcBorders>
              <w:top w:val="single" w:sz="4" w:space="0" w:color="FFFFFF"/>
              <w:left w:val="single" w:sz="6" w:space="0" w:color="FFFFFF"/>
              <w:bottom w:val="single" w:sz="6" w:space="0" w:color="auto"/>
              <w:right w:val="single" w:sz="6" w:space="0" w:color="FFFFFF"/>
            </w:tcBorders>
            <w:shd w:val="clear" w:color="auto" w:fill="000000"/>
            <w:textDirection w:val="btLr"/>
            <w:vAlign w:val="center"/>
          </w:tcPr>
          <w:p w14:paraId="785CF78F" w14:textId="77777777" w:rsidR="00A63675" w:rsidRPr="00DF1884" w:rsidRDefault="00A63675" w:rsidP="00E9531F">
            <w:pPr>
              <w:pStyle w:val="TableHead"/>
              <w:spacing w:before="0" w:after="0"/>
              <w:ind w:left="29" w:right="115"/>
              <w:jc w:val="left"/>
              <w:rPr>
                <w:color w:val="auto"/>
              </w:rPr>
            </w:pPr>
            <w:r w:rsidRPr="00DF1884">
              <w:rPr>
                <w:color w:val="auto"/>
              </w:rPr>
              <w:t>FRM</w:t>
            </w:r>
          </w:p>
        </w:tc>
        <w:tc>
          <w:tcPr>
            <w:tcW w:w="378" w:type="dxa"/>
            <w:tcBorders>
              <w:top w:val="single" w:sz="4" w:space="0" w:color="FFFFFF"/>
              <w:left w:val="single" w:sz="6" w:space="0" w:color="FFFFFF"/>
              <w:bottom w:val="single" w:sz="6" w:space="0" w:color="auto"/>
              <w:right w:val="single" w:sz="6" w:space="0" w:color="FFFFFF"/>
            </w:tcBorders>
            <w:shd w:val="clear" w:color="auto" w:fill="000000"/>
            <w:textDirection w:val="btLr"/>
            <w:vAlign w:val="center"/>
          </w:tcPr>
          <w:p w14:paraId="21921140" w14:textId="77777777" w:rsidR="00A63675" w:rsidRPr="00DF1884" w:rsidRDefault="00A63675" w:rsidP="00E9531F">
            <w:pPr>
              <w:pStyle w:val="TableHead"/>
              <w:spacing w:before="0" w:after="0"/>
              <w:ind w:left="29" w:right="115"/>
              <w:jc w:val="left"/>
              <w:rPr>
                <w:color w:val="auto"/>
              </w:rPr>
            </w:pPr>
            <w:r w:rsidRPr="00DF1884">
              <w:rPr>
                <w:color w:val="auto"/>
              </w:rPr>
              <w:t>MUI</w:t>
            </w:r>
          </w:p>
        </w:tc>
        <w:tc>
          <w:tcPr>
            <w:tcW w:w="378" w:type="dxa"/>
            <w:tcBorders>
              <w:top w:val="single" w:sz="4" w:space="0" w:color="FFFFFF"/>
              <w:left w:val="single" w:sz="6" w:space="0" w:color="FFFFFF"/>
              <w:bottom w:val="single" w:sz="6" w:space="0" w:color="auto"/>
              <w:right w:val="single" w:sz="4" w:space="0" w:color="FFFFFF"/>
            </w:tcBorders>
            <w:shd w:val="clear" w:color="auto" w:fill="000000"/>
            <w:textDirection w:val="btLr"/>
            <w:vAlign w:val="center"/>
          </w:tcPr>
          <w:p w14:paraId="7BAC9817" w14:textId="77777777" w:rsidR="00A63675" w:rsidRPr="00DF1884" w:rsidRDefault="00A63675" w:rsidP="00E9531F">
            <w:pPr>
              <w:pStyle w:val="TableHead"/>
              <w:spacing w:before="0" w:after="0"/>
              <w:ind w:left="29" w:right="115"/>
              <w:jc w:val="left"/>
              <w:rPr>
                <w:color w:val="auto"/>
              </w:rPr>
            </w:pPr>
            <w:r w:rsidRPr="00DF1884">
              <w:rPr>
                <w:color w:val="auto"/>
              </w:rPr>
              <w:t>OTO</w:t>
            </w:r>
          </w:p>
        </w:tc>
        <w:tc>
          <w:tcPr>
            <w:tcW w:w="378" w:type="dxa"/>
            <w:tcBorders>
              <w:top w:val="single" w:sz="4" w:space="0" w:color="FFFFFF"/>
              <w:left w:val="single" w:sz="4" w:space="0" w:color="FFFFFF"/>
              <w:bottom w:val="single" w:sz="6" w:space="0" w:color="auto"/>
              <w:right w:val="single" w:sz="4" w:space="0" w:color="FFFFFF"/>
            </w:tcBorders>
            <w:shd w:val="clear" w:color="auto" w:fill="000000"/>
            <w:textDirection w:val="btLr"/>
            <w:vAlign w:val="center"/>
          </w:tcPr>
          <w:p w14:paraId="2753B460" w14:textId="77777777" w:rsidR="00A63675" w:rsidRPr="00DF1884" w:rsidRDefault="00A63675" w:rsidP="00E9531F">
            <w:pPr>
              <w:pStyle w:val="TableHead"/>
              <w:spacing w:before="0" w:after="0"/>
              <w:ind w:left="29" w:right="115"/>
              <w:jc w:val="left"/>
              <w:rPr>
                <w:color w:val="auto"/>
              </w:rPr>
            </w:pPr>
            <w:r w:rsidRPr="00DF1884">
              <w:rPr>
                <w:color w:val="auto"/>
              </w:rPr>
              <w:t>PAO</w:t>
            </w:r>
          </w:p>
        </w:tc>
        <w:tc>
          <w:tcPr>
            <w:tcW w:w="378" w:type="dxa"/>
            <w:tcBorders>
              <w:top w:val="single" w:sz="4" w:space="0" w:color="FFFFFF"/>
              <w:left w:val="single" w:sz="4" w:space="0" w:color="FFFFFF"/>
              <w:bottom w:val="single" w:sz="6" w:space="0" w:color="auto"/>
              <w:right w:val="single" w:sz="4" w:space="0" w:color="FFFFFF"/>
            </w:tcBorders>
            <w:shd w:val="clear" w:color="auto" w:fill="000000"/>
            <w:textDirection w:val="btLr"/>
          </w:tcPr>
          <w:p w14:paraId="513B90D4" w14:textId="77777777" w:rsidR="00A63675" w:rsidRPr="00DF1884" w:rsidRDefault="00A63675" w:rsidP="00E9531F">
            <w:pPr>
              <w:pStyle w:val="TableHead"/>
              <w:spacing w:before="0" w:after="0"/>
              <w:ind w:left="29" w:right="115"/>
              <w:jc w:val="left"/>
              <w:rPr>
                <w:color w:val="auto"/>
              </w:rPr>
            </w:pPr>
            <w:r w:rsidRPr="00DF1884">
              <w:rPr>
                <w:color w:val="auto"/>
              </w:rPr>
              <w:t>ASP</w:t>
            </w:r>
          </w:p>
        </w:tc>
        <w:tc>
          <w:tcPr>
            <w:tcW w:w="378" w:type="dxa"/>
            <w:tcBorders>
              <w:top w:val="single" w:sz="4" w:space="0" w:color="FFFFFF"/>
              <w:left w:val="single" w:sz="4" w:space="0" w:color="FFFFFF"/>
              <w:bottom w:val="single" w:sz="6" w:space="0" w:color="auto"/>
              <w:right w:val="single" w:sz="4" w:space="0" w:color="FFFFFF"/>
            </w:tcBorders>
            <w:shd w:val="clear" w:color="auto" w:fill="000000"/>
            <w:textDirection w:val="btLr"/>
            <w:vAlign w:val="center"/>
          </w:tcPr>
          <w:p w14:paraId="752FF991" w14:textId="77777777" w:rsidR="00A63675" w:rsidRPr="00DF1884" w:rsidRDefault="00A63675" w:rsidP="00E9531F">
            <w:pPr>
              <w:pStyle w:val="TableHead"/>
              <w:spacing w:before="0" w:after="0"/>
              <w:ind w:left="29" w:right="115"/>
              <w:jc w:val="left"/>
              <w:rPr>
                <w:color w:val="auto"/>
              </w:rPr>
            </w:pPr>
            <w:r w:rsidRPr="00DF1884">
              <w:rPr>
                <w:color w:val="auto"/>
              </w:rPr>
              <w:t>FVA</w:t>
            </w:r>
          </w:p>
        </w:tc>
        <w:tc>
          <w:tcPr>
            <w:tcW w:w="378" w:type="dxa"/>
            <w:tcBorders>
              <w:top w:val="single" w:sz="4" w:space="0" w:color="FFFFFF"/>
              <w:left w:val="single" w:sz="4" w:space="0" w:color="FFFFFF"/>
              <w:bottom w:val="single" w:sz="6" w:space="0" w:color="auto"/>
              <w:right w:val="single" w:sz="4" w:space="0" w:color="FFFFFF"/>
            </w:tcBorders>
            <w:shd w:val="clear" w:color="auto" w:fill="000000"/>
            <w:textDirection w:val="btLr"/>
            <w:vAlign w:val="center"/>
          </w:tcPr>
          <w:p w14:paraId="4C8626BD" w14:textId="77777777" w:rsidR="00A63675" w:rsidRPr="00DF1884" w:rsidRDefault="00A63675" w:rsidP="00E9531F">
            <w:pPr>
              <w:pStyle w:val="TableHead"/>
              <w:spacing w:before="0" w:after="0"/>
              <w:ind w:left="29" w:right="115"/>
              <w:jc w:val="left"/>
              <w:rPr>
                <w:color w:val="auto"/>
              </w:rPr>
            </w:pPr>
            <w:r w:rsidRPr="00DF1884">
              <w:rPr>
                <w:color w:val="auto"/>
              </w:rPr>
              <w:t>FVO</w:t>
            </w:r>
          </w:p>
        </w:tc>
        <w:tc>
          <w:tcPr>
            <w:tcW w:w="378" w:type="dxa"/>
            <w:tcBorders>
              <w:top w:val="single" w:sz="4" w:space="0" w:color="FFFFFF"/>
              <w:left w:val="single" w:sz="4" w:space="0" w:color="FFFFFF"/>
              <w:bottom w:val="single" w:sz="6" w:space="0" w:color="auto"/>
              <w:right w:val="single" w:sz="4" w:space="0" w:color="FFFFFF"/>
            </w:tcBorders>
            <w:shd w:val="clear" w:color="auto" w:fill="000000"/>
            <w:textDirection w:val="btLr"/>
            <w:vAlign w:val="center"/>
          </w:tcPr>
          <w:p w14:paraId="5188EC43" w14:textId="77777777" w:rsidR="00A63675" w:rsidRPr="00DF1884" w:rsidRDefault="00A63675" w:rsidP="00E9531F">
            <w:pPr>
              <w:pStyle w:val="TableHead"/>
              <w:spacing w:before="0" w:after="0"/>
              <w:ind w:left="29" w:right="115"/>
              <w:jc w:val="left"/>
              <w:rPr>
                <w:color w:val="auto"/>
              </w:rPr>
            </w:pPr>
            <w:r w:rsidRPr="00DF1884">
              <w:rPr>
                <w:color w:val="auto"/>
              </w:rPr>
              <w:t>MSC</w:t>
            </w:r>
          </w:p>
        </w:tc>
        <w:tc>
          <w:tcPr>
            <w:tcW w:w="378" w:type="dxa"/>
            <w:tcBorders>
              <w:top w:val="single" w:sz="4" w:space="0" w:color="FFFFFF"/>
              <w:left w:val="single" w:sz="4" w:space="0" w:color="FFFFFF"/>
              <w:bottom w:val="single" w:sz="6" w:space="0" w:color="auto"/>
              <w:right w:val="single" w:sz="4" w:space="0" w:color="FFFFFF"/>
            </w:tcBorders>
            <w:shd w:val="clear" w:color="auto" w:fill="000000"/>
            <w:textDirection w:val="btLr"/>
            <w:vAlign w:val="center"/>
          </w:tcPr>
          <w:p w14:paraId="0CDCAABF" w14:textId="77777777" w:rsidR="00A63675" w:rsidRPr="00DF1884" w:rsidRDefault="00A63675" w:rsidP="00E9531F">
            <w:pPr>
              <w:pStyle w:val="TableHead"/>
              <w:spacing w:before="0" w:after="0"/>
              <w:ind w:left="29" w:right="115"/>
              <w:jc w:val="left"/>
              <w:rPr>
                <w:color w:val="auto"/>
              </w:rPr>
            </w:pPr>
            <w:r w:rsidRPr="00DF1884">
              <w:rPr>
                <w:color w:val="auto"/>
              </w:rPr>
              <w:t>PNU</w:t>
            </w:r>
          </w:p>
        </w:tc>
        <w:tc>
          <w:tcPr>
            <w:tcW w:w="378" w:type="dxa"/>
            <w:tcBorders>
              <w:top w:val="single" w:sz="4" w:space="0" w:color="FFFFFF"/>
              <w:left w:val="single" w:sz="4" w:space="0" w:color="FFFFFF"/>
              <w:bottom w:val="single" w:sz="6" w:space="0" w:color="auto"/>
              <w:right w:val="single" w:sz="4" w:space="0" w:color="FFFFFF"/>
            </w:tcBorders>
            <w:shd w:val="clear" w:color="auto" w:fill="000000"/>
            <w:textDirection w:val="btLr"/>
            <w:vAlign w:val="center"/>
          </w:tcPr>
          <w:p w14:paraId="088F2427" w14:textId="77777777" w:rsidR="00A63675" w:rsidRPr="00DF1884" w:rsidRDefault="00A63675" w:rsidP="00E9531F">
            <w:pPr>
              <w:pStyle w:val="TableHead"/>
              <w:spacing w:before="0" w:after="0"/>
              <w:ind w:left="29" w:right="115"/>
              <w:jc w:val="left"/>
              <w:rPr>
                <w:color w:val="auto"/>
              </w:rPr>
            </w:pPr>
            <w:r w:rsidRPr="00DF1884">
              <w:rPr>
                <w:color w:val="auto"/>
              </w:rPr>
              <w:t>CPA</w:t>
            </w:r>
          </w:p>
        </w:tc>
        <w:tc>
          <w:tcPr>
            <w:tcW w:w="378" w:type="dxa"/>
            <w:tcBorders>
              <w:top w:val="single" w:sz="4" w:space="0" w:color="FFFFFF"/>
              <w:left w:val="single" w:sz="4" w:space="0" w:color="FFFFFF"/>
              <w:bottom w:val="single" w:sz="6" w:space="0" w:color="auto"/>
              <w:right w:val="single" w:sz="4" w:space="0" w:color="FFFFFF"/>
            </w:tcBorders>
            <w:shd w:val="clear" w:color="auto" w:fill="000000"/>
            <w:textDirection w:val="btLr"/>
            <w:vAlign w:val="center"/>
          </w:tcPr>
          <w:p w14:paraId="766A9992" w14:textId="77777777" w:rsidR="00A63675" w:rsidRPr="00DF1884" w:rsidRDefault="00A63675" w:rsidP="00E9531F">
            <w:pPr>
              <w:pStyle w:val="TableHead"/>
              <w:spacing w:before="0" w:after="0"/>
              <w:ind w:left="29" w:right="115"/>
              <w:jc w:val="left"/>
              <w:rPr>
                <w:color w:val="auto"/>
              </w:rPr>
            </w:pPr>
            <w:r w:rsidRPr="00DF1884">
              <w:rPr>
                <w:color w:val="auto"/>
              </w:rPr>
              <w:t>CPC</w:t>
            </w:r>
          </w:p>
        </w:tc>
        <w:tc>
          <w:tcPr>
            <w:tcW w:w="378" w:type="dxa"/>
            <w:tcBorders>
              <w:top w:val="single" w:sz="4" w:space="0" w:color="FFFFFF"/>
              <w:left w:val="single" w:sz="4" w:space="0" w:color="FFFFFF"/>
              <w:bottom w:val="single" w:sz="6" w:space="0" w:color="auto"/>
              <w:right w:val="single" w:sz="6" w:space="0" w:color="auto"/>
            </w:tcBorders>
            <w:shd w:val="clear" w:color="auto" w:fill="000000"/>
            <w:textDirection w:val="btLr"/>
            <w:vAlign w:val="center"/>
          </w:tcPr>
          <w:p w14:paraId="72927916" w14:textId="77777777" w:rsidR="00A63675" w:rsidRPr="00DF1884" w:rsidRDefault="00A63675" w:rsidP="00E9531F">
            <w:pPr>
              <w:pStyle w:val="TableHead"/>
              <w:spacing w:before="0" w:after="0"/>
              <w:ind w:left="29" w:right="115"/>
              <w:jc w:val="left"/>
              <w:rPr>
                <w:color w:val="auto"/>
              </w:rPr>
            </w:pPr>
            <w:r w:rsidRPr="00DF1884">
              <w:rPr>
                <w:color w:val="auto"/>
              </w:rPr>
              <w:t>CCC</w:t>
            </w:r>
          </w:p>
        </w:tc>
      </w:tr>
      <w:tr w:rsidR="00A63675" w:rsidRPr="00DF1884" w14:paraId="5B3653FB" w14:textId="77777777" w:rsidTr="00932F29">
        <w:tc>
          <w:tcPr>
            <w:tcW w:w="216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0" w:type="dxa"/>
            </w:tcMar>
            <w:vAlign w:val="center"/>
          </w:tcPr>
          <w:p w14:paraId="38D7C158" w14:textId="29B6F1B3" w:rsidR="00A63675" w:rsidRPr="00DF1884" w:rsidRDefault="00A63675" w:rsidP="00E9531F">
            <w:pPr>
              <w:pStyle w:val="TableHead"/>
              <w:spacing w:before="30" w:after="30"/>
              <w:jc w:val="left"/>
              <w:rPr>
                <w:b w:val="0"/>
                <w:color w:val="auto"/>
              </w:rPr>
            </w:pPr>
            <w:r w:rsidRPr="00DF1884">
              <w:rPr>
                <w:b w:val="0"/>
                <w:color w:val="auto"/>
              </w:rPr>
              <w:t>At</w:t>
            </w:r>
            <w:r w:rsidR="00DF1884" w:rsidRPr="00DF1884">
              <w:rPr>
                <w:b w:val="0"/>
                <w:color w:val="auto"/>
              </w:rPr>
              <w:t xml:space="preserve"> </w:t>
            </w:r>
            <w:r w:rsidRPr="00DF1884">
              <w:rPr>
                <w:b w:val="0"/>
                <w:color w:val="auto"/>
              </w:rPr>
              <w:t>least</w:t>
            </w:r>
            <w:r w:rsidR="00DF1884" w:rsidRPr="00DF1884">
              <w:rPr>
                <w:b w:val="0"/>
                <w:color w:val="auto"/>
              </w:rPr>
              <w:t xml:space="preserve"> </w:t>
            </w:r>
            <w:r w:rsidRPr="00DF1884">
              <w:rPr>
                <w:b w:val="0"/>
                <w:color w:val="auto"/>
              </w:rPr>
              <w:t>MY</w:t>
            </w:r>
            <w:r w:rsidR="00DF1884" w:rsidRPr="00DF1884">
              <w:rPr>
                <w:b w:val="0"/>
                <w:color w:val="auto"/>
              </w:rPr>
              <w:t xml:space="preserve"> </w:t>
            </w:r>
            <w:r w:rsidRPr="00DF1884">
              <w:rPr>
                <w:b w:val="0"/>
                <w:color w:val="auto"/>
              </w:rPr>
              <w:t>+</w:t>
            </w:r>
            <w:r w:rsidR="00DF1884" w:rsidRPr="00DF1884">
              <w:rPr>
                <w:b w:val="0"/>
                <w:color w:val="auto"/>
              </w:rPr>
              <w:t xml:space="preserve"> </w:t>
            </w:r>
            <w:r w:rsidRPr="00DF1884">
              <w:rPr>
                <w:b w:val="0"/>
                <w:color w:val="auto"/>
              </w:rPr>
              <w:t>2</w:t>
            </w:r>
            <w:r w:rsidR="00DF1884" w:rsidRPr="00DF1884">
              <w:rPr>
                <w:b w:val="0"/>
                <w:color w:val="auto"/>
              </w:rPr>
              <w:t xml:space="preserve"> </w:t>
            </w:r>
            <w:r w:rsidRPr="00DF1884">
              <w:rPr>
                <w:b w:val="0"/>
                <w:color w:val="auto"/>
              </w:rPr>
              <w:t>years</w:t>
            </w:r>
            <w:r w:rsidR="00DF1884" w:rsidRPr="00DF1884">
              <w:rPr>
                <w:b w:val="0"/>
                <w:color w:val="auto"/>
              </w:rPr>
              <w:t xml:space="preserve"> </w:t>
            </w:r>
            <w:r w:rsidRPr="00DF1884">
              <w:rPr>
                <w:b w:val="0"/>
                <w:color w:val="auto"/>
              </w:rPr>
              <w:t>claims</w:t>
            </w:r>
            <w:r w:rsidR="00DF1884" w:rsidRPr="00DF1884">
              <w:rPr>
                <w:b w:val="0"/>
                <w:color w:val="auto"/>
              </w:rPr>
              <w:t xml:space="preserve"> </w:t>
            </w:r>
            <w:r w:rsidRPr="00DF1884">
              <w:rPr>
                <w:b w:val="0"/>
                <w:color w:val="auto"/>
              </w:rPr>
              <w:t>data</w:t>
            </w: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8212C5A"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BAF5B4D"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14E744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9D0E4A6"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DE087F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9CE3DB7"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8228DE4"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92AFFEB"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0AA39B2" w14:textId="53442ACE"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D7441A5"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0074AEE"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2D26D32"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DB3DDC0"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84EC646"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11935C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F303482"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75B41AE"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2F3A3F9"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7E679A6"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FD5A841"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2A47C02" w14:textId="77777777" w:rsidR="00A63675" w:rsidRPr="00DF1884" w:rsidRDefault="00A63675" w:rsidP="00932F29">
            <w:pPr>
              <w:pStyle w:val="TableText"/>
              <w:spacing w:before="30" w:after="30"/>
              <w:jc w:val="center"/>
              <w:rPr>
                <w:sz w:val="22"/>
                <w:szCs w:val="22"/>
              </w:rPr>
            </w:pPr>
          </w:p>
        </w:tc>
      </w:tr>
      <w:tr w:rsidR="00A63675" w:rsidRPr="00DF1884" w14:paraId="1025542B" w14:textId="77777777" w:rsidTr="00932F29">
        <w:tc>
          <w:tcPr>
            <w:tcW w:w="216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0" w:type="dxa"/>
            </w:tcMar>
            <w:vAlign w:val="center"/>
          </w:tcPr>
          <w:p w14:paraId="4E40BCAB" w14:textId="77777777" w:rsidR="00A63675" w:rsidRPr="00DF1884" w:rsidRDefault="00A63675" w:rsidP="00E9531F">
            <w:pPr>
              <w:pStyle w:val="TableHead"/>
              <w:spacing w:before="30" w:after="30"/>
              <w:jc w:val="left"/>
              <w:rPr>
                <w:b w:val="0"/>
                <w:color w:val="auto"/>
              </w:rPr>
            </w:pPr>
            <w:r w:rsidRPr="00DF1884">
              <w:rPr>
                <w:b w:val="0"/>
                <w:color w:val="auto"/>
              </w:rPr>
              <w:t>Hybrid</w:t>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492C8F6"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E343ADE"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4C324A7"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D61D18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CAF8D4B"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5CC5614"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B0F2352"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2F90C0D"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ECAC367" w14:textId="01A8C779"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3B70C41"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05DD82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B3B29E2"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7C2C6C1"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64F9321"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5CC61F5"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CD6CF57"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7DD268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A1CE96E"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234049D"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0A1EB34"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EC90082" w14:textId="77777777" w:rsidR="00A63675" w:rsidRPr="00DF1884" w:rsidRDefault="00A63675" w:rsidP="00932F29">
            <w:pPr>
              <w:pStyle w:val="TableText"/>
              <w:spacing w:before="30" w:after="30"/>
              <w:jc w:val="center"/>
              <w:rPr>
                <w:sz w:val="22"/>
                <w:szCs w:val="22"/>
              </w:rPr>
            </w:pPr>
          </w:p>
        </w:tc>
      </w:tr>
      <w:tr w:rsidR="005F6BFB" w:rsidRPr="00DF1884" w14:paraId="1E630C64" w14:textId="77777777" w:rsidTr="002B761F">
        <w:tc>
          <w:tcPr>
            <w:tcW w:w="216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0" w:type="dxa"/>
            </w:tcMar>
            <w:vAlign w:val="center"/>
          </w:tcPr>
          <w:p w14:paraId="5962FC12" w14:textId="58DF0FD9" w:rsidR="005F6BFB" w:rsidRPr="00DF1884" w:rsidRDefault="005F6BFB" w:rsidP="00E9531F">
            <w:pPr>
              <w:pStyle w:val="TableHead"/>
              <w:spacing w:before="30" w:after="30"/>
              <w:jc w:val="left"/>
              <w:rPr>
                <w:b w:val="0"/>
                <w:color w:val="auto"/>
              </w:rPr>
            </w:pPr>
            <w:r>
              <w:rPr>
                <w:b w:val="0"/>
                <w:color w:val="auto"/>
              </w:rPr>
              <w:t>Electronic Clinical Data Systems</w:t>
            </w: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56D12AF" w14:textId="77777777" w:rsidR="005F6BFB" w:rsidRPr="00DF1884" w:rsidRDefault="005F6BFB"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4729CBE" w14:textId="77777777" w:rsidR="005F6BFB" w:rsidRPr="00DF1884" w:rsidRDefault="005F6BFB"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BF3DE58" w14:textId="77777777" w:rsidR="005F6BFB" w:rsidRPr="00DF1884" w:rsidRDefault="005F6BFB"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5A5AE16" w14:textId="77777777" w:rsidR="005F6BFB" w:rsidRPr="00DF1884" w:rsidRDefault="005F6BFB"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0144CD9" w14:textId="77777777" w:rsidR="005F6BFB" w:rsidRPr="00DF1884" w:rsidRDefault="005F6BFB"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5D4E5EA" w14:textId="77777777" w:rsidR="005F6BFB" w:rsidRPr="00DF1884" w:rsidRDefault="005F6BFB"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3852DFC" w14:textId="77777777" w:rsidR="005F6BFB" w:rsidRPr="00DF1884" w:rsidRDefault="005F6BFB"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741C649" w14:textId="006FE887" w:rsidR="005F6BFB" w:rsidRPr="00DF1884" w:rsidRDefault="005F6BFB"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16098AB" w14:textId="77777777" w:rsidR="005F6BFB" w:rsidRPr="00DF1884" w:rsidRDefault="005F6BFB"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1CD89CD" w14:textId="77777777" w:rsidR="005F6BFB" w:rsidRPr="00DF1884" w:rsidRDefault="005F6BFB"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52C415C" w14:textId="77777777" w:rsidR="005F6BFB" w:rsidRPr="00DF1884" w:rsidRDefault="005F6BFB"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DD42FA0" w14:textId="77777777" w:rsidR="005F6BFB" w:rsidRPr="00DF1884" w:rsidRDefault="005F6BFB"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033F8B9" w14:textId="77777777" w:rsidR="005F6BFB" w:rsidRPr="00DF1884" w:rsidRDefault="005F6BFB"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4D9A4C0" w14:textId="77777777" w:rsidR="005F6BFB" w:rsidRPr="00DF1884" w:rsidRDefault="005F6BFB"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C9247E5" w14:textId="77777777" w:rsidR="005F6BFB" w:rsidRPr="00DF1884" w:rsidRDefault="005F6BFB"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2DCF67B" w14:textId="77777777" w:rsidR="005F6BFB" w:rsidRPr="00DF1884" w:rsidRDefault="005F6BFB"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1E8A1CE" w14:textId="77777777" w:rsidR="005F6BFB" w:rsidRPr="00DF1884" w:rsidRDefault="005F6BFB"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4941C80" w14:textId="77777777" w:rsidR="005F6BFB" w:rsidRPr="00DF1884" w:rsidRDefault="005F6BFB"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1162AFA" w14:textId="77777777" w:rsidR="005F6BFB" w:rsidRPr="00DF1884" w:rsidRDefault="005F6BFB"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A7B8672" w14:textId="77777777" w:rsidR="005F6BFB" w:rsidRPr="00DF1884" w:rsidRDefault="005F6BFB"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FE1A425" w14:textId="77777777" w:rsidR="005F6BFB" w:rsidRPr="00DF1884" w:rsidRDefault="005F6BFB" w:rsidP="00932F29">
            <w:pPr>
              <w:pStyle w:val="TableText"/>
              <w:spacing w:before="30" w:after="30"/>
              <w:jc w:val="center"/>
              <w:rPr>
                <w:sz w:val="22"/>
                <w:szCs w:val="22"/>
              </w:rPr>
            </w:pPr>
          </w:p>
        </w:tc>
      </w:tr>
      <w:tr w:rsidR="00A63675" w:rsidRPr="00DF1884" w14:paraId="7F65558D" w14:textId="77777777" w:rsidTr="002B761F">
        <w:tc>
          <w:tcPr>
            <w:tcW w:w="216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0" w:type="dxa"/>
            </w:tcMar>
            <w:vAlign w:val="center"/>
          </w:tcPr>
          <w:p w14:paraId="031AC067" w14:textId="43C0722C" w:rsidR="00A63675" w:rsidRPr="00DF1884" w:rsidRDefault="00A63675" w:rsidP="00E9531F">
            <w:pPr>
              <w:pStyle w:val="TableHead"/>
              <w:spacing w:before="30" w:after="30"/>
              <w:jc w:val="left"/>
              <w:rPr>
                <w:b w:val="0"/>
                <w:color w:val="auto"/>
              </w:rPr>
            </w:pPr>
            <w:r w:rsidRPr="00DF1884">
              <w:rPr>
                <w:b w:val="0"/>
                <w:color w:val="auto"/>
              </w:rPr>
              <w:t>Inpatient</w:t>
            </w:r>
            <w:r w:rsidR="00DF1884" w:rsidRPr="00DF1884">
              <w:rPr>
                <w:b w:val="0"/>
                <w:color w:val="auto"/>
              </w:rPr>
              <w:t xml:space="preserve"> </w:t>
            </w:r>
            <w:r w:rsidRPr="00DF1884">
              <w:rPr>
                <w:b w:val="0"/>
                <w:color w:val="auto"/>
              </w:rPr>
              <w:t>claims</w:t>
            </w:r>
            <w:r w:rsidR="00DF1884" w:rsidRPr="00DF1884">
              <w:rPr>
                <w:b w:val="0"/>
                <w:color w:val="auto"/>
              </w:rPr>
              <w:t xml:space="preserve"> </w:t>
            </w:r>
            <w:r w:rsidRPr="00DF1884">
              <w:rPr>
                <w:b w:val="0"/>
                <w:color w:val="auto"/>
              </w:rPr>
              <w:t>data</w:t>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453ED89"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2CC6A81"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71E9727"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B998729"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BE3217C"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38879F8"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5BC1CD4"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B61803C"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CAA9C8D" w14:textId="6750372C"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8449527"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A1AE164"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445AC91"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FFA1E74"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96F119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501E82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534F3E5"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B7D6119"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402CBC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A5181DE"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3EFE7EE"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5A17DD6" w14:textId="77777777" w:rsidR="00A63675" w:rsidRPr="00DF1884" w:rsidRDefault="00A63675" w:rsidP="00932F29">
            <w:pPr>
              <w:pStyle w:val="TableText"/>
              <w:spacing w:before="30" w:after="30"/>
              <w:jc w:val="center"/>
              <w:rPr>
                <w:sz w:val="22"/>
                <w:szCs w:val="22"/>
              </w:rPr>
            </w:pPr>
          </w:p>
        </w:tc>
      </w:tr>
      <w:tr w:rsidR="00A63675" w:rsidRPr="00DF1884" w14:paraId="7FD8684F" w14:textId="77777777" w:rsidTr="002B761F">
        <w:tc>
          <w:tcPr>
            <w:tcW w:w="216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0" w:type="dxa"/>
            </w:tcMar>
            <w:vAlign w:val="center"/>
          </w:tcPr>
          <w:p w14:paraId="6D90081E" w14:textId="27ECE356" w:rsidR="00A63675" w:rsidRPr="00DF1884" w:rsidRDefault="00A63675" w:rsidP="00E9531F">
            <w:pPr>
              <w:pStyle w:val="TableHead"/>
              <w:spacing w:before="30" w:after="30"/>
              <w:jc w:val="left"/>
              <w:rPr>
                <w:b w:val="0"/>
                <w:color w:val="auto"/>
              </w:rPr>
            </w:pPr>
            <w:r w:rsidRPr="00DF1884">
              <w:rPr>
                <w:b w:val="0"/>
                <w:color w:val="auto"/>
              </w:rPr>
              <w:t>V</w:t>
            </w:r>
            <w:r w:rsidR="00DF1884" w:rsidRPr="00DF1884">
              <w:rPr>
                <w:b w:val="0"/>
                <w:color w:val="auto"/>
              </w:rPr>
              <w:t xml:space="preserve"> </w:t>
            </w:r>
            <w:r w:rsidRPr="00DF1884">
              <w:rPr>
                <w:b w:val="0"/>
                <w:color w:val="auto"/>
              </w:rPr>
              <w:t>codes</w:t>
            </w: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9945784"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AEE3D17"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0AA88E8"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952CED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8D54460"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8AD0668"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0DB98C1"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454E73A"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37FD6D8" w14:textId="36812AD4"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A61CED2"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5483605"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E4D55B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7DDA5D8"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D302602"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B2F1310"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7FB1BDD"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768B8F7"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78CA0BE"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8FF57AA"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6D2E8E7"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43DBF14" w14:textId="77777777" w:rsidR="00A63675" w:rsidRPr="00DF1884" w:rsidRDefault="00A63675" w:rsidP="00932F29">
            <w:pPr>
              <w:pStyle w:val="TableText"/>
              <w:spacing w:before="30" w:after="30"/>
              <w:jc w:val="center"/>
              <w:rPr>
                <w:sz w:val="22"/>
                <w:szCs w:val="22"/>
              </w:rPr>
            </w:pPr>
          </w:p>
        </w:tc>
      </w:tr>
      <w:tr w:rsidR="00A63675" w:rsidRPr="00DF1884" w14:paraId="5B93D4DF" w14:textId="77777777" w:rsidTr="002B761F">
        <w:tc>
          <w:tcPr>
            <w:tcW w:w="216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0" w:type="dxa"/>
            </w:tcMar>
            <w:vAlign w:val="center"/>
          </w:tcPr>
          <w:p w14:paraId="2C269D41" w14:textId="5B21A86F" w:rsidR="00A63675" w:rsidRPr="00DF1884" w:rsidRDefault="00A63675" w:rsidP="00E9531F">
            <w:pPr>
              <w:pStyle w:val="TableHead"/>
              <w:spacing w:before="30" w:after="30"/>
              <w:jc w:val="left"/>
              <w:rPr>
                <w:b w:val="0"/>
                <w:color w:val="auto"/>
              </w:rPr>
            </w:pPr>
            <w:r w:rsidRPr="00DF1884">
              <w:rPr>
                <w:b w:val="0"/>
                <w:color w:val="auto"/>
              </w:rPr>
              <w:t>Rev</w:t>
            </w:r>
            <w:r w:rsidR="00DF1884" w:rsidRPr="00DF1884">
              <w:rPr>
                <w:b w:val="0"/>
                <w:color w:val="auto"/>
              </w:rPr>
              <w:t xml:space="preserve"> </w:t>
            </w:r>
            <w:r w:rsidRPr="00DF1884">
              <w:rPr>
                <w:b w:val="0"/>
                <w:color w:val="auto"/>
              </w:rPr>
              <w:t>codes</w:t>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06B9882"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AC6A186"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12F538A"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FA4C860"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FA7CC4A"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354FC50"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E60633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E40F088" w14:textId="15F7AA96" w:rsidR="00A63675" w:rsidRPr="00DF1884" w:rsidRDefault="008205F0"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2CA8913" w14:textId="1837583E"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EF966C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0E9E2EC"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7B35BC4"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6D4347D"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5EE616D"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51C470B"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8DE76E4"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983F971"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705647B"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4EC82E5"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0667E95"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712E97A"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r>
      <w:tr w:rsidR="00A63675" w:rsidRPr="00DF1884" w14:paraId="430021DB" w14:textId="77777777" w:rsidTr="002B761F">
        <w:tc>
          <w:tcPr>
            <w:tcW w:w="216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0" w:type="dxa"/>
            </w:tcMar>
            <w:vAlign w:val="center"/>
          </w:tcPr>
          <w:p w14:paraId="515A49E6" w14:textId="1666513F" w:rsidR="00A63675" w:rsidRPr="00DF1884" w:rsidRDefault="00A63675" w:rsidP="00E9531F">
            <w:pPr>
              <w:pStyle w:val="TableHead"/>
              <w:spacing w:before="30" w:after="30"/>
              <w:jc w:val="left"/>
              <w:rPr>
                <w:b w:val="0"/>
                <w:color w:val="auto"/>
              </w:rPr>
            </w:pPr>
            <w:r w:rsidRPr="00DF1884">
              <w:rPr>
                <w:b w:val="0"/>
                <w:color w:val="auto"/>
              </w:rPr>
              <w:t>POS</w:t>
            </w:r>
            <w:r w:rsidR="00DF1884" w:rsidRPr="00DF1884">
              <w:rPr>
                <w:b w:val="0"/>
                <w:color w:val="auto"/>
              </w:rPr>
              <w:t xml:space="preserve"> </w:t>
            </w:r>
            <w:r w:rsidRPr="00DF1884">
              <w:rPr>
                <w:b w:val="0"/>
                <w:color w:val="auto"/>
              </w:rPr>
              <w:t>codes</w:t>
            </w: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FD1E30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2007C8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7B55AB2"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36545D8"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F353E84"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8AC3FFE"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31FDEA6"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45F80DC"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8AD44F2" w14:textId="3C58591D"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A3ACC0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CB3349C"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1F64AB9"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09D4D08"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DA12419"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9F284AE"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7D910DA"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D686EF7"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A759F31"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D69141D"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335530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FBE4F96"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r>
      <w:tr w:rsidR="00A63675" w:rsidRPr="00DF1884" w14:paraId="7F32EA02" w14:textId="77777777" w:rsidTr="002B761F">
        <w:tc>
          <w:tcPr>
            <w:tcW w:w="216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0" w:type="dxa"/>
            </w:tcMar>
            <w:vAlign w:val="center"/>
          </w:tcPr>
          <w:p w14:paraId="771FABD7" w14:textId="4E7A6219" w:rsidR="00A63675" w:rsidRPr="00DF1884" w:rsidRDefault="00A63675" w:rsidP="00E9531F">
            <w:pPr>
              <w:pStyle w:val="TableHead"/>
              <w:spacing w:before="30" w:after="30"/>
              <w:jc w:val="left"/>
              <w:rPr>
                <w:b w:val="0"/>
                <w:color w:val="auto"/>
              </w:rPr>
            </w:pPr>
            <w:r w:rsidRPr="00DF1884">
              <w:rPr>
                <w:b w:val="0"/>
                <w:color w:val="auto"/>
              </w:rPr>
              <w:t>TOB</w:t>
            </w:r>
            <w:r w:rsidR="00DF1884" w:rsidRPr="00DF1884">
              <w:rPr>
                <w:b w:val="0"/>
                <w:color w:val="auto"/>
              </w:rPr>
              <w:t xml:space="preserve"> </w:t>
            </w:r>
            <w:r w:rsidRPr="00DF1884">
              <w:rPr>
                <w:b w:val="0"/>
                <w:color w:val="auto"/>
              </w:rPr>
              <w:t>codes</w:t>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5105CC8"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FC419EE"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1239EEC"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E9486F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309C921"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975E14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A518A3C"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279BAC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5310746" w14:textId="7EDF2ACB"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4F0DC59"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7422CF5"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0C378B1"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5F9CEED"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B8455E2"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EDF80BD"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F5AB0F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544F46A"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1614ED1"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D196644"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2751D57"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1F355E4" w14:textId="77777777" w:rsidR="00A63675" w:rsidRPr="00DF1884" w:rsidRDefault="00A63675" w:rsidP="00932F29">
            <w:pPr>
              <w:pStyle w:val="TableText"/>
              <w:spacing w:before="30" w:after="30"/>
              <w:jc w:val="center"/>
              <w:rPr>
                <w:sz w:val="22"/>
                <w:szCs w:val="22"/>
              </w:rPr>
            </w:pPr>
          </w:p>
        </w:tc>
      </w:tr>
      <w:tr w:rsidR="00A63675" w:rsidRPr="00DF1884" w14:paraId="5A13821C" w14:textId="77777777" w:rsidTr="002B761F">
        <w:tc>
          <w:tcPr>
            <w:tcW w:w="216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0" w:type="dxa"/>
            </w:tcMar>
            <w:vAlign w:val="center"/>
          </w:tcPr>
          <w:p w14:paraId="5F485B4A" w14:textId="77777777" w:rsidR="00A63675" w:rsidRPr="00DF1884" w:rsidRDefault="00A63675" w:rsidP="00E9531F">
            <w:pPr>
              <w:pStyle w:val="TableHead"/>
              <w:spacing w:before="30" w:after="30"/>
              <w:jc w:val="left"/>
              <w:rPr>
                <w:b w:val="0"/>
                <w:color w:val="auto"/>
              </w:rPr>
            </w:pPr>
            <w:r w:rsidRPr="00DF1884">
              <w:rPr>
                <w:b w:val="0"/>
                <w:color w:val="auto"/>
              </w:rPr>
              <w:t>DRGs</w:t>
            </w: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5E31CCB"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4D47BB4"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69A67DC"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C8F10A0"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77DC2A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EA29774"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E991BD9"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D2602B7"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2CE4473" w14:textId="22FE9EFD"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E24C9EA"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463038D"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58C277E"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CD3DC9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6C1B80A"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0BE19CB"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7F0697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D0C049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1187AA2"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3255CD0"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B6667BC"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2A68A46" w14:textId="77777777" w:rsidR="00A63675" w:rsidRPr="00DF1884" w:rsidRDefault="00A63675" w:rsidP="00932F29">
            <w:pPr>
              <w:pStyle w:val="TableText"/>
              <w:spacing w:before="30" w:after="30"/>
              <w:jc w:val="center"/>
              <w:rPr>
                <w:sz w:val="22"/>
                <w:szCs w:val="22"/>
              </w:rPr>
            </w:pPr>
          </w:p>
        </w:tc>
      </w:tr>
      <w:tr w:rsidR="00A63675" w:rsidRPr="00DF1884" w14:paraId="2B7D9141" w14:textId="77777777" w:rsidTr="002B761F">
        <w:tc>
          <w:tcPr>
            <w:tcW w:w="216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0" w:type="dxa"/>
            </w:tcMar>
            <w:vAlign w:val="center"/>
          </w:tcPr>
          <w:p w14:paraId="39734E7B" w14:textId="7E0D0FD5" w:rsidR="00A63675" w:rsidRPr="00DF1884" w:rsidRDefault="00A63675" w:rsidP="00E9531F">
            <w:pPr>
              <w:pStyle w:val="TableHead"/>
              <w:spacing w:before="30" w:after="30"/>
              <w:jc w:val="left"/>
              <w:rPr>
                <w:b w:val="0"/>
                <w:color w:val="auto"/>
              </w:rPr>
            </w:pPr>
            <w:r w:rsidRPr="00DF1884">
              <w:rPr>
                <w:b w:val="0"/>
                <w:color w:val="auto"/>
              </w:rPr>
              <w:t>HCPCS</w:t>
            </w:r>
            <w:r w:rsidR="00DF1884" w:rsidRPr="00DF1884">
              <w:rPr>
                <w:b w:val="0"/>
                <w:color w:val="auto"/>
              </w:rPr>
              <w:t xml:space="preserve"> </w:t>
            </w:r>
            <w:r w:rsidRPr="00DF1884">
              <w:rPr>
                <w:b w:val="0"/>
                <w:color w:val="auto"/>
              </w:rPr>
              <w:t>codes</w:t>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7968427"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45879E1"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1485892"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F7ABCD8"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2AB8237"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8AF1FF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16B2CF7"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E909396" w14:textId="5957EF11" w:rsidR="00A63675" w:rsidRPr="00DF1884" w:rsidRDefault="008205F0"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7A8DA76" w14:textId="5642DFCD"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3D1AA26"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D79400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F995C26"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9710C5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0F2A2F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763D81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C66DBAE"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106617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CD55E4E"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08FB4E6"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41B97E0"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19E2852"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r>
      <w:tr w:rsidR="00A63675" w:rsidRPr="00DF1884" w14:paraId="02F0BDE5" w14:textId="77777777" w:rsidTr="002B761F">
        <w:tc>
          <w:tcPr>
            <w:tcW w:w="216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0" w:type="dxa"/>
            </w:tcMar>
            <w:vAlign w:val="center"/>
          </w:tcPr>
          <w:p w14:paraId="0B3A3EB0" w14:textId="72E3C949" w:rsidR="00A63675" w:rsidRPr="00DF1884" w:rsidRDefault="00A63675" w:rsidP="00E9531F">
            <w:pPr>
              <w:pStyle w:val="TableHead"/>
              <w:spacing w:before="30" w:after="30"/>
              <w:jc w:val="left"/>
              <w:rPr>
                <w:b w:val="0"/>
                <w:color w:val="auto"/>
              </w:rPr>
            </w:pPr>
            <w:r w:rsidRPr="00DF1884">
              <w:rPr>
                <w:b w:val="0"/>
                <w:color w:val="auto"/>
              </w:rPr>
              <w:t>J</w:t>
            </w:r>
            <w:r w:rsidR="00DF1884" w:rsidRPr="00DF1884">
              <w:rPr>
                <w:b w:val="0"/>
                <w:color w:val="auto"/>
              </w:rPr>
              <w:t xml:space="preserve"> </w:t>
            </w:r>
            <w:r w:rsidRPr="00DF1884">
              <w:rPr>
                <w:b w:val="0"/>
                <w:color w:val="auto"/>
              </w:rPr>
              <w:t>codes</w:t>
            </w: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4839D45"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8355285"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0AB906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0D0BD2E"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2F652CD"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ED321B8"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4C15FD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1F2553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987B831" w14:textId="6B7AD2B5"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6B202E5"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625F5E4"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956F87C"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887598E"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B837261"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CC7CC41"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7F3AB5C"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A01C8C8"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1806AC2"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68C86F7"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822A08D"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3760D80" w14:textId="77777777" w:rsidR="00A63675" w:rsidRPr="00DF1884" w:rsidRDefault="00A63675" w:rsidP="00932F29">
            <w:pPr>
              <w:pStyle w:val="TableText"/>
              <w:spacing w:before="30" w:after="30"/>
              <w:jc w:val="center"/>
              <w:rPr>
                <w:sz w:val="22"/>
                <w:szCs w:val="22"/>
              </w:rPr>
            </w:pPr>
          </w:p>
        </w:tc>
      </w:tr>
      <w:tr w:rsidR="00A63675" w:rsidRPr="00DF1884" w14:paraId="5061E872" w14:textId="77777777" w:rsidTr="002B761F">
        <w:tc>
          <w:tcPr>
            <w:tcW w:w="216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0" w:type="dxa"/>
            </w:tcMar>
            <w:vAlign w:val="center"/>
          </w:tcPr>
          <w:p w14:paraId="68B1BE39" w14:textId="57D82A9B" w:rsidR="00A63675" w:rsidRPr="00DF1884" w:rsidRDefault="00A63675" w:rsidP="00E9531F">
            <w:pPr>
              <w:pStyle w:val="TableHead"/>
              <w:spacing w:before="30" w:after="30"/>
              <w:jc w:val="left"/>
              <w:rPr>
                <w:b w:val="0"/>
                <w:color w:val="auto"/>
              </w:rPr>
            </w:pPr>
            <w:r w:rsidRPr="00DF1884">
              <w:rPr>
                <w:b w:val="0"/>
                <w:color w:val="auto"/>
              </w:rPr>
              <w:t>LOINC</w:t>
            </w:r>
            <w:r w:rsidR="00DF1884" w:rsidRPr="00DF1884">
              <w:rPr>
                <w:b w:val="0"/>
                <w:color w:val="auto"/>
              </w:rPr>
              <w:t xml:space="preserve"> </w:t>
            </w:r>
            <w:r w:rsidRPr="00DF1884">
              <w:rPr>
                <w:b w:val="0"/>
                <w:color w:val="auto"/>
              </w:rPr>
              <w:t>codes</w:t>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5DB8E38"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2EBA7F9"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597ED0D"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06DCD4A"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F6940E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3EB165C"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CC5B5B8"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A03CB44" w14:textId="1D7B5052" w:rsidR="00A63675" w:rsidRPr="00DF1884" w:rsidRDefault="008205F0"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7D915B4" w14:textId="28BB71A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E228DA2"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EA0414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4F49722"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656CD7D"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B1621F4"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B217D10"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EC7862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7739BD4"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92DFD71"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460A167"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A1CE5F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1AE8CF1" w14:textId="77777777" w:rsidR="00A63675" w:rsidRPr="00DF1884" w:rsidRDefault="00A63675" w:rsidP="00932F29">
            <w:pPr>
              <w:pStyle w:val="TableText"/>
              <w:spacing w:before="30" w:after="30"/>
              <w:jc w:val="center"/>
              <w:rPr>
                <w:sz w:val="22"/>
                <w:szCs w:val="22"/>
              </w:rPr>
            </w:pPr>
          </w:p>
        </w:tc>
      </w:tr>
      <w:tr w:rsidR="00A63675" w:rsidRPr="00DF1884" w14:paraId="2FCC2E2E" w14:textId="77777777" w:rsidTr="002B761F">
        <w:tc>
          <w:tcPr>
            <w:tcW w:w="2160" w:type="dxa"/>
            <w:tcBorders>
              <w:top w:val="single" w:sz="6" w:space="0" w:color="auto"/>
              <w:left w:val="single" w:sz="6" w:space="0" w:color="auto"/>
              <w:bottom w:val="single" w:sz="6" w:space="0" w:color="auto"/>
              <w:right w:val="single" w:sz="6" w:space="0" w:color="auto"/>
            </w:tcBorders>
            <w:shd w:val="clear" w:color="auto" w:fill="FFFFFF" w:themeFill="background1"/>
            <w:tcMar>
              <w:left w:w="43" w:type="dxa"/>
              <w:right w:w="0" w:type="dxa"/>
            </w:tcMar>
            <w:vAlign w:val="center"/>
          </w:tcPr>
          <w:p w14:paraId="571F30A9" w14:textId="0040DBFD" w:rsidR="00A63675" w:rsidRPr="00DF1884" w:rsidRDefault="00A63675" w:rsidP="00E9531F">
            <w:pPr>
              <w:pStyle w:val="TableHead"/>
              <w:spacing w:before="30" w:after="30"/>
              <w:jc w:val="left"/>
              <w:rPr>
                <w:b w:val="0"/>
                <w:color w:val="auto"/>
              </w:rPr>
            </w:pPr>
            <w:r w:rsidRPr="00DF1884">
              <w:rPr>
                <w:b w:val="0"/>
                <w:color w:val="auto"/>
              </w:rPr>
              <w:t>CPT</w:t>
            </w:r>
            <w:r w:rsidR="00DF1884" w:rsidRPr="00DF1884">
              <w:rPr>
                <w:b w:val="0"/>
                <w:color w:val="auto"/>
              </w:rPr>
              <w:t xml:space="preserve"> </w:t>
            </w:r>
            <w:r w:rsidRPr="00DF1884">
              <w:rPr>
                <w:b w:val="0"/>
                <w:color w:val="auto"/>
              </w:rPr>
              <w:t>II</w:t>
            </w:r>
            <w:r w:rsidR="00DF1884" w:rsidRPr="00DF1884">
              <w:rPr>
                <w:b w:val="0"/>
                <w:color w:val="auto"/>
              </w:rPr>
              <w:t xml:space="preserve"> </w:t>
            </w:r>
            <w:r w:rsidRPr="00DF1884">
              <w:rPr>
                <w:b w:val="0"/>
                <w:color w:val="auto"/>
              </w:rPr>
              <w:t>codes</w:t>
            </w: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29A95AA"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F6C8587"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14B8606"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961894B"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DDCD86B"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C673000"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DA95381"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B8DF9EA"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3F55E18" w14:textId="3E99C100"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7279D94"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5D50EF6"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9AB9ED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7F8EBFB"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381C22B"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402B81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75E6890"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BDE13FB"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1B182D0"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1F43E80"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20EA5A5"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6F5690F" w14:textId="77777777" w:rsidR="00A63675" w:rsidRPr="00DF1884" w:rsidRDefault="00A63675" w:rsidP="00932F29">
            <w:pPr>
              <w:pStyle w:val="TableText"/>
              <w:spacing w:before="30" w:after="30"/>
              <w:jc w:val="center"/>
              <w:rPr>
                <w:sz w:val="22"/>
                <w:szCs w:val="22"/>
              </w:rPr>
            </w:pPr>
          </w:p>
        </w:tc>
      </w:tr>
      <w:tr w:rsidR="009D726B" w:rsidRPr="00DF1884" w14:paraId="6C155664" w14:textId="77777777" w:rsidTr="002B761F">
        <w:tc>
          <w:tcPr>
            <w:tcW w:w="216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0" w:type="dxa"/>
            </w:tcMar>
            <w:vAlign w:val="center"/>
          </w:tcPr>
          <w:p w14:paraId="0FB71A9B" w14:textId="09A01BBD" w:rsidR="009D726B" w:rsidRPr="00DF1884" w:rsidRDefault="009D726B" w:rsidP="00E9531F">
            <w:pPr>
              <w:pStyle w:val="TableHead"/>
              <w:spacing w:before="30" w:after="30"/>
              <w:jc w:val="left"/>
              <w:rPr>
                <w:b w:val="0"/>
                <w:color w:val="auto"/>
              </w:rPr>
            </w:pPr>
            <w:r>
              <w:rPr>
                <w:b w:val="0"/>
                <w:color w:val="auto"/>
              </w:rPr>
              <w:t>SNOMED CT codes</w:t>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E845F2E" w14:textId="77777777" w:rsidR="009D726B" w:rsidRPr="00DF1884" w:rsidRDefault="009D726B"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74474BA" w14:textId="77777777" w:rsidR="009D726B" w:rsidRPr="00DF1884" w:rsidRDefault="009D726B"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83ED7B7" w14:textId="77777777" w:rsidR="009D726B" w:rsidRPr="00DF1884" w:rsidRDefault="009D726B"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DE660A4" w14:textId="77777777" w:rsidR="009D726B" w:rsidRPr="00DF1884" w:rsidRDefault="009D726B"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A1679A1" w14:textId="77777777" w:rsidR="009D726B" w:rsidRPr="00DF1884" w:rsidRDefault="009D726B"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B44C751" w14:textId="77777777" w:rsidR="009D726B" w:rsidRPr="00DF1884" w:rsidRDefault="009D726B"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89F4040" w14:textId="77777777" w:rsidR="009D726B" w:rsidRPr="00DF1884" w:rsidRDefault="009D726B"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0709836" w14:textId="7B874E4C" w:rsidR="009D726B" w:rsidRPr="00DF1884" w:rsidRDefault="009D726B"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A8C3BF8" w14:textId="77777777" w:rsidR="009D726B" w:rsidRPr="00DF1884" w:rsidRDefault="009D726B"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0E53F3C" w14:textId="77777777" w:rsidR="009D726B" w:rsidRPr="00DF1884" w:rsidRDefault="009D726B"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5B7A5BB" w14:textId="77777777" w:rsidR="009D726B" w:rsidRPr="00DF1884" w:rsidRDefault="009D726B"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15DD4F8" w14:textId="77777777" w:rsidR="009D726B" w:rsidRPr="00DF1884" w:rsidRDefault="009D726B"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7C0065B" w14:textId="77777777" w:rsidR="009D726B" w:rsidRPr="00DF1884" w:rsidRDefault="009D726B"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CC0D036" w14:textId="77777777" w:rsidR="009D726B" w:rsidRPr="00DF1884" w:rsidRDefault="009D726B"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C008AD3" w14:textId="77777777" w:rsidR="009D726B" w:rsidRPr="00DF1884" w:rsidRDefault="009D726B"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BDA8702" w14:textId="77777777" w:rsidR="009D726B" w:rsidRPr="00DF1884" w:rsidRDefault="009D726B"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97A4711" w14:textId="77777777" w:rsidR="009D726B" w:rsidRPr="00DF1884" w:rsidRDefault="009D726B"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305543C" w14:textId="77777777" w:rsidR="009D726B" w:rsidRPr="00DF1884" w:rsidRDefault="009D726B"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E7D3B57" w14:textId="77777777" w:rsidR="009D726B" w:rsidRPr="00DF1884" w:rsidRDefault="009D726B"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55A65A1" w14:textId="77777777" w:rsidR="009D726B" w:rsidRPr="00DF1884" w:rsidRDefault="009D726B"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7F98FFA" w14:textId="77777777" w:rsidR="009D726B" w:rsidRPr="00DF1884" w:rsidRDefault="009D726B" w:rsidP="00932F29">
            <w:pPr>
              <w:pStyle w:val="TableText"/>
              <w:spacing w:before="30" w:after="30"/>
              <w:jc w:val="center"/>
              <w:rPr>
                <w:sz w:val="22"/>
                <w:szCs w:val="22"/>
              </w:rPr>
            </w:pPr>
          </w:p>
        </w:tc>
      </w:tr>
      <w:tr w:rsidR="009D726B" w:rsidRPr="00DF1884" w14:paraId="2309463B" w14:textId="77777777" w:rsidTr="009D726B">
        <w:tc>
          <w:tcPr>
            <w:tcW w:w="2160" w:type="dxa"/>
            <w:tcBorders>
              <w:top w:val="single" w:sz="6" w:space="0" w:color="auto"/>
              <w:left w:val="single" w:sz="6" w:space="0" w:color="auto"/>
              <w:bottom w:val="single" w:sz="6" w:space="0" w:color="auto"/>
              <w:right w:val="single" w:sz="6" w:space="0" w:color="auto"/>
            </w:tcBorders>
            <w:shd w:val="clear" w:color="auto" w:fill="auto"/>
            <w:tcMar>
              <w:left w:w="43" w:type="dxa"/>
              <w:right w:w="0" w:type="dxa"/>
            </w:tcMar>
            <w:vAlign w:val="center"/>
          </w:tcPr>
          <w:p w14:paraId="47146A5C" w14:textId="775F5B0B" w:rsidR="00A63675" w:rsidRPr="00DF1884" w:rsidRDefault="00A63675" w:rsidP="00E9531F">
            <w:pPr>
              <w:pStyle w:val="TableHead"/>
              <w:spacing w:before="30" w:after="30"/>
              <w:jc w:val="left"/>
              <w:rPr>
                <w:b w:val="0"/>
                <w:color w:val="auto"/>
              </w:rPr>
            </w:pPr>
            <w:r w:rsidRPr="00DF1884">
              <w:rPr>
                <w:b w:val="0"/>
                <w:color w:val="auto"/>
              </w:rPr>
              <w:t>Principal</w:t>
            </w:r>
            <w:r w:rsidR="00DF1884" w:rsidRPr="00DF1884">
              <w:rPr>
                <w:b w:val="0"/>
                <w:color w:val="auto"/>
              </w:rPr>
              <w:t xml:space="preserve"> </w:t>
            </w:r>
            <w:r w:rsidRPr="00DF1884">
              <w:rPr>
                <w:b w:val="0"/>
                <w:color w:val="auto"/>
              </w:rPr>
              <w:t>diagnosis</w:t>
            </w:r>
          </w:p>
        </w:tc>
        <w:tc>
          <w:tcPr>
            <w:tcW w:w="378" w:type="dxa"/>
            <w:tcBorders>
              <w:top w:val="single" w:sz="6" w:space="0" w:color="auto"/>
              <w:left w:val="single" w:sz="6" w:space="0" w:color="auto"/>
              <w:bottom w:val="single" w:sz="6" w:space="0" w:color="auto"/>
              <w:right w:val="single" w:sz="6" w:space="0" w:color="auto"/>
            </w:tcBorders>
            <w:shd w:val="clear" w:color="auto" w:fill="auto"/>
            <w:vAlign w:val="center"/>
          </w:tcPr>
          <w:p w14:paraId="7541287B"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auto"/>
            <w:vAlign w:val="center"/>
          </w:tcPr>
          <w:p w14:paraId="5FBAE77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auto"/>
            <w:vAlign w:val="center"/>
          </w:tcPr>
          <w:p w14:paraId="204E0EDB"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auto"/>
            <w:vAlign w:val="center"/>
          </w:tcPr>
          <w:p w14:paraId="6D9CA67F"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auto"/>
            <w:vAlign w:val="center"/>
          </w:tcPr>
          <w:p w14:paraId="2DAC4628"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auto"/>
            <w:vAlign w:val="center"/>
          </w:tcPr>
          <w:p w14:paraId="450C3549"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auto"/>
            <w:vAlign w:val="center"/>
          </w:tcPr>
          <w:p w14:paraId="006519AD"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auto"/>
            <w:vAlign w:val="center"/>
          </w:tcPr>
          <w:p w14:paraId="5E380C3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auto"/>
            <w:vAlign w:val="center"/>
          </w:tcPr>
          <w:p w14:paraId="4196A165" w14:textId="00B9427B"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auto"/>
            <w:vAlign w:val="center"/>
          </w:tcPr>
          <w:p w14:paraId="4ABA653A"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auto"/>
            <w:vAlign w:val="center"/>
          </w:tcPr>
          <w:p w14:paraId="6BCA3982"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auto"/>
            <w:vAlign w:val="center"/>
          </w:tcPr>
          <w:p w14:paraId="480D2F74"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auto"/>
            <w:vAlign w:val="center"/>
          </w:tcPr>
          <w:p w14:paraId="3CE25F77"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auto"/>
            <w:vAlign w:val="center"/>
          </w:tcPr>
          <w:p w14:paraId="53752867"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auto"/>
            <w:vAlign w:val="center"/>
          </w:tcPr>
          <w:p w14:paraId="509BDEE5"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auto"/>
            <w:vAlign w:val="center"/>
          </w:tcPr>
          <w:p w14:paraId="06C2CB1D"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auto"/>
            <w:vAlign w:val="center"/>
          </w:tcPr>
          <w:p w14:paraId="79F6DBCB"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auto"/>
            <w:vAlign w:val="center"/>
          </w:tcPr>
          <w:p w14:paraId="0E5AE6CC"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auto"/>
            <w:vAlign w:val="center"/>
          </w:tcPr>
          <w:p w14:paraId="5054D0E3"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auto"/>
            <w:vAlign w:val="center"/>
          </w:tcPr>
          <w:p w14:paraId="60DE77D1"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auto"/>
            <w:vAlign w:val="center"/>
          </w:tcPr>
          <w:p w14:paraId="51A78795" w14:textId="77777777" w:rsidR="00A63675" w:rsidRPr="00DF1884" w:rsidRDefault="00A63675" w:rsidP="00932F29">
            <w:pPr>
              <w:pStyle w:val="TableText"/>
              <w:spacing w:before="30" w:after="30"/>
              <w:jc w:val="center"/>
              <w:rPr>
                <w:sz w:val="22"/>
                <w:szCs w:val="22"/>
              </w:rPr>
            </w:pPr>
          </w:p>
        </w:tc>
      </w:tr>
      <w:tr w:rsidR="009D726B" w:rsidRPr="00DF1884" w14:paraId="5AE6FC9E" w14:textId="77777777" w:rsidTr="009D726B">
        <w:tc>
          <w:tcPr>
            <w:tcW w:w="216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43" w:type="dxa"/>
              <w:right w:w="0" w:type="dxa"/>
            </w:tcMar>
            <w:vAlign w:val="center"/>
          </w:tcPr>
          <w:p w14:paraId="35D81CE0" w14:textId="1FFBA401" w:rsidR="00A63675" w:rsidRPr="00DF1884" w:rsidRDefault="00A63675" w:rsidP="00E9531F">
            <w:pPr>
              <w:pStyle w:val="TableHead"/>
              <w:spacing w:before="30" w:after="30"/>
              <w:jc w:val="left"/>
              <w:rPr>
                <w:b w:val="0"/>
                <w:color w:val="auto"/>
              </w:rPr>
            </w:pPr>
            <w:r w:rsidRPr="00DF1884">
              <w:rPr>
                <w:b w:val="0"/>
                <w:color w:val="auto"/>
              </w:rPr>
              <w:t>Survey</w:t>
            </w:r>
            <w:r w:rsidR="00DF1884" w:rsidRPr="00DF1884">
              <w:rPr>
                <w:b w:val="0"/>
                <w:color w:val="auto"/>
              </w:rPr>
              <w:t xml:space="preserve"> </w:t>
            </w:r>
            <w:r w:rsidRPr="00DF1884">
              <w:rPr>
                <w:b w:val="0"/>
                <w:color w:val="auto"/>
              </w:rPr>
              <w:t>measure</w:t>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ED8963E"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6088C56"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0FC817A"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200150A"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833F3CD"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C1CF124"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D5BBA9B"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BADDED1" w14:textId="77777777" w:rsidR="00A63675" w:rsidRPr="00DF1884" w:rsidRDefault="00A63675" w:rsidP="00932F29">
            <w:pPr>
              <w:pStyle w:val="TableText"/>
              <w:spacing w:before="30" w:after="30"/>
              <w:jc w:val="center"/>
              <w:rPr>
                <w:sz w:val="22"/>
                <w:szCs w:val="22"/>
              </w:rPr>
            </w:pP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312C5EA" w14:textId="2738DE1E"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23F9AB8"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D1F504C"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5584A14"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71EAC44"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EC3A617"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2C77DB9"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A2EF2FB"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62C59AF"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E794186"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CD39F4D"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D931CEC"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c>
          <w:tcPr>
            <w:tcW w:w="3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FC95C4F" w14:textId="77777777" w:rsidR="00A63675" w:rsidRPr="00DF1884" w:rsidRDefault="00A63675" w:rsidP="00932F29">
            <w:pPr>
              <w:pStyle w:val="TableText"/>
              <w:spacing w:before="30" w:after="30"/>
              <w:jc w:val="center"/>
              <w:rPr>
                <w:sz w:val="22"/>
                <w:szCs w:val="22"/>
              </w:rPr>
            </w:pPr>
            <w:r w:rsidRPr="00DF1884">
              <w:rPr>
                <w:sz w:val="22"/>
                <w:szCs w:val="22"/>
              </w:rPr>
              <w:sym w:font="Wingdings" w:char="F0FC"/>
            </w:r>
          </w:p>
        </w:tc>
      </w:tr>
    </w:tbl>
    <w:p w14:paraId="6A7622E5" w14:textId="591D2DC7" w:rsidR="009604F5" w:rsidRPr="00DF1884" w:rsidRDefault="009604F5" w:rsidP="003E4000">
      <w:pPr>
        <w:pStyle w:val="Body"/>
        <w:spacing w:before="3120"/>
        <w:rPr>
          <w:sz w:val="18"/>
          <w:szCs w:val="18"/>
        </w:rPr>
      </w:pPr>
      <w:r w:rsidRPr="00DF1884">
        <w:rPr>
          <w:sz w:val="18"/>
          <w:szCs w:val="18"/>
        </w:rPr>
        <w:t>____________</w:t>
      </w:r>
    </w:p>
    <w:p w14:paraId="000DFE96" w14:textId="77777777" w:rsidR="0003105D" w:rsidRDefault="009604F5" w:rsidP="00601723">
      <w:pPr>
        <w:pStyle w:val="TableText"/>
        <w:spacing w:before="60" w:after="0"/>
        <w:rPr>
          <w:rFonts w:ascii="Arial" w:hAnsi="Arial" w:cs="Arial"/>
          <w:sz w:val="18"/>
          <w:szCs w:val="18"/>
        </w:rPr>
        <w:sectPr w:rsidR="0003105D" w:rsidSect="0003105D">
          <w:pgSz w:w="15840" w:h="12240" w:orient="landscape" w:code="1"/>
          <w:pgMar w:top="1440" w:right="1080" w:bottom="1080" w:left="1080" w:header="720" w:footer="720" w:gutter="0"/>
          <w:cols w:space="720"/>
          <w:docGrid w:linePitch="360"/>
        </w:sectPr>
      </w:pPr>
      <w:r w:rsidRPr="00DF1884">
        <w:rPr>
          <w:rFonts w:ascii="Arial" w:hAnsi="Arial" w:cs="Arial"/>
          <w:sz w:val="18"/>
          <w:szCs w:val="18"/>
        </w:rPr>
        <w:t>Current</w:t>
      </w:r>
      <w:r w:rsidR="00DF1884" w:rsidRPr="00DF1884">
        <w:rPr>
          <w:rFonts w:ascii="Arial" w:hAnsi="Arial" w:cs="Arial"/>
          <w:sz w:val="18"/>
          <w:szCs w:val="18"/>
        </w:rPr>
        <w:t xml:space="preserve"> </w:t>
      </w:r>
      <w:r w:rsidRPr="00DF1884">
        <w:rPr>
          <w:rFonts w:ascii="Arial" w:hAnsi="Arial" w:cs="Arial"/>
          <w:sz w:val="18"/>
          <w:szCs w:val="18"/>
        </w:rPr>
        <w:t>Procedural</w:t>
      </w:r>
      <w:r w:rsidR="00DF1884" w:rsidRPr="00DF1884">
        <w:rPr>
          <w:rFonts w:ascii="Arial" w:hAnsi="Arial" w:cs="Arial"/>
          <w:sz w:val="18"/>
          <w:szCs w:val="18"/>
        </w:rPr>
        <w:t xml:space="preserve"> </w:t>
      </w:r>
      <w:r w:rsidRPr="00DF1884">
        <w:rPr>
          <w:rFonts w:ascii="Arial" w:hAnsi="Arial" w:cs="Arial"/>
          <w:sz w:val="18"/>
          <w:szCs w:val="18"/>
        </w:rPr>
        <w:t>Terminology</w:t>
      </w:r>
      <w:r w:rsidR="00DF1884" w:rsidRPr="00DF1884">
        <w:rPr>
          <w:rFonts w:ascii="Arial" w:hAnsi="Arial" w:cs="Arial"/>
          <w:sz w:val="18"/>
          <w:szCs w:val="18"/>
        </w:rPr>
        <w:t xml:space="preserve"> </w:t>
      </w:r>
      <w:r w:rsidRPr="00DF1884">
        <w:rPr>
          <w:rFonts w:ascii="Arial" w:hAnsi="Arial" w:cs="Arial"/>
          <w:sz w:val="18"/>
          <w:szCs w:val="18"/>
        </w:rPr>
        <w:t>©</w:t>
      </w:r>
      <w:r w:rsidR="00DF1884" w:rsidRPr="00DF1884">
        <w:rPr>
          <w:rFonts w:ascii="Arial" w:hAnsi="Arial" w:cs="Arial"/>
          <w:sz w:val="18"/>
          <w:szCs w:val="18"/>
        </w:rPr>
        <w:t xml:space="preserve"> </w:t>
      </w:r>
      <w:r w:rsidRPr="00DF1884">
        <w:rPr>
          <w:rFonts w:ascii="Arial" w:hAnsi="Arial" w:cs="Arial"/>
          <w:sz w:val="18"/>
          <w:szCs w:val="18"/>
        </w:rPr>
        <w:t>201</w:t>
      </w:r>
      <w:r w:rsidR="00601723" w:rsidRPr="00DF1884">
        <w:rPr>
          <w:rFonts w:ascii="Arial" w:hAnsi="Arial" w:cs="Arial"/>
          <w:sz w:val="18"/>
          <w:szCs w:val="18"/>
        </w:rPr>
        <w:t>5</w:t>
      </w:r>
      <w:r w:rsidR="00DF1884" w:rsidRPr="00DF1884">
        <w:rPr>
          <w:rFonts w:ascii="Arial" w:hAnsi="Arial" w:cs="Arial"/>
          <w:sz w:val="18"/>
          <w:szCs w:val="18"/>
        </w:rPr>
        <w:t xml:space="preserve"> </w:t>
      </w:r>
      <w:r w:rsidRPr="00DF1884">
        <w:rPr>
          <w:rFonts w:ascii="Arial" w:hAnsi="Arial" w:cs="Arial"/>
          <w:sz w:val="18"/>
          <w:szCs w:val="18"/>
        </w:rPr>
        <w:t>American</w:t>
      </w:r>
      <w:r w:rsidR="00DF1884" w:rsidRPr="00DF1884">
        <w:rPr>
          <w:rFonts w:ascii="Arial" w:hAnsi="Arial" w:cs="Arial"/>
          <w:sz w:val="18"/>
          <w:szCs w:val="18"/>
        </w:rPr>
        <w:t xml:space="preserve"> </w:t>
      </w:r>
      <w:r w:rsidRPr="00DF1884">
        <w:rPr>
          <w:rFonts w:ascii="Arial" w:hAnsi="Arial" w:cs="Arial"/>
          <w:sz w:val="18"/>
          <w:szCs w:val="18"/>
        </w:rPr>
        <w:t>Medical</w:t>
      </w:r>
      <w:r w:rsidR="00DF1884" w:rsidRPr="00DF1884">
        <w:rPr>
          <w:rFonts w:ascii="Arial" w:hAnsi="Arial" w:cs="Arial"/>
          <w:sz w:val="18"/>
          <w:szCs w:val="18"/>
        </w:rPr>
        <w:t xml:space="preserve"> </w:t>
      </w:r>
      <w:r w:rsidRPr="00DF1884">
        <w:rPr>
          <w:rFonts w:ascii="Arial" w:hAnsi="Arial" w:cs="Arial"/>
          <w:sz w:val="18"/>
          <w:szCs w:val="18"/>
        </w:rPr>
        <w:t>Association.</w:t>
      </w:r>
      <w:r w:rsidR="00DF1884" w:rsidRPr="00DF1884">
        <w:rPr>
          <w:rFonts w:ascii="Arial" w:hAnsi="Arial" w:cs="Arial"/>
          <w:sz w:val="18"/>
          <w:szCs w:val="18"/>
        </w:rPr>
        <w:t xml:space="preserve"> </w:t>
      </w:r>
      <w:r w:rsidRPr="00DF1884">
        <w:rPr>
          <w:rFonts w:ascii="Arial" w:hAnsi="Arial" w:cs="Arial"/>
          <w:sz w:val="18"/>
          <w:szCs w:val="18"/>
        </w:rPr>
        <w:t>All</w:t>
      </w:r>
      <w:r w:rsidR="00DF1884" w:rsidRPr="00DF1884">
        <w:rPr>
          <w:rFonts w:ascii="Arial" w:hAnsi="Arial" w:cs="Arial"/>
          <w:sz w:val="18"/>
          <w:szCs w:val="18"/>
        </w:rPr>
        <w:t xml:space="preserve"> </w:t>
      </w:r>
      <w:r w:rsidRPr="00DF1884">
        <w:rPr>
          <w:rFonts w:ascii="Arial" w:hAnsi="Arial" w:cs="Arial"/>
          <w:sz w:val="18"/>
          <w:szCs w:val="18"/>
        </w:rPr>
        <w:t>rights</w:t>
      </w:r>
      <w:r w:rsidR="00DF1884" w:rsidRPr="00DF1884">
        <w:rPr>
          <w:rFonts w:ascii="Arial" w:hAnsi="Arial" w:cs="Arial"/>
          <w:sz w:val="18"/>
          <w:szCs w:val="18"/>
        </w:rPr>
        <w:t xml:space="preserve"> </w:t>
      </w:r>
      <w:r w:rsidRPr="00DF1884">
        <w:rPr>
          <w:rFonts w:ascii="Arial" w:hAnsi="Arial" w:cs="Arial"/>
          <w:sz w:val="18"/>
          <w:szCs w:val="18"/>
        </w:rPr>
        <w:t>reserved</w:t>
      </w:r>
      <w:r w:rsidR="00601723" w:rsidRPr="00DF1884">
        <w:rPr>
          <w:rFonts w:ascii="Arial" w:hAnsi="Arial" w:cs="Arial"/>
          <w:sz w:val="18"/>
          <w:szCs w:val="18"/>
        </w:rPr>
        <w:t>.</w:t>
      </w:r>
    </w:p>
    <w:p w14:paraId="777ED660" w14:textId="413A990A" w:rsidR="00DE38AC" w:rsidRPr="00DF1884" w:rsidRDefault="00DE38AC" w:rsidP="00601723">
      <w:pPr>
        <w:pStyle w:val="TableText"/>
        <w:spacing w:before="60" w:after="0"/>
        <w:rPr>
          <w:sz w:val="18"/>
          <w:szCs w:val="18"/>
        </w:rPr>
      </w:pPr>
    </w:p>
    <w:sectPr w:rsidR="00DE38AC" w:rsidRPr="00DF1884" w:rsidSect="0003105D">
      <w:headerReference w:type="even" r:id="rId147"/>
      <w:pgSz w:w="12240" w:h="15840" w:code="1"/>
      <w:pgMar w:top="1080" w:right="1080" w:bottom="108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48" wne:kcmSecondary="0032">
      <wne:acd wne:acdName="acd2"/>
    </wne:keymap>
    <wne:keymap wne:kcmPrimary="0252" wne:kcmSecondary="0048">
      <wne:acd wne:acdName="acd1"/>
    </wne:keymap>
    <wne:keymap wne:kcmPrimary="0254" wne:kcmSecondary="0048">
      <wne:acd wne:acdName="acd0"/>
    </wne:keymap>
  </wne:keymaps>
  <wne:toolbars>
    <wne:acdManifest>
      <wne:acdEntry wne:acdName="acd0"/>
      <wne:acdEntry wne:acdName="acd1"/>
      <wne:acdEntry wne:acdName="acd2"/>
    </wne:acdManifest>
  </wne:toolbars>
  <wne:acds>
    <wne:acd wne:argValue="AgBUAGEAYgBsAGUAIABIAGUAYQBkACAATgBvAHQAIABDAG8AbgBkAGUAbgBzAGUAZAA=" wne:acdName="acd0" wne:fciIndexBasedOn="0065"/>
    <wne:acd wne:argValue="AgBSAGUAdgBlAHIAcwBlACAASABlAGEAZAA=" wne:acdName="acd1" wne:fciIndexBasedOn="0065"/>
    <wne:acd wne:argValue="AgBIAGUAYQBkAGkAbgBnADIATgBPAFQATwBDA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5B3504" w14:textId="77777777" w:rsidR="00062C55" w:rsidRDefault="00062C55">
      <w:r>
        <w:separator/>
      </w:r>
    </w:p>
  </w:endnote>
  <w:endnote w:type="continuationSeparator" w:id="0">
    <w:p w14:paraId="478DEA20" w14:textId="77777777" w:rsidR="00062C55" w:rsidRDefault="00062C55">
      <w:r>
        <w:continuationSeparator/>
      </w:r>
    </w:p>
  </w:endnote>
  <w:endnote w:type="continuationNotice" w:id="1">
    <w:p w14:paraId="1762A6DB" w14:textId="77777777" w:rsidR="00062C55" w:rsidRDefault="00062C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Bold">
    <w:altName w:val="Arial Narrow"/>
    <w:panose1 w:val="020B0706020202030204"/>
    <w:charset w:val="00"/>
    <w:family w:val="auto"/>
    <w:pitch w:val="variable"/>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AGaramond">
    <w:altName w:val="AGaramon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24FC5" w14:textId="27A89589" w:rsidR="00062C55" w:rsidRDefault="00062C55">
    <w:pPr>
      <w:pStyle w:val="Footer"/>
    </w:pPr>
    <w:r>
      <w:t>HEDIS 2016, Volume 2</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49262" w14:textId="36EBE215" w:rsidR="00062C55" w:rsidRDefault="00062C55" w:rsidP="00C56CA6">
    <w:pPr>
      <w:pStyle w:val="Footer"/>
      <w:jc w:val="right"/>
    </w:pPr>
    <w:r>
      <w:t>HEDIS 2016, Volume 2</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DB8C1" w14:textId="0D8E3435" w:rsidR="00062C55" w:rsidRDefault="00062C55">
    <w:pPr>
      <w:pStyle w:val="Footer"/>
    </w:pPr>
    <w:r>
      <w:t>HEDIS 2016, Volume 2</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3C686" w14:textId="4EE8B12D" w:rsidR="00062C55" w:rsidRDefault="00062C55" w:rsidP="00C56CA6">
    <w:pPr>
      <w:pStyle w:val="Footer"/>
      <w:jc w:val="right"/>
    </w:pPr>
    <w:r>
      <w:t>HEDIS 2016, Volume 2</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CFB30" w14:textId="37DC3D13" w:rsidR="00062C55" w:rsidRDefault="00062C55">
    <w:pPr>
      <w:pStyle w:val="Footer"/>
    </w:pPr>
    <w:r>
      <w:t>HEDIS 2016, Volume 2</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BB2EC" w14:textId="3405865B" w:rsidR="00062C55" w:rsidRDefault="00062C55" w:rsidP="00C56CA6">
    <w:pPr>
      <w:pStyle w:val="Footer"/>
      <w:jc w:val="right"/>
    </w:pPr>
    <w:r>
      <w:t>HEDIS 2016, Volume 2</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EE811" w14:textId="2E541578" w:rsidR="00062C55" w:rsidRDefault="00062C55">
    <w:pPr>
      <w:pStyle w:val="Footer"/>
    </w:pPr>
    <w:r>
      <w:t>HEDIS 2016, Volume 2</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E919C" w14:textId="51DF61A2" w:rsidR="00062C55" w:rsidRDefault="00062C55" w:rsidP="00C56CA6">
    <w:pPr>
      <w:pStyle w:val="Footer"/>
      <w:jc w:val="right"/>
    </w:pPr>
    <w:r>
      <w:t>HEDIS 2016, Volume 2</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5D0D" w14:textId="544B46FA" w:rsidR="00062C55" w:rsidRDefault="00062C55">
    <w:pPr>
      <w:pStyle w:val="Footer"/>
    </w:pPr>
    <w:r>
      <w:t>HEDIS 2016, Volume 2</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3E427" w14:textId="77777777" w:rsidR="00062C55" w:rsidRDefault="00062C55">
    <w:pPr>
      <w:pStyle w:val="Footer"/>
      <w:pBdr>
        <w:top w:val="none" w:sz="0" w:space="0" w:color="auto"/>
      </w:pBd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78C92" w14:textId="77777777" w:rsidR="00062C55" w:rsidRDefault="00062C55">
    <w:pPr>
      <w:pStyle w:val="Footer"/>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9D1DB" w14:textId="77777777" w:rsidR="00062C55" w:rsidRDefault="00062C55">
    <w:pPr>
      <w:pStyle w:val="Footer"/>
      <w:pBdr>
        <w:top w:val="none" w:sz="0" w:space="0" w:color="auto"/>
      </w:pBd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29EDA" w14:textId="7F24B8A0" w:rsidR="00062C55" w:rsidRDefault="00062C55" w:rsidP="00C56CA6">
    <w:pPr>
      <w:pStyle w:val="Footer"/>
    </w:pPr>
    <w:r>
      <w:t>HEDIS 2016, Volume 2</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EBA0C" w14:textId="7F22A11D" w:rsidR="00062C55" w:rsidRDefault="00062C55" w:rsidP="00C56CA6">
    <w:pPr>
      <w:pStyle w:val="Footer"/>
    </w:pPr>
    <w:r>
      <w:t>HEDIS 2016, Volume 2</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9D360" w14:textId="500EE23D" w:rsidR="00062C55" w:rsidRDefault="00062C55" w:rsidP="00C56CA6">
    <w:pPr>
      <w:pStyle w:val="Footer"/>
      <w:jc w:val="right"/>
    </w:pPr>
    <w:r>
      <w:t>HEDIS 2016, Volume 2</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55ECC" w14:textId="73C3E8A1" w:rsidR="00062C55" w:rsidRDefault="00062C55" w:rsidP="00CA0101">
    <w:pPr>
      <w:pStyle w:val="Footer"/>
      <w:jc w:val="right"/>
    </w:pPr>
    <w:r w:rsidRPr="00CA0101">
      <w:t>HEDIS 2016, Volume 2</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6D709" w14:textId="77777777" w:rsidR="00062C55" w:rsidRDefault="00062C55" w:rsidP="00C56CA6"/>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7B05B" w14:textId="43350445" w:rsidR="00062C55" w:rsidRDefault="00062C55">
    <w:pPr>
      <w:pStyle w:val="Footer"/>
    </w:pPr>
    <w:r w:rsidRPr="00CE4F2B">
      <w:t>HEDIS 2016, Volume 2</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9C7A0" w14:textId="368F69EF" w:rsidR="00062C55" w:rsidRDefault="00062C55">
    <w:pPr>
      <w:pStyle w:val="Footer"/>
      <w:jc w:val="right"/>
    </w:pPr>
    <w:r>
      <w:t>HEDIS 2016, Volume 2</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1C998" w14:textId="77777777" w:rsidR="00062C55" w:rsidRDefault="00062C55"/>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07ECF" w14:textId="1369F624" w:rsidR="00062C55" w:rsidRDefault="00062C55">
    <w:pPr>
      <w:pStyle w:val="Footer"/>
    </w:pPr>
    <w:r>
      <w:t>HEDIS 2016, Volume 2</w: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41A07" w14:textId="68AE9ACD" w:rsidR="00062C55" w:rsidRDefault="00062C55" w:rsidP="00C56CA6">
    <w:pPr>
      <w:pStyle w:val="Footer"/>
      <w:jc w:val="right"/>
    </w:pPr>
    <w:r>
      <w:t>HEDIS 2016, Volume 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7BF7D" w14:textId="55E417A9" w:rsidR="00062C55" w:rsidRDefault="00062C55">
    <w:pPr>
      <w:pStyle w:val="Footer"/>
    </w:pPr>
    <w:r>
      <w:t>HEDIS 2016, Volume 2</w: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C4691" w14:textId="77777777" w:rsidR="00062C55" w:rsidRDefault="00062C55"/>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36A97" w14:textId="77777777" w:rsidR="00062C55" w:rsidRPr="00651123" w:rsidRDefault="00062C55" w:rsidP="00C56CA6"/>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F6B47" w14:textId="3CFBFB4C" w:rsidR="00062C55" w:rsidRDefault="00062C55">
    <w:pPr>
      <w:pStyle w:val="Footer"/>
    </w:pPr>
    <w:r>
      <w:t>HEDIS 2016, Volume 2</w: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0B23B" w14:textId="3D1A6712" w:rsidR="00062C55" w:rsidRDefault="00062C55">
    <w:pPr>
      <w:pStyle w:val="Footer"/>
    </w:pPr>
    <w:r>
      <w:t>HEDIS 2016, Volume 2</w: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251A41" w14:textId="6FE208BD" w:rsidR="00062C55" w:rsidRDefault="00062C55">
    <w:pPr>
      <w:pStyle w:val="Footer"/>
    </w:pPr>
    <w:r>
      <w:t>HEDIS 2016, Volume 2</w: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76D60" w14:textId="120577B4" w:rsidR="00062C55" w:rsidRPr="00651123" w:rsidRDefault="00062C55" w:rsidP="00C56CA6">
    <w:pPr>
      <w:pStyle w:val="Footer"/>
      <w:jc w:val="right"/>
    </w:pPr>
    <w:r>
      <w:t>HEDIS 2016, Volume 2</w: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52490" w14:textId="084F2B99" w:rsidR="00062C55" w:rsidRDefault="00062C55" w:rsidP="00C56CA6">
    <w:pPr>
      <w:pStyle w:val="Footer"/>
      <w:jc w:val="right"/>
    </w:pPr>
    <w:r>
      <w:t>HEDIS 2016, Volume 2</w: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DA664" w14:textId="77777777" w:rsidR="00062C55" w:rsidRPr="0073605C" w:rsidRDefault="00062C55" w:rsidP="00C56CA6"/>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53ED9" w14:textId="064863FD" w:rsidR="00062C55" w:rsidRDefault="00062C55" w:rsidP="00C56CA6">
    <w:pPr>
      <w:pStyle w:val="Footer"/>
      <w:jc w:val="right"/>
    </w:pPr>
    <w:r>
      <w:t>HEDIS 2016, Volume 2</w:t>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F2FEC" w14:textId="3E031A1B" w:rsidR="00062C55" w:rsidRDefault="00062C55">
    <w:pPr>
      <w:pStyle w:val="Footer"/>
    </w:pPr>
    <w:r>
      <w:t>HEDIS 2016, Volume 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B3ACE" w14:textId="4BEE20DB" w:rsidR="00062C55" w:rsidRDefault="00062C55">
    <w:pPr>
      <w:pStyle w:val="Footer"/>
    </w:pPr>
    <w:r>
      <w:t>HEDIS 2016, Volume 2</w:t>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2E0D2" w14:textId="77777777" w:rsidR="00062C55" w:rsidRDefault="00062C55">
    <w:pPr>
      <w:pStyle w:val="Footer"/>
      <w:pBdr>
        <w:top w:val="none" w:sz="0" w:space="0" w:color="auto"/>
      </w:pBdr>
      <w:ind w:right="-36"/>
      <w:jc w:val="right"/>
    </w:pP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7D30B" w14:textId="53A81F57" w:rsidR="00062C55" w:rsidRPr="00F47C09" w:rsidRDefault="00062C55" w:rsidP="00F47C09"/>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19F1A" w14:textId="622F21F5" w:rsidR="00062C55" w:rsidRDefault="00062C55" w:rsidP="00E9531F">
    <w:pPr>
      <w:pStyle w:val="Footer"/>
      <w:jc w:val="right"/>
    </w:pPr>
    <w:r>
      <w:t>HEDIS 2016, Volume 2</w:t>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86841" w14:textId="18B362B2" w:rsidR="00062C55" w:rsidRDefault="00062C55" w:rsidP="00E9531F">
    <w:pPr>
      <w:pStyle w:val="Footer"/>
      <w:jc w:val="right"/>
    </w:pPr>
    <w:r>
      <w:t>HEDIS 201</w:t>
    </w:r>
    <w:r w:rsidR="006D2BF0">
      <w:t>6</w:t>
    </w:r>
    <w:r>
      <w:t>, Volume 2</w:t>
    </w: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EC517" w14:textId="647C910F" w:rsidR="00062C55" w:rsidRDefault="00062C55" w:rsidP="00E9531F">
    <w:pPr>
      <w:pStyle w:val="Footer"/>
      <w:jc w:val="right"/>
    </w:pPr>
    <w:r>
      <w:t>HEDIS 2016, Volume 2</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3F3A6" w14:textId="771DEB91" w:rsidR="00062C55" w:rsidRDefault="00062C55">
    <w:pPr>
      <w:pStyle w:val="Footer"/>
    </w:pPr>
    <w:r>
      <w:t>HEDIS 2016, Volume 2</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9F1FC" w14:textId="18D1BB10" w:rsidR="00062C55" w:rsidRDefault="00062C55" w:rsidP="00C56CA6">
    <w:pPr>
      <w:pStyle w:val="Footer"/>
      <w:jc w:val="right"/>
    </w:pPr>
    <w:r>
      <w:t>HEDIS 2016, Volume 2</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C6796" w14:textId="52C6F29E" w:rsidR="00062C55" w:rsidRDefault="00062C55">
    <w:pPr>
      <w:pStyle w:val="Footer"/>
    </w:pPr>
    <w:r>
      <w:t>HEDIS 2016, Volume 2</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12548" w14:textId="1D26C3D7" w:rsidR="00062C55" w:rsidRDefault="00062C55" w:rsidP="00C56CA6">
    <w:pPr>
      <w:pStyle w:val="Footer"/>
      <w:jc w:val="right"/>
    </w:pPr>
    <w:r>
      <w:t>HEDIS 2016, Volume 2</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95307" w14:textId="023A5965" w:rsidR="00062C55" w:rsidRDefault="00062C55">
    <w:pPr>
      <w:pStyle w:val="Footer"/>
    </w:pPr>
    <w:r>
      <w:t>HEDIS 2016, Volume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750153" w14:textId="77777777" w:rsidR="00062C55" w:rsidRDefault="00062C55">
      <w:pPr>
        <w:pStyle w:val="AnswerText"/>
        <w:ind w:left="0"/>
        <w:rPr>
          <w:rFonts w:ascii="Times New Roman" w:hAnsi="Times New Roman"/>
        </w:rPr>
      </w:pPr>
      <w:r>
        <w:separator/>
      </w:r>
    </w:p>
  </w:footnote>
  <w:footnote w:type="continuationSeparator" w:id="0">
    <w:p w14:paraId="12A45878" w14:textId="77777777" w:rsidR="00062C55" w:rsidRDefault="00062C55">
      <w:r>
        <w:continuationSeparator/>
      </w:r>
    </w:p>
  </w:footnote>
  <w:footnote w:type="continuationNotice" w:id="1">
    <w:p w14:paraId="22A3558D" w14:textId="77777777" w:rsidR="00062C55" w:rsidRDefault="00062C5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13023" w14:textId="77777777" w:rsidR="00062C55" w:rsidRDefault="00062C55">
    <w:pPr>
      <w:pStyle w:val="Header"/>
      <w:ind w:right="360"/>
    </w:pPr>
    <w:r>
      <w:fldChar w:fldCharType="begin"/>
    </w:r>
    <w:r>
      <w:instrText xml:space="preserve"> PAGE </w:instrText>
    </w:r>
    <w:r>
      <w:fldChar w:fldCharType="separate"/>
    </w:r>
    <w:r>
      <w:rPr>
        <w:noProof/>
      </w:rPr>
      <w:t>322</w:t>
    </w:r>
    <w:r>
      <w:rPr>
        <w:noProof/>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30F26" w14:textId="2CA6906B" w:rsidR="00062C55" w:rsidRDefault="00062C55">
    <w:pPr>
      <w:pStyle w:val="Header"/>
      <w:tabs>
        <w:tab w:val="left" w:pos="720"/>
      </w:tabs>
    </w:pPr>
    <w:r>
      <w:t>1-</w:t>
    </w:r>
    <w:r>
      <w:fldChar w:fldCharType="begin"/>
    </w:r>
    <w:r>
      <w:instrText xml:space="preserve"> PAGE </w:instrText>
    </w:r>
    <w:r>
      <w:fldChar w:fldCharType="separate"/>
    </w:r>
    <w:r>
      <w:rPr>
        <w:noProof/>
      </w:rPr>
      <w:t>6</w:t>
    </w:r>
    <w:r>
      <w:rPr>
        <w:noProof/>
      </w:rPr>
      <w:fldChar w:fldCharType="end"/>
    </w:r>
    <w:r>
      <w:t xml:space="preserve"> </w:t>
    </w:r>
    <w:r>
      <w:tab/>
      <w:t>Appendix 1—Summary Table of Measures, Product Lines and Changes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F2F831" w14:textId="71ECC1BB" w:rsidR="00062C55" w:rsidRPr="006B491B" w:rsidRDefault="00062C55" w:rsidP="00C56CA6">
    <w:pPr>
      <w:pStyle w:val="Header"/>
      <w:tabs>
        <w:tab w:val="clear" w:pos="9000"/>
        <w:tab w:val="clear" w:pos="9720"/>
        <w:tab w:val="right" w:pos="12636"/>
        <w:tab w:val="right" w:pos="13338"/>
      </w:tabs>
    </w:pPr>
    <w:r>
      <w:tab/>
      <w:t>Appendix 1—Summary Table of Measures, Product Lines and Changes</w:t>
    </w:r>
    <w:r>
      <w:tab/>
      <w:t>1-</w:t>
    </w:r>
    <w:r>
      <w:rPr>
        <w:rStyle w:val="PageNumber"/>
      </w:rPr>
      <w:fldChar w:fldCharType="begin"/>
    </w:r>
    <w:r>
      <w:rPr>
        <w:rStyle w:val="PageNumber"/>
      </w:rPr>
      <w:instrText xml:space="preserve"> PAGE </w:instrText>
    </w:r>
    <w:r>
      <w:rPr>
        <w:rStyle w:val="PageNumber"/>
      </w:rPr>
      <w:fldChar w:fldCharType="separate"/>
    </w:r>
    <w:r w:rsidR="006D2BF0">
      <w:rPr>
        <w:rStyle w:val="PageNumber"/>
        <w:noProof/>
      </w:rPr>
      <w:t>5</w:t>
    </w:r>
    <w:r>
      <w:rPr>
        <w:rStyle w:val="PageNumber"/>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62AE3" w14:textId="4A841479" w:rsidR="00062C55" w:rsidRDefault="00062C55">
    <w:pPr>
      <w:pStyle w:val="Header"/>
      <w:tabs>
        <w:tab w:val="left" w:pos="720"/>
      </w:tabs>
    </w:pPr>
    <w:r>
      <w:t>1-</w:t>
    </w:r>
    <w:r>
      <w:fldChar w:fldCharType="begin"/>
    </w:r>
    <w:r>
      <w:instrText xml:space="preserve"> PAGE </w:instrText>
    </w:r>
    <w:r>
      <w:fldChar w:fldCharType="separate"/>
    </w:r>
    <w:r w:rsidR="006D2BF0">
      <w:rPr>
        <w:noProof/>
      </w:rPr>
      <w:t>6</w:t>
    </w:r>
    <w:r>
      <w:rPr>
        <w:noProof/>
      </w:rPr>
      <w:fldChar w:fldCharType="end"/>
    </w:r>
    <w:r>
      <w:t xml:space="preserve"> </w:t>
    </w:r>
    <w:r>
      <w:tab/>
      <w:t>Appendix 1—Summary Table of Measures, Product Lines and Changes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1D4207" w14:textId="026050A4" w:rsidR="00062C55" w:rsidRPr="006B491B" w:rsidRDefault="00062C55" w:rsidP="00C56CA6">
    <w:pPr>
      <w:pStyle w:val="Header"/>
      <w:tabs>
        <w:tab w:val="clear" w:pos="9000"/>
        <w:tab w:val="clear" w:pos="9720"/>
        <w:tab w:val="right" w:pos="12636"/>
        <w:tab w:val="right" w:pos="13338"/>
      </w:tabs>
    </w:pPr>
    <w:r>
      <w:tab/>
      <w:t>Appendix 1—Summary Table of Measures, Product Lines and Changes</w:t>
    </w:r>
    <w:r>
      <w:tab/>
      <w:t>1-</w:t>
    </w:r>
    <w:r>
      <w:rPr>
        <w:rStyle w:val="PageNumber"/>
      </w:rPr>
      <w:fldChar w:fldCharType="begin"/>
    </w:r>
    <w:r>
      <w:rPr>
        <w:rStyle w:val="PageNumber"/>
      </w:rPr>
      <w:instrText xml:space="preserve"> PAGE </w:instrText>
    </w:r>
    <w:r>
      <w:rPr>
        <w:rStyle w:val="PageNumber"/>
      </w:rPr>
      <w:fldChar w:fldCharType="separate"/>
    </w:r>
    <w:r w:rsidR="006D2BF0">
      <w:rPr>
        <w:rStyle w:val="PageNumber"/>
        <w:noProof/>
      </w:rPr>
      <w:t>7</w:t>
    </w:r>
    <w:r>
      <w:rPr>
        <w:rStyle w:val="PageNumber"/>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38905" w14:textId="4A261FB4" w:rsidR="00062C55" w:rsidRDefault="00062C55">
    <w:pPr>
      <w:pStyle w:val="Header"/>
      <w:tabs>
        <w:tab w:val="left" w:pos="720"/>
      </w:tabs>
    </w:pPr>
    <w:r>
      <w:t>1-</w:t>
    </w:r>
    <w:r>
      <w:fldChar w:fldCharType="begin"/>
    </w:r>
    <w:r>
      <w:instrText xml:space="preserve"> PAGE </w:instrText>
    </w:r>
    <w:r>
      <w:fldChar w:fldCharType="separate"/>
    </w:r>
    <w:r w:rsidR="006D2BF0">
      <w:rPr>
        <w:noProof/>
      </w:rPr>
      <w:t>8</w:t>
    </w:r>
    <w:r>
      <w:rPr>
        <w:noProof/>
      </w:rPr>
      <w:fldChar w:fldCharType="end"/>
    </w:r>
    <w:r>
      <w:t xml:space="preserve"> </w:t>
    </w:r>
    <w:r>
      <w:tab/>
      <w:t>Appendix 1—Summary Table of Measures, Product Lines and Changes</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ADF37" w14:textId="08C43900" w:rsidR="00062C55" w:rsidRPr="006B491B" w:rsidRDefault="00062C55" w:rsidP="00C56CA6">
    <w:pPr>
      <w:pStyle w:val="Header"/>
      <w:tabs>
        <w:tab w:val="clear" w:pos="9000"/>
        <w:tab w:val="clear" w:pos="9720"/>
        <w:tab w:val="right" w:pos="12636"/>
        <w:tab w:val="right" w:pos="13338"/>
      </w:tabs>
    </w:pPr>
    <w:r>
      <w:tab/>
      <w:t>Appendix 1—Summary Table of Measures, Product Lines and Changes</w:t>
    </w:r>
    <w:r>
      <w:tab/>
      <w:t>1-</w:t>
    </w:r>
    <w:r>
      <w:rPr>
        <w:rStyle w:val="PageNumber"/>
      </w:rPr>
      <w:fldChar w:fldCharType="begin"/>
    </w:r>
    <w:r>
      <w:rPr>
        <w:rStyle w:val="PageNumber"/>
      </w:rPr>
      <w:instrText xml:space="preserve"> PAGE </w:instrText>
    </w:r>
    <w:r>
      <w:rPr>
        <w:rStyle w:val="PageNumber"/>
      </w:rPr>
      <w:fldChar w:fldCharType="separate"/>
    </w:r>
    <w:r w:rsidR="006D2BF0">
      <w:rPr>
        <w:rStyle w:val="PageNumber"/>
        <w:noProof/>
      </w:rPr>
      <w:t>9</w:t>
    </w:r>
    <w:r>
      <w:rPr>
        <w:rStyle w:val="PageNumber"/>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292DB" w14:textId="0B5E1617" w:rsidR="00062C55" w:rsidRDefault="00062C55">
    <w:pPr>
      <w:pStyle w:val="Header"/>
      <w:tabs>
        <w:tab w:val="left" w:pos="720"/>
      </w:tabs>
    </w:pPr>
    <w:r>
      <w:t>1-</w:t>
    </w:r>
    <w:r>
      <w:fldChar w:fldCharType="begin"/>
    </w:r>
    <w:r>
      <w:instrText xml:space="preserve"> PAGE </w:instrText>
    </w:r>
    <w:r>
      <w:fldChar w:fldCharType="separate"/>
    </w:r>
    <w:r w:rsidR="006D2BF0">
      <w:rPr>
        <w:noProof/>
      </w:rPr>
      <w:t>10</w:t>
    </w:r>
    <w:r>
      <w:rPr>
        <w:noProof/>
      </w:rPr>
      <w:fldChar w:fldCharType="end"/>
    </w:r>
    <w:r>
      <w:t xml:space="preserve"> </w:t>
    </w:r>
    <w:r>
      <w:tab/>
      <w:t>Appendix 1—Summary Table of Measures, Product Lines and Changes</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13C2B" w14:textId="456360F7" w:rsidR="00062C55" w:rsidRPr="006B491B" w:rsidRDefault="00062C55" w:rsidP="00C56CA6">
    <w:pPr>
      <w:pStyle w:val="Header"/>
      <w:tabs>
        <w:tab w:val="clear" w:pos="9000"/>
        <w:tab w:val="clear" w:pos="9720"/>
        <w:tab w:val="right" w:pos="12636"/>
        <w:tab w:val="right" w:pos="13338"/>
      </w:tabs>
    </w:pPr>
    <w:r>
      <w:tab/>
      <w:t>Appendix 1—Summary Table of Measures, Product Lines and Changes</w:t>
    </w:r>
    <w:r>
      <w:tab/>
      <w:t>1-</w:t>
    </w:r>
    <w:r>
      <w:rPr>
        <w:rStyle w:val="PageNumber"/>
      </w:rPr>
      <w:fldChar w:fldCharType="begin"/>
    </w:r>
    <w:r>
      <w:rPr>
        <w:rStyle w:val="PageNumber"/>
      </w:rPr>
      <w:instrText xml:space="preserve"> PAGE </w:instrText>
    </w:r>
    <w:r>
      <w:rPr>
        <w:rStyle w:val="PageNumber"/>
      </w:rPr>
      <w:fldChar w:fldCharType="separate"/>
    </w:r>
    <w:r w:rsidR="006D2BF0">
      <w:rPr>
        <w:rStyle w:val="PageNumber"/>
        <w:noProof/>
      </w:rPr>
      <w:t>11</w:t>
    </w:r>
    <w:r>
      <w:rPr>
        <w:rStyle w:val="PageNumber"/>
      </w:rP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25A02" w14:textId="0B7E2B52" w:rsidR="00062C55" w:rsidRDefault="00062C55">
    <w:pPr>
      <w:pStyle w:val="Header"/>
      <w:tabs>
        <w:tab w:val="left" w:pos="720"/>
      </w:tabs>
    </w:pPr>
    <w:r>
      <w:t>1-</w:t>
    </w:r>
    <w:r>
      <w:fldChar w:fldCharType="begin"/>
    </w:r>
    <w:r>
      <w:instrText xml:space="preserve"> PAGE </w:instrText>
    </w:r>
    <w:r>
      <w:fldChar w:fldCharType="separate"/>
    </w:r>
    <w:r w:rsidR="006D2BF0">
      <w:rPr>
        <w:noProof/>
      </w:rPr>
      <w:t>12</w:t>
    </w:r>
    <w:r>
      <w:rPr>
        <w:noProof/>
      </w:rPr>
      <w:fldChar w:fldCharType="end"/>
    </w:r>
    <w:r>
      <w:t xml:space="preserve"> </w:t>
    </w:r>
    <w:r>
      <w:tab/>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45B8E" w14:textId="77777777" w:rsidR="00062C55" w:rsidRDefault="00062C55">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502B3" w14:textId="77777777" w:rsidR="00062C55" w:rsidRDefault="00062C55">
    <w:pPr>
      <w:pStyle w:val="Header"/>
      <w:pBdr>
        <w:bottom w:val="none" w:sz="0" w:space="0"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E2865" w14:textId="77777777" w:rsidR="00062C55" w:rsidRDefault="00062C55">
    <w:pPr>
      <w:pStyle w:val="Header"/>
      <w:pBdr>
        <w:bottom w:val="none" w:sz="0" w:space="0" w:color="auto"/>
      </w:pBd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D7782" w14:textId="77777777" w:rsidR="00062C55" w:rsidRDefault="00062C55">
    <w:pPr>
      <w:pStyle w:val="Header"/>
      <w:pBdr>
        <w:bottom w:val="none" w:sz="0" w:space="0" w:color="auto"/>
      </w:pBdr>
      <w:ind w:right="360" w:firstLine="360"/>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A2DCF" w14:textId="77777777" w:rsidR="00062C55" w:rsidRDefault="00062C55">
    <w:pPr>
      <w:pStyle w:val="Header"/>
      <w:tabs>
        <w:tab w:val="left" w:pos="630"/>
      </w:tabs>
    </w:pPr>
    <w:r>
      <w:tab/>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0FE24" w14:textId="3E12492E" w:rsidR="00062C55" w:rsidRDefault="00062C55">
    <w:pPr>
      <w:pStyle w:val="Header"/>
    </w:pPr>
    <w:r>
      <w:tab/>
      <w:t>Appendix 2—First-Year Measures</w:t>
    </w:r>
    <w:r>
      <w:tab/>
      <w:t>2-</w:t>
    </w:r>
    <w:r>
      <w:fldChar w:fldCharType="begin"/>
    </w:r>
    <w:r>
      <w:instrText xml:space="preserve"> PAGE </w:instrText>
    </w:r>
    <w:r>
      <w:fldChar w:fldCharType="separate"/>
    </w:r>
    <w:r>
      <w:rPr>
        <w:noProof/>
      </w:rPr>
      <w:t>3</w:t>
    </w:r>
    <w:r>
      <w:rPr>
        <w:noProof/>
      </w:rPr>
      <w:fldChar w:fldCharType="end"/>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A2587" w14:textId="7BE436C0" w:rsidR="00062C55" w:rsidRDefault="00062C55" w:rsidP="00C56CA6">
    <w:pPr>
      <w:pStyle w:val="Header"/>
      <w:ind w:left="702" w:hanging="702"/>
    </w:pPr>
    <w:r>
      <w:rPr>
        <w:rStyle w:val="PageNumber"/>
      </w:rPr>
      <w:t>2-</w:t>
    </w:r>
    <w:r>
      <w:rPr>
        <w:rStyle w:val="PageNumber"/>
      </w:rPr>
      <w:fldChar w:fldCharType="begin"/>
    </w:r>
    <w:r>
      <w:rPr>
        <w:rStyle w:val="PageNumber"/>
      </w:rPr>
      <w:instrText xml:space="preserve"> PAGE </w:instrText>
    </w:r>
    <w:r>
      <w:rPr>
        <w:rStyle w:val="PageNumber"/>
      </w:rPr>
      <w:fldChar w:fldCharType="separate"/>
    </w:r>
    <w:r w:rsidR="006D2BF0">
      <w:rPr>
        <w:rStyle w:val="PageNumber"/>
        <w:noProof/>
      </w:rPr>
      <w:t>4</w:t>
    </w:r>
    <w:r>
      <w:rPr>
        <w:rStyle w:val="PageNumber"/>
      </w:rPr>
      <w:fldChar w:fldCharType="end"/>
    </w:r>
    <w:r>
      <w:tab/>
      <w:t>Appendix 2—Technical Considerations for New Measures</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475E9" w14:textId="1626B55B" w:rsidR="00062C55" w:rsidRDefault="00062C55">
    <w:pPr>
      <w:pStyle w:val="Header"/>
    </w:pPr>
    <w:r>
      <w:tab/>
      <w:t>Appendix 2—Technical Considerations for New Measures</w:t>
    </w:r>
    <w:r>
      <w:tab/>
      <w:t>2-</w:t>
    </w:r>
    <w:r>
      <w:fldChar w:fldCharType="begin"/>
    </w:r>
    <w:r>
      <w:instrText xml:space="preserve"> PAGE </w:instrText>
    </w:r>
    <w:r>
      <w:fldChar w:fldCharType="separate"/>
    </w:r>
    <w:r w:rsidR="006D2BF0">
      <w:rPr>
        <w:noProof/>
      </w:rPr>
      <w:t>27</w:t>
    </w:r>
    <w:r>
      <w:rPr>
        <w:noProof/>
      </w:rPr>
      <w:fldChar w:fldCharType="end"/>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B0E62" w14:textId="63570D6C" w:rsidR="00062C55" w:rsidRDefault="00062C55" w:rsidP="00B13789">
    <w:pPr>
      <w:pStyle w:val="Header"/>
      <w:ind w:left="702" w:hanging="702"/>
    </w:pPr>
    <w:r>
      <w:rPr>
        <w:rStyle w:val="PageNumber"/>
      </w:rPr>
      <w:t>2-</w:t>
    </w:r>
    <w:r>
      <w:rPr>
        <w:rStyle w:val="PageNumber"/>
      </w:rPr>
      <w:fldChar w:fldCharType="begin"/>
    </w:r>
    <w:r>
      <w:rPr>
        <w:rStyle w:val="PageNumber"/>
      </w:rPr>
      <w:instrText xml:space="preserve"> PAGE </w:instrText>
    </w:r>
    <w:r>
      <w:rPr>
        <w:rStyle w:val="PageNumber"/>
      </w:rPr>
      <w:fldChar w:fldCharType="separate"/>
    </w:r>
    <w:r w:rsidR="006D2BF0">
      <w:rPr>
        <w:rStyle w:val="PageNumber"/>
        <w:noProof/>
      </w:rPr>
      <w:t>24</w:t>
    </w:r>
    <w:r>
      <w:rPr>
        <w:rStyle w:val="PageNumber"/>
      </w:rPr>
      <w:fldChar w:fldCharType="end"/>
    </w:r>
    <w:r>
      <w:tab/>
      <w:t>Appendix 2—Technical Considerations for New Measures</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D81AB" w14:textId="77777777" w:rsidR="00062C55" w:rsidRDefault="00062C55" w:rsidP="00C56CA6">
    <w:pPr>
      <w:pStyle w:val="Header"/>
      <w:ind w:left="702" w:hanging="702"/>
    </w:pPr>
    <w:r>
      <w:rPr>
        <w:rStyle w:val="PageNumber"/>
      </w:rPr>
      <w:t>2-</w:t>
    </w:r>
    <w:r>
      <w:rPr>
        <w:rStyle w:val="PageNumber"/>
      </w:rPr>
      <w:fldChar w:fldCharType="begin"/>
    </w:r>
    <w:r>
      <w:rPr>
        <w:rStyle w:val="PageNumber"/>
      </w:rPr>
      <w:instrText xml:space="preserve"> PAGE </w:instrText>
    </w:r>
    <w:r>
      <w:rPr>
        <w:rStyle w:val="PageNumber"/>
      </w:rPr>
      <w:fldChar w:fldCharType="separate"/>
    </w:r>
    <w:r w:rsidR="006D2BF0">
      <w:rPr>
        <w:rStyle w:val="PageNumber"/>
        <w:noProof/>
      </w:rPr>
      <w:t>28</w:t>
    </w:r>
    <w:r>
      <w:rPr>
        <w:rStyle w:val="PageNumber"/>
      </w:rPr>
      <w:fldChar w:fldCharType="end"/>
    </w:r>
    <w:r>
      <w:tab/>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1A91" w14:textId="77777777" w:rsidR="00062C55" w:rsidRDefault="00062C55" w:rsidP="00C56CA6"/>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51FAE" w14:textId="77777777" w:rsidR="00062C55" w:rsidRPr="00F31BF0" w:rsidRDefault="00062C55" w:rsidP="00C56CA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669E2" w14:textId="77777777" w:rsidR="00062C55" w:rsidRDefault="00062C55">
    <w:pPr>
      <w:pStyle w:val="Header"/>
      <w:pBdr>
        <w:bottom w:val="none" w:sz="0" w:space="0" w:color="auto"/>
      </w:pBd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374A8" w14:textId="13467492" w:rsidR="00062C55" w:rsidRDefault="00062C55">
    <w:pPr>
      <w:pStyle w:val="Header"/>
      <w:pBdr>
        <w:bottom w:val="single" w:sz="6" w:space="0" w:color="auto"/>
      </w:pBdr>
    </w:pPr>
    <w:r>
      <w:tab/>
      <w:t>Appendix 3—Practitioner Type Definitions</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7B373" w14:textId="383D292F" w:rsidR="00062C55" w:rsidRDefault="00062C55">
    <w:pPr>
      <w:pStyle w:val="Header"/>
      <w:tabs>
        <w:tab w:val="left" w:pos="720"/>
      </w:tabs>
    </w:pPr>
    <w:r w:rsidRPr="00E430E7">
      <w:t>3-</w:t>
    </w:r>
    <w:r>
      <w:fldChar w:fldCharType="begin"/>
    </w:r>
    <w:r>
      <w:instrText xml:space="preserve"> PAGE </w:instrText>
    </w:r>
    <w:r>
      <w:fldChar w:fldCharType="separate"/>
    </w:r>
    <w:r w:rsidR="006D2BF0">
      <w:rPr>
        <w:noProof/>
      </w:rPr>
      <w:t>2</w:t>
    </w:r>
    <w:r>
      <w:rPr>
        <w:noProof/>
      </w:rPr>
      <w:fldChar w:fldCharType="end"/>
    </w:r>
    <w:r>
      <w:tab/>
      <w:t>Appendix 3—Practitioner Types</w: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4773A" w14:textId="2054C46F" w:rsidR="00062C55" w:rsidRDefault="00062C55">
    <w:pPr>
      <w:pStyle w:val="Header"/>
      <w:pBdr>
        <w:bottom w:val="single" w:sz="6" w:space="0" w:color="auto"/>
      </w:pBdr>
    </w:pPr>
    <w:r>
      <w:tab/>
      <w:t>Appendix 3—Practitioner Types</w:t>
    </w:r>
    <w:r>
      <w:tab/>
    </w:r>
    <w:r>
      <w:rPr>
        <w:rStyle w:val="PageNumber"/>
      </w:rPr>
      <w:t>3-</w:t>
    </w:r>
    <w:r>
      <w:rPr>
        <w:rStyle w:val="PageNumber"/>
      </w:rPr>
      <w:fldChar w:fldCharType="begin"/>
    </w:r>
    <w:r>
      <w:rPr>
        <w:rStyle w:val="PageNumber"/>
      </w:rPr>
      <w:instrText xml:space="preserve"> PAGE </w:instrText>
    </w:r>
    <w:r>
      <w:rPr>
        <w:rStyle w:val="PageNumber"/>
      </w:rPr>
      <w:fldChar w:fldCharType="separate"/>
    </w:r>
    <w:r w:rsidR="006D2BF0">
      <w:rPr>
        <w:rStyle w:val="PageNumber"/>
        <w:noProof/>
      </w:rPr>
      <w:t>1</w:t>
    </w:r>
    <w:r>
      <w:rPr>
        <w:rStyle w:val="PageNumber"/>
      </w:rPr>
      <w:fldChar w:fldCharType="end"/>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DEA13" w14:textId="77777777" w:rsidR="00062C55" w:rsidRDefault="00062C55"/>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0C8F3" w14:textId="77777777" w:rsidR="00062C55" w:rsidRDefault="00062C55">
    <w:pPr>
      <w:pStyle w:val="Header"/>
      <w:tabs>
        <w:tab w:val="left" w:pos="720"/>
      </w:tabs>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053F2" w14:textId="51DB38CB" w:rsidR="00062C55" w:rsidRDefault="00062C55">
    <w:pPr>
      <w:pStyle w:val="Header"/>
      <w:tabs>
        <w:tab w:val="left" w:pos="720"/>
      </w:tabs>
    </w:pPr>
    <w:r w:rsidRPr="009206C7">
      <w:t>4-</w:t>
    </w:r>
    <w:r>
      <w:fldChar w:fldCharType="begin"/>
    </w:r>
    <w:r>
      <w:instrText xml:space="preserve"> PAGE </w:instrText>
    </w:r>
    <w:r>
      <w:fldChar w:fldCharType="separate"/>
    </w:r>
    <w:r w:rsidR="006D2BF0">
      <w:rPr>
        <w:noProof/>
      </w:rPr>
      <w:t>2</w:t>
    </w:r>
    <w:r>
      <w:rPr>
        <w:noProof/>
      </w:rPr>
      <w:fldChar w:fldCharType="end"/>
    </w:r>
    <w:r>
      <w:t xml:space="preserve"> </w:t>
    </w:r>
    <w:r w:rsidRPr="009206C7">
      <w:tab/>
      <w:t>Appendix</w:t>
    </w:r>
    <w:r>
      <w:t xml:space="preserve"> </w:t>
    </w:r>
    <w:r w:rsidRPr="009206C7">
      <w:t>4—Data</w:t>
    </w:r>
    <w:r>
      <w:t xml:space="preserve"> </w:t>
    </w:r>
    <w:r w:rsidRPr="009206C7">
      <w:t>Element</w:t>
    </w:r>
    <w:r>
      <w:t xml:space="preserve"> </w:t>
    </w:r>
    <w:r w:rsidRPr="009206C7">
      <w:t>Definitions</w: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60B4D" w14:textId="6BD017EC" w:rsidR="00062C55" w:rsidRDefault="00062C55">
    <w:pPr>
      <w:pStyle w:val="Header"/>
      <w:tabs>
        <w:tab w:val="clear" w:pos="9000"/>
        <w:tab w:val="clear" w:pos="9720"/>
        <w:tab w:val="right" w:pos="12600"/>
        <w:tab w:val="right" w:pos="13320"/>
      </w:tabs>
    </w:pPr>
    <w:r>
      <w:tab/>
    </w:r>
    <w:r w:rsidRPr="009206C7">
      <w:t>Appendix</w:t>
    </w:r>
    <w:r>
      <w:t xml:space="preserve"> </w:t>
    </w:r>
    <w:r w:rsidRPr="009206C7">
      <w:t>4—</w:t>
    </w:r>
    <w:r>
      <w:t>Data Element Definitions</w:t>
    </w:r>
    <w:r>
      <w:tab/>
      <w:t>4-</w:t>
    </w:r>
    <w:r>
      <w:fldChar w:fldCharType="begin"/>
    </w:r>
    <w:r>
      <w:instrText xml:space="preserve"> PAGE </w:instrText>
    </w:r>
    <w:r>
      <w:fldChar w:fldCharType="separate"/>
    </w:r>
    <w:r w:rsidR="006D2BF0">
      <w:rPr>
        <w:noProof/>
      </w:rPr>
      <w:t>1</w:t>
    </w:r>
    <w:r>
      <w:rPr>
        <w:noProof/>
      </w:rPr>
      <w:fldChar w:fldCharType="end"/>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87B58" w14:textId="01D7A895" w:rsidR="00062C55" w:rsidRPr="009D7A99" w:rsidRDefault="00062C55" w:rsidP="00C56CA6">
    <w:pPr>
      <w:pStyle w:val="Header"/>
    </w:pPr>
    <w:r w:rsidRPr="009D7A99">
      <w:tab/>
      <w:t>Appendix</w:t>
    </w:r>
    <w:r>
      <w:t xml:space="preserve"> </w:t>
    </w:r>
    <w:r w:rsidRPr="009D7A99">
      <w:t>4—Data</w:t>
    </w:r>
    <w:r>
      <w:t xml:space="preserve"> </w:t>
    </w:r>
    <w:r w:rsidRPr="009D7A99">
      <w:t>Element</w:t>
    </w:r>
    <w:r>
      <w:t xml:space="preserve"> </w:t>
    </w:r>
    <w:r w:rsidRPr="009D7A99">
      <w:t>Definitions</w:t>
    </w:r>
    <w:r w:rsidRPr="009D7A99">
      <w:tab/>
      <w:t>4-</w:t>
    </w:r>
    <w:r>
      <w:fldChar w:fldCharType="begin"/>
    </w:r>
    <w:r>
      <w:instrText xml:space="preserve"> PAGE </w:instrText>
    </w:r>
    <w:r>
      <w:fldChar w:fldCharType="separate"/>
    </w:r>
    <w:r w:rsidR="006770D6">
      <w:rPr>
        <w:noProof/>
      </w:rPr>
      <w:t>3</w:t>
    </w:r>
    <w:r>
      <w:rPr>
        <w:noProof/>
      </w:rPr>
      <w:fldChar w:fldCharType="end"/>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F8244" w14:textId="2845E163" w:rsidR="00062C55" w:rsidRDefault="00062C55">
    <w:pPr>
      <w:pStyle w:val="Header"/>
      <w:tabs>
        <w:tab w:val="left" w:pos="720"/>
      </w:tabs>
    </w:pPr>
    <w:r w:rsidRPr="009206C7">
      <w:t>4-</w:t>
    </w:r>
    <w:r>
      <w:fldChar w:fldCharType="begin"/>
    </w:r>
    <w:r>
      <w:instrText xml:space="preserve"> PAGE </w:instrText>
    </w:r>
    <w:r>
      <w:fldChar w:fldCharType="separate"/>
    </w:r>
    <w:r w:rsidR="006770D6">
      <w:rPr>
        <w:noProof/>
      </w:rPr>
      <w:t>4</w:t>
    </w:r>
    <w:r>
      <w:rPr>
        <w:noProof/>
      </w:rPr>
      <w:fldChar w:fldCharType="end"/>
    </w:r>
    <w:r>
      <w:t xml:space="preserve"> </w:t>
    </w:r>
    <w:r w:rsidRPr="009206C7">
      <w:tab/>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8914E" w14:textId="77777777" w:rsidR="00062C55" w:rsidRDefault="00062C55"/>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E00D3" w14:textId="77777777" w:rsidR="00062C55" w:rsidRDefault="00062C55">
    <w:pPr>
      <w:pStyle w:val="Header"/>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8BC4A" w14:textId="77777777" w:rsidR="00062C55" w:rsidRDefault="00062C55"/>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7B67A" w14:textId="77777777" w:rsidR="00062C55" w:rsidRDefault="00062C55">
    <w:pPr>
      <w:pStyle w:val="Header"/>
    </w:pP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8DC63" w14:textId="205DC3FE" w:rsidR="00062C55" w:rsidRDefault="00062C55">
    <w:pPr>
      <w:pStyle w:val="Header"/>
    </w:pPr>
    <w:r>
      <w:tab/>
      <w:t>Appendix 5—Contributors</w:t>
    </w:r>
    <w:r>
      <w:tab/>
      <w:t>5-</w:t>
    </w:r>
    <w:r>
      <w:fldChar w:fldCharType="begin"/>
    </w:r>
    <w:r>
      <w:instrText xml:space="preserve"> PAGE </w:instrText>
    </w:r>
    <w:r>
      <w:fldChar w:fldCharType="separate"/>
    </w:r>
    <w:r>
      <w:rPr>
        <w:noProof/>
      </w:rPr>
      <w:t>3</w:t>
    </w:r>
    <w:r>
      <w:rPr>
        <w:noProof/>
      </w:rPr>
      <w:fldChar w:fldCharType="end"/>
    </w: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9B42C" w14:textId="77777777" w:rsidR="00062C55" w:rsidRDefault="00062C55">
    <w:pPr>
      <w:pStyle w:val="Header"/>
    </w:pPr>
    <w:r>
      <w:fldChar w:fldCharType="begin"/>
    </w:r>
    <w:r>
      <w:instrText xml:space="preserve"> PAGE </w:instrText>
    </w:r>
    <w:r>
      <w:fldChar w:fldCharType="separate"/>
    </w:r>
    <w:r>
      <w:rPr>
        <w:noProof/>
      </w:rPr>
      <w:t>354</w:t>
    </w:r>
    <w:r>
      <w:rPr>
        <w:noProof/>
      </w:rPr>
      <w:fldChar w:fldCharType="end"/>
    </w: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60F4E" w14:textId="7EC585E0" w:rsidR="00062C55" w:rsidRDefault="00062C55">
    <w:pPr>
      <w:pStyle w:val="Header"/>
      <w:tabs>
        <w:tab w:val="left" w:pos="720"/>
      </w:tabs>
    </w:pPr>
    <w:r>
      <w:t>5-</w:t>
    </w:r>
    <w:r>
      <w:fldChar w:fldCharType="begin"/>
    </w:r>
    <w:r>
      <w:instrText xml:space="preserve"> PAGE </w:instrText>
    </w:r>
    <w:r>
      <w:fldChar w:fldCharType="separate"/>
    </w:r>
    <w:r w:rsidR="00EF6202">
      <w:rPr>
        <w:noProof/>
      </w:rPr>
      <w:t>4</w:t>
    </w:r>
    <w:r>
      <w:rPr>
        <w:noProof/>
      </w:rPr>
      <w:fldChar w:fldCharType="end"/>
    </w:r>
    <w:r>
      <w:t xml:space="preserve"> </w:t>
    </w:r>
    <w:r>
      <w:tab/>
      <w:t>Appendix 5—Contributors</w:t>
    </w: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408FF" w14:textId="796775B4" w:rsidR="00062C55" w:rsidRDefault="00062C55">
    <w:pPr>
      <w:pStyle w:val="Header"/>
    </w:pPr>
    <w:r>
      <w:tab/>
      <w:t>Appendix 5—Contributors</w:t>
    </w:r>
    <w:r>
      <w:tab/>
      <w:t>5-</w:t>
    </w:r>
    <w:r>
      <w:fldChar w:fldCharType="begin"/>
    </w:r>
    <w:r>
      <w:instrText xml:space="preserve"> PAGE </w:instrText>
    </w:r>
    <w:r>
      <w:fldChar w:fldCharType="separate"/>
    </w:r>
    <w:r w:rsidR="00EF6202">
      <w:rPr>
        <w:noProof/>
      </w:rPr>
      <w:t>5</w:t>
    </w:r>
    <w:r>
      <w:rPr>
        <w:noProof/>
      </w:rPr>
      <w:fldChar w:fldCharType="end"/>
    </w: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A1A80" w14:textId="0608C29C" w:rsidR="00062C55" w:rsidRDefault="00062C55" w:rsidP="00C56CA6">
    <w:pPr>
      <w:pStyle w:val="Header"/>
      <w:ind w:left="720" w:hanging="720"/>
    </w:pPr>
    <w:r>
      <w:t>5-</w:t>
    </w:r>
    <w:r>
      <w:fldChar w:fldCharType="begin"/>
    </w:r>
    <w:r>
      <w:instrText xml:space="preserve"> PAGE </w:instrText>
    </w:r>
    <w:r>
      <w:fldChar w:fldCharType="separate"/>
    </w:r>
    <w:r w:rsidR="000637D8">
      <w:rPr>
        <w:noProof/>
      </w:rPr>
      <w:t>8</w:t>
    </w:r>
    <w:r>
      <w:rPr>
        <w:noProof/>
      </w:rPr>
      <w:fldChar w:fldCharType="end"/>
    </w:r>
    <w:r>
      <w:t xml:space="preserve"> </w:t>
    </w:r>
    <w:r>
      <w:tab/>
      <w:t>Appendix 5—Contributors</w:t>
    </w: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FB5D7" w14:textId="420CB2D3" w:rsidR="00062C55" w:rsidRDefault="00062C55">
    <w:pPr>
      <w:pStyle w:val="Header"/>
      <w:tabs>
        <w:tab w:val="right" w:pos="13680"/>
      </w:tabs>
    </w:pPr>
    <w:r>
      <w:tab/>
      <w:t>Appendix 5—Contributors</w:t>
    </w:r>
    <w:r>
      <w:tab/>
      <w:t>5-</w:t>
    </w:r>
    <w:r>
      <w:fldChar w:fldCharType="begin"/>
    </w:r>
    <w:r>
      <w:instrText xml:space="preserve"> PAGE </w:instrText>
    </w:r>
    <w:r>
      <w:fldChar w:fldCharType="separate"/>
    </w:r>
    <w:r w:rsidR="000637D8">
      <w:rPr>
        <w:noProof/>
      </w:rPr>
      <w:t>9</w:t>
    </w:r>
    <w:r>
      <w:rPr>
        <w:noProof/>
      </w:rPr>
      <w:fldChar w:fldCharType="end"/>
    </w: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CE4B4" w14:textId="5049C00D" w:rsidR="00062C55" w:rsidRDefault="00062C55" w:rsidP="00C56CA6">
    <w:pPr>
      <w:pStyle w:val="Header"/>
      <w:ind w:left="720" w:hanging="720"/>
    </w:pPr>
    <w:r>
      <w:t>5-</w:t>
    </w:r>
    <w:r>
      <w:fldChar w:fldCharType="begin"/>
    </w:r>
    <w:r>
      <w:instrText xml:space="preserve"> PAGE </w:instrText>
    </w:r>
    <w:r>
      <w:fldChar w:fldCharType="separate"/>
    </w:r>
    <w:r w:rsidR="000637D8">
      <w:rPr>
        <w:noProof/>
      </w:rPr>
      <w:t>10</w:t>
    </w:r>
    <w:r>
      <w:rPr>
        <w:noProof/>
      </w:rPr>
      <w:fldChar w:fldCharType="end"/>
    </w:r>
    <w:r>
      <w:t xml:space="preserve"> </w:t>
    </w:r>
    <w:r>
      <w:tab/>
    </w: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7765D" w14:textId="77777777" w:rsidR="00062C55" w:rsidRDefault="00062C55" w:rsidP="00C56CA6"/>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176C8" w14:textId="77777777" w:rsidR="00062C55" w:rsidRDefault="00062C55">
    <w:pPr>
      <w:pStyle w:val="Header"/>
    </w:pPr>
    <w:r>
      <w:fldChar w:fldCharType="begin"/>
    </w:r>
    <w:r>
      <w:instrText xml:space="preserve"> PAGE </w:instrText>
    </w:r>
    <w:r>
      <w:fldChar w:fldCharType="separate"/>
    </w:r>
    <w:r>
      <w:rPr>
        <w:noProof/>
      </w:rPr>
      <w:t>322</w:t>
    </w:r>
    <w:r>
      <w:rPr>
        <w:noProof/>
      </w:rPr>
      <w:fldChar w:fldCharType="end"/>
    </w: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6371B" w14:textId="77777777" w:rsidR="00062C55" w:rsidRDefault="00062C55">
    <w:pPr>
      <w:pStyle w:val="Header"/>
      <w:tabs>
        <w:tab w:val="left" w:pos="720"/>
      </w:tabs>
    </w:pPr>
    <w:r>
      <w:tab/>
    </w: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4768F" w14:textId="40603312" w:rsidR="00062C55" w:rsidRDefault="00062C55">
    <w:pPr>
      <w:pStyle w:val="Header"/>
      <w:tabs>
        <w:tab w:val="left" w:pos="720"/>
      </w:tabs>
    </w:pPr>
    <w:r>
      <w:t>6-</w:t>
    </w:r>
    <w:r>
      <w:rPr>
        <w:rStyle w:val="PageNumber"/>
      </w:rPr>
      <w:fldChar w:fldCharType="begin"/>
    </w:r>
    <w:r>
      <w:rPr>
        <w:rStyle w:val="PageNumber"/>
      </w:rPr>
      <w:instrText xml:space="preserve"> PAGE </w:instrText>
    </w:r>
    <w:r>
      <w:rPr>
        <w:rStyle w:val="PageNumber"/>
      </w:rPr>
      <w:fldChar w:fldCharType="separate"/>
    </w:r>
    <w:r w:rsidR="000637D8">
      <w:rPr>
        <w:rStyle w:val="PageNumber"/>
        <w:noProof/>
      </w:rPr>
      <w:t>2</w:t>
    </w:r>
    <w:r>
      <w:rPr>
        <w:rStyle w:val="PageNumber"/>
      </w:rPr>
      <w:fldChar w:fldCharType="end"/>
    </w:r>
    <w:r>
      <w:t xml:space="preserve"> </w:t>
    </w:r>
    <w:r>
      <w:tab/>
      <w:t>Appendix 6—Alphabetized List of HEDIS Measures</w:t>
    </w: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3B9D4" w14:textId="67617E38" w:rsidR="00062C55" w:rsidRDefault="00062C55" w:rsidP="00C56CA6">
    <w:pPr>
      <w:pStyle w:val="Header"/>
    </w:pPr>
    <w:r>
      <w:tab/>
      <w:t>Appendix 6—Alphabetized List of HEDIS Measures</w:t>
    </w:r>
    <w:r>
      <w:tab/>
      <w:t>6-</w:t>
    </w:r>
    <w:r>
      <w:rPr>
        <w:rStyle w:val="PageNumber"/>
      </w:rPr>
      <w:fldChar w:fldCharType="begin"/>
    </w:r>
    <w:r>
      <w:rPr>
        <w:rStyle w:val="PageNumber"/>
      </w:rPr>
      <w:instrText xml:space="preserve"> PAGE </w:instrText>
    </w:r>
    <w:r>
      <w:rPr>
        <w:rStyle w:val="PageNumber"/>
      </w:rPr>
      <w:fldChar w:fldCharType="separate"/>
    </w:r>
    <w:r w:rsidR="000637D8">
      <w:rPr>
        <w:rStyle w:val="PageNumber"/>
        <w:noProof/>
      </w:rPr>
      <w:t>3</w:t>
    </w:r>
    <w:r>
      <w:rPr>
        <w:rStyle w:val="PageNumber"/>
      </w:rPr>
      <w:fldChar w:fldCharType="end"/>
    </w: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115234"/>
      <w:docPartObj>
        <w:docPartGallery w:val="Page Numbers (Top of Page)"/>
        <w:docPartUnique/>
      </w:docPartObj>
    </w:sdtPr>
    <w:sdtEndPr>
      <w:rPr>
        <w:noProof/>
      </w:rPr>
    </w:sdtEndPr>
    <w:sdtContent>
      <w:p w14:paraId="1217BE2C" w14:textId="3BBFED70" w:rsidR="00062C55" w:rsidRDefault="00062C55" w:rsidP="00F47C09">
        <w:pPr>
          <w:pStyle w:val="Header"/>
        </w:pPr>
        <w:r>
          <w:t>6-</w:t>
        </w:r>
        <w:r>
          <w:fldChar w:fldCharType="begin"/>
        </w:r>
        <w:r>
          <w:instrText xml:space="preserve"> PAGE   \* MERGEFORMAT </w:instrText>
        </w:r>
        <w:r>
          <w:fldChar w:fldCharType="separate"/>
        </w:r>
        <w:r w:rsidR="000637D8">
          <w:rPr>
            <w:noProof/>
          </w:rPr>
          <w:t>4</w:t>
        </w:r>
        <w:r>
          <w:rPr>
            <w:noProof/>
          </w:rPr>
          <w:fldChar w:fldCharType="end"/>
        </w:r>
      </w:p>
    </w:sdtContent>
  </w:sdt>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A8B8F" w14:textId="4106F10D" w:rsidR="00062C55" w:rsidRDefault="00062C55" w:rsidP="00C56CA6">
    <w:pPr>
      <w:pStyle w:val="Header"/>
    </w:pPr>
    <w:r>
      <w:tab/>
      <w:t>Appendix 6—Alphabetized List of HEDIS Measures</w:t>
    </w:r>
    <w:r>
      <w:tab/>
      <w:t>6-</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BC157" w14:textId="77777777" w:rsidR="00062C55" w:rsidRDefault="00062C55">
    <w:pPr>
      <w:pStyle w:val="Header"/>
      <w:pBdr>
        <w:bottom w:val="none" w:sz="0" w:space="0" w:color="auto"/>
      </w:pBdr>
    </w:pPr>
  </w:p>
</w:hdr>
</file>

<file path=word/header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0FAEF" w14:textId="19866DCE" w:rsidR="00062C55" w:rsidRPr="00F47C09" w:rsidRDefault="00062C55" w:rsidP="00F47C09"/>
</w:hdr>
</file>

<file path=word/header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9B202" w14:textId="3A843B9B" w:rsidR="00062C55" w:rsidRDefault="00062C55" w:rsidP="00F47C09">
    <w:pPr>
      <w:pStyle w:val="Header"/>
    </w:pPr>
  </w:p>
</w:hdr>
</file>

<file path=word/header5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8405A" w14:textId="77777777" w:rsidR="00062C55" w:rsidRPr="00F47C09" w:rsidRDefault="00062C55" w:rsidP="00A56F37">
    <w:pPr>
      <w:pStyle w:val="Header"/>
    </w:pPr>
  </w:p>
</w:hdr>
</file>

<file path=word/header5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F652C" w14:textId="1452FDC6" w:rsidR="00062C55" w:rsidRDefault="00062C55">
    <w:pPr>
      <w:pStyle w:val="Header"/>
      <w:tabs>
        <w:tab w:val="left" w:pos="720"/>
      </w:tabs>
    </w:pPr>
    <w:r>
      <w:t>5-</w:t>
    </w:r>
    <w:r>
      <w:fldChar w:fldCharType="begin"/>
    </w:r>
    <w:r>
      <w:instrText xml:space="preserve"> PAGE </w:instrText>
    </w:r>
    <w:r>
      <w:fldChar w:fldCharType="separate"/>
    </w:r>
    <w:r>
      <w:rPr>
        <w:noProof/>
      </w:rPr>
      <w:t>2</w:t>
    </w:r>
    <w:r>
      <w:rPr>
        <w:noProof/>
      </w:rPr>
      <w:fldChar w:fldCharType="end"/>
    </w:r>
    <w:r>
      <w:tab/>
      <w:t>Appendix 5—Logical Groups for Measure Selection, Expansion and Extrapolation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33D9A" w14:textId="2450367F" w:rsidR="00062C55" w:rsidRDefault="00062C55">
    <w:pPr>
      <w:pStyle w:val="Header"/>
      <w:tabs>
        <w:tab w:val="left" w:pos="720"/>
      </w:tabs>
    </w:pPr>
    <w:r>
      <w:t>1-</w:t>
    </w:r>
    <w:r>
      <w:fldChar w:fldCharType="begin"/>
    </w:r>
    <w:r>
      <w:instrText xml:space="preserve"> PAGE </w:instrText>
    </w:r>
    <w:r>
      <w:fldChar w:fldCharType="separate"/>
    </w:r>
    <w:r w:rsidR="006D2BF0">
      <w:rPr>
        <w:noProof/>
      </w:rPr>
      <w:t>2</w:t>
    </w:r>
    <w:r>
      <w:rPr>
        <w:noProof/>
      </w:rPr>
      <w:fldChar w:fldCharType="end"/>
    </w:r>
    <w:r>
      <w:t xml:space="preserve"> </w:t>
    </w:r>
    <w:r>
      <w:tab/>
      <w:t>Appendix 1—Summary Table of Measures, Product Lines and Changes</w:t>
    </w:r>
  </w:p>
</w:hdr>
</file>

<file path=word/header6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E0A87" w14:textId="2F08FD6F" w:rsidR="00062C55" w:rsidRPr="00A15B61" w:rsidRDefault="00062C55" w:rsidP="00E9531F">
    <w:pPr>
      <w:pStyle w:val="Header"/>
    </w:pPr>
    <w:r w:rsidRPr="00A15B61">
      <w:tab/>
      <w:t>Appendix</w:t>
    </w:r>
    <w:r>
      <w:t xml:space="preserve"> 7</w:t>
    </w:r>
    <w:r w:rsidRPr="00A15B61">
      <w:t>—Logical</w:t>
    </w:r>
    <w:r>
      <w:t xml:space="preserve"> Measure </w:t>
    </w:r>
    <w:r w:rsidRPr="00A15B61">
      <w:t>Groups</w:t>
    </w:r>
    <w:r w:rsidRPr="00A15B61">
      <w:tab/>
    </w:r>
    <w:r>
      <w:t>7</w:t>
    </w:r>
    <w:r w:rsidRPr="00A15B61">
      <w:t>-</w:t>
    </w:r>
    <w:r w:rsidRPr="00A15B61">
      <w:rPr>
        <w:rStyle w:val="PageNumber"/>
      </w:rPr>
      <w:fldChar w:fldCharType="begin"/>
    </w:r>
    <w:r w:rsidRPr="00A15B61">
      <w:rPr>
        <w:rStyle w:val="PageNumber"/>
      </w:rPr>
      <w:instrText xml:space="preserve"> PAGE </w:instrText>
    </w:r>
    <w:r w:rsidRPr="00A15B61">
      <w:rPr>
        <w:rStyle w:val="PageNumber"/>
      </w:rPr>
      <w:fldChar w:fldCharType="separate"/>
    </w:r>
    <w:r w:rsidR="000637D8">
      <w:rPr>
        <w:rStyle w:val="PageNumber"/>
        <w:noProof/>
      </w:rPr>
      <w:t>1</w:t>
    </w:r>
    <w:r w:rsidRPr="00A15B61">
      <w:rPr>
        <w:rStyle w:val="PageNumber"/>
      </w:rPr>
      <w:fldChar w:fldCharType="end"/>
    </w:r>
  </w:p>
</w:hdr>
</file>

<file path=word/header6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362D8" w14:textId="72553BBA" w:rsidR="00062C55" w:rsidRPr="007B52B4" w:rsidRDefault="00062C55" w:rsidP="00E9531F">
    <w:pPr>
      <w:pStyle w:val="Header"/>
      <w:tabs>
        <w:tab w:val="left" w:pos="720"/>
      </w:tabs>
    </w:pPr>
    <w:r>
      <w:t>7</w:t>
    </w:r>
    <w:r w:rsidRPr="007B52B4">
      <w:t>-</w:t>
    </w:r>
    <w:r w:rsidRPr="007B52B4">
      <w:fldChar w:fldCharType="begin"/>
    </w:r>
    <w:r w:rsidRPr="007B52B4">
      <w:instrText xml:space="preserve"> PAGE </w:instrText>
    </w:r>
    <w:r w:rsidRPr="007B52B4">
      <w:fldChar w:fldCharType="separate"/>
    </w:r>
    <w:r w:rsidR="000637D8">
      <w:rPr>
        <w:noProof/>
      </w:rPr>
      <w:t>2</w:t>
    </w:r>
    <w:r w:rsidRPr="007B52B4">
      <w:fldChar w:fldCharType="end"/>
    </w:r>
    <w:r w:rsidRPr="007B52B4">
      <w:tab/>
      <w:t>Appendix</w:t>
    </w:r>
    <w:r>
      <w:t xml:space="preserve"> 7</w:t>
    </w:r>
    <w:r w:rsidRPr="007B52B4">
      <w:t>—Logical</w:t>
    </w:r>
    <w:r>
      <w:t xml:space="preserve"> Measure </w:t>
    </w:r>
    <w:r w:rsidRPr="007B52B4">
      <w:t>Groups</w:t>
    </w:r>
    <w:r>
      <w:t xml:space="preserve"> </w:t>
    </w:r>
  </w:p>
</w:hdr>
</file>

<file path=word/header6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636C5" w14:textId="5050C6EF" w:rsidR="00062C55" w:rsidRPr="00A15B61" w:rsidRDefault="00062C55" w:rsidP="00E9531F">
    <w:pPr>
      <w:pStyle w:val="Header"/>
    </w:pPr>
    <w:r w:rsidRPr="00A15B61">
      <w:tab/>
      <w:t>Appendix</w:t>
    </w:r>
    <w:r>
      <w:t xml:space="preserve"> </w:t>
    </w:r>
    <w:r w:rsidRPr="00A15B61">
      <w:t>5—Logical</w:t>
    </w:r>
    <w:r>
      <w:t xml:space="preserve"> </w:t>
    </w:r>
    <w:r w:rsidRPr="00A15B61">
      <w:t>Groups</w:t>
    </w:r>
    <w:r>
      <w:t xml:space="preserve"> </w:t>
    </w:r>
    <w:r w:rsidRPr="00A15B61">
      <w:t>for</w:t>
    </w:r>
    <w:r>
      <w:t xml:space="preserve"> </w:t>
    </w:r>
    <w:r w:rsidRPr="00A15B61">
      <w:t>Measure</w:t>
    </w:r>
    <w:r>
      <w:t xml:space="preserve"> </w:t>
    </w:r>
    <w:r w:rsidRPr="00A15B61">
      <w:t>Selection,</w:t>
    </w:r>
    <w:r>
      <w:t xml:space="preserve"> </w:t>
    </w:r>
    <w:r w:rsidRPr="00A15B61">
      <w:t>Expansion</w:t>
    </w:r>
    <w:r>
      <w:t xml:space="preserve"> </w:t>
    </w:r>
    <w:r w:rsidRPr="00A15B61">
      <w:t>and</w:t>
    </w:r>
    <w:r>
      <w:t xml:space="preserve"> </w:t>
    </w:r>
    <w:r w:rsidRPr="00A15B61">
      <w:t>Extrapolation</w:t>
    </w:r>
    <w:r w:rsidRPr="00A15B61">
      <w:tab/>
      <w:t>5-</w:t>
    </w:r>
    <w:r w:rsidRPr="00A15B61">
      <w:rPr>
        <w:rStyle w:val="PageNumber"/>
      </w:rPr>
      <w:fldChar w:fldCharType="begin"/>
    </w:r>
    <w:r w:rsidRPr="00A15B61">
      <w:rPr>
        <w:rStyle w:val="PageNumber"/>
      </w:rPr>
      <w:instrText xml:space="preserve"> PAGE </w:instrText>
    </w:r>
    <w:r w:rsidRPr="00A15B61">
      <w:rPr>
        <w:rStyle w:val="PageNumber"/>
      </w:rPr>
      <w:fldChar w:fldCharType="separate"/>
    </w:r>
    <w:r>
      <w:rPr>
        <w:rStyle w:val="PageNumber"/>
        <w:noProof/>
      </w:rPr>
      <w:t>3</w:t>
    </w:r>
    <w:r w:rsidRPr="00A15B61">
      <w:rPr>
        <w:rStyle w:val="PageNumber"/>
      </w:rPr>
      <w:fldChar w:fldCharType="end"/>
    </w:r>
  </w:p>
</w:hdr>
</file>

<file path=word/header6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44BE5" w14:textId="64524A69" w:rsidR="00062C55" w:rsidRPr="00A15B61" w:rsidRDefault="00062C55" w:rsidP="009D7D43">
    <w:pPr>
      <w:pStyle w:val="Header"/>
      <w:tabs>
        <w:tab w:val="clear" w:pos="9000"/>
        <w:tab w:val="clear" w:pos="9720"/>
        <w:tab w:val="right" w:pos="12960"/>
        <w:tab w:val="right" w:pos="13680"/>
      </w:tabs>
    </w:pPr>
    <w:r w:rsidRPr="00A15B61">
      <w:tab/>
    </w:r>
    <w:r w:rsidRPr="005B0DBC">
      <w:t xml:space="preserve">Appendix 7—Logical Measure Groups </w:t>
    </w:r>
    <w:r>
      <w:tab/>
      <w:t>7</w:t>
    </w:r>
    <w:r w:rsidRPr="00A15B61">
      <w:t>-</w:t>
    </w:r>
    <w:r w:rsidRPr="00A15B61">
      <w:rPr>
        <w:rStyle w:val="PageNumber"/>
      </w:rPr>
      <w:fldChar w:fldCharType="begin"/>
    </w:r>
    <w:r w:rsidRPr="00A15B61">
      <w:rPr>
        <w:rStyle w:val="PageNumber"/>
      </w:rPr>
      <w:instrText xml:space="preserve"> PAGE </w:instrText>
    </w:r>
    <w:r w:rsidRPr="00A15B61">
      <w:rPr>
        <w:rStyle w:val="PageNumber"/>
      </w:rPr>
      <w:fldChar w:fldCharType="separate"/>
    </w:r>
    <w:r w:rsidR="000637D8">
      <w:rPr>
        <w:rStyle w:val="PageNumber"/>
        <w:noProof/>
      </w:rPr>
      <w:t>3</w:t>
    </w:r>
    <w:r w:rsidRPr="00A15B61">
      <w:rPr>
        <w:rStyle w:val="PageNumber"/>
      </w:rPr>
      <w:fldChar w:fldCharType="end"/>
    </w:r>
  </w:p>
</w:hdr>
</file>

<file path=word/header6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4C952" w14:textId="1669DC08" w:rsidR="00062C55" w:rsidRPr="007B52B4" w:rsidRDefault="00062C55" w:rsidP="00E9531F">
    <w:pPr>
      <w:pStyle w:val="Header"/>
      <w:tabs>
        <w:tab w:val="left" w:pos="720"/>
      </w:tabs>
    </w:pPr>
    <w:r>
      <w:t>7</w:t>
    </w:r>
    <w:r w:rsidRPr="007B52B4">
      <w:t>-</w:t>
    </w:r>
    <w:r w:rsidRPr="007B52B4">
      <w:fldChar w:fldCharType="begin"/>
    </w:r>
    <w:r w:rsidRPr="007B52B4">
      <w:instrText xml:space="preserve"> PAGE </w:instrText>
    </w:r>
    <w:r w:rsidRPr="007B52B4">
      <w:fldChar w:fldCharType="separate"/>
    </w:r>
    <w:r w:rsidR="000637D8">
      <w:rPr>
        <w:noProof/>
      </w:rPr>
      <w:t>6</w:t>
    </w:r>
    <w:r w:rsidRPr="007B52B4">
      <w:fldChar w:fldCharType="end"/>
    </w:r>
    <w:r w:rsidRPr="007B52B4">
      <w:tab/>
    </w:r>
    <w:r w:rsidRPr="00195C5F">
      <w:t>Appendix</w:t>
    </w:r>
    <w:r>
      <w:t xml:space="preserve"> </w:t>
    </w:r>
    <w:r w:rsidRPr="00195C5F">
      <w:t>7—Logical</w:t>
    </w:r>
    <w:r>
      <w:t xml:space="preserve"> </w:t>
    </w:r>
    <w:r w:rsidRPr="00195C5F">
      <w:t>Measure</w:t>
    </w:r>
    <w:r>
      <w:t xml:space="preserve"> </w:t>
    </w:r>
    <w:r w:rsidRPr="00195C5F">
      <w:t>Groups</w:t>
    </w:r>
  </w:p>
</w:hdr>
</file>

<file path=word/header6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1D781" w14:textId="7CD7C405" w:rsidR="00062C55" w:rsidRPr="00A15B61" w:rsidRDefault="00062C55" w:rsidP="00E9531F">
    <w:pPr>
      <w:pStyle w:val="Header"/>
    </w:pPr>
    <w:r w:rsidRPr="00A15B61">
      <w:tab/>
    </w:r>
    <w:r w:rsidRPr="00195C5F">
      <w:t>Appendix</w:t>
    </w:r>
    <w:r>
      <w:t xml:space="preserve"> </w:t>
    </w:r>
    <w:r w:rsidRPr="00195C5F">
      <w:t>7—Logical</w:t>
    </w:r>
    <w:r>
      <w:t xml:space="preserve"> </w:t>
    </w:r>
    <w:r w:rsidRPr="00195C5F">
      <w:t>Measure</w:t>
    </w:r>
    <w:r>
      <w:t xml:space="preserve"> </w:t>
    </w:r>
    <w:r w:rsidRPr="00195C5F">
      <w:t>Groups</w:t>
    </w:r>
    <w:r w:rsidRPr="00A15B61">
      <w:tab/>
    </w:r>
    <w:r>
      <w:t>7</w:t>
    </w:r>
    <w:r w:rsidRPr="00A15B61">
      <w:t>-</w:t>
    </w:r>
    <w:r w:rsidRPr="00A15B61">
      <w:rPr>
        <w:rStyle w:val="PageNumber"/>
      </w:rPr>
      <w:fldChar w:fldCharType="begin"/>
    </w:r>
    <w:r w:rsidRPr="00A15B61">
      <w:rPr>
        <w:rStyle w:val="PageNumber"/>
      </w:rPr>
      <w:instrText xml:space="preserve"> PAGE </w:instrText>
    </w:r>
    <w:r w:rsidRPr="00A15B61">
      <w:rPr>
        <w:rStyle w:val="PageNumber"/>
      </w:rPr>
      <w:fldChar w:fldCharType="separate"/>
    </w:r>
    <w:r>
      <w:rPr>
        <w:rStyle w:val="PageNumber"/>
        <w:noProof/>
      </w:rPr>
      <w:t>5</w:t>
    </w:r>
    <w:r w:rsidRPr="00A15B61">
      <w:rPr>
        <w:rStyle w:val="PageNumber"/>
      </w:rPr>
      <w:fldChar w:fldCharType="end"/>
    </w:r>
  </w:p>
</w:hdr>
</file>

<file path=word/header6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969D9" w14:textId="77777777" w:rsidR="00062C55" w:rsidRPr="00A15B61" w:rsidRDefault="00062C55" w:rsidP="00DF1884">
    <w:pPr>
      <w:pStyle w:val="Header"/>
      <w:tabs>
        <w:tab w:val="clear" w:pos="9000"/>
        <w:tab w:val="clear" w:pos="9720"/>
        <w:tab w:val="right" w:pos="13140"/>
        <w:tab w:val="right" w:pos="13680"/>
      </w:tabs>
    </w:pPr>
    <w:r w:rsidRPr="00A15B61">
      <w:tab/>
    </w:r>
    <w:r w:rsidRPr="00195C5F">
      <w:t>Appendix</w:t>
    </w:r>
    <w:r>
      <w:t xml:space="preserve"> </w:t>
    </w:r>
    <w:r w:rsidRPr="00195C5F">
      <w:t>7—Logical</w:t>
    </w:r>
    <w:r>
      <w:t xml:space="preserve"> </w:t>
    </w:r>
    <w:r w:rsidRPr="00195C5F">
      <w:t>Measure</w:t>
    </w:r>
    <w:r>
      <w:t xml:space="preserve"> </w:t>
    </w:r>
    <w:r w:rsidRPr="00195C5F">
      <w:t>Groups</w:t>
    </w:r>
    <w:r w:rsidRPr="00A15B61">
      <w:tab/>
    </w:r>
    <w:r>
      <w:t>7</w:t>
    </w:r>
    <w:r w:rsidRPr="00A15B61">
      <w:t>-</w:t>
    </w:r>
    <w:r w:rsidRPr="00A15B61">
      <w:rPr>
        <w:rStyle w:val="PageNumber"/>
      </w:rPr>
      <w:fldChar w:fldCharType="begin"/>
    </w:r>
    <w:r w:rsidRPr="00A15B61">
      <w:rPr>
        <w:rStyle w:val="PageNumber"/>
      </w:rPr>
      <w:instrText xml:space="preserve"> PAGE </w:instrText>
    </w:r>
    <w:r w:rsidRPr="00A15B61">
      <w:rPr>
        <w:rStyle w:val="PageNumber"/>
      </w:rPr>
      <w:fldChar w:fldCharType="separate"/>
    </w:r>
    <w:r w:rsidR="000637D8">
      <w:rPr>
        <w:rStyle w:val="PageNumber"/>
        <w:noProof/>
      </w:rPr>
      <w:t>9</w:t>
    </w:r>
    <w:r w:rsidRPr="00A15B61">
      <w:rPr>
        <w:rStyle w:val="PageNumber"/>
      </w:rPr>
      <w:fldChar w:fldCharType="end"/>
    </w:r>
  </w:p>
</w:hdr>
</file>

<file path=word/header6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7092A" w14:textId="77777777" w:rsidR="00062C55" w:rsidRDefault="00062C55" w:rsidP="00E9531F">
    <w:pPr>
      <w:pStyle w:val="Header"/>
      <w:ind w:left="720" w:hanging="720"/>
    </w:pPr>
    <w:r>
      <w:t>7-</w:t>
    </w:r>
    <w:r>
      <w:fldChar w:fldCharType="begin"/>
    </w:r>
    <w:r>
      <w:instrText xml:space="preserve"> PAGE </w:instrText>
    </w:r>
    <w:r>
      <w:fldChar w:fldCharType="separate"/>
    </w:r>
    <w:r>
      <w:rPr>
        <w:noProof/>
      </w:rPr>
      <w:t>8</w:t>
    </w:r>
    <w:r>
      <w:rPr>
        <w:noProof/>
      </w:rPr>
      <w:fldChar w:fldCharType="end"/>
    </w:r>
    <w:r>
      <w:tab/>
    </w:r>
    <w:r w:rsidRPr="00195C5F">
      <w:t>Appendix</w:t>
    </w:r>
    <w:r>
      <w:t xml:space="preserve"> </w:t>
    </w:r>
    <w:r w:rsidRPr="00195C5F">
      <w:t>7—Logical</w:t>
    </w:r>
    <w:r>
      <w:t xml:space="preserve"> </w:t>
    </w:r>
    <w:r w:rsidRPr="00195C5F">
      <w:t>Measure</w:t>
    </w:r>
    <w:r>
      <w:t xml:space="preserve"> </w:t>
    </w:r>
    <w:r w:rsidRPr="00195C5F">
      <w:t>Groups</w:t>
    </w:r>
  </w:p>
</w:hdr>
</file>

<file path=word/header6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FD8FA" w14:textId="68660CF0" w:rsidR="00062C55" w:rsidRDefault="00062C55" w:rsidP="00E9531F">
    <w:pPr>
      <w:pStyle w:val="Header"/>
      <w:ind w:left="720" w:hanging="720"/>
    </w:pPr>
    <w:r>
      <w:t>7-</w:t>
    </w:r>
    <w:r>
      <w:fldChar w:fldCharType="begin"/>
    </w:r>
    <w:r>
      <w:instrText xml:space="preserve"> PAGE </w:instrText>
    </w:r>
    <w:r>
      <w:fldChar w:fldCharType="separate"/>
    </w:r>
    <w:r w:rsidR="000637D8">
      <w:rPr>
        <w:noProof/>
      </w:rPr>
      <w:t>8</w:t>
    </w:r>
    <w:r>
      <w:rPr>
        <w:noProof/>
      </w:rPr>
      <w:fldChar w:fldCharType="end"/>
    </w:r>
    <w:r>
      <w:tab/>
    </w:r>
    <w:r w:rsidRPr="00195C5F">
      <w:t>Appendix</w:t>
    </w:r>
    <w:r>
      <w:t xml:space="preserve"> </w:t>
    </w:r>
    <w:r w:rsidRPr="00195C5F">
      <w:t>7—Logical</w:t>
    </w:r>
    <w:r>
      <w:t xml:space="preserve"> </w:t>
    </w:r>
    <w:r w:rsidRPr="00195C5F">
      <w:t>Measure</w:t>
    </w:r>
    <w:r>
      <w:t xml:space="preserve"> </w:t>
    </w:r>
    <w:r w:rsidRPr="00195C5F">
      <w:t>Groups</w:t>
    </w:r>
  </w:p>
</w:hdr>
</file>

<file path=word/header6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A17F1" w14:textId="50B56FB0" w:rsidR="00062C55" w:rsidRDefault="00062C55" w:rsidP="00E9531F">
    <w:pPr>
      <w:pStyle w:val="Header"/>
      <w:ind w:left="720" w:hanging="720"/>
    </w:pPr>
    <w:r>
      <w:t>7-</w:t>
    </w:r>
    <w:r>
      <w:fldChar w:fldCharType="begin"/>
    </w:r>
    <w:r>
      <w:instrText xml:space="preserve"> PAGE </w:instrText>
    </w:r>
    <w:r>
      <w:fldChar w:fldCharType="separate"/>
    </w:r>
    <w:r>
      <w:rPr>
        <w:noProof/>
      </w:rPr>
      <w:t>10</w:t>
    </w:r>
    <w:r>
      <w:rPr>
        <w:noProof/>
      </w:rPr>
      <w:fldChar w:fldCharType="end"/>
    </w: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2EFBA" w14:textId="3108B4FD" w:rsidR="00062C55" w:rsidRPr="006B491B" w:rsidRDefault="00062C55" w:rsidP="00C56CA6">
    <w:pPr>
      <w:pStyle w:val="Header"/>
      <w:tabs>
        <w:tab w:val="clear" w:pos="9000"/>
        <w:tab w:val="clear" w:pos="9720"/>
        <w:tab w:val="right" w:pos="12636"/>
        <w:tab w:val="right" w:pos="13338"/>
      </w:tabs>
    </w:pPr>
    <w:r>
      <w:tab/>
      <w:t>Appendix 1—Summary Table of Measures, Product Lines and Changes</w:t>
    </w:r>
    <w:r>
      <w:tab/>
      <w:t>1-</w:t>
    </w:r>
    <w:r>
      <w:rPr>
        <w:rStyle w:val="PageNumber"/>
      </w:rPr>
      <w:fldChar w:fldCharType="begin"/>
    </w:r>
    <w:r>
      <w:rPr>
        <w:rStyle w:val="PageNumber"/>
      </w:rPr>
      <w:instrText xml:space="preserve"> PAGE </w:instrText>
    </w:r>
    <w:r>
      <w:rPr>
        <w:rStyle w:val="PageNumber"/>
      </w:rPr>
      <w:fldChar w:fldCharType="separate"/>
    </w:r>
    <w:r w:rsidR="006D2BF0">
      <w:rPr>
        <w:rStyle w:val="PageNumber"/>
        <w:noProof/>
      </w:rPr>
      <w:t>3</w:t>
    </w:r>
    <w:r>
      <w:rPr>
        <w:rStyle w:val="PageNumber"/>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CD1BA" w14:textId="7E6DD515" w:rsidR="00062C55" w:rsidRDefault="00062C55">
    <w:pPr>
      <w:pStyle w:val="Header"/>
      <w:tabs>
        <w:tab w:val="left" w:pos="720"/>
      </w:tabs>
    </w:pPr>
    <w:r>
      <w:t>1-</w:t>
    </w:r>
    <w:r>
      <w:fldChar w:fldCharType="begin"/>
    </w:r>
    <w:r>
      <w:instrText xml:space="preserve"> PAGE </w:instrText>
    </w:r>
    <w:r>
      <w:fldChar w:fldCharType="separate"/>
    </w:r>
    <w:r w:rsidR="006D2BF0">
      <w:rPr>
        <w:noProof/>
      </w:rPr>
      <w:t>4</w:t>
    </w:r>
    <w:r>
      <w:rPr>
        <w:noProof/>
      </w:rPr>
      <w:fldChar w:fldCharType="end"/>
    </w:r>
    <w:r>
      <w:t xml:space="preserve"> </w:t>
    </w:r>
    <w:r>
      <w:tab/>
      <w:t>Appendix 1—Summary Table of Measures, Product Lines and Changes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45689" w14:textId="1D6A7443" w:rsidR="00062C55" w:rsidRPr="006B491B" w:rsidRDefault="00062C55" w:rsidP="00C56CA6">
    <w:pPr>
      <w:pStyle w:val="Header"/>
      <w:tabs>
        <w:tab w:val="clear" w:pos="9000"/>
        <w:tab w:val="clear" w:pos="9720"/>
        <w:tab w:val="right" w:pos="12636"/>
        <w:tab w:val="right" w:pos="13338"/>
      </w:tabs>
    </w:pPr>
    <w:r>
      <w:tab/>
      <w:t>Appendix 1—Summary Table of Measures, Product Lines and Changes</w:t>
    </w:r>
    <w:r>
      <w:tab/>
      <w:t>1-</w:t>
    </w: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F389D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A808D5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7F2D69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6D256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6F2AE1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045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A6D3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E70E1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7D81C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9E97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33862"/>
    <w:multiLevelType w:val="hybridMultilevel"/>
    <w:tmpl w:val="2EB8D128"/>
    <w:lvl w:ilvl="0" w:tplc="4000BC2A">
      <w:start w:val="1"/>
      <w:numFmt w:val="bullet"/>
      <w:pStyle w:val="DocuBullet"/>
      <w:lvlText w:val=""/>
      <w:lvlJc w:val="left"/>
      <w:pPr>
        <w:ind w:left="778" w:hanging="360"/>
      </w:pPr>
      <w:rPr>
        <w:rFonts w:ascii="Symbol" w:hAnsi="Symbol" w:hint="default"/>
        <w:sz w:val="20"/>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11" w15:restartNumberingAfterBreak="0">
    <w:nsid w:val="09A067B5"/>
    <w:multiLevelType w:val="hybridMultilevel"/>
    <w:tmpl w:val="4F12C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052CB6"/>
    <w:multiLevelType w:val="hybridMultilevel"/>
    <w:tmpl w:val="1990E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1634E1"/>
    <w:multiLevelType w:val="hybridMultilevel"/>
    <w:tmpl w:val="A2D68078"/>
    <w:lvl w:ilvl="0" w:tplc="707CB0F4">
      <w:start w:val="1"/>
      <w:numFmt w:val="bullet"/>
      <w:pStyle w:val="TableDash"/>
      <w:lvlText w:val="–"/>
      <w:lvlJc w:val="left"/>
      <w:pPr>
        <w:tabs>
          <w:tab w:val="num" w:pos="432"/>
        </w:tabs>
        <w:ind w:left="432" w:hanging="216"/>
      </w:pPr>
      <w:rPr>
        <w:rFonts w:ascii="Arial" w:hAnsi="Aria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54A7558"/>
    <w:multiLevelType w:val="hybridMultilevel"/>
    <w:tmpl w:val="E30A96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8163AC4"/>
    <w:multiLevelType w:val="hybridMultilevel"/>
    <w:tmpl w:val="3C66884A"/>
    <w:lvl w:ilvl="0" w:tplc="BFB07F1E">
      <w:start w:val="1"/>
      <w:numFmt w:val="bullet"/>
      <w:pStyle w:val="Dash"/>
      <w:lvlText w:val="–"/>
      <w:lvlJc w:val="left"/>
      <w:pPr>
        <w:tabs>
          <w:tab w:val="num" w:pos="792"/>
        </w:tabs>
        <w:ind w:left="792" w:hanging="216"/>
      </w:pPr>
      <w:rPr>
        <w:rFonts w:ascii="Arial" w:hAnsi="Arial" w:hint="default"/>
        <w:sz w:val="20"/>
        <w:szCs w:val="20"/>
      </w:rPr>
    </w:lvl>
    <w:lvl w:ilvl="1" w:tplc="04090001">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8CF7C4D"/>
    <w:multiLevelType w:val="hybridMultilevel"/>
    <w:tmpl w:val="D5607178"/>
    <w:lvl w:ilvl="0" w:tplc="706C6E08">
      <w:start w:val="1"/>
      <w:numFmt w:val="decimal"/>
      <w:lvlText w:val="%1."/>
      <w:lvlJc w:val="left"/>
      <w:pPr>
        <w:ind w:left="720" w:hanging="360"/>
      </w:pPr>
    </w:lvl>
    <w:lvl w:ilvl="1" w:tplc="93A839A6" w:tentative="1">
      <w:start w:val="1"/>
      <w:numFmt w:val="lowerLetter"/>
      <w:lvlText w:val="%2."/>
      <w:lvlJc w:val="left"/>
      <w:pPr>
        <w:ind w:left="1440" w:hanging="360"/>
      </w:pPr>
    </w:lvl>
    <w:lvl w:ilvl="2" w:tplc="F182CFF8" w:tentative="1">
      <w:start w:val="1"/>
      <w:numFmt w:val="lowerRoman"/>
      <w:lvlText w:val="%3."/>
      <w:lvlJc w:val="right"/>
      <w:pPr>
        <w:ind w:left="2160" w:hanging="180"/>
      </w:pPr>
    </w:lvl>
    <w:lvl w:ilvl="3" w:tplc="F5927002" w:tentative="1">
      <w:start w:val="1"/>
      <w:numFmt w:val="decimal"/>
      <w:lvlText w:val="%4."/>
      <w:lvlJc w:val="left"/>
      <w:pPr>
        <w:ind w:left="2880" w:hanging="360"/>
      </w:pPr>
    </w:lvl>
    <w:lvl w:ilvl="4" w:tplc="8B4A2A3A" w:tentative="1">
      <w:start w:val="1"/>
      <w:numFmt w:val="lowerLetter"/>
      <w:lvlText w:val="%5."/>
      <w:lvlJc w:val="left"/>
      <w:pPr>
        <w:ind w:left="3600" w:hanging="360"/>
      </w:pPr>
    </w:lvl>
    <w:lvl w:ilvl="5" w:tplc="798EAC12" w:tentative="1">
      <w:start w:val="1"/>
      <w:numFmt w:val="lowerRoman"/>
      <w:lvlText w:val="%6."/>
      <w:lvlJc w:val="right"/>
      <w:pPr>
        <w:ind w:left="4320" w:hanging="180"/>
      </w:pPr>
    </w:lvl>
    <w:lvl w:ilvl="6" w:tplc="C8D65370" w:tentative="1">
      <w:start w:val="1"/>
      <w:numFmt w:val="decimal"/>
      <w:lvlText w:val="%7."/>
      <w:lvlJc w:val="left"/>
      <w:pPr>
        <w:ind w:left="5040" w:hanging="360"/>
      </w:pPr>
    </w:lvl>
    <w:lvl w:ilvl="7" w:tplc="7128927E" w:tentative="1">
      <w:start w:val="1"/>
      <w:numFmt w:val="lowerLetter"/>
      <w:lvlText w:val="%8."/>
      <w:lvlJc w:val="left"/>
      <w:pPr>
        <w:ind w:left="5760" w:hanging="360"/>
      </w:pPr>
    </w:lvl>
    <w:lvl w:ilvl="8" w:tplc="8ABE23C4" w:tentative="1">
      <w:start w:val="1"/>
      <w:numFmt w:val="lowerRoman"/>
      <w:lvlText w:val="%9."/>
      <w:lvlJc w:val="right"/>
      <w:pPr>
        <w:ind w:left="6480" w:hanging="180"/>
      </w:pPr>
    </w:lvl>
  </w:abstractNum>
  <w:abstractNum w:abstractNumId="17" w15:restartNumberingAfterBreak="0">
    <w:nsid w:val="1B914FBF"/>
    <w:multiLevelType w:val="hybridMultilevel"/>
    <w:tmpl w:val="25628A82"/>
    <w:lvl w:ilvl="0" w:tplc="46CECBE2">
      <w:start w:val="1"/>
      <w:numFmt w:val="bullet"/>
      <w:pStyle w:val="ProcessDash"/>
      <w:lvlText w:val="–"/>
      <w:lvlJc w:val="left"/>
      <w:pPr>
        <w:tabs>
          <w:tab w:val="num" w:pos="432"/>
        </w:tabs>
        <w:ind w:left="432" w:hanging="216"/>
      </w:pPr>
      <w:rPr>
        <w:rFonts w:ascii="Arial" w:hAnsi="Aria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351E12"/>
    <w:multiLevelType w:val="hybridMultilevel"/>
    <w:tmpl w:val="AFC46A34"/>
    <w:lvl w:ilvl="0" w:tplc="9DA44C80">
      <w:start w:val="1"/>
      <w:numFmt w:val="bullet"/>
      <w:pStyle w:val="Margin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4C77575"/>
    <w:multiLevelType w:val="hybridMultilevel"/>
    <w:tmpl w:val="1990E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346E40"/>
    <w:multiLevelType w:val="hybridMultilevel"/>
    <w:tmpl w:val="EA6CCE7A"/>
    <w:lvl w:ilvl="0" w:tplc="2A3C8A1A">
      <w:start w:val="1"/>
      <w:numFmt w:val="bullet"/>
      <w:pStyle w:val="TableBullet"/>
      <w:lvlText w:val=""/>
      <w:lvlJc w:val="left"/>
      <w:pPr>
        <w:tabs>
          <w:tab w:val="num" w:pos="306"/>
        </w:tabs>
        <w:ind w:left="306" w:hanging="216"/>
      </w:pPr>
      <w:rPr>
        <w:rFonts w:ascii="Symbol" w:hAnsi="Symbol" w:hint="default"/>
        <w:sz w:val="20"/>
        <w:szCs w:val="20"/>
      </w:rPr>
    </w:lvl>
    <w:lvl w:ilvl="1" w:tplc="04090003">
      <w:start w:val="1"/>
      <w:numFmt w:val="bullet"/>
      <w:lvlText w:val="o"/>
      <w:lvlJc w:val="left"/>
      <w:pPr>
        <w:tabs>
          <w:tab w:val="num" w:pos="1756"/>
        </w:tabs>
        <w:ind w:left="1756" w:hanging="360"/>
      </w:pPr>
      <w:rPr>
        <w:rFonts w:ascii="Courier New" w:hAnsi="Courier New" w:cs="Courier New" w:hint="default"/>
      </w:rPr>
    </w:lvl>
    <w:lvl w:ilvl="2" w:tplc="04090005" w:tentative="1">
      <w:start w:val="1"/>
      <w:numFmt w:val="bullet"/>
      <w:lvlText w:val=""/>
      <w:lvlJc w:val="left"/>
      <w:pPr>
        <w:tabs>
          <w:tab w:val="num" w:pos="2476"/>
        </w:tabs>
        <w:ind w:left="2476" w:hanging="360"/>
      </w:pPr>
      <w:rPr>
        <w:rFonts w:ascii="Wingdings" w:hAnsi="Wingdings" w:hint="default"/>
      </w:rPr>
    </w:lvl>
    <w:lvl w:ilvl="3" w:tplc="04090001" w:tentative="1">
      <w:start w:val="1"/>
      <w:numFmt w:val="bullet"/>
      <w:lvlText w:val=""/>
      <w:lvlJc w:val="left"/>
      <w:pPr>
        <w:tabs>
          <w:tab w:val="num" w:pos="3196"/>
        </w:tabs>
        <w:ind w:left="3196" w:hanging="360"/>
      </w:pPr>
      <w:rPr>
        <w:rFonts w:ascii="Symbol" w:hAnsi="Symbol" w:hint="default"/>
      </w:rPr>
    </w:lvl>
    <w:lvl w:ilvl="4" w:tplc="04090003" w:tentative="1">
      <w:start w:val="1"/>
      <w:numFmt w:val="bullet"/>
      <w:lvlText w:val="o"/>
      <w:lvlJc w:val="left"/>
      <w:pPr>
        <w:tabs>
          <w:tab w:val="num" w:pos="3916"/>
        </w:tabs>
        <w:ind w:left="3916" w:hanging="360"/>
      </w:pPr>
      <w:rPr>
        <w:rFonts w:ascii="Courier New" w:hAnsi="Courier New" w:cs="Courier New" w:hint="default"/>
      </w:rPr>
    </w:lvl>
    <w:lvl w:ilvl="5" w:tplc="04090005" w:tentative="1">
      <w:start w:val="1"/>
      <w:numFmt w:val="bullet"/>
      <w:lvlText w:val=""/>
      <w:lvlJc w:val="left"/>
      <w:pPr>
        <w:tabs>
          <w:tab w:val="num" w:pos="4636"/>
        </w:tabs>
        <w:ind w:left="4636" w:hanging="360"/>
      </w:pPr>
      <w:rPr>
        <w:rFonts w:ascii="Wingdings" w:hAnsi="Wingdings" w:hint="default"/>
      </w:rPr>
    </w:lvl>
    <w:lvl w:ilvl="6" w:tplc="04090001" w:tentative="1">
      <w:start w:val="1"/>
      <w:numFmt w:val="bullet"/>
      <w:lvlText w:val=""/>
      <w:lvlJc w:val="left"/>
      <w:pPr>
        <w:tabs>
          <w:tab w:val="num" w:pos="5356"/>
        </w:tabs>
        <w:ind w:left="5356" w:hanging="360"/>
      </w:pPr>
      <w:rPr>
        <w:rFonts w:ascii="Symbol" w:hAnsi="Symbol" w:hint="default"/>
      </w:rPr>
    </w:lvl>
    <w:lvl w:ilvl="7" w:tplc="04090003" w:tentative="1">
      <w:start w:val="1"/>
      <w:numFmt w:val="bullet"/>
      <w:lvlText w:val="o"/>
      <w:lvlJc w:val="left"/>
      <w:pPr>
        <w:tabs>
          <w:tab w:val="num" w:pos="6076"/>
        </w:tabs>
        <w:ind w:left="6076" w:hanging="360"/>
      </w:pPr>
      <w:rPr>
        <w:rFonts w:ascii="Courier New" w:hAnsi="Courier New" w:cs="Courier New" w:hint="default"/>
      </w:rPr>
    </w:lvl>
    <w:lvl w:ilvl="8" w:tplc="04090005" w:tentative="1">
      <w:start w:val="1"/>
      <w:numFmt w:val="bullet"/>
      <w:lvlText w:val=""/>
      <w:lvlJc w:val="left"/>
      <w:pPr>
        <w:tabs>
          <w:tab w:val="num" w:pos="6796"/>
        </w:tabs>
        <w:ind w:left="6796" w:hanging="360"/>
      </w:pPr>
      <w:rPr>
        <w:rFonts w:ascii="Wingdings" w:hAnsi="Wingdings" w:hint="default"/>
      </w:rPr>
    </w:lvl>
  </w:abstractNum>
  <w:abstractNum w:abstractNumId="21" w15:restartNumberingAfterBreak="0">
    <w:nsid w:val="3DC45453"/>
    <w:multiLevelType w:val="singleLevel"/>
    <w:tmpl w:val="1D1AF1D8"/>
    <w:lvl w:ilvl="0">
      <w:start w:val="1"/>
      <w:numFmt w:val="bullet"/>
      <w:pStyle w:val="Bullet2"/>
      <w:lvlText w:val=""/>
      <w:lvlJc w:val="left"/>
      <w:pPr>
        <w:tabs>
          <w:tab w:val="num" w:pos="360"/>
        </w:tabs>
        <w:ind w:left="360" w:hanging="360"/>
      </w:pPr>
      <w:rPr>
        <w:rFonts w:ascii="Symbol" w:hAnsi="Symbol" w:hint="default"/>
      </w:rPr>
    </w:lvl>
  </w:abstractNum>
  <w:abstractNum w:abstractNumId="22" w15:restartNumberingAfterBreak="0">
    <w:nsid w:val="3DE23764"/>
    <w:multiLevelType w:val="hybridMultilevel"/>
    <w:tmpl w:val="1990E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6C709B"/>
    <w:multiLevelType w:val="hybridMultilevel"/>
    <w:tmpl w:val="1F14AEA8"/>
    <w:lvl w:ilvl="0" w:tplc="D6E259D4">
      <w:start w:val="1"/>
      <w:numFmt w:val="bullet"/>
      <w:pStyle w:val="ProcessBullet"/>
      <w:lvlText w:val=""/>
      <w:lvlJc w:val="left"/>
      <w:pPr>
        <w:tabs>
          <w:tab w:val="num" w:pos="216"/>
        </w:tabs>
        <w:ind w:left="21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74260CC"/>
    <w:multiLevelType w:val="hybridMultilevel"/>
    <w:tmpl w:val="8D46489A"/>
    <w:lvl w:ilvl="0" w:tplc="BB68F55C">
      <w:start w:val="1"/>
      <w:numFmt w:val="bullet"/>
      <w:pStyle w:val="MarginDash"/>
      <w:lvlText w:val="–"/>
      <w:lvlJc w:val="left"/>
      <w:pPr>
        <w:tabs>
          <w:tab w:val="num" w:pos="0"/>
        </w:tabs>
        <w:ind w:left="317" w:hanging="159"/>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310C25"/>
    <w:multiLevelType w:val="hybridMultilevel"/>
    <w:tmpl w:val="0FD6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DF17B8"/>
    <w:multiLevelType w:val="hybridMultilevel"/>
    <w:tmpl w:val="FBC2D5FE"/>
    <w:lvl w:ilvl="0" w:tplc="966651C2">
      <w:start w:val="1"/>
      <w:numFmt w:val="bullet"/>
      <w:pStyle w:val="marginbullet0"/>
      <w:lvlText w:val=""/>
      <w:lvlJc w:val="left"/>
      <w:pPr>
        <w:ind w:left="418" w:hanging="360"/>
      </w:pPr>
      <w:rPr>
        <w:rFonts w:ascii="Symbol" w:hAnsi="Symbol" w:hint="default"/>
        <w:sz w:val="20"/>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7" w15:restartNumberingAfterBreak="0">
    <w:nsid w:val="5A1B015B"/>
    <w:multiLevelType w:val="hybridMultilevel"/>
    <w:tmpl w:val="648A6C32"/>
    <w:lvl w:ilvl="0" w:tplc="709CA4C0">
      <w:start w:val="1"/>
      <w:numFmt w:val="decimal"/>
      <w:lvlText w:val="%1."/>
      <w:lvlJc w:val="left"/>
      <w:pPr>
        <w:tabs>
          <w:tab w:val="num" w:pos="576"/>
        </w:tabs>
        <w:ind w:left="936" w:hanging="216"/>
      </w:pPr>
      <w:rPr>
        <w:rFonts w:ascii="Arial" w:hAnsi="Arial"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A32050A"/>
    <w:multiLevelType w:val="hybridMultilevel"/>
    <w:tmpl w:val="136EBDBA"/>
    <w:lvl w:ilvl="0" w:tplc="84C4D046">
      <w:start w:val="1"/>
      <w:numFmt w:val="bullet"/>
      <w:pStyle w:val="Bullet"/>
      <w:lvlText w:val=""/>
      <w:lvlJc w:val="left"/>
      <w:pPr>
        <w:tabs>
          <w:tab w:val="num" w:pos="576"/>
        </w:tabs>
        <w:ind w:left="936" w:hanging="216"/>
      </w:pPr>
      <w:rPr>
        <w:rFonts w:ascii="Symbol" w:hAnsi="Symbol"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0210EAD"/>
    <w:multiLevelType w:val="hybridMultilevel"/>
    <w:tmpl w:val="6F76A3BE"/>
    <w:lvl w:ilvl="0" w:tplc="5B506A2C">
      <w:start w:val="1"/>
      <w:numFmt w:val="decimal"/>
      <w:lvlText w:val="%1."/>
      <w:lvlJc w:val="left"/>
      <w:pPr>
        <w:ind w:left="720" w:hanging="360"/>
      </w:pPr>
      <w:rPr>
        <w:rFonts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6C61F4"/>
    <w:multiLevelType w:val="hybridMultilevel"/>
    <w:tmpl w:val="57387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E17EA9"/>
    <w:multiLevelType w:val="hybridMultilevel"/>
    <w:tmpl w:val="DF3EFE12"/>
    <w:lvl w:ilvl="0" w:tplc="709CA4C0">
      <w:start w:val="1"/>
      <w:numFmt w:val="decimal"/>
      <w:lvlText w:val="%1."/>
      <w:lvlJc w:val="left"/>
      <w:pPr>
        <w:tabs>
          <w:tab w:val="num" w:pos="576"/>
        </w:tabs>
        <w:ind w:left="936" w:hanging="216"/>
      </w:pPr>
      <w:rPr>
        <w:rFonts w:ascii="Arial" w:hAnsi="Arial"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B2A096A"/>
    <w:multiLevelType w:val="hybridMultilevel"/>
    <w:tmpl w:val="B41ACF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162B61"/>
    <w:multiLevelType w:val="hybridMultilevel"/>
    <w:tmpl w:val="D3D07836"/>
    <w:lvl w:ilvl="0" w:tplc="A15E0C30">
      <w:start w:val="1"/>
      <w:numFmt w:val="bullet"/>
      <w:pStyle w:val="Bullet3"/>
      <w:lvlText w:val=""/>
      <w:lvlJc w:val="left"/>
      <w:pPr>
        <w:tabs>
          <w:tab w:val="num" w:pos="360"/>
        </w:tabs>
        <w:ind w:left="576" w:firstLine="144"/>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EE27812"/>
    <w:multiLevelType w:val="singleLevel"/>
    <w:tmpl w:val="4E9C22FE"/>
    <w:lvl w:ilvl="0">
      <w:start w:val="1"/>
      <w:numFmt w:val="bullet"/>
      <w:pStyle w:val="BulletedText"/>
      <w:lvlText w:val=""/>
      <w:lvlJc w:val="left"/>
      <w:pPr>
        <w:tabs>
          <w:tab w:val="num" w:pos="360"/>
        </w:tabs>
        <w:ind w:left="360" w:hanging="360"/>
      </w:pPr>
      <w:rPr>
        <w:rFonts w:ascii="Symbol" w:hAnsi="Symbol" w:hint="default"/>
      </w:rPr>
    </w:lvl>
  </w:abstractNum>
  <w:num w:numId="1">
    <w:abstractNumId w:val="28"/>
  </w:num>
  <w:num w:numId="2">
    <w:abstractNumId w:val="15"/>
  </w:num>
  <w:num w:numId="3">
    <w:abstractNumId w:val="20"/>
  </w:num>
  <w:num w:numId="4">
    <w:abstractNumId w:val="13"/>
  </w:num>
  <w:num w:numId="5">
    <w:abstractNumId w:val="23"/>
  </w:num>
  <w:num w:numId="6">
    <w:abstractNumId w:val="17"/>
  </w:num>
  <w:num w:numId="7">
    <w:abstractNumId w:val="21"/>
  </w:num>
  <w:num w:numId="8">
    <w:abstractNumId w:val="34"/>
  </w:num>
  <w:num w:numId="9">
    <w:abstractNumId w:val="24"/>
  </w:num>
  <w:num w:numId="10">
    <w:abstractNumId w:val="33"/>
  </w:num>
  <w:num w:numId="11">
    <w:abstractNumId w:val="18"/>
  </w:num>
  <w:num w:numId="12">
    <w:abstractNumId w:val="10"/>
  </w:num>
  <w:num w:numId="13">
    <w:abstractNumId w:val="26"/>
  </w:num>
  <w:num w:numId="14">
    <w:abstractNumId w:val="14"/>
  </w:num>
  <w:num w:numId="15">
    <w:abstractNumId w:val="25"/>
  </w:num>
  <w:num w:numId="16">
    <w:abstractNumId w:val="12"/>
  </w:num>
  <w:num w:numId="17">
    <w:abstractNumId w:val="22"/>
  </w:num>
  <w:num w:numId="18">
    <w:abstractNumId w:val="32"/>
  </w:num>
  <w:num w:numId="19">
    <w:abstractNumId w:val="11"/>
  </w:num>
  <w:num w:numId="20">
    <w:abstractNumId w:val="30"/>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6"/>
  </w:num>
  <w:num w:numId="32">
    <w:abstractNumId w:val="29"/>
  </w:num>
  <w:num w:numId="33">
    <w:abstractNumId w:val="27"/>
  </w:num>
  <w:num w:numId="34">
    <w:abstractNumId w:val="31"/>
  </w:num>
  <w:num w:numId="35">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20"/>
  <w:embedSystemFonts/>
  <w:mirrorMargins/>
  <w:activeWritingStyle w:appName="MSWord" w:lang="en-US" w:vendorID="64" w:dllVersion="131078" w:nlCheck="1" w:checkStyle="0"/>
  <w:activeWritingStyle w:appName="MSWord" w:lang="es-ES" w:vendorID="64" w:dllVersion="131078" w:nlCheck="1" w:checkStyle="1"/>
  <w:activeWritingStyle w:appName="MSWord" w:lang="en-NZ"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evenAndOddHeaders/>
  <w:displayHorizontalDrawingGridEvery w:val="0"/>
  <w:displayVerticalDrawingGridEvery w:val="0"/>
  <w:doNotUseMarginsForDrawingGridOrigin/>
  <w:noPunctuationKerning/>
  <w:characterSpacingControl w:val="doNotCompress"/>
  <w:hdrShapeDefaults>
    <o:shapedefaults v:ext="edit" spidmax="9236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8AC"/>
    <w:rsid w:val="000002C0"/>
    <w:rsid w:val="000004DC"/>
    <w:rsid w:val="0000086A"/>
    <w:rsid w:val="00000AEF"/>
    <w:rsid w:val="0000193D"/>
    <w:rsid w:val="0000246F"/>
    <w:rsid w:val="00003401"/>
    <w:rsid w:val="000037D1"/>
    <w:rsid w:val="0000679A"/>
    <w:rsid w:val="00006AB3"/>
    <w:rsid w:val="000071C3"/>
    <w:rsid w:val="00007907"/>
    <w:rsid w:val="00010491"/>
    <w:rsid w:val="00010721"/>
    <w:rsid w:val="00010C49"/>
    <w:rsid w:val="000111CA"/>
    <w:rsid w:val="00011985"/>
    <w:rsid w:val="00011D92"/>
    <w:rsid w:val="00013D68"/>
    <w:rsid w:val="000145B7"/>
    <w:rsid w:val="00015DCE"/>
    <w:rsid w:val="00016519"/>
    <w:rsid w:val="00016D40"/>
    <w:rsid w:val="0001755F"/>
    <w:rsid w:val="00017DE6"/>
    <w:rsid w:val="00020833"/>
    <w:rsid w:val="00020EB6"/>
    <w:rsid w:val="00021920"/>
    <w:rsid w:val="000225B1"/>
    <w:rsid w:val="00022719"/>
    <w:rsid w:val="000230CE"/>
    <w:rsid w:val="0002312B"/>
    <w:rsid w:val="00023C68"/>
    <w:rsid w:val="000240FB"/>
    <w:rsid w:val="00024510"/>
    <w:rsid w:val="0002493F"/>
    <w:rsid w:val="00024E75"/>
    <w:rsid w:val="000257A6"/>
    <w:rsid w:val="00025E03"/>
    <w:rsid w:val="00025FDA"/>
    <w:rsid w:val="000264C3"/>
    <w:rsid w:val="00026812"/>
    <w:rsid w:val="00026A37"/>
    <w:rsid w:val="00026DEC"/>
    <w:rsid w:val="0002700F"/>
    <w:rsid w:val="0002766E"/>
    <w:rsid w:val="00030468"/>
    <w:rsid w:val="00030720"/>
    <w:rsid w:val="0003105D"/>
    <w:rsid w:val="00031075"/>
    <w:rsid w:val="00031624"/>
    <w:rsid w:val="00033210"/>
    <w:rsid w:val="00034067"/>
    <w:rsid w:val="000341ED"/>
    <w:rsid w:val="0003492B"/>
    <w:rsid w:val="000349AA"/>
    <w:rsid w:val="00035501"/>
    <w:rsid w:val="000355E0"/>
    <w:rsid w:val="00036B3A"/>
    <w:rsid w:val="0003723D"/>
    <w:rsid w:val="000376A2"/>
    <w:rsid w:val="0004035C"/>
    <w:rsid w:val="00040AC1"/>
    <w:rsid w:val="00040F9D"/>
    <w:rsid w:val="00040FB3"/>
    <w:rsid w:val="00041047"/>
    <w:rsid w:val="00041969"/>
    <w:rsid w:val="00041B2B"/>
    <w:rsid w:val="0004324F"/>
    <w:rsid w:val="00043374"/>
    <w:rsid w:val="000438C2"/>
    <w:rsid w:val="00043AEA"/>
    <w:rsid w:val="00043B24"/>
    <w:rsid w:val="00043E18"/>
    <w:rsid w:val="000440B5"/>
    <w:rsid w:val="00044BF8"/>
    <w:rsid w:val="00044DC2"/>
    <w:rsid w:val="00044E71"/>
    <w:rsid w:val="000454F8"/>
    <w:rsid w:val="00045953"/>
    <w:rsid w:val="00046618"/>
    <w:rsid w:val="00047AC1"/>
    <w:rsid w:val="00050100"/>
    <w:rsid w:val="00050617"/>
    <w:rsid w:val="00050D96"/>
    <w:rsid w:val="000515EB"/>
    <w:rsid w:val="0005204C"/>
    <w:rsid w:val="00052102"/>
    <w:rsid w:val="000522E0"/>
    <w:rsid w:val="000522E2"/>
    <w:rsid w:val="0005295A"/>
    <w:rsid w:val="000538DA"/>
    <w:rsid w:val="00054060"/>
    <w:rsid w:val="00054D31"/>
    <w:rsid w:val="00054DD6"/>
    <w:rsid w:val="00054F67"/>
    <w:rsid w:val="000552AF"/>
    <w:rsid w:val="00055408"/>
    <w:rsid w:val="00055F72"/>
    <w:rsid w:val="00056267"/>
    <w:rsid w:val="00056668"/>
    <w:rsid w:val="00056E53"/>
    <w:rsid w:val="00057A2A"/>
    <w:rsid w:val="00057B40"/>
    <w:rsid w:val="00057EB2"/>
    <w:rsid w:val="00057F8B"/>
    <w:rsid w:val="000600D8"/>
    <w:rsid w:val="00061640"/>
    <w:rsid w:val="00062C55"/>
    <w:rsid w:val="00062F3F"/>
    <w:rsid w:val="00063242"/>
    <w:rsid w:val="0006370B"/>
    <w:rsid w:val="000637D8"/>
    <w:rsid w:val="00064E47"/>
    <w:rsid w:val="00065309"/>
    <w:rsid w:val="00065833"/>
    <w:rsid w:val="00066168"/>
    <w:rsid w:val="00066651"/>
    <w:rsid w:val="00066673"/>
    <w:rsid w:val="00067E0E"/>
    <w:rsid w:val="000701A1"/>
    <w:rsid w:val="000705D6"/>
    <w:rsid w:val="0007064B"/>
    <w:rsid w:val="000711F0"/>
    <w:rsid w:val="00071DBC"/>
    <w:rsid w:val="0007422B"/>
    <w:rsid w:val="00074231"/>
    <w:rsid w:val="000742DB"/>
    <w:rsid w:val="00074876"/>
    <w:rsid w:val="00074A36"/>
    <w:rsid w:val="00074BA8"/>
    <w:rsid w:val="00074F23"/>
    <w:rsid w:val="00075081"/>
    <w:rsid w:val="000750A5"/>
    <w:rsid w:val="000756F2"/>
    <w:rsid w:val="00075F51"/>
    <w:rsid w:val="000765F6"/>
    <w:rsid w:val="00076685"/>
    <w:rsid w:val="0007753C"/>
    <w:rsid w:val="000775BC"/>
    <w:rsid w:val="000777CB"/>
    <w:rsid w:val="000779A9"/>
    <w:rsid w:val="00077C41"/>
    <w:rsid w:val="00077DB0"/>
    <w:rsid w:val="00081B91"/>
    <w:rsid w:val="00081D64"/>
    <w:rsid w:val="00081EA9"/>
    <w:rsid w:val="00081F45"/>
    <w:rsid w:val="00082F1E"/>
    <w:rsid w:val="00083782"/>
    <w:rsid w:val="000837CA"/>
    <w:rsid w:val="000841B7"/>
    <w:rsid w:val="00084358"/>
    <w:rsid w:val="0008448D"/>
    <w:rsid w:val="00084C8B"/>
    <w:rsid w:val="00084FE2"/>
    <w:rsid w:val="000852A4"/>
    <w:rsid w:val="000854CD"/>
    <w:rsid w:val="00085637"/>
    <w:rsid w:val="00086601"/>
    <w:rsid w:val="000868CE"/>
    <w:rsid w:val="00090B16"/>
    <w:rsid w:val="00090B92"/>
    <w:rsid w:val="00090CC6"/>
    <w:rsid w:val="00090E95"/>
    <w:rsid w:val="00091579"/>
    <w:rsid w:val="000919DF"/>
    <w:rsid w:val="00091AFE"/>
    <w:rsid w:val="00092178"/>
    <w:rsid w:val="00093CDA"/>
    <w:rsid w:val="00093E91"/>
    <w:rsid w:val="0009440F"/>
    <w:rsid w:val="00094F4D"/>
    <w:rsid w:val="00095148"/>
    <w:rsid w:val="0009622D"/>
    <w:rsid w:val="000964E7"/>
    <w:rsid w:val="00097B3B"/>
    <w:rsid w:val="000A0D3F"/>
    <w:rsid w:val="000A142F"/>
    <w:rsid w:val="000A17E5"/>
    <w:rsid w:val="000A1AB9"/>
    <w:rsid w:val="000A2490"/>
    <w:rsid w:val="000A33C5"/>
    <w:rsid w:val="000A3C2E"/>
    <w:rsid w:val="000A4B96"/>
    <w:rsid w:val="000A4C70"/>
    <w:rsid w:val="000A4EA1"/>
    <w:rsid w:val="000A5C9F"/>
    <w:rsid w:val="000A5D15"/>
    <w:rsid w:val="000A6D3C"/>
    <w:rsid w:val="000A7838"/>
    <w:rsid w:val="000A7FCF"/>
    <w:rsid w:val="000B0050"/>
    <w:rsid w:val="000B0084"/>
    <w:rsid w:val="000B097C"/>
    <w:rsid w:val="000B0A66"/>
    <w:rsid w:val="000B0D0E"/>
    <w:rsid w:val="000B1BCC"/>
    <w:rsid w:val="000B204C"/>
    <w:rsid w:val="000B2182"/>
    <w:rsid w:val="000B26AE"/>
    <w:rsid w:val="000B2804"/>
    <w:rsid w:val="000B2824"/>
    <w:rsid w:val="000B3D33"/>
    <w:rsid w:val="000B41CB"/>
    <w:rsid w:val="000B4F1A"/>
    <w:rsid w:val="000B4F57"/>
    <w:rsid w:val="000B528B"/>
    <w:rsid w:val="000B529C"/>
    <w:rsid w:val="000B554F"/>
    <w:rsid w:val="000B57CC"/>
    <w:rsid w:val="000B58E7"/>
    <w:rsid w:val="000B5D4D"/>
    <w:rsid w:val="000B5EB4"/>
    <w:rsid w:val="000B685D"/>
    <w:rsid w:val="000B68AB"/>
    <w:rsid w:val="000B6A8D"/>
    <w:rsid w:val="000B74DF"/>
    <w:rsid w:val="000B7D65"/>
    <w:rsid w:val="000C03D1"/>
    <w:rsid w:val="000C0618"/>
    <w:rsid w:val="000C0F86"/>
    <w:rsid w:val="000C1431"/>
    <w:rsid w:val="000C2333"/>
    <w:rsid w:val="000C2A8B"/>
    <w:rsid w:val="000C2B83"/>
    <w:rsid w:val="000C30A7"/>
    <w:rsid w:val="000C33BF"/>
    <w:rsid w:val="000C39F5"/>
    <w:rsid w:val="000C3C9D"/>
    <w:rsid w:val="000C3D7F"/>
    <w:rsid w:val="000C3E6D"/>
    <w:rsid w:val="000C4B10"/>
    <w:rsid w:val="000C4EA6"/>
    <w:rsid w:val="000C5163"/>
    <w:rsid w:val="000C51B8"/>
    <w:rsid w:val="000C547E"/>
    <w:rsid w:val="000C550F"/>
    <w:rsid w:val="000C62C7"/>
    <w:rsid w:val="000D0A0B"/>
    <w:rsid w:val="000D0B41"/>
    <w:rsid w:val="000D152D"/>
    <w:rsid w:val="000D25ED"/>
    <w:rsid w:val="000D270E"/>
    <w:rsid w:val="000D29EB"/>
    <w:rsid w:val="000D2CF8"/>
    <w:rsid w:val="000D3212"/>
    <w:rsid w:val="000D3B0D"/>
    <w:rsid w:val="000D4226"/>
    <w:rsid w:val="000D4660"/>
    <w:rsid w:val="000D4B43"/>
    <w:rsid w:val="000D5780"/>
    <w:rsid w:val="000D5BF4"/>
    <w:rsid w:val="000D5F24"/>
    <w:rsid w:val="000D67E9"/>
    <w:rsid w:val="000D692F"/>
    <w:rsid w:val="000D74B9"/>
    <w:rsid w:val="000D74DC"/>
    <w:rsid w:val="000E1538"/>
    <w:rsid w:val="000E19AC"/>
    <w:rsid w:val="000E2327"/>
    <w:rsid w:val="000E2BB8"/>
    <w:rsid w:val="000E3784"/>
    <w:rsid w:val="000E5E16"/>
    <w:rsid w:val="000E68C6"/>
    <w:rsid w:val="000E7002"/>
    <w:rsid w:val="000E731B"/>
    <w:rsid w:val="000F0547"/>
    <w:rsid w:val="000F1989"/>
    <w:rsid w:val="000F1C38"/>
    <w:rsid w:val="000F2D22"/>
    <w:rsid w:val="000F38B9"/>
    <w:rsid w:val="000F39EE"/>
    <w:rsid w:val="000F49EE"/>
    <w:rsid w:val="000F4F1F"/>
    <w:rsid w:val="000F50A1"/>
    <w:rsid w:val="000F5148"/>
    <w:rsid w:val="000F621A"/>
    <w:rsid w:val="000F6CE8"/>
    <w:rsid w:val="00101F4E"/>
    <w:rsid w:val="00102245"/>
    <w:rsid w:val="0010335A"/>
    <w:rsid w:val="0010413A"/>
    <w:rsid w:val="00104A30"/>
    <w:rsid w:val="001052BF"/>
    <w:rsid w:val="0010572A"/>
    <w:rsid w:val="00105811"/>
    <w:rsid w:val="00105ABD"/>
    <w:rsid w:val="0010699C"/>
    <w:rsid w:val="001069E8"/>
    <w:rsid w:val="00106CF0"/>
    <w:rsid w:val="00107F95"/>
    <w:rsid w:val="0011077E"/>
    <w:rsid w:val="00110BAC"/>
    <w:rsid w:val="0011121C"/>
    <w:rsid w:val="0011210B"/>
    <w:rsid w:val="001123ED"/>
    <w:rsid w:val="0011265F"/>
    <w:rsid w:val="001126FA"/>
    <w:rsid w:val="0011297E"/>
    <w:rsid w:val="001162A0"/>
    <w:rsid w:val="00116328"/>
    <w:rsid w:val="0011717E"/>
    <w:rsid w:val="00117AB7"/>
    <w:rsid w:val="00117CA3"/>
    <w:rsid w:val="00117DC9"/>
    <w:rsid w:val="00120B7B"/>
    <w:rsid w:val="00120C57"/>
    <w:rsid w:val="001213CB"/>
    <w:rsid w:val="001228D2"/>
    <w:rsid w:val="00123280"/>
    <w:rsid w:val="00123F4F"/>
    <w:rsid w:val="00124897"/>
    <w:rsid w:val="00125739"/>
    <w:rsid w:val="001274D1"/>
    <w:rsid w:val="00127585"/>
    <w:rsid w:val="00127B2E"/>
    <w:rsid w:val="00127D58"/>
    <w:rsid w:val="001301B1"/>
    <w:rsid w:val="00131315"/>
    <w:rsid w:val="00132DF4"/>
    <w:rsid w:val="00132F0A"/>
    <w:rsid w:val="001331B5"/>
    <w:rsid w:val="001336C4"/>
    <w:rsid w:val="00133A03"/>
    <w:rsid w:val="00133B2B"/>
    <w:rsid w:val="0013402C"/>
    <w:rsid w:val="0013510F"/>
    <w:rsid w:val="001351C5"/>
    <w:rsid w:val="001353AB"/>
    <w:rsid w:val="00135598"/>
    <w:rsid w:val="001356B5"/>
    <w:rsid w:val="001368FC"/>
    <w:rsid w:val="0013714F"/>
    <w:rsid w:val="00137374"/>
    <w:rsid w:val="00137B69"/>
    <w:rsid w:val="00137C63"/>
    <w:rsid w:val="00140192"/>
    <w:rsid w:val="001414C7"/>
    <w:rsid w:val="00141559"/>
    <w:rsid w:val="0014159D"/>
    <w:rsid w:val="00141B45"/>
    <w:rsid w:val="001421F5"/>
    <w:rsid w:val="001438B8"/>
    <w:rsid w:val="00144A9C"/>
    <w:rsid w:val="00144C19"/>
    <w:rsid w:val="00144C22"/>
    <w:rsid w:val="00144DDB"/>
    <w:rsid w:val="00145821"/>
    <w:rsid w:val="00145975"/>
    <w:rsid w:val="0014598D"/>
    <w:rsid w:val="001462FA"/>
    <w:rsid w:val="0014675A"/>
    <w:rsid w:val="001469BA"/>
    <w:rsid w:val="00146DB3"/>
    <w:rsid w:val="0014735D"/>
    <w:rsid w:val="00150A77"/>
    <w:rsid w:val="00150EC5"/>
    <w:rsid w:val="0015286B"/>
    <w:rsid w:val="001528AD"/>
    <w:rsid w:val="00152979"/>
    <w:rsid w:val="001532CB"/>
    <w:rsid w:val="00153CF5"/>
    <w:rsid w:val="00153DBE"/>
    <w:rsid w:val="001545C3"/>
    <w:rsid w:val="001547BC"/>
    <w:rsid w:val="001550FD"/>
    <w:rsid w:val="001551CD"/>
    <w:rsid w:val="001553C3"/>
    <w:rsid w:val="001559AE"/>
    <w:rsid w:val="00155BD2"/>
    <w:rsid w:val="00156AA0"/>
    <w:rsid w:val="0015722E"/>
    <w:rsid w:val="00157430"/>
    <w:rsid w:val="00157667"/>
    <w:rsid w:val="00160611"/>
    <w:rsid w:val="00161334"/>
    <w:rsid w:val="00161803"/>
    <w:rsid w:val="0016211B"/>
    <w:rsid w:val="001623ED"/>
    <w:rsid w:val="001632E6"/>
    <w:rsid w:val="00163469"/>
    <w:rsid w:val="001634DC"/>
    <w:rsid w:val="001637C2"/>
    <w:rsid w:val="00163FA3"/>
    <w:rsid w:val="00164548"/>
    <w:rsid w:val="001647C2"/>
    <w:rsid w:val="00164BCD"/>
    <w:rsid w:val="00165E67"/>
    <w:rsid w:val="00166BE9"/>
    <w:rsid w:val="001670B2"/>
    <w:rsid w:val="0016711E"/>
    <w:rsid w:val="00167548"/>
    <w:rsid w:val="0017029C"/>
    <w:rsid w:val="0017095C"/>
    <w:rsid w:val="00171D75"/>
    <w:rsid w:val="00171F26"/>
    <w:rsid w:val="001729DA"/>
    <w:rsid w:val="00172E2B"/>
    <w:rsid w:val="001732BF"/>
    <w:rsid w:val="00173BA5"/>
    <w:rsid w:val="00173C60"/>
    <w:rsid w:val="00174649"/>
    <w:rsid w:val="00175C13"/>
    <w:rsid w:val="00175FBA"/>
    <w:rsid w:val="001763AD"/>
    <w:rsid w:val="00176676"/>
    <w:rsid w:val="00176E50"/>
    <w:rsid w:val="0018012D"/>
    <w:rsid w:val="001802CD"/>
    <w:rsid w:val="001818EF"/>
    <w:rsid w:val="00182BD6"/>
    <w:rsid w:val="0018300E"/>
    <w:rsid w:val="001832F0"/>
    <w:rsid w:val="001843FC"/>
    <w:rsid w:val="0018462F"/>
    <w:rsid w:val="001850D4"/>
    <w:rsid w:val="0018566F"/>
    <w:rsid w:val="001856EE"/>
    <w:rsid w:val="001857DE"/>
    <w:rsid w:val="00185B1E"/>
    <w:rsid w:val="00186418"/>
    <w:rsid w:val="00186B40"/>
    <w:rsid w:val="00186D82"/>
    <w:rsid w:val="00187F6D"/>
    <w:rsid w:val="0019005E"/>
    <w:rsid w:val="001902AE"/>
    <w:rsid w:val="00190454"/>
    <w:rsid w:val="0019088F"/>
    <w:rsid w:val="00191602"/>
    <w:rsid w:val="00191E56"/>
    <w:rsid w:val="001926F6"/>
    <w:rsid w:val="00192B1C"/>
    <w:rsid w:val="00192DF3"/>
    <w:rsid w:val="00195C5F"/>
    <w:rsid w:val="00195E10"/>
    <w:rsid w:val="00196034"/>
    <w:rsid w:val="0019685E"/>
    <w:rsid w:val="00197091"/>
    <w:rsid w:val="001970C0"/>
    <w:rsid w:val="00197956"/>
    <w:rsid w:val="00197CAC"/>
    <w:rsid w:val="00197CBF"/>
    <w:rsid w:val="001A0801"/>
    <w:rsid w:val="001A08CF"/>
    <w:rsid w:val="001A0A65"/>
    <w:rsid w:val="001A287C"/>
    <w:rsid w:val="001A2A56"/>
    <w:rsid w:val="001A378D"/>
    <w:rsid w:val="001A4450"/>
    <w:rsid w:val="001A45B8"/>
    <w:rsid w:val="001A48F9"/>
    <w:rsid w:val="001A4D7E"/>
    <w:rsid w:val="001A53DE"/>
    <w:rsid w:val="001A6085"/>
    <w:rsid w:val="001A65F2"/>
    <w:rsid w:val="001A76BE"/>
    <w:rsid w:val="001A79C4"/>
    <w:rsid w:val="001A7D87"/>
    <w:rsid w:val="001A7D88"/>
    <w:rsid w:val="001B02D3"/>
    <w:rsid w:val="001B0AFC"/>
    <w:rsid w:val="001B1030"/>
    <w:rsid w:val="001B1684"/>
    <w:rsid w:val="001B1AC0"/>
    <w:rsid w:val="001B2C9E"/>
    <w:rsid w:val="001B2F56"/>
    <w:rsid w:val="001B2FCD"/>
    <w:rsid w:val="001B307D"/>
    <w:rsid w:val="001B3746"/>
    <w:rsid w:val="001B3796"/>
    <w:rsid w:val="001B37D4"/>
    <w:rsid w:val="001B3837"/>
    <w:rsid w:val="001B4625"/>
    <w:rsid w:val="001B4BD4"/>
    <w:rsid w:val="001B4FA9"/>
    <w:rsid w:val="001B5586"/>
    <w:rsid w:val="001B59B0"/>
    <w:rsid w:val="001B5BEA"/>
    <w:rsid w:val="001B5EBA"/>
    <w:rsid w:val="001B5F3F"/>
    <w:rsid w:val="001C0F12"/>
    <w:rsid w:val="001C131F"/>
    <w:rsid w:val="001C24D3"/>
    <w:rsid w:val="001C2C46"/>
    <w:rsid w:val="001C2CA5"/>
    <w:rsid w:val="001C2E21"/>
    <w:rsid w:val="001C3801"/>
    <w:rsid w:val="001C49FD"/>
    <w:rsid w:val="001C4A5A"/>
    <w:rsid w:val="001C5205"/>
    <w:rsid w:val="001C545C"/>
    <w:rsid w:val="001C5AA6"/>
    <w:rsid w:val="001C64DB"/>
    <w:rsid w:val="001C6A6B"/>
    <w:rsid w:val="001C6AA8"/>
    <w:rsid w:val="001C7301"/>
    <w:rsid w:val="001C7C90"/>
    <w:rsid w:val="001D0250"/>
    <w:rsid w:val="001D0812"/>
    <w:rsid w:val="001D0B2D"/>
    <w:rsid w:val="001D1117"/>
    <w:rsid w:val="001D1F86"/>
    <w:rsid w:val="001D268E"/>
    <w:rsid w:val="001D3166"/>
    <w:rsid w:val="001D3509"/>
    <w:rsid w:val="001D3C38"/>
    <w:rsid w:val="001D3DFD"/>
    <w:rsid w:val="001D3E38"/>
    <w:rsid w:val="001D4193"/>
    <w:rsid w:val="001D461E"/>
    <w:rsid w:val="001D4FBD"/>
    <w:rsid w:val="001D5562"/>
    <w:rsid w:val="001D5EB7"/>
    <w:rsid w:val="001D6316"/>
    <w:rsid w:val="001D6DD4"/>
    <w:rsid w:val="001D7347"/>
    <w:rsid w:val="001D78B4"/>
    <w:rsid w:val="001E1067"/>
    <w:rsid w:val="001E1398"/>
    <w:rsid w:val="001E1A07"/>
    <w:rsid w:val="001E2457"/>
    <w:rsid w:val="001E2538"/>
    <w:rsid w:val="001E27EA"/>
    <w:rsid w:val="001E285C"/>
    <w:rsid w:val="001E2A16"/>
    <w:rsid w:val="001E300F"/>
    <w:rsid w:val="001E5335"/>
    <w:rsid w:val="001E5B57"/>
    <w:rsid w:val="001E69E6"/>
    <w:rsid w:val="001E6C4D"/>
    <w:rsid w:val="001E739D"/>
    <w:rsid w:val="001E77A3"/>
    <w:rsid w:val="001E77D6"/>
    <w:rsid w:val="001E77EC"/>
    <w:rsid w:val="001F0260"/>
    <w:rsid w:val="001F093F"/>
    <w:rsid w:val="001F0A88"/>
    <w:rsid w:val="001F1649"/>
    <w:rsid w:val="001F1C97"/>
    <w:rsid w:val="001F1DD0"/>
    <w:rsid w:val="001F2ECF"/>
    <w:rsid w:val="001F3031"/>
    <w:rsid w:val="001F388F"/>
    <w:rsid w:val="001F4204"/>
    <w:rsid w:val="001F4921"/>
    <w:rsid w:val="001F4CC0"/>
    <w:rsid w:val="001F4D73"/>
    <w:rsid w:val="001F5BBD"/>
    <w:rsid w:val="001F6015"/>
    <w:rsid w:val="001F64F1"/>
    <w:rsid w:val="001F655F"/>
    <w:rsid w:val="001F7018"/>
    <w:rsid w:val="001F70B3"/>
    <w:rsid w:val="001F70B7"/>
    <w:rsid w:val="001F7202"/>
    <w:rsid w:val="001F740E"/>
    <w:rsid w:val="001F787F"/>
    <w:rsid w:val="001F7A9E"/>
    <w:rsid w:val="00200CE7"/>
    <w:rsid w:val="00200FB6"/>
    <w:rsid w:val="00201B3B"/>
    <w:rsid w:val="00201C4E"/>
    <w:rsid w:val="00202CAE"/>
    <w:rsid w:val="00203F2B"/>
    <w:rsid w:val="00203F98"/>
    <w:rsid w:val="002044EC"/>
    <w:rsid w:val="00204C17"/>
    <w:rsid w:val="002055A1"/>
    <w:rsid w:val="0020582A"/>
    <w:rsid w:val="0020599C"/>
    <w:rsid w:val="00205A0B"/>
    <w:rsid w:val="002063F3"/>
    <w:rsid w:val="0020701F"/>
    <w:rsid w:val="002070EC"/>
    <w:rsid w:val="002070F6"/>
    <w:rsid w:val="002109D4"/>
    <w:rsid w:val="00210B4C"/>
    <w:rsid w:val="00211549"/>
    <w:rsid w:val="00211AC1"/>
    <w:rsid w:val="00211E7B"/>
    <w:rsid w:val="0021280C"/>
    <w:rsid w:val="00213E72"/>
    <w:rsid w:val="00213EB9"/>
    <w:rsid w:val="00214DD6"/>
    <w:rsid w:val="00214E88"/>
    <w:rsid w:val="002155C3"/>
    <w:rsid w:val="00215819"/>
    <w:rsid w:val="0021657C"/>
    <w:rsid w:val="00216A58"/>
    <w:rsid w:val="002170F2"/>
    <w:rsid w:val="00217CD7"/>
    <w:rsid w:val="00217E96"/>
    <w:rsid w:val="00220017"/>
    <w:rsid w:val="00220908"/>
    <w:rsid w:val="002211F4"/>
    <w:rsid w:val="002212E6"/>
    <w:rsid w:val="002227A4"/>
    <w:rsid w:val="00222941"/>
    <w:rsid w:val="00222A9F"/>
    <w:rsid w:val="002235B0"/>
    <w:rsid w:val="0022457E"/>
    <w:rsid w:val="0022566A"/>
    <w:rsid w:val="002261F4"/>
    <w:rsid w:val="0022659A"/>
    <w:rsid w:val="00226A54"/>
    <w:rsid w:val="0022717E"/>
    <w:rsid w:val="0022723E"/>
    <w:rsid w:val="002272D6"/>
    <w:rsid w:val="002279B7"/>
    <w:rsid w:val="00227F31"/>
    <w:rsid w:val="002300AB"/>
    <w:rsid w:val="00230635"/>
    <w:rsid w:val="00230843"/>
    <w:rsid w:val="00231275"/>
    <w:rsid w:val="0023174B"/>
    <w:rsid w:val="00231D7B"/>
    <w:rsid w:val="00231DA4"/>
    <w:rsid w:val="00231DB2"/>
    <w:rsid w:val="00232C2B"/>
    <w:rsid w:val="00232CDC"/>
    <w:rsid w:val="0023306C"/>
    <w:rsid w:val="00233353"/>
    <w:rsid w:val="002356F5"/>
    <w:rsid w:val="00236AC3"/>
    <w:rsid w:val="00240519"/>
    <w:rsid w:val="002406DC"/>
    <w:rsid w:val="00240D1C"/>
    <w:rsid w:val="002410CD"/>
    <w:rsid w:val="002411AF"/>
    <w:rsid w:val="002415C2"/>
    <w:rsid w:val="002419E2"/>
    <w:rsid w:val="00241C1A"/>
    <w:rsid w:val="00241E7B"/>
    <w:rsid w:val="00242964"/>
    <w:rsid w:val="0024336C"/>
    <w:rsid w:val="002447F6"/>
    <w:rsid w:val="0024498C"/>
    <w:rsid w:val="002452E4"/>
    <w:rsid w:val="00245B05"/>
    <w:rsid w:val="00246109"/>
    <w:rsid w:val="00246AF3"/>
    <w:rsid w:val="00246C78"/>
    <w:rsid w:val="00246D03"/>
    <w:rsid w:val="00246F0F"/>
    <w:rsid w:val="002505A3"/>
    <w:rsid w:val="0025072F"/>
    <w:rsid w:val="002516E0"/>
    <w:rsid w:val="00251B4C"/>
    <w:rsid w:val="00252AA3"/>
    <w:rsid w:val="00252CE4"/>
    <w:rsid w:val="00252DDE"/>
    <w:rsid w:val="002534A3"/>
    <w:rsid w:val="00253596"/>
    <w:rsid w:val="00254596"/>
    <w:rsid w:val="00255023"/>
    <w:rsid w:val="0025515B"/>
    <w:rsid w:val="002566FC"/>
    <w:rsid w:val="00256EDB"/>
    <w:rsid w:val="0025725B"/>
    <w:rsid w:val="0026022C"/>
    <w:rsid w:val="0026043C"/>
    <w:rsid w:val="0026094D"/>
    <w:rsid w:val="00261076"/>
    <w:rsid w:val="002611F4"/>
    <w:rsid w:val="0026180E"/>
    <w:rsid w:val="00262082"/>
    <w:rsid w:val="00262535"/>
    <w:rsid w:val="00262584"/>
    <w:rsid w:val="00262BCF"/>
    <w:rsid w:val="00262E85"/>
    <w:rsid w:val="00263C91"/>
    <w:rsid w:val="00263ECD"/>
    <w:rsid w:val="00264472"/>
    <w:rsid w:val="00264D96"/>
    <w:rsid w:val="00265750"/>
    <w:rsid w:val="0026619D"/>
    <w:rsid w:val="00270535"/>
    <w:rsid w:val="00270B5D"/>
    <w:rsid w:val="0027210A"/>
    <w:rsid w:val="002727E3"/>
    <w:rsid w:val="0027287E"/>
    <w:rsid w:val="00272C16"/>
    <w:rsid w:val="00272D3B"/>
    <w:rsid w:val="00275098"/>
    <w:rsid w:val="00275732"/>
    <w:rsid w:val="00277F47"/>
    <w:rsid w:val="002805DB"/>
    <w:rsid w:val="002809FE"/>
    <w:rsid w:val="00280D83"/>
    <w:rsid w:val="00282561"/>
    <w:rsid w:val="00282CFC"/>
    <w:rsid w:val="00282EAA"/>
    <w:rsid w:val="002849F6"/>
    <w:rsid w:val="00285F40"/>
    <w:rsid w:val="0028662C"/>
    <w:rsid w:val="00286CE1"/>
    <w:rsid w:val="00286DCE"/>
    <w:rsid w:val="002903A4"/>
    <w:rsid w:val="00290E12"/>
    <w:rsid w:val="00291BE3"/>
    <w:rsid w:val="00292452"/>
    <w:rsid w:val="00292666"/>
    <w:rsid w:val="00292F96"/>
    <w:rsid w:val="002959D8"/>
    <w:rsid w:val="00295E66"/>
    <w:rsid w:val="002969EF"/>
    <w:rsid w:val="00296CD1"/>
    <w:rsid w:val="002978B6"/>
    <w:rsid w:val="002A1DDD"/>
    <w:rsid w:val="002A2722"/>
    <w:rsid w:val="002A2E1D"/>
    <w:rsid w:val="002A2E39"/>
    <w:rsid w:val="002A333C"/>
    <w:rsid w:val="002A3AE1"/>
    <w:rsid w:val="002A3CE2"/>
    <w:rsid w:val="002A4466"/>
    <w:rsid w:val="002A4510"/>
    <w:rsid w:val="002A464B"/>
    <w:rsid w:val="002A5A95"/>
    <w:rsid w:val="002A5B03"/>
    <w:rsid w:val="002A5D9B"/>
    <w:rsid w:val="002A66EA"/>
    <w:rsid w:val="002A6A6B"/>
    <w:rsid w:val="002A6C21"/>
    <w:rsid w:val="002A6CC8"/>
    <w:rsid w:val="002A6FA1"/>
    <w:rsid w:val="002A77D6"/>
    <w:rsid w:val="002A7B9B"/>
    <w:rsid w:val="002A7EA0"/>
    <w:rsid w:val="002B0820"/>
    <w:rsid w:val="002B0821"/>
    <w:rsid w:val="002B0BF0"/>
    <w:rsid w:val="002B0FB6"/>
    <w:rsid w:val="002B1341"/>
    <w:rsid w:val="002B1C6A"/>
    <w:rsid w:val="002B1E1B"/>
    <w:rsid w:val="002B2223"/>
    <w:rsid w:val="002B2447"/>
    <w:rsid w:val="002B27D5"/>
    <w:rsid w:val="002B2821"/>
    <w:rsid w:val="002B2952"/>
    <w:rsid w:val="002B2A0C"/>
    <w:rsid w:val="002B32AF"/>
    <w:rsid w:val="002B52F2"/>
    <w:rsid w:val="002B5782"/>
    <w:rsid w:val="002B57D3"/>
    <w:rsid w:val="002B6509"/>
    <w:rsid w:val="002B65A7"/>
    <w:rsid w:val="002B741C"/>
    <w:rsid w:val="002B761F"/>
    <w:rsid w:val="002B7792"/>
    <w:rsid w:val="002C0529"/>
    <w:rsid w:val="002C1338"/>
    <w:rsid w:val="002C1D3C"/>
    <w:rsid w:val="002C2334"/>
    <w:rsid w:val="002C29F9"/>
    <w:rsid w:val="002C416D"/>
    <w:rsid w:val="002C48EA"/>
    <w:rsid w:val="002C509C"/>
    <w:rsid w:val="002C50A7"/>
    <w:rsid w:val="002C528D"/>
    <w:rsid w:val="002C52AD"/>
    <w:rsid w:val="002C6518"/>
    <w:rsid w:val="002C6A76"/>
    <w:rsid w:val="002C6E51"/>
    <w:rsid w:val="002D1291"/>
    <w:rsid w:val="002D183F"/>
    <w:rsid w:val="002D1860"/>
    <w:rsid w:val="002D1B22"/>
    <w:rsid w:val="002D202A"/>
    <w:rsid w:val="002D2FE7"/>
    <w:rsid w:val="002D3292"/>
    <w:rsid w:val="002D33A3"/>
    <w:rsid w:val="002D33CE"/>
    <w:rsid w:val="002D3C40"/>
    <w:rsid w:val="002D3E3B"/>
    <w:rsid w:val="002D3F0A"/>
    <w:rsid w:val="002D428B"/>
    <w:rsid w:val="002D5569"/>
    <w:rsid w:val="002D62B2"/>
    <w:rsid w:val="002D6599"/>
    <w:rsid w:val="002D7636"/>
    <w:rsid w:val="002E0199"/>
    <w:rsid w:val="002E223F"/>
    <w:rsid w:val="002E2B31"/>
    <w:rsid w:val="002E3AF6"/>
    <w:rsid w:val="002E3D4A"/>
    <w:rsid w:val="002E4303"/>
    <w:rsid w:val="002E4322"/>
    <w:rsid w:val="002E4C87"/>
    <w:rsid w:val="002E628C"/>
    <w:rsid w:val="002E63BB"/>
    <w:rsid w:val="002E6665"/>
    <w:rsid w:val="002E669A"/>
    <w:rsid w:val="002E7A48"/>
    <w:rsid w:val="002F035F"/>
    <w:rsid w:val="002F0380"/>
    <w:rsid w:val="002F1239"/>
    <w:rsid w:val="002F16B6"/>
    <w:rsid w:val="002F21C4"/>
    <w:rsid w:val="002F22AD"/>
    <w:rsid w:val="002F2901"/>
    <w:rsid w:val="002F2ACB"/>
    <w:rsid w:val="002F2E55"/>
    <w:rsid w:val="002F305E"/>
    <w:rsid w:val="002F31D0"/>
    <w:rsid w:val="002F435E"/>
    <w:rsid w:val="002F4FF2"/>
    <w:rsid w:val="002F792C"/>
    <w:rsid w:val="002F7ED4"/>
    <w:rsid w:val="00301646"/>
    <w:rsid w:val="003016C7"/>
    <w:rsid w:val="00302C87"/>
    <w:rsid w:val="0030476F"/>
    <w:rsid w:val="003047B1"/>
    <w:rsid w:val="0030505D"/>
    <w:rsid w:val="00306899"/>
    <w:rsid w:val="00306BA6"/>
    <w:rsid w:val="00307A77"/>
    <w:rsid w:val="00310143"/>
    <w:rsid w:val="00310B7E"/>
    <w:rsid w:val="00311F52"/>
    <w:rsid w:val="00312661"/>
    <w:rsid w:val="00312C1F"/>
    <w:rsid w:val="003131D2"/>
    <w:rsid w:val="00314377"/>
    <w:rsid w:val="00314F3C"/>
    <w:rsid w:val="00315358"/>
    <w:rsid w:val="003157BB"/>
    <w:rsid w:val="003158C9"/>
    <w:rsid w:val="00315BD1"/>
    <w:rsid w:val="00315EE8"/>
    <w:rsid w:val="00316A47"/>
    <w:rsid w:val="00320634"/>
    <w:rsid w:val="00320B85"/>
    <w:rsid w:val="00320BF6"/>
    <w:rsid w:val="00320D14"/>
    <w:rsid w:val="00323238"/>
    <w:rsid w:val="00323A7D"/>
    <w:rsid w:val="00323E71"/>
    <w:rsid w:val="0032408F"/>
    <w:rsid w:val="00325019"/>
    <w:rsid w:val="003258DA"/>
    <w:rsid w:val="00326CA8"/>
    <w:rsid w:val="00327CC7"/>
    <w:rsid w:val="00327FAF"/>
    <w:rsid w:val="00330C9A"/>
    <w:rsid w:val="003330C6"/>
    <w:rsid w:val="00333B76"/>
    <w:rsid w:val="003341E5"/>
    <w:rsid w:val="003349B1"/>
    <w:rsid w:val="00335377"/>
    <w:rsid w:val="00335767"/>
    <w:rsid w:val="00335AB4"/>
    <w:rsid w:val="00336573"/>
    <w:rsid w:val="0033717A"/>
    <w:rsid w:val="00341259"/>
    <w:rsid w:val="00341952"/>
    <w:rsid w:val="0034240C"/>
    <w:rsid w:val="003428D6"/>
    <w:rsid w:val="00342932"/>
    <w:rsid w:val="00342E2F"/>
    <w:rsid w:val="00343088"/>
    <w:rsid w:val="00343766"/>
    <w:rsid w:val="003447C6"/>
    <w:rsid w:val="003457E1"/>
    <w:rsid w:val="00345CF2"/>
    <w:rsid w:val="00345DA0"/>
    <w:rsid w:val="003469B8"/>
    <w:rsid w:val="00347472"/>
    <w:rsid w:val="003509B6"/>
    <w:rsid w:val="00350D22"/>
    <w:rsid w:val="00350F22"/>
    <w:rsid w:val="00351C6C"/>
    <w:rsid w:val="00351F7D"/>
    <w:rsid w:val="00352823"/>
    <w:rsid w:val="003528AD"/>
    <w:rsid w:val="00352C2A"/>
    <w:rsid w:val="00352DED"/>
    <w:rsid w:val="00354549"/>
    <w:rsid w:val="003545C0"/>
    <w:rsid w:val="003548C5"/>
    <w:rsid w:val="0035594C"/>
    <w:rsid w:val="00356FE3"/>
    <w:rsid w:val="00360201"/>
    <w:rsid w:val="003607A1"/>
    <w:rsid w:val="0036160B"/>
    <w:rsid w:val="0036199A"/>
    <w:rsid w:val="003619B1"/>
    <w:rsid w:val="00361FF0"/>
    <w:rsid w:val="003620BD"/>
    <w:rsid w:val="0036286B"/>
    <w:rsid w:val="00362F7A"/>
    <w:rsid w:val="00363588"/>
    <w:rsid w:val="0036421F"/>
    <w:rsid w:val="00364FFF"/>
    <w:rsid w:val="003653EE"/>
    <w:rsid w:val="00365B0F"/>
    <w:rsid w:val="00366B2B"/>
    <w:rsid w:val="00366D4D"/>
    <w:rsid w:val="00367E6B"/>
    <w:rsid w:val="003701D3"/>
    <w:rsid w:val="003701E5"/>
    <w:rsid w:val="00370A1D"/>
    <w:rsid w:val="0037189A"/>
    <w:rsid w:val="00371B3A"/>
    <w:rsid w:val="003720CA"/>
    <w:rsid w:val="00372B1F"/>
    <w:rsid w:val="00372C59"/>
    <w:rsid w:val="00372EBA"/>
    <w:rsid w:val="0037319E"/>
    <w:rsid w:val="00373203"/>
    <w:rsid w:val="00374114"/>
    <w:rsid w:val="003741F8"/>
    <w:rsid w:val="00374910"/>
    <w:rsid w:val="00374AB2"/>
    <w:rsid w:val="003753E7"/>
    <w:rsid w:val="00375480"/>
    <w:rsid w:val="00375F2A"/>
    <w:rsid w:val="00376080"/>
    <w:rsid w:val="00376331"/>
    <w:rsid w:val="003764F4"/>
    <w:rsid w:val="00376612"/>
    <w:rsid w:val="00377661"/>
    <w:rsid w:val="00377B8E"/>
    <w:rsid w:val="0038106C"/>
    <w:rsid w:val="003816B4"/>
    <w:rsid w:val="00381926"/>
    <w:rsid w:val="00381CD9"/>
    <w:rsid w:val="00381D73"/>
    <w:rsid w:val="00381EC4"/>
    <w:rsid w:val="0038290A"/>
    <w:rsid w:val="003839C4"/>
    <w:rsid w:val="00383ECD"/>
    <w:rsid w:val="00384578"/>
    <w:rsid w:val="003845BE"/>
    <w:rsid w:val="003846E9"/>
    <w:rsid w:val="0038494E"/>
    <w:rsid w:val="00384DF7"/>
    <w:rsid w:val="003855B9"/>
    <w:rsid w:val="003868D7"/>
    <w:rsid w:val="003869BD"/>
    <w:rsid w:val="00386E4F"/>
    <w:rsid w:val="003875A0"/>
    <w:rsid w:val="00387DA5"/>
    <w:rsid w:val="00390117"/>
    <w:rsid w:val="0039073C"/>
    <w:rsid w:val="003911C5"/>
    <w:rsid w:val="003916A8"/>
    <w:rsid w:val="0039238C"/>
    <w:rsid w:val="003926E6"/>
    <w:rsid w:val="0039278F"/>
    <w:rsid w:val="003927E5"/>
    <w:rsid w:val="00393529"/>
    <w:rsid w:val="00393603"/>
    <w:rsid w:val="00393A36"/>
    <w:rsid w:val="00393A6E"/>
    <w:rsid w:val="00393F4B"/>
    <w:rsid w:val="00394125"/>
    <w:rsid w:val="00394236"/>
    <w:rsid w:val="0039781B"/>
    <w:rsid w:val="003A0142"/>
    <w:rsid w:val="003A08F6"/>
    <w:rsid w:val="003A105E"/>
    <w:rsid w:val="003A1E60"/>
    <w:rsid w:val="003A3504"/>
    <w:rsid w:val="003A3535"/>
    <w:rsid w:val="003A3A7E"/>
    <w:rsid w:val="003A3B55"/>
    <w:rsid w:val="003A443E"/>
    <w:rsid w:val="003A4994"/>
    <w:rsid w:val="003A5312"/>
    <w:rsid w:val="003A5337"/>
    <w:rsid w:val="003A53E9"/>
    <w:rsid w:val="003A5823"/>
    <w:rsid w:val="003A5D4A"/>
    <w:rsid w:val="003A668C"/>
    <w:rsid w:val="003A671D"/>
    <w:rsid w:val="003A732B"/>
    <w:rsid w:val="003A79E0"/>
    <w:rsid w:val="003B0D85"/>
    <w:rsid w:val="003B1459"/>
    <w:rsid w:val="003B1D92"/>
    <w:rsid w:val="003B24B4"/>
    <w:rsid w:val="003B3102"/>
    <w:rsid w:val="003B329F"/>
    <w:rsid w:val="003B4418"/>
    <w:rsid w:val="003B47CE"/>
    <w:rsid w:val="003B483F"/>
    <w:rsid w:val="003B4CF3"/>
    <w:rsid w:val="003B6593"/>
    <w:rsid w:val="003B6729"/>
    <w:rsid w:val="003B7048"/>
    <w:rsid w:val="003B7FBC"/>
    <w:rsid w:val="003C0792"/>
    <w:rsid w:val="003C083C"/>
    <w:rsid w:val="003C0E10"/>
    <w:rsid w:val="003C1E60"/>
    <w:rsid w:val="003C253E"/>
    <w:rsid w:val="003C2996"/>
    <w:rsid w:val="003C2FA5"/>
    <w:rsid w:val="003C3562"/>
    <w:rsid w:val="003C3EA1"/>
    <w:rsid w:val="003C55FA"/>
    <w:rsid w:val="003C5FF2"/>
    <w:rsid w:val="003C68B1"/>
    <w:rsid w:val="003C6A71"/>
    <w:rsid w:val="003C7037"/>
    <w:rsid w:val="003C73FF"/>
    <w:rsid w:val="003D01FA"/>
    <w:rsid w:val="003D0241"/>
    <w:rsid w:val="003D1697"/>
    <w:rsid w:val="003D16F0"/>
    <w:rsid w:val="003D198F"/>
    <w:rsid w:val="003D225F"/>
    <w:rsid w:val="003D2BA1"/>
    <w:rsid w:val="003D324C"/>
    <w:rsid w:val="003D3590"/>
    <w:rsid w:val="003D3F6C"/>
    <w:rsid w:val="003D41E3"/>
    <w:rsid w:val="003D4D1F"/>
    <w:rsid w:val="003D4F99"/>
    <w:rsid w:val="003D5BB9"/>
    <w:rsid w:val="003D60DC"/>
    <w:rsid w:val="003D697B"/>
    <w:rsid w:val="003D69C1"/>
    <w:rsid w:val="003D6B67"/>
    <w:rsid w:val="003D79BB"/>
    <w:rsid w:val="003E0ABE"/>
    <w:rsid w:val="003E0BC2"/>
    <w:rsid w:val="003E121B"/>
    <w:rsid w:val="003E1D75"/>
    <w:rsid w:val="003E3481"/>
    <w:rsid w:val="003E3574"/>
    <w:rsid w:val="003E361B"/>
    <w:rsid w:val="003E4000"/>
    <w:rsid w:val="003E4729"/>
    <w:rsid w:val="003E4B47"/>
    <w:rsid w:val="003E4BB6"/>
    <w:rsid w:val="003E534F"/>
    <w:rsid w:val="003E5635"/>
    <w:rsid w:val="003E6CEE"/>
    <w:rsid w:val="003E72BE"/>
    <w:rsid w:val="003E76AC"/>
    <w:rsid w:val="003F0264"/>
    <w:rsid w:val="003F175E"/>
    <w:rsid w:val="003F1D03"/>
    <w:rsid w:val="003F2B77"/>
    <w:rsid w:val="003F2EA6"/>
    <w:rsid w:val="003F3075"/>
    <w:rsid w:val="003F36FA"/>
    <w:rsid w:val="003F3A5D"/>
    <w:rsid w:val="003F3EF2"/>
    <w:rsid w:val="003F469B"/>
    <w:rsid w:val="003F617A"/>
    <w:rsid w:val="003F6306"/>
    <w:rsid w:val="003F7CDF"/>
    <w:rsid w:val="00401670"/>
    <w:rsid w:val="0040169C"/>
    <w:rsid w:val="0040198B"/>
    <w:rsid w:val="00401B2E"/>
    <w:rsid w:val="004024B6"/>
    <w:rsid w:val="004025AB"/>
    <w:rsid w:val="004030BD"/>
    <w:rsid w:val="00403FFE"/>
    <w:rsid w:val="00404005"/>
    <w:rsid w:val="00404073"/>
    <w:rsid w:val="00404089"/>
    <w:rsid w:val="00404259"/>
    <w:rsid w:val="004044D7"/>
    <w:rsid w:val="004046A5"/>
    <w:rsid w:val="004048C8"/>
    <w:rsid w:val="0040493F"/>
    <w:rsid w:val="00405079"/>
    <w:rsid w:val="0040581E"/>
    <w:rsid w:val="00405B78"/>
    <w:rsid w:val="00405D65"/>
    <w:rsid w:val="00405DFA"/>
    <w:rsid w:val="00405E0F"/>
    <w:rsid w:val="00405F13"/>
    <w:rsid w:val="00406F7C"/>
    <w:rsid w:val="004070AA"/>
    <w:rsid w:val="004115A3"/>
    <w:rsid w:val="004116BD"/>
    <w:rsid w:val="00411953"/>
    <w:rsid w:val="004119A8"/>
    <w:rsid w:val="0041276C"/>
    <w:rsid w:val="004140C0"/>
    <w:rsid w:val="004157FE"/>
    <w:rsid w:val="00415A8B"/>
    <w:rsid w:val="00415C87"/>
    <w:rsid w:val="00415D77"/>
    <w:rsid w:val="0041600C"/>
    <w:rsid w:val="00416243"/>
    <w:rsid w:val="00416264"/>
    <w:rsid w:val="00416664"/>
    <w:rsid w:val="0041703F"/>
    <w:rsid w:val="00417503"/>
    <w:rsid w:val="00417A1C"/>
    <w:rsid w:val="00420252"/>
    <w:rsid w:val="0042048E"/>
    <w:rsid w:val="00420684"/>
    <w:rsid w:val="00420FDE"/>
    <w:rsid w:val="004210D7"/>
    <w:rsid w:val="00421F90"/>
    <w:rsid w:val="00422539"/>
    <w:rsid w:val="00422B15"/>
    <w:rsid w:val="00422BD0"/>
    <w:rsid w:val="00423A47"/>
    <w:rsid w:val="00423AA9"/>
    <w:rsid w:val="00424746"/>
    <w:rsid w:val="004248E4"/>
    <w:rsid w:val="004253A2"/>
    <w:rsid w:val="00425C64"/>
    <w:rsid w:val="004264BD"/>
    <w:rsid w:val="004270F5"/>
    <w:rsid w:val="0042712E"/>
    <w:rsid w:val="00427166"/>
    <w:rsid w:val="0042748C"/>
    <w:rsid w:val="00427748"/>
    <w:rsid w:val="00427882"/>
    <w:rsid w:val="00427AF8"/>
    <w:rsid w:val="00427FA4"/>
    <w:rsid w:val="004300D7"/>
    <w:rsid w:val="00430157"/>
    <w:rsid w:val="0043015D"/>
    <w:rsid w:val="00430D53"/>
    <w:rsid w:val="00430F53"/>
    <w:rsid w:val="004310D5"/>
    <w:rsid w:val="004310DA"/>
    <w:rsid w:val="00432014"/>
    <w:rsid w:val="00433BA9"/>
    <w:rsid w:val="004344ED"/>
    <w:rsid w:val="00434A7C"/>
    <w:rsid w:val="00434EF0"/>
    <w:rsid w:val="0043545C"/>
    <w:rsid w:val="0043630E"/>
    <w:rsid w:val="004364F0"/>
    <w:rsid w:val="00436B15"/>
    <w:rsid w:val="00436E1C"/>
    <w:rsid w:val="00440434"/>
    <w:rsid w:val="004404D3"/>
    <w:rsid w:val="00440BE0"/>
    <w:rsid w:val="00440DCA"/>
    <w:rsid w:val="004414AB"/>
    <w:rsid w:val="0044166E"/>
    <w:rsid w:val="00442111"/>
    <w:rsid w:val="00442252"/>
    <w:rsid w:val="004428C7"/>
    <w:rsid w:val="004429B6"/>
    <w:rsid w:val="00443738"/>
    <w:rsid w:val="00444AD7"/>
    <w:rsid w:val="00445B1B"/>
    <w:rsid w:val="00445CA5"/>
    <w:rsid w:val="00445FF7"/>
    <w:rsid w:val="00446066"/>
    <w:rsid w:val="004460FF"/>
    <w:rsid w:val="0044613A"/>
    <w:rsid w:val="0044704A"/>
    <w:rsid w:val="00447F00"/>
    <w:rsid w:val="004502C5"/>
    <w:rsid w:val="004504D9"/>
    <w:rsid w:val="00450CD6"/>
    <w:rsid w:val="00451ED8"/>
    <w:rsid w:val="00452255"/>
    <w:rsid w:val="00452358"/>
    <w:rsid w:val="0045243C"/>
    <w:rsid w:val="0045251F"/>
    <w:rsid w:val="00452ACE"/>
    <w:rsid w:val="00453CCF"/>
    <w:rsid w:val="00453E25"/>
    <w:rsid w:val="004541A8"/>
    <w:rsid w:val="00454EE7"/>
    <w:rsid w:val="00455195"/>
    <w:rsid w:val="004555AB"/>
    <w:rsid w:val="0045580F"/>
    <w:rsid w:val="00456F2A"/>
    <w:rsid w:val="00457544"/>
    <w:rsid w:val="00457C6E"/>
    <w:rsid w:val="00460880"/>
    <w:rsid w:val="00460A42"/>
    <w:rsid w:val="0046161D"/>
    <w:rsid w:val="00461AB4"/>
    <w:rsid w:val="00461B4A"/>
    <w:rsid w:val="00462390"/>
    <w:rsid w:val="004625FE"/>
    <w:rsid w:val="004632D9"/>
    <w:rsid w:val="00463667"/>
    <w:rsid w:val="004637FD"/>
    <w:rsid w:val="00463BCC"/>
    <w:rsid w:val="0046416F"/>
    <w:rsid w:val="0046510F"/>
    <w:rsid w:val="00465B63"/>
    <w:rsid w:val="00465D1E"/>
    <w:rsid w:val="00466582"/>
    <w:rsid w:val="00466A41"/>
    <w:rsid w:val="00466DB4"/>
    <w:rsid w:val="004671BE"/>
    <w:rsid w:val="00467268"/>
    <w:rsid w:val="00467637"/>
    <w:rsid w:val="00467A69"/>
    <w:rsid w:val="00470A0E"/>
    <w:rsid w:val="00471241"/>
    <w:rsid w:val="004712C4"/>
    <w:rsid w:val="004718DB"/>
    <w:rsid w:val="004719F0"/>
    <w:rsid w:val="00471FCA"/>
    <w:rsid w:val="004725A7"/>
    <w:rsid w:val="00473C2D"/>
    <w:rsid w:val="00474BA8"/>
    <w:rsid w:val="0047538C"/>
    <w:rsid w:val="004756B8"/>
    <w:rsid w:val="00475D8A"/>
    <w:rsid w:val="0047640D"/>
    <w:rsid w:val="004764FA"/>
    <w:rsid w:val="00476845"/>
    <w:rsid w:val="00477855"/>
    <w:rsid w:val="0047788A"/>
    <w:rsid w:val="00481B96"/>
    <w:rsid w:val="00482199"/>
    <w:rsid w:val="0048240C"/>
    <w:rsid w:val="00482DDD"/>
    <w:rsid w:val="00483D20"/>
    <w:rsid w:val="00484BBD"/>
    <w:rsid w:val="00484C42"/>
    <w:rsid w:val="00484C9D"/>
    <w:rsid w:val="004850EA"/>
    <w:rsid w:val="00486605"/>
    <w:rsid w:val="0048668B"/>
    <w:rsid w:val="00486851"/>
    <w:rsid w:val="0048759B"/>
    <w:rsid w:val="00487783"/>
    <w:rsid w:val="00491211"/>
    <w:rsid w:val="00491A97"/>
    <w:rsid w:val="00492A1D"/>
    <w:rsid w:val="00493852"/>
    <w:rsid w:val="00494719"/>
    <w:rsid w:val="0049482B"/>
    <w:rsid w:val="00495044"/>
    <w:rsid w:val="00495FD4"/>
    <w:rsid w:val="004960B0"/>
    <w:rsid w:val="00496231"/>
    <w:rsid w:val="00496C1F"/>
    <w:rsid w:val="004970A4"/>
    <w:rsid w:val="0049786B"/>
    <w:rsid w:val="004A0177"/>
    <w:rsid w:val="004A0515"/>
    <w:rsid w:val="004A208B"/>
    <w:rsid w:val="004A2DEA"/>
    <w:rsid w:val="004A41E4"/>
    <w:rsid w:val="004A4AF4"/>
    <w:rsid w:val="004A4C26"/>
    <w:rsid w:val="004A51C7"/>
    <w:rsid w:val="004A5327"/>
    <w:rsid w:val="004A5BCB"/>
    <w:rsid w:val="004A64AD"/>
    <w:rsid w:val="004A6874"/>
    <w:rsid w:val="004A6AC2"/>
    <w:rsid w:val="004A70A4"/>
    <w:rsid w:val="004A77F8"/>
    <w:rsid w:val="004B0594"/>
    <w:rsid w:val="004B0A41"/>
    <w:rsid w:val="004B1295"/>
    <w:rsid w:val="004B1666"/>
    <w:rsid w:val="004B17A3"/>
    <w:rsid w:val="004B2C83"/>
    <w:rsid w:val="004B3403"/>
    <w:rsid w:val="004B3515"/>
    <w:rsid w:val="004B40BC"/>
    <w:rsid w:val="004B4180"/>
    <w:rsid w:val="004B46DD"/>
    <w:rsid w:val="004B510A"/>
    <w:rsid w:val="004B569C"/>
    <w:rsid w:val="004B5904"/>
    <w:rsid w:val="004B74E4"/>
    <w:rsid w:val="004B7648"/>
    <w:rsid w:val="004C07C6"/>
    <w:rsid w:val="004C1384"/>
    <w:rsid w:val="004C2655"/>
    <w:rsid w:val="004C2B07"/>
    <w:rsid w:val="004C2DC9"/>
    <w:rsid w:val="004C2EC9"/>
    <w:rsid w:val="004C33EB"/>
    <w:rsid w:val="004C3768"/>
    <w:rsid w:val="004C37F2"/>
    <w:rsid w:val="004C3BC3"/>
    <w:rsid w:val="004C43B7"/>
    <w:rsid w:val="004C4806"/>
    <w:rsid w:val="004C4FDE"/>
    <w:rsid w:val="004C5FEA"/>
    <w:rsid w:val="004C77FC"/>
    <w:rsid w:val="004C7E2A"/>
    <w:rsid w:val="004D0797"/>
    <w:rsid w:val="004D0AA6"/>
    <w:rsid w:val="004D0ED4"/>
    <w:rsid w:val="004D107B"/>
    <w:rsid w:val="004D1B80"/>
    <w:rsid w:val="004D1F03"/>
    <w:rsid w:val="004D3B1C"/>
    <w:rsid w:val="004D4628"/>
    <w:rsid w:val="004D4C87"/>
    <w:rsid w:val="004D52EE"/>
    <w:rsid w:val="004D5921"/>
    <w:rsid w:val="004D6D41"/>
    <w:rsid w:val="004D6FA3"/>
    <w:rsid w:val="004D7C9A"/>
    <w:rsid w:val="004E0095"/>
    <w:rsid w:val="004E01F6"/>
    <w:rsid w:val="004E0DC3"/>
    <w:rsid w:val="004E25CA"/>
    <w:rsid w:val="004E272B"/>
    <w:rsid w:val="004E30CD"/>
    <w:rsid w:val="004E393B"/>
    <w:rsid w:val="004E5037"/>
    <w:rsid w:val="004E5153"/>
    <w:rsid w:val="004E69FB"/>
    <w:rsid w:val="004E6D59"/>
    <w:rsid w:val="004E6D80"/>
    <w:rsid w:val="004E7341"/>
    <w:rsid w:val="004E7A2E"/>
    <w:rsid w:val="004E7CDC"/>
    <w:rsid w:val="004F0256"/>
    <w:rsid w:val="004F0A61"/>
    <w:rsid w:val="004F15B9"/>
    <w:rsid w:val="004F1F70"/>
    <w:rsid w:val="004F2340"/>
    <w:rsid w:val="004F2482"/>
    <w:rsid w:val="004F29A5"/>
    <w:rsid w:val="004F34A6"/>
    <w:rsid w:val="004F40FA"/>
    <w:rsid w:val="004F42EB"/>
    <w:rsid w:val="004F4578"/>
    <w:rsid w:val="004F458B"/>
    <w:rsid w:val="004F4C9D"/>
    <w:rsid w:val="004F5655"/>
    <w:rsid w:val="004F5990"/>
    <w:rsid w:val="004F599D"/>
    <w:rsid w:val="004F6632"/>
    <w:rsid w:val="004F6BFC"/>
    <w:rsid w:val="004F6DE6"/>
    <w:rsid w:val="004F7994"/>
    <w:rsid w:val="005003E9"/>
    <w:rsid w:val="00500C37"/>
    <w:rsid w:val="00501D57"/>
    <w:rsid w:val="00501D7E"/>
    <w:rsid w:val="005037D3"/>
    <w:rsid w:val="0050448E"/>
    <w:rsid w:val="00504560"/>
    <w:rsid w:val="0050540A"/>
    <w:rsid w:val="00505EC8"/>
    <w:rsid w:val="00506449"/>
    <w:rsid w:val="0050660F"/>
    <w:rsid w:val="0050684B"/>
    <w:rsid w:val="00506F94"/>
    <w:rsid w:val="00507BA3"/>
    <w:rsid w:val="00507E79"/>
    <w:rsid w:val="00507F7D"/>
    <w:rsid w:val="00510F3E"/>
    <w:rsid w:val="0051155E"/>
    <w:rsid w:val="00511902"/>
    <w:rsid w:val="005128D6"/>
    <w:rsid w:val="00512BD5"/>
    <w:rsid w:val="00513C0A"/>
    <w:rsid w:val="00513C0D"/>
    <w:rsid w:val="00513F4B"/>
    <w:rsid w:val="00513F51"/>
    <w:rsid w:val="00514250"/>
    <w:rsid w:val="005143C8"/>
    <w:rsid w:val="005146BC"/>
    <w:rsid w:val="00514CF9"/>
    <w:rsid w:val="005151B4"/>
    <w:rsid w:val="005153E8"/>
    <w:rsid w:val="005155B0"/>
    <w:rsid w:val="00515AF4"/>
    <w:rsid w:val="00515B06"/>
    <w:rsid w:val="00515D75"/>
    <w:rsid w:val="005160E4"/>
    <w:rsid w:val="005168B7"/>
    <w:rsid w:val="00517CCE"/>
    <w:rsid w:val="00520961"/>
    <w:rsid w:val="00521110"/>
    <w:rsid w:val="00521D8D"/>
    <w:rsid w:val="00522007"/>
    <w:rsid w:val="00522120"/>
    <w:rsid w:val="005229CF"/>
    <w:rsid w:val="0052326F"/>
    <w:rsid w:val="00523E5F"/>
    <w:rsid w:val="00524531"/>
    <w:rsid w:val="00524EAC"/>
    <w:rsid w:val="0052592F"/>
    <w:rsid w:val="00525B3E"/>
    <w:rsid w:val="00525C76"/>
    <w:rsid w:val="005262D2"/>
    <w:rsid w:val="00526340"/>
    <w:rsid w:val="00526540"/>
    <w:rsid w:val="00526BA6"/>
    <w:rsid w:val="0052701D"/>
    <w:rsid w:val="00527222"/>
    <w:rsid w:val="005278FB"/>
    <w:rsid w:val="005303E2"/>
    <w:rsid w:val="005304C4"/>
    <w:rsid w:val="0053090A"/>
    <w:rsid w:val="00530B0A"/>
    <w:rsid w:val="00530B6E"/>
    <w:rsid w:val="00531DE7"/>
    <w:rsid w:val="0053241F"/>
    <w:rsid w:val="00533472"/>
    <w:rsid w:val="00533D29"/>
    <w:rsid w:val="00534EE9"/>
    <w:rsid w:val="00535875"/>
    <w:rsid w:val="005364B9"/>
    <w:rsid w:val="00536EF3"/>
    <w:rsid w:val="005371CC"/>
    <w:rsid w:val="00537EDC"/>
    <w:rsid w:val="005402BF"/>
    <w:rsid w:val="00540877"/>
    <w:rsid w:val="00540A99"/>
    <w:rsid w:val="00541570"/>
    <w:rsid w:val="005415A7"/>
    <w:rsid w:val="0054223C"/>
    <w:rsid w:val="005423F6"/>
    <w:rsid w:val="0054268A"/>
    <w:rsid w:val="00542804"/>
    <w:rsid w:val="00542CC2"/>
    <w:rsid w:val="00542D3B"/>
    <w:rsid w:val="00542F7E"/>
    <w:rsid w:val="00544C2F"/>
    <w:rsid w:val="0054525B"/>
    <w:rsid w:val="00545655"/>
    <w:rsid w:val="005464EF"/>
    <w:rsid w:val="0054652A"/>
    <w:rsid w:val="005469C3"/>
    <w:rsid w:val="00547AA2"/>
    <w:rsid w:val="00550698"/>
    <w:rsid w:val="00550C9B"/>
    <w:rsid w:val="005517F1"/>
    <w:rsid w:val="005518A3"/>
    <w:rsid w:val="005518E2"/>
    <w:rsid w:val="00551D4D"/>
    <w:rsid w:val="005522B0"/>
    <w:rsid w:val="0055237D"/>
    <w:rsid w:val="0055276F"/>
    <w:rsid w:val="0055304C"/>
    <w:rsid w:val="0055367A"/>
    <w:rsid w:val="0055371E"/>
    <w:rsid w:val="00553B31"/>
    <w:rsid w:val="00554600"/>
    <w:rsid w:val="00554609"/>
    <w:rsid w:val="00555195"/>
    <w:rsid w:val="0055527B"/>
    <w:rsid w:val="00555819"/>
    <w:rsid w:val="00555D79"/>
    <w:rsid w:val="00555FE5"/>
    <w:rsid w:val="005572DF"/>
    <w:rsid w:val="0055766B"/>
    <w:rsid w:val="005577C2"/>
    <w:rsid w:val="00557F0D"/>
    <w:rsid w:val="00560AF5"/>
    <w:rsid w:val="00560CFD"/>
    <w:rsid w:val="00560EA1"/>
    <w:rsid w:val="00560FA1"/>
    <w:rsid w:val="0056197C"/>
    <w:rsid w:val="00561A8B"/>
    <w:rsid w:val="00562AFA"/>
    <w:rsid w:val="00562F10"/>
    <w:rsid w:val="005632C4"/>
    <w:rsid w:val="00563DC5"/>
    <w:rsid w:val="0056404A"/>
    <w:rsid w:val="005650B2"/>
    <w:rsid w:val="005653A4"/>
    <w:rsid w:val="00565A47"/>
    <w:rsid w:val="0056631A"/>
    <w:rsid w:val="00567436"/>
    <w:rsid w:val="00567505"/>
    <w:rsid w:val="00567842"/>
    <w:rsid w:val="0057086B"/>
    <w:rsid w:val="00570A80"/>
    <w:rsid w:val="005713B7"/>
    <w:rsid w:val="005714DF"/>
    <w:rsid w:val="00571EB7"/>
    <w:rsid w:val="00573D80"/>
    <w:rsid w:val="005749E7"/>
    <w:rsid w:val="0057567E"/>
    <w:rsid w:val="00576299"/>
    <w:rsid w:val="00576A68"/>
    <w:rsid w:val="00577BCB"/>
    <w:rsid w:val="00577C23"/>
    <w:rsid w:val="00577C48"/>
    <w:rsid w:val="00577D55"/>
    <w:rsid w:val="005805C6"/>
    <w:rsid w:val="00581623"/>
    <w:rsid w:val="00581891"/>
    <w:rsid w:val="00581B7A"/>
    <w:rsid w:val="00581D35"/>
    <w:rsid w:val="00582618"/>
    <w:rsid w:val="00582A36"/>
    <w:rsid w:val="00583E01"/>
    <w:rsid w:val="00583E36"/>
    <w:rsid w:val="005843F2"/>
    <w:rsid w:val="00584517"/>
    <w:rsid w:val="00584524"/>
    <w:rsid w:val="0058466B"/>
    <w:rsid w:val="0058477F"/>
    <w:rsid w:val="005847F3"/>
    <w:rsid w:val="005858C6"/>
    <w:rsid w:val="00585AF1"/>
    <w:rsid w:val="005871E7"/>
    <w:rsid w:val="0058778F"/>
    <w:rsid w:val="0058795C"/>
    <w:rsid w:val="00590E4D"/>
    <w:rsid w:val="00591961"/>
    <w:rsid w:val="005919E5"/>
    <w:rsid w:val="00591E63"/>
    <w:rsid w:val="00595075"/>
    <w:rsid w:val="0059542A"/>
    <w:rsid w:val="005954D2"/>
    <w:rsid w:val="00595B22"/>
    <w:rsid w:val="00596CE7"/>
    <w:rsid w:val="00597C6D"/>
    <w:rsid w:val="005A015B"/>
    <w:rsid w:val="005A0AC1"/>
    <w:rsid w:val="005A0D70"/>
    <w:rsid w:val="005A0FFC"/>
    <w:rsid w:val="005A149D"/>
    <w:rsid w:val="005A20C1"/>
    <w:rsid w:val="005A23F2"/>
    <w:rsid w:val="005A269C"/>
    <w:rsid w:val="005A2854"/>
    <w:rsid w:val="005A2D66"/>
    <w:rsid w:val="005A2F2C"/>
    <w:rsid w:val="005A3931"/>
    <w:rsid w:val="005A42FE"/>
    <w:rsid w:val="005A4624"/>
    <w:rsid w:val="005A5C73"/>
    <w:rsid w:val="005A6617"/>
    <w:rsid w:val="005A6972"/>
    <w:rsid w:val="005A6E3C"/>
    <w:rsid w:val="005A71DD"/>
    <w:rsid w:val="005A7288"/>
    <w:rsid w:val="005A738B"/>
    <w:rsid w:val="005B0B60"/>
    <w:rsid w:val="005B0DBC"/>
    <w:rsid w:val="005B12D2"/>
    <w:rsid w:val="005B15E4"/>
    <w:rsid w:val="005B16DE"/>
    <w:rsid w:val="005B1D9A"/>
    <w:rsid w:val="005B27D3"/>
    <w:rsid w:val="005B3025"/>
    <w:rsid w:val="005B3CD7"/>
    <w:rsid w:val="005B4404"/>
    <w:rsid w:val="005B488D"/>
    <w:rsid w:val="005B5649"/>
    <w:rsid w:val="005B6C80"/>
    <w:rsid w:val="005B77F3"/>
    <w:rsid w:val="005B7F06"/>
    <w:rsid w:val="005C09A8"/>
    <w:rsid w:val="005C0DC6"/>
    <w:rsid w:val="005C1C57"/>
    <w:rsid w:val="005C1FE3"/>
    <w:rsid w:val="005C3C05"/>
    <w:rsid w:val="005C4568"/>
    <w:rsid w:val="005C583B"/>
    <w:rsid w:val="005C59A7"/>
    <w:rsid w:val="005C7365"/>
    <w:rsid w:val="005D0562"/>
    <w:rsid w:val="005D0710"/>
    <w:rsid w:val="005D1C78"/>
    <w:rsid w:val="005D1EC7"/>
    <w:rsid w:val="005D330D"/>
    <w:rsid w:val="005D3E64"/>
    <w:rsid w:val="005D44DD"/>
    <w:rsid w:val="005D4A5F"/>
    <w:rsid w:val="005D4D5C"/>
    <w:rsid w:val="005D541D"/>
    <w:rsid w:val="005D5975"/>
    <w:rsid w:val="005D5C46"/>
    <w:rsid w:val="005D5D3F"/>
    <w:rsid w:val="005D6045"/>
    <w:rsid w:val="005D6451"/>
    <w:rsid w:val="005D66A6"/>
    <w:rsid w:val="005D6D58"/>
    <w:rsid w:val="005D7A97"/>
    <w:rsid w:val="005D7E23"/>
    <w:rsid w:val="005E0823"/>
    <w:rsid w:val="005E140D"/>
    <w:rsid w:val="005E148E"/>
    <w:rsid w:val="005E240C"/>
    <w:rsid w:val="005E24AC"/>
    <w:rsid w:val="005E24D8"/>
    <w:rsid w:val="005E2932"/>
    <w:rsid w:val="005E2BFE"/>
    <w:rsid w:val="005E2F0E"/>
    <w:rsid w:val="005E34EB"/>
    <w:rsid w:val="005E3546"/>
    <w:rsid w:val="005E36DA"/>
    <w:rsid w:val="005E387A"/>
    <w:rsid w:val="005E3AD6"/>
    <w:rsid w:val="005E3DB9"/>
    <w:rsid w:val="005E4A1C"/>
    <w:rsid w:val="005E56F2"/>
    <w:rsid w:val="005E58DF"/>
    <w:rsid w:val="005E6EC0"/>
    <w:rsid w:val="005E7305"/>
    <w:rsid w:val="005E7BA4"/>
    <w:rsid w:val="005F04EF"/>
    <w:rsid w:val="005F05A8"/>
    <w:rsid w:val="005F07E7"/>
    <w:rsid w:val="005F10D2"/>
    <w:rsid w:val="005F14C2"/>
    <w:rsid w:val="005F1785"/>
    <w:rsid w:val="005F1880"/>
    <w:rsid w:val="005F24D1"/>
    <w:rsid w:val="005F256C"/>
    <w:rsid w:val="005F2919"/>
    <w:rsid w:val="005F35AB"/>
    <w:rsid w:val="005F35F6"/>
    <w:rsid w:val="005F3CBA"/>
    <w:rsid w:val="005F3EEC"/>
    <w:rsid w:val="005F3F5F"/>
    <w:rsid w:val="005F40C0"/>
    <w:rsid w:val="005F474C"/>
    <w:rsid w:val="005F4ADA"/>
    <w:rsid w:val="005F4ADC"/>
    <w:rsid w:val="005F4BD3"/>
    <w:rsid w:val="005F60B8"/>
    <w:rsid w:val="005F621D"/>
    <w:rsid w:val="005F6231"/>
    <w:rsid w:val="005F6AF9"/>
    <w:rsid w:val="005F6BFB"/>
    <w:rsid w:val="005F7AF9"/>
    <w:rsid w:val="005F7FB0"/>
    <w:rsid w:val="00600262"/>
    <w:rsid w:val="00601548"/>
    <w:rsid w:val="00601723"/>
    <w:rsid w:val="00601990"/>
    <w:rsid w:val="00601EC1"/>
    <w:rsid w:val="006027C4"/>
    <w:rsid w:val="00603491"/>
    <w:rsid w:val="00603BF5"/>
    <w:rsid w:val="00604958"/>
    <w:rsid w:val="006050F1"/>
    <w:rsid w:val="00605D83"/>
    <w:rsid w:val="00606EF8"/>
    <w:rsid w:val="00607AD4"/>
    <w:rsid w:val="00607E49"/>
    <w:rsid w:val="00611297"/>
    <w:rsid w:val="006112A4"/>
    <w:rsid w:val="00612EDD"/>
    <w:rsid w:val="00613036"/>
    <w:rsid w:val="00613502"/>
    <w:rsid w:val="0061378B"/>
    <w:rsid w:val="00613865"/>
    <w:rsid w:val="00613CB5"/>
    <w:rsid w:val="00613EA7"/>
    <w:rsid w:val="00614223"/>
    <w:rsid w:val="0061492D"/>
    <w:rsid w:val="00614CD6"/>
    <w:rsid w:val="0061566D"/>
    <w:rsid w:val="006166C1"/>
    <w:rsid w:val="00617A9F"/>
    <w:rsid w:val="00622431"/>
    <w:rsid w:val="00623E8E"/>
    <w:rsid w:val="006244EC"/>
    <w:rsid w:val="00624529"/>
    <w:rsid w:val="00624667"/>
    <w:rsid w:val="006248EF"/>
    <w:rsid w:val="00625257"/>
    <w:rsid w:val="0062562B"/>
    <w:rsid w:val="006262FC"/>
    <w:rsid w:val="00626914"/>
    <w:rsid w:val="0062726D"/>
    <w:rsid w:val="00630292"/>
    <w:rsid w:val="00630C1D"/>
    <w:rsid w:val="0063127A"/>
    <w:rsid w:val="00632474"/>
    <w:rsid w:val="00633030"/>
    <w:rsid w:val="006332E2"/>
    <w:rsid w:val="0063339D"/>
    <w:rsid w:val="006337ED"/>
    <w:rsid w:val="00633877"/>
    <w:rsid w:val="006343EB"/>
    <w:rsid w:val="00634DF9"/>
    <w:rsid w:val="00635880"/>
    <w:rsid w:val="0063634C"/>
    <w:rsid w:val="00636468"/>
    <w:rsid w:val="00636831"/>
    <w:rsid w:val="00636DAF"/>
    <w:rsid w:val="00636EA3"/>
    <w:rsid w:val="006372AF"/>
    <w:rsid w:val="00637566"/>
    <w:rsid w:val="00642311"/>
    <w:rsid w:val="006440D6"/>
    <w:rsid w:val="00646260"/>
    <w:rsid w:val="00646C35"/>
    <w:rsid w:val="00646EF3"/>
    <w:rsid w:val="0064771F"/>
    <w:rsid w:val="0064782B"/>
    <w:rsid w:val="00647B6C"/>
    <w:rsid w:val="0065117A"/>
    <w:rsid w:val="00651186"/>
    <w:rsid w:val="006512C8"/>
    <w:rsid w:val="00651578"/>
    <w:rsid w:val="006515A2"/>
    <w:rsid w:val="00651B2B"/>
    <w:rsid w:val="00653422"/>
    <w:rsid w:val="006534CB"/>
    <w:rsid w:val="00653CF1"/>
    <w:rsid w:val="006558A2"/>
    <w:rsid w:val="00655975"/>
    <w:rsid w:val="00655A27"/>
    <w:rsid w:val="0065617E"/>
    <w:rsid w:val="0065681E"/>
    <w:rsid w:val="00656CDE"/>
    <w:rsid w:val="00656D9F"/>
    <w:rsid w:val="0065701B"/>
    <w:rsid w:val="00657EAA"/>
    <w:rsid w:val="00660343"/>
    <w:rsid w:val="00660708"/>
    <w:rsid w:val="00660C64"/>
    <w:rsid w:val="006614FC"/>
    <w:rsid w:val="006616B1"/>
    <w:rsid w:val="00661CA2"/>
    <w:rsid w:val="00662269"/>
    <w:rsid w:val="0066279C"/>
    <w:rsid w:val="006627D1"/>
    <w:rsid w:val="006628F0"/>
    <w:rsid w:val="006630B8"/>
    <w:rsid w:val="00663381"/>
    <w:rsid w:val="00663AFE"/>
    <w:rsid w:val="00664967"/>
    <w:rsid w:val="00665B06"/>
    <w:rsid w:val="006667ED"/>
    <w:rsid w:val="00666E47"/>
    <w:rsid w:val="00666F1F"/>
    <w:rsid w:val="00667765"/>
    <w:rsid w:val="00667A2E"/>
    <w:rsid w:val="00667C5D"/>
    <w:rsid w:val="00670214"/>
    <w:rsid w:val="00670515"/>
    <w:rsid w:val="006705D1"/>
    <w:rsid w:val="00670870"/>
    <w:rsid w:val="00670C9A"/>
    <w:rsid w:val="006711A8"/>
    <w:rsid w:val="006715AB"/>
    <w:rsid w:val="00671942"/>
    <w:rsid w:val="006726EE"/>
    <w:rsid w:val="00672EA6"/>
    <w:rsid w:val="00673B6E"/>
    <w:rsid w:val="00673DF6"/>
    <w:rsid w:val="006745C1"/>
    <w:rsid w:val="0067496B"/>
    <w:rsid w:val="00674F30"/>
    <w:rsid w:val="00675B47"/>
    <w:rsid w:val="00676041"/>
    <w:rsid w:val="006768B0"/>
    <w:rsid w:val="006770D6"/>
    <w:rsid w:val="00677653"/>
    <w:rsid w:val="006778DE"/>
    <w:rsid w:val="00680778"/>
    <w:rsid w:val="00681588"/>
    <w:rsid w:val="00681871"/>
    <w:rsid w:val="00681944"/>
    <w:rsid w:val="00682136"/>
    <w:rsid w:val="00682B22"/>
    <w:rsid w:val="00683E12"/>
    <w:rsid w:val="00684428"/>
    <w:rsid w:val="0068495B"/>
    <w:rsid w:val="00684C73"/>
    <w:rsid w:val="00685709"/>
    <w:rsid w:val="00686C1A"/>
    <w:rsid w:val="00687357"/>
    <w:rsid w:val="00687746"/>
    <w:rsid w:val="00690BD3"/>
    <w:rsid w:val="00690FC7"/>
    <w:rsid w:val="00692C0B"/>
    <w:rsid w:val="00692F96"/>
    <w:rsid w:val="006930A8"/>
    <w:rsid w:val="00693383"/>
    <w:rsid w:val="00693795"/>
    <w:rsid w:val="0069380E"/>
    <w:rsid w:val="00694611"/>
    <w:rsid w:val="00694B87"/>
    <w:rsid w:val="00694CFE"/>
    <w:rsid w:val="00695AE8"/>
    <w:rsid w:val="0069622E"/>
    <w:rsid w:val="0069645D"/>
    <w:rsid w:val="00696E17"/>
    <w:rsid w:val="0069796E"/>
    <w:rsid w:val="00697CE0"/>
    <w:rsid w:val="00697D15"/>
    <w:rsid w:val="006A0C83"/>
    <w:rsid w:val="006A10E3"/>
    <w:rsid w:val="006A1450"/>
    <w:rsid w:val="006A1690"/>
    <w:rsid w:val="006A1741"/>
    <w:rsid w:val="006A24C8"/>
    <w:rsid w:val="006A29B6"/>
    <w:rsid w:val="006A3D47"/>
    <w:rsid w:val="006A4273"/>
    <w:rsid w:val="006A468E"/>
    <w:rsid w:val="006A4B6D"/>
    <w:rsid w:val="006A501D"/>
    <w:rsid w:val="006A550D"/>
    <w:rsid w:val="006A571B"/>
    <w:rsid w:val="006A58C4"/>
    <w:rsid w:val="006A5A36"/>
    <w:rsid w:val="006A5DCA"/>
    <w:rsid w:val="006A63D6"/>
    <w:rsid w:val="006A6DAC"/>
    <w:rsid w:val="006A6E1E"/>
    <w:rsid w:val="006A71BB"/>
    <w:rsid w:val="006A7578"/>
    <w:rsid w:val="006A7AF3"/>
    <w:rsid w:val="006A7D04"/>
    <w:rsid w:val="006B13AB"/>
    <w:rsid w:val="006B197D"/>
    <w:rsid w:val="006B256D"/>
    <w:rsid w:val="006B2BFD"/>
    <w:rsid w:val="006B360B"/>
    <w:rsid w:val="006B418D"/>
    <w:rsid w:val="006B4632"/>
    <w:rsid w:val="006B486E"/>
    <w:rsid w:val="006B51CA"/>
    <w:rsid w:val="006B5ABA"/>
    <w:rsid w:val="006B5BFD"/>
    <w:rsid w:val="006B6754"/>
    <w:rsid w:val="006B69E5"/>
    <w:rsid w:val="006B6C54"/>
    <w:rsid w:val="006B6CAA"/>
    <w:rsid w:val="006B7B19"/>
    <w:rsid w:val="006B7C42"/>
    <w:rsid w:val="006C080D"/>
    <w:rsid w:val="006C0F09"/>
    <w:rsid w:val="006C10C2"/>
    <w:rsid w:val="006C13EC"/>
    <w:rsid w:val="006C1899"/>
    <w:rsid w:val="006C2389"/>
    <w:rsid w:val="006C2B07"/>
    <w:rsid w:val="006C2E8D"/>
    <w:rsid w:val="006C2F5D"/>
    <w:rsid w:val="006C400A"/>
    <w:rsid w:val="006C4784"/>
    <w:rsid w:val="006C4891"/>
    <w:rsid w:val="006C4E2D"/>
    <w:rsid w:val="006C5210"/>
    <w:rsid w:val="006C5608"/>
    <w:rsid w:val="006C58A9"/>
    <w:rsid w:val="006C602A"/>
    <w:rsid w:val="006C6E4B"/>
    <w:rsid w:val="006C79CD"/>
    <w:rsid w:val="006D0946"/>
    <w:rsid w:val="006D0A3C"/>
    <w:rsid w:val="006D0B52"/>
    <w:rsid w:val="006D1E96"/>
    <w:rsid w:val="006D2BF0"/>
    <w:rsid w:val="006D2D74"/>
    <w:rsid w:val="006D37E3"/>
    <w:rsid w:val="006D3C9A"/>
    <w:rsid w:val="006D423F"/>
    <w:rsid w:val="006D4B0C"/>
    <w:rsid w:val="006D4D44"/>
    <w:rsid w:val="006D5A4D"/>
    <w:rsid w:val="006D5DDD"/>
    <w:rsid w:val="006D6B84"/>
    <w:rsid w:val="006D78BC"/>
    <w:rsid w:val="006E00D3"/>
    <w:rsid w:val="006E00F2"/>
    <w:rsid w:val="006E03C9"/>
    <w:rsid w:val="006E0901"/>
    <w:rsid w:val="006E0925"/>
    <w:rsid w:val="006E0A69"/>
    <w:rsid w:val="006E0D36"/>
    <w:rsid w:val="006E1C87"/>
    <w:rsid w:val="006E3F1C"/>
    <w:rsid w:val="006E5C7D"/>
    <w:rsid w:val="006E6153"/>
    <w:rsid w:val="006E671C"/>
    <w:rsid w:val="006E6A10"/>
    <w:rsid w:val="006E6B8A"/>
    <w:rsid w:val="006E7A36"/>
    <w:rsid w:val="006F01E7"/>
    <w:rsid w:val="006F02F0"/>
    <w:rsid w:val="006F132A"/>
    <w:rsid w:val="006F1DC0"/>
    <w:rsid w:val="006F2140"/>
    <w:rsid w:val="006F22E5"/>
    <w:rsid w:val="006F2DB6"/>
    <w:rsid w:val="006F3306"/>
    <w:rsid w:val="006F372A"/>
    <w:rsid w:val="006F461F"/>
    <w:rsid w:val="006F49F8"/>
    <w:rsid w:val="006F5067"/>
    <w:rsid w:val="006F5240"/>
    <w:rsid w:val="006F5CF3"/>
    <w:rsid w:val="006F635E"/>
    <w:rsid w:val="006F639A"/>
    <w:rsid w:val="006F69EE"/>
    <w:rsid w:val="006F7063"/>
    <w:rsid w:val="0070004A"/>
    <w:rsid w:val="00700942"/>
    <w:rsid w:val="00700B65"/>
    <w:rsid w:val="00700E78"/>
    <w:rsid w:val="00701847"/>
    <w:rsid w:val="00701A0E"/>
    <w:rsid w:val="00702242"/>
    <w:rsid w:val="00703073"/>
    <w:rsid w:val="00703817"/>
    <w:rsid w:val="0070444F"/>
    <w:rsid w:val="00704599"/>
    <w:rsid w:val="00704984"/>
    <w:rsid w:val="0070531B"/>
    <w:rsid w:val="007059A6"/>
    <w:rsid w:val="00705FF6"/>
    <w:rsid w:val="007062CF"/>
    <w:rsid w:val="007067DF"/>
    <w:rsid w:val="007077FC"/>
    <w:rsid w:val="0071001D"/>
    <w:rsid w:val="0071155E"/>
    <w:rsid w:val="00711BAD"/>
    <w:rsid w:val="00711C9E"/>
    <w:rsid w:val="00711DFD"/>
    <w:rsid w:val="007121C4"/>
    <w:rsid w:val="007124A9"/>
    <w:rsid w:val="0071277C"/>
    <w:rsid w:val="00712C80"/>
    <w:rsid w:val="00712F78"/>
    <w:rsid w:val="00713040"/>
    <w:rsid w:val="00713183"/>
    <w:rsid w:val="00713752"/>
    <w:rsid w:val="00713C23"/>
    <w:rsid w:val="00713FFB"/>
    <w:rsid w:val="00714373"/>
    <w:rsid w:val="0071471E"/>
    <w:rsid w:val="00714FB3"/>
    <w:rsid w:val="00715CC3"/>
    <w:rsid w:val="007162C0"/>
    <w:rsid w:val="00717C0A"/>
    <w:rsid w:val="00720004"/>
    <w:rsid w:val="007211A8"/>
    <w:rsid w:val="00721567"/>
    <w:rsid w:val="00721767"/>
    <w:rsid w:val="00721F0A"/>
    <w:rsid w:val="00723FF6"/>
    <w:rsid w:val="00724140"/>
    <w:rsid w:val="007247D5"/>
    <w:rsid w:val="0072504B"/>
    <w:rsid w:val="0072564F"/>
    <w:rsid w:val="00725654"/>
    <w:rsid w:val="00725A3D"/>
    <w:rsid w:val="00726EF0"/>
    <w:rsid w:val="00727367"/>
    <w:rsid w:val="007304CF"/>
    <w:rsid w:val="00730A76"/>
    <w:rsid w:val="0073182F"/>
    <w:rsid w:val="0073206E"/>
    <w:rsid w:val="00732688"/>
    <w:rsid w:val="007332EF"/>
    <w:rsid w:val="00733D2C"/>
    <w:rsid w:val="00735315"/>
    <w:rsid w:val="00735478"/>
    <w:rsid w:val="00736502"/>
    <w:rsid w:val="00736C91"/>
    <w:rsid w:val="007375D6"/>
    <w:rsid w:val="00740B54"/>
    <w:rsid w:val="00740BF1"/>
    <w:rsid w:val="00741357"/>
    <w:rsid w:val="00741E2F"/>
    <w:rsid w:val="00741EC5"/>
    <w:rsid w:val="00742246"/>
    <w:rsid w:val="00742373"/>
    <w:rsid w:val="007431C4"/>
    <w:rsid w:val="00743269"/>
    <w:rsid w:val="007446C8"/>
    <w:rsid w:val="0074692A"/>
    <w:rsid w:val="00747C5A"/>
    <w:rsid w:val="007503D7"/>
    <w:rsid w:val="0075071F"/>
    <w:rsid w:val="00750F45"/>
    <w:rsid w:val="00751064"/>
    <w:rsid w:val="007526F5"/>
    <w:rsid w:val="00752A7E"/>
    <w:rsid w:val="007530DC"/>
    <w:rsid w:val="007546F8"/>
    <w:rsid w:val="0075511E"/>
    <w:rsid w:val="007553DF"/>
    <w:rsid w:val="007554B9"/>
    <w:rsid w:val="00756A01"/>
    <w:rsid w:val="00756B48"/>
    <w:rsid w:val="00756BDA"/>
    <w:rsid w:val="007573E9"/>
    <w:rsid w:val="00757495"/>
    <w:rsid w:val="00757668"/>
    <w:rsid w:val="00757941"/>
    <w:rsid w:val="0076059A"/>
    <w:rsid w:val="007621FC"/>
    <w:rsid w:val="0076227C"/>
    <w:rsid w:val="00762991"/>
    <w:rsid w:val="007631A2"/>
    <w:rsid w:val="007631B4"/>
    <w:rsid w:val="00763D61"/>
    <w:rsid w:val="0076440F"/>
    <w:rsid w:val="007650B4"/>
    <w:rsid w:val="0076546C"/>
    <w:rsid w:val="00765567"/>
    <w:rsid w:val="00765CD5"/>
    <w:rsid w:val="007661ED"/>
    <w:rsid w:val="00766F9D"/>
    <w:rsid w:val="007679A7"/>
    <w:rsid w:val="00767B87"/>
    <w:rsid w:val="00772131"/>
    <w:rsid w:val="007728A4"/>
    <w:rsid w:val="0077399D"/>
    <w:rsid w:val="00774822"/>
    <w:rsid w:val="00774B77"/>
    <w:rsid w:val="00775389"/>
    <w:rsid w:val="00775633"/>
    <w:rsid w:val="007756D8"/>
    <w:rsid w:val="007758F7"/>
    <w:rsid w:val="00775957"/>
    <w:rsid w:val="0077665F"/>
    <w:rsid w:val="00777562"/>
    <w:rsid w:val="00777A89"/>
    <w:rsid w:val="00777B14"/>
    <w:rsid w:val="00777BDD"/>
    <w:rsid w:val="00780B78"/>
    <w:rsid w:val="00780DB4"/>
    <w:rsid w:val="00780E0E"/>
    <w:rsid w:val="00781292"/>
    <w:rsid w:val="00781387"/>
    <w:rsid w:val="007816F7"/>
    <w:rsid w:val="0078183F"/>
    <w:rsid w:val="0078198D"/>
    <w:rsid w:val="007819C7"/>
    <w:rsid w:val="00781CB4"/>
    <w:rsid w:val="007826C2"/>
    <w:rsid w:val="00782A86"/>
    <w:rsid w:val="00783110"/>
    <w:rsid w:val="00784370"/>
    <w:rsid w:val="00784E97"/>
    <w:rsid w:val="007850AD"/>
    <w:rsid w:val="0078560F"/>
    <w:rsid w:val="007877C3"/>
    <w:rsid w:val="0078784D"/>
    <w:rsid w:val="00790570"/>
    <w:rsid w:val="007907B0"/>
    <w:rsid w:val="00790C01"/>
    <w:rsid w:val="007910ED"/>
    <w:rsid w:val="007915A6"/>
    <w:rsid w:val="007926FB"/>
    <w:rsid w:val="00792C0A"/>
    <w:rsid w:val="007933FA"/>
    <w:rsid w:val="007938CD"/>
    <w:rsid w:val="00793C41"/>
    <w:rsid w:val="00793EE3"/>
    <w:rsid w:val="00793F80"/>
    <w:rsid w:val="00794285"/>
    <w:rsid w:val="00794C10"/>
    <w:rsid w:val="00794D08"/>
    <w:rsid w:val="007950E9"/>
    <w:rsid w:val="00795708"/>
    <w:rsid w:val="0079595D"/>
    <w:rsid w:val="00795BFC"/>
    <w:rsid w:val="00795CCD"/>
    <w:rsid w:val="0079641F"/>
    <w:rsid w:val="00796ED7"/>
    <w:rsid w:val="007A058F"/>
    <w:rsid w:val="007A06AD"/>
    <w:rsid w:val="007A0D77"/>
    <w:rsid w:val="007A18B2"/>
    <w:rsid w:val="007A19CB"/>
    <w:rsid w:val="007A2449"/>
    <w:rsid w:val="007A3368"/>
    <w:rsid w:val="007A3AA6"/>
    <w:rsid w:val="007A4139"/>
    <w:rsid w:val="007A5012"/>
    <w:rsid w:val="007A5252"/>
    <w:rsid w:val="007A559E"/>
    <w:rsid w:val="007A6A6C"/>
    <w:rsid w:val="007A6DB1"/>
    <w:rsid w:val="007A6E42"/>
    <w:rsid w:val="007A76A3"/>
    <w:rsid w:val="007B02CB"/>
    <w:rsid w:val="007B06CC"/>
    <w:rsid w:val="007B0766"/>
    <w:rsid w:val="007B09A7"/>
    <w:rsid w:val="007B143C"/>
    <w:rsid w:val="007B195C"/>
    <w:rsid w:val="007B20A6"/>
    <w:rsid w:val="007B315D"/>
    <w:rsid w:val="007B3E18"/>
    <w:rsid w:val="007B4EF7"/>
    <w:rsid w:val="007B663F"/>
    <w:rsid w:val="007B6B06"/>
    <w:rsid w:val="007B6E6D"/>
    <w:rsid w:val="007B7182"/>
    <w:rsid w:val="007B7391"/>
    <w:rsid w:val="007C2B93"/>
    <w:rsid w:val="007C2D1D"/>
    <w:rsid w:val="007C2F7F"/>
    <w:rsid w:val="007C366B"/>
    <w:rsid w:val="007C3774"/>
    <w:rsid w:val="007C3E3C"/>
    <w:rsid w:val="007C43F0"/>
    <w:rsid w:val="007C457B"/>
    <w:rsid w:val="007C5195"/>
    <w:rsid w:val="007C5305"/>
    <w:rsid w:val="007C57BF"/>
    <w:rsid w:val="007C5B72"/>
    <w:rsid w:val="007C63A0"/>
    <w:rsid w:val="007C63AD"/>
    <w:rsid w:val="007C7019"/>
    <w:rsid w:val="007C78D9"/>
    <w:rsid w:val="007C7BF3"/>
    <w:rsid w:val="007C7E80"/>
    <w:rsid w:val="007D0292"/>
    <w:rsid w:val="007D0639"/>
    <w:rsid w:val="007D1130"/>
    <w:rsid w:val="007D1DB7"/>
    <w:rsid w:val="007D2078"/>
    <w:rsid w:val="007D3B3A"/>
    <w:rsid w:val="007D3B96"/>
    <w:rsid w:val="007D403A"/>
    <w:rsid w:val="007D54D5"/>
    <w:rsid w:val="007D5ACE"/>
    <w:rsid w:val="007D7BC6"/>
    <w:rsid w:val="007D7E28"/>
    <w:rsid w:val="007E0425"/>
    <w:rsid w:val="007E1339"/>
    <w:rsid w:val="007E1427"/>
    <w:rsid w:val="007E1CA4"/>
    <w:rsid w:val="007E3164"/>
    <w:rsid w:val="007E3215"/>
    <w:rsid w:val="007E4662"/>
    <w:rsid w:val="007E46D4"/>
    <w:rsid w:val="007E67F6"/>
    <w:rsid w:val="007E6D38"/>
    <w:rsid w:val="007E7090"/>
    <w:rsid w:val="007E75E5"/>
    <w:rsid w:val="007E79D2"/>
    <w:rsid w:val="007E7C97"/>
    <w:rsid w:val="007F005B"/>
    <w:rsid w:val="007F03EF"/>
    <w:rsid w:val="007F11C6"/>
    <w:rsid w:val="007F1710"/>
    <w:rsid w:val="007F27EF"/>
    <w:rsid w:val="007F2920"/>
    <w:rsid w:val="007F29B5"/>
    <w:rsid w:val="007F2CCE"/>
    <w:rsid w:val="007F3591"/>
    <w:rsid w:val="007F3A9B"/>
    <w:rsid w:val="007F56A7"/>
    <w:rsid w:val="007F651C"/>
    <w:rsid w:val="007F7175"/>
    <w:rsid w:val="007F7605"/>
    <w:rsid w:val="00800138"/>
    <w:rsid w:val="00800445"/>
    <w:rsid w:val="0080047B"/>
    <w:rsid w:val="00800769"/>
    <w:rsid w:val="008019E6"/>
    <w:rsid w:val="00801C4C"/>
    <w:rsid w:val="00801C77"/>
    <w:rsid w:val="00802BA7"/>
    <w:rsid w:val="008031C4"/>
    <w:rsid w:val="008037D2"/>
    <w:rsid w:val="008037E0"/>
    <w:rsid w:val="0080383F"/>
    <w:rsid w:val="00803907"/>
    <w:rsid w:val="00803908"/>
    <w:rsid w:val="00803CB0"/>
    <w:rsid w:val="00803FCD"/>
    <w:rsid w:val="008046A2"/>
    <w:rsid w:val="00804E20"/>
    <w:rsid w:val="00805AD0"/>
    <w:rsid w:val="00806C10"/>
    <w:rsid w:val="008077BB"/>
    <w:rsid w:val="00807EE7"/>
    <w:rsid w:val="008101FB"/>
    <w:rsid w:val="00810E79"/>
    <w:rsid w:val="00811334"/>
    <w:rsid w:val="008117C8"/>
    <w:rsid w:val="00811959"/>
    <w:rsid w:val="008123B5"/>
    <w:rsid w:val="00812572"/>
    <w:rsid w:val="0081291B"/>
    <w:rsid w:val="008129E0"/>
    <w:rsid w:val="00812A5A"/>
    <w:rsid w:val="00812E24"/>
    <w:rsid w:val="008130B5"/>
    <w:rsid w:val="00813F31"/>
    <w:rsid w:val="008144FD"/>
    <w:rsid w:val="008149F2"/>
    <w:rsid w:val="00815078"/>
    <w:rsid w:val="00816781"/>
    <w:rsid w:val="00816C64"/>
    <w:rsid w:val="00817221"/>
    <w:rsid w:val="008173C0"/>
    <w:rsid w:val="008205F0"/>
    <w:rsid w:val="00820D07"/>
    <w:rsid w:val="0082102C"/>
    <w:rsid w:val="00821418"/>
    <w:rsid w:val="00821F6B"/>
    <w:rsid w:val="00822BFA"/>
    <w:rsid w:val="00822D0E"/>
    <w:rsid w:val="008245E2"/>
    <w:rsid w:val="00824BFF"/>
    <w:rsid w:val="00824F73"/>
    <w:rsid w:val="00826440"/>
    <w:rsid w:val="00826DAF"/>
    <w:rsid w:val="00826F49"/>
    <w:rsid w:val="008272EA"/>
    <w:rsid w:val="00830C2F"/>
    <w:rsid w:val="00830F4A"/>
    <w:rsid w:val="00830F93"/>
    <w:rsid w:val="0083165F"/>
    <w:rsid w:val="00831D34"/>
    <w:rsid w:val="00833550"/>
    <w:rsid w:val="008337BB"/>
    <w:rsid w:val="008344D7"/>
    <w:rsid w:val="00834A39"/>
    <w:rsid w:val="008351A9"/>
    <w:rsid w:val="00835D81"/>
    <w:rsid w:val="0083650A"/>
    <w:rsid w:val="008366CC"/>
    <w:rsid w:val="00836AB1"/>
    <w:rsid w:val="00836D67"/>
    <w:rsid w:val="00836E1D"/>
    <w:rsid w:val="00836E7E"/>
    <w:rsid w:val="008377C2"/>
    <w:rsid w:val="008377EA"/>
    <w:rsid w:val="00840E01"/>
    <w:rsid w:val="008411EF"/>
    <w:rsid w:val="00841652"/>
    <w:rsid w:val="00841B38"/>
    <w:rsid w:val="00841DD5"/>
    <w:rsid w:val="00841F92"/>
    <w:rsid w:val="008433AE"/>
    <w:rsid w:val="008438BF"/>
    <w:rsid w:val="00843FE0"/>
    <w:rsid w:val="00844C6C"/>
    <w:rsid w:val="00844C7A"/>
    <w:rsid w:val="008458A2"/>
    <w:rsid w:val="0084595D"/>
    <w:rsid w:val="00845A2F"/>
    <w:rsid w:val="00845C97"/>
    <w:rsid w:val="00847C8B"/>
    <w:rsid w:val="008502AC"/>
    <w:rsid w:val="00850632"/>
    <w:rsid w:val="008509B6"/>
    <w:rsid w:val="00851A25"/>
    <w:rsid w:val="00851AE3"/>
    <w:rsid w:val="00852955"/>
    <w:rsid w:val="00852CA5"/>
    <w:rsid w:val="00854618"/>
    <w:rsid w:val="008551BB"/>
    <w:rsid w:val="00855EDF"/>
    <w:rsid w:val="00856806"/>
    <w:rsid w:val="00856842"/>
    <w:rsid w:val="0085687D"/>
    <w:rsid w:val="00856C42"/>
    <w:rsid w:val="008602A8"/>
    <w:rsid w:val="008612E2"/>
    <w:rsid w:val="00861686"/>
    <w:rsid w:val="00862B44"/>
    <w:rsid w:val="0086317E"/>
    <w:rsid w:val="0086338B"/>
    <w:rsid w:val="00864BEA"/>
    <w:rsid w:val="0086582E"/>
    <w:rsid w:val="008665C5"/>
    <w:rsid w:val="0086694E"/>
    <w:rsid w:val="00867829"/>
    <w:rsid w:val="00867E7F"/>
    <w:rsid w:val="008703A4"/>
    <w:rsid w:val="00870A5D"/>
    <w:rsid w:val="00870B5A"/>
    <w:rsid w:val="00871B5C"/>
    <w:rsid w:val="0087206B"/>
    <w:rsid w:val="00872288"/>
    <w:rsid w:val="008726B1"/>
    <w:rsid w:val="00872704"/>
    <w:rsid w:val="00873B8A"/>
    <w:rsid w:val="00873E9B"/>
    <w:rsid w:val="0087517D"/>
    <w:rsid w:val="008757E7"/>
    <w:rsid w:val="00875C0C"/>
    <w:rsid w:val="00876482"/>
    <w:rsid w:val="00877480"/>
    <w:rsid w:val="00877B54"/>
    <w:rsid w:val="00877EFE"/>
    <w:rsid w:val="00880ADB"/>
    <w:rsid w:val="008820E8"/>
    <w:rsid w:val="00882C21"/>
    <w:rsid w:val="00883366"/>
    <w:rsid w:val="00883D5B"/>
    <w:rsid w:val="008842CE"/>
    <w:rsid w:val="00884C2C"/>
    <w:rsid w:val="008855D4"/>
    <w:rsid w:val="008859E9"/>
    <w:rsid w:val="00885B85"/>
    <w:rsid w:val="00885D1D"/>
    <w:rsid w:val="00885DBA"/>
    <w:rsid w:val="008863FA"/>
    <w:rsid w:val="0088642B"/>
    <w:rsid w:val="008865BE"/>
    <w:rsid w:val="00886C88"/>
    <w:rsid w:val="00886D34"/>
    <w:rsid w:val="00887733"/>
    <w:rsid w:val="00887F28"/>
    <w:rsid w:val="0089037A"/>
    <w:rsid w:val="00890454"/>
    <w:rsid w:val="008904DE"/>
    <w:rsid w:val="008905A9"/>
    <w:rsid w:val="0089069C"/>
    <w:rsid w:val="00890A17"/>
    <w:rsid w:val="00890B90"/>
    <w:rsid w:val="00891B38"/>
    <w:rsid w:val="0089272F"/>
    <w:rsid w:val="00892D5F"/>
    <w:rsid w:val="00893441"/>
    <w:rsid w:val="008936C9"/>
    <w:rsid w:val="008946A9"/>
    <w:rsid w:val="00894E69"/>
    <w:rsid w:val="0089514C"/>
    <w:rsid w:val="008953D9"/>
    <w:rsid w:val="008954EC"/>
    <w:rsid w:val="00895ADB"/>
    <w:rsid w:val="00895CBF"/>
    <w:rsid w:val="0089776F"/>
    <w:rsid w:val="008A0056"/>
    <w:rsid w:val="008A039F"/>
    <w:rsid w:val="008A0CC0"/>
    <w:rsid w:val="008A0E5F"/>
    <w:rsid w:val="008A102C"/>
    <w:rsid w:val="008A12D7"/>
    <w:rsid w:val="008A1ED6"/>
    <w:rsid w:val="008A2294"/>
    <w:rsid w:val="008A24E5"/>
    <w:rsid w:val="008A275F"/>
    <w:rsid w:val="008A2C7A"/>
    <w:rsid w:val="008A3AC1"/>
    <w:rsid w:val="008A3B68"/>
    <w:rsid w:val="008A3BB7"/>
    <w:rsid w:val="008A3C5E"/>
    <w:rsid w:val="008A4A05"/>
    <w:rsid w:val="008A4AFB"/>
    <w:rsid w:val="008A5992"/>
    <w:rsid w:val="008A5B6A"/>
    <w:rsid w:val="008A5DB3"/>
    <w:rsid w:val="008A6878"/>
    <w:rsid w:val="008A6ED3"/>
    <w:rsid w:val="008A7A5B"/>
    <w:rsid w:val="008A7D29"/>
    <w:rsid w:val="008B0792"/>
    <w:rsid w:val="008B0B0B"/>
    <w:rsid w:val="008B0F69"/>
    <w:rsid w:val="008B2F75"/>
    <w:rsid w:val="008B4495"/>
    <w:rsid w:val="008B44D9"/>
    <w:rsid w:val="008B4CAB"/>
    <w:rsid w:val="008B5D4F"/>
    <w:rsid w:val="008B7136"/>
    <w:rsid w:val="008B71E4"/>
    <w:rsid w:val="008B74C9"/>
    <w:rsid w:val="008B7A86"/>
    <w:rsid w:val="008C004D"/>
    <w:rsid w:val="008C0225"/>
    <w:rsid w:val="008C0ADF"/>
    <w:rsid w:val="008C0DC9"/>
    <w:rsid w:val="008C1298"/>
    <w:rsid w:val="008C1544"/>
    <w:rsid w:val="008C1E12"/>
    <w:rsid w:val="008C25FC"/>
    <w:rsid w:val="008C2B71"/>
    <w:rsid w:val="008C2B84"/>
    <w:rsid w:val="008C31A3"/>
    <w:rsid w:val="008C4695"/>
    <w:rsid w:val="008C5767"/>
    <w:rsid w:val="008C5881"/>
    <w:rsid w:val="008C5972"/>
    <w:rsid w:val="008C728E"/>
    <w:rsid w:val="008C7934"/>
    <w:rsid w:val="008C79A2"/>
    <w:rsid w:val="008D0894"/>
    <w:rsid w:val="008D0D10"/>
    <w:rsid w:val="008D12BD"/>
    <w:rsid w:val="008D1B85"/>
    <w:rsid w:val="008D287B"/>
    <w:rsid w:val="008D32D4"/>
    <w:rsid w:val="008D4818"/>
    <w:rsid w:val="008D51B3"/>
    <w:rsid w:val="008D52B5"/>
    <w:rsid w:val="008D5373"/>
    <w:rsid w:val="008D555C"/>
    <w:rsid w:val="008D6398"/>
    <w:rsid w:val="008E0EEF"/>
    <w:rsid w:val="008E257E"/>
    <w:rsid w:val="008E2A0E"/>
    <w:rsid w:val="008E327D"/>
    <w:rsid w:val="008E39C3"/>
    <w:rsid w:val="008E3C8B"/>
    <w:rsid w:val="008E4544"/>
    <w:rsid w:val="008E4CD3"/>
    <w:rsid w:val="008E53EF"/>
    <w:rsid w:val="008E5547"/>
    <w:rsid w:val="008E5C56"/>
    <w:rsid w:val="008E7162"/>
    <w:rsid w:val="008E72D2"/>
    <w:rsid w:val="008F0A4A"/>
    <w:rsid w:val="008F0BBF"/>
    <w:rsid w:val="008F0FBC"/>
    <w:rsid w:val="008F2979"/>
    <w:rsid w:val="008F3181"/>
    <w:rsid w:val="008F38A3"/>
    <w:rsid w:val="008F39CA"/>
    <w:rsid w:val="008F453D"/>
    <w:rsid w:val="008F586D"/>
    <w:rsid w:val="008F62B0"/>
    <w:rsid w:val="008F66AC"/>
    <w:rsid w:val="008F6CC2"/>
    <w:rsid w:val="008F735B"/>
    <w:rsid w:val="008F7922"/>
    <w:rsid w:val="008F7DAF"/>
    <w:rsid w:val="008F7EFB"/>
    <w:rsid w:val="00900898"/>
    <w:rsid w:val="009016CC"/>
    <w:rsid w:val="00901C52"/>
    <w:rsid w:val="00902140"/>
    <w:rsid w:val="00902E1D"/>
    <w:rsid w:val="009033B2"/>
    <w:rsid w:val="00904532"/>
    <w:rsid w:val="009052D5"/>
    <w:rsid w:val="009055E1"/>
    <w:rsid w:val="009068CE"/>
    <w:rsid w:val="00906A0A"/>
    <w:rsid w:val="00906F67"/>
    <w:rsid w:val="0090779A"/>
    <w:rsid w:val="00907802"/>
    <w:rsid w:val="00907F91"/>
    <w:rsid w:val="009108DD"/>
    <w:rsid w:val="00911038"/>
    <w:rsid w:val="00911104"/>
    <w:rsid w:val="00911C50"/>
    <w:rsid w:val="00911CB6"/>
    <w:rsid w:val="00911DF9"/>
    <w:rsid w:val="00913A5E"/>
    <w:rsid w:val="0091463F"/>
    <w:rsid w:val="00914CC6"/>
    <w:rsid w:val="00914E10"/>
    <w:rsid w:val="00915F79"/>
    <w:rsid w:val="00916005"/>
    <w:rsid w:val="009164E4"/>
    <w:rsid w:val="0091663D"/>
    <w:rsid w:val="00916920"/>
    <w:rsid w:val="009170B8"/>
    <w:rsid w:val="00917BFD"/>
    <w:rsid w:val="00917DF7"/>
    <w:rsid w:val="0092022B"/>
    <w:rsid w:val="00920431"/>
    <w:rsid w:val="009205D2"/>
    <w:rsid w:val="00920B3B"/>
    <w:rsid w:val="00920C50"/>
    <w:rsid w:val="00920F1E"/>
    <w:rsid w:val="00921EFD"/>
    <w:rsid w:val="00921F05"/>
    <w:rsid w:val="009220D2"/>
    <w:rsid w:val="00922511"/>
    <w:rsid w:val="0092283D"/>
    <w:rsid w:val="0092298D"/>
    <w:rsid w:val="00924935"/>
    <w:rsid w:val="00924BE5"/>
    <w:rsid w:val="00926391"/>
    <w:rsid w:val="0092647C"/>
    <w:rsid w:val="00926767"/>
    <w:rsid w:val="00927448"/>
    <w:rsid w:val="009279B9"/>
    <w:rsid w:val="00927DCF"/>
    <w:rsid w:val="0093005A"/>
    <w:rsid w:val="00930B71"/>
    <w:rsid w:val="00931428"/>
    <w:rsid w:val="00932041"/>
    <w:rsid w:val="0093248A"/>
    <w:rsid w:val="00932F29"/>
    <w:rsid w:val="00932FF1"/>
    <w:rsid w:val="00933D1B"/>
    <w:rsid w:val="00934A00"/>
    <w:rsid w:val="00935BF8"/>
    <w:rsid w:val="00935FCC"/>
    <w:rsid w:val="00935FDF"/>
    <w:rsid w:val="00936481"/>
    <w:rsid w:val="00936ECB"/>
    <w:rsid w:val="00937D4F"/>
    <w:rsid w:val="009401FD"/>
    <w:rsid w:val="00940870"/>
    <w:rsid w:val="00940D0E"/>
    <w:rsid w:val="00940FB5"/>
    <w:rsid w:val="00941219"/>
    <w:rsid w:val="00941356"/>
    <w:rsid w:val="00941469"/>
    <w:rsid w:val="0094193E"/>
    <w:rsid w:val="00942285"/>
    <w:rsid w:val="009423E7"/>
    <w:rsid w:val="009428F6"/>
    <w:rsid w:val="009432AE"/>
    <w:rsid w:val="00943897"/>
    <w:rsid w:val="00943DD6"/>
    <w:rsid w:val="009449B0"/>
    <w:rsid w:val="00944E17"/>
    <w:rsid w:val="00944E5B"/>
    <w:rsid w:val="0094586D"/>
    <w:rsid w:val="0094648D"/>
    <w:rsid w:val="00946985"/>
    <w:rsid w:val="00946F43"/>
    <w:rsid w:val="009473F9"/>
    <w:rsid w:val="00947814"/>
    <w:rsid w:val="00947AE1"/>
    <w:rsid w:val="0095013A"/>
    <w:rsid w:val="00950C4B"/>
    <w:rsid w:val="009513D2"/>
    <w:rsid w:val="00951B49"/>
    <w:rsid w:val="009528E5"/>
    <w:rsid w:val="00953027"/>
    <w:rsid w:val="00953E79"/>
    <w:rsid w:val="00954860"/>
    <w:rsid w:val="00954EF8"/>
    <w:rsid w:val="009550C8"/>
    <w:rsid w:val="00955294"/>
    <w:rsid w:val="00955B66"/>
    <w:rsid w:val="00956F38"/>
    <w:rsid w:val="0095720C"/>
    <w:rsid w:val="009573C1"/>
    <w:rsid w:val="00957A65"/>
    <w:rsid w:val="009600EA"/>
    <w:rsid w:val="009601F3"/>
    <w:rsid w:val="009604F5"/>
    <w:rsid w:val="009605C3"/>
    <w:rsid w:val="0096074B"/>
    <w:rsid w:val="0096192A"/>
    <w:rsid w:val="00961951"/>
    <w:rsid w:val="00962F0F"/>
    <w:rsid w:val="00964414"/>
    <w:rsid w:val="00964659"/>
    <w:rsid w:val="0096553B"/>
    <w:rsid w:val="009663FF"/>
    <w:rsid w:val="009672BE"/>
    <w:rsid w:val="00967375"/>
    <w:rsid w:val="00970617"/>
    <w:rsid w:val="0097064C"/>
    <w:rsid w:val="00971013"/>
    <w:rsid w:val="00971AE1"/>
    <w:rsid w:val="00973172"/>
    <w:rsid w:val="0097481C"/>
    <w:rsid w:val="00974DDF"/>
    <w:rsid w:val="00974E25"/>
    <w:rsid w:val="009751A8"/>
    <w:rsid w:val="009754A6"/>
    <w:rsid w:val="00975CCB"/>
    <w:rsid w:val="009762DA"/>
    <w:rsid w:val="00976799"/>
    <w:rsid w:val="00976B67"/>
    <w:rsid w:val="00976D8A"/>
    <w:rsid w:val="00980488"/>
    <w:rsid w:val="00980663"/>
    <w:rsid w:val="00980832"/>
    <w:rsid w:val="00980B1B"/>
    <w:rsid w:val="00980BF3"/>
    <w:rsid w:val="00981541"/>
    <w:rsid w:val="00981A75"/>
    <w:rsid w:val="009820C4"/>
    <w:rsid w:val="00982D7C"/>
    <w:rsid w:val="00984387"/>
    <w:rsid w:val="00984688"/>
    <w:rsid w:val="009846DA"/>
    <w:rsid w:val="00984BC3"/>
    <w:rsid w:val="009853E4"/>
    <w:rsid w:val="009858E6"/>
    <w:rsid w:val="009863DE"/>
    <w:rsid w:val="0098689F"/>
    <w:rsid w:val="00986D3A"/>
    <w:rsid w:val="0098775A"/>
    <w:rsid w:val="00987A1D"/>
    <w:rsid w:val="00987E41"/>
    <w:rsid w:val="00990792"/>
    <w:rsid w:val="00990E2A"/>
    <w:rsid w:val="0099191A"/>
    <w:rsid w:val="00991EDB"/>
    <w:rsid w:val="00993708"/>
    <w:rsid w:val="00993B21"/>
    <w:rsid w:val="009942EB"/>
    <w:rsid w:val="0099430D"/>
    <w:rsid w:val="00994393"/>
    <w:rsid w:val="00994BB5"/>
    <w:rsid w:val="00995D22"/>
    <w:rsid w:val="00995D44"/>
    <w:rsid w:val="00996386"/>
    <w:rsid w:val="00996574"/>
    <w:rsid w:val="00997331"/>
    <w:rsid w:val="00997396"/>
    <w:rsid w:val="00997546"/>
    <w:rsid w:val="00997AD3"/>
    <w:rsid w:val="00997F81"/>
    <w:rsid w:val="009A0D56"/>
    <w:rsid w:val="009A1122"/>
    <w:rsid w:val="009A19EA"/>
    <w:rsid w:val="009A209C"/>
    <w:rsid w:val="009A2CDA"/>
    <w:rsid w:val="009A2EB7"/>
    <w:rsid w:val="009A3566"/>
    <w:rsid w:val="009A35D1"/>
    <w:rsid w:val="009A3967"/>
    <w:rsid w:val="009A3BC9"/>
    <w:rsid w:val="009A4187"/>
    <w:rsid w:val="009A4F6A"/>
    <w:rsid w:val="009A53F6"/>
    <w:rsid w:val="009A5474"/>
    <w:rsid w:val="009A5D6C"/>
    <w:rsid w:val="009A6BCA"/>
    <w:rsid w:val="009A6DC2"/>
    <w:rsid w:val="009A6E4F"/>
    <w:rsid w:val="009A7182"/>
    <w:rsid w:val="009A740E"/>
    <w:rsid w:val="009A762B"/>
    <w:rsid w:val="009B06E3"/>
    <w:rsid w:val="009B1548"/>
    <w:rsid w:val="009B15BD"/>
    <w:rsid w:val="009B1C33"/>
    <w:rsid w:val="009B1DEB"/>
    <w:rsid w:val="009B22A9"/>
    <w:rsid w:val="009B2465"/>
    <w:rsid w:val="009B2FC8"/>
    <w:rsid w:val="009B3104"/>
    <w:rsid w:val="009B32AA"/>
    <w:rsid w:val="009B4CB4"/>
    <w:rsid w:val="009B5152"/>
    <w:rsid w:val="009B52E8"/>
    <w:rsid w:val="009B52FE"/>
    <w:rsid w:val="009B661F"/>
    <w:rsid w:val="009B6E92"/>
    <w:rsid w:val="009B75EE"/>
    <w:rsid w:val="009B7BDB"/>
    <w:rsid w:val="009C0422"/>
    <w:rsid w:val="009C173A"/>
    <w:rsid w:val="009C1815"/>
    <w:rsid w:val="009C49FB"/>
    <w:rsid w:val="009C4ADF"/>
    <w:rsid w:val="009C4DF0"/>
    <w:rsid w:val="009C5026"/>
    <w:rsid w:val="009C76CD"/>
    <w:rsid w:val="009D1C3B"/>
    <w:rsid w:val="009D1C49"/>
    <w:rsid w:val="009D2573"/>
    <w:rsid w:val="009D2998"/>
    <w:rsid w:val="009D29D0"/>
    <w:rsid w:val="009D29EA"/>
    <w:rsid w:val="009D2A59"/>
    <w:rsid w:val="009D2B22"/>
    <w:rsid w:val="009D3167"/>
    <w:rsid w:val="009D3454"/>
    <w:rsid w:val="009D3523"/>
    <w:rsid w:val="009D36EF"/>
    <w:rsid w:val="009D3999"/>
    <w:rsid w:val="009D3B16"/>
    <w:rsid w:val="009D3BC4"/>
    <w:rsid w:val="009D4E6F"/>
    <w:rsid w:val="009D56B3"/>
    <w:rsid w:val="009D5B2E"/>
    <w:rsid w:val="009D5DEB"/>
    <w:rsid w:val="009D641E"/>
    <w:rsid w:val="009D6FCE"/>
    <w:rsid w:val="009D726B"/>
    <w:rsid w:val="009D7272"/>
    <w:rsid w:val="009D7C1B"/>
    <w:rsid w:val="009D7D43"/>
    <w:rsid w:val="009E019B"/>
    <w:rsid w:val="009E07C5"/>
    <w:rsid w:val="009E15E8"/>
    <w:rsid w:val="009E1883"/>
    <w:rsid w:val="009E18D1"/>
    <w:rsid w:val="009E1D7E"/>
    <w:rsid w:val="009E1F89"/>
    <w:rsid w:val="009E282B"/>
    <w:rsid w:val="009E37E4"/>
    <w:rsid w:val="009E3CBC"/>
    <w:rsid w:val="009E3E04"/>
    <w:rsid w:val="009E4140"/>
    <w:rsid w:val="009E4B48"/>
    <w:rsid w:val="009E53DE"/>
    <w:rsid w:val="009E5C18"/>
    <w:rsid w:val="009E6982"/>
    <w:rsid w:val="009E6A89"/>
    <w:rsid w:val="009E7202"/>
    <w:rsid w:val="009E73AE"/>
    <w:rsid w:val="009E79BD"/>
    <w:rsid w:val="009F0ED5"/>
    <w:rsid w:val="009F3777"/>
    <w:rsid w:val="009F39B0"/>
    <w:rsid w:val="009F5202"/>
    <w:rsid w:val="009F58CA"/>
    <w:rsid w:val="009F5B7A"/>
    <w:rsid w:val="009F69F7"/>
    <w:rsid w:val="009F6B6F"/>
    <w:rsid w:val="009F7F42"/>
    <w:rsid w:val="00A0066C"/>
    <w:rsid w:val="00A00CDD"/>
    <w:rsid w:val="00A02018"/>
    <w:rsid w:val="00A024CA"/>
    <w:rsid w:val="00A0280B"/>
    <w:rsid w:val="00A02DA6"/>
    <w:rsid w:val="00A03EF9"/>
    <w:rsid w:val="00A041E5"/>
    <w:rsid w:val="00A046C6"/>
    <w:rsid w:val="00A048C1"/>
    <w:rsid w:val="00A04F63"/>
    <w:rsid w:val="00A0532B"/>
    <w:rsid w:val="00A0546D"/>
    <w:rsid w:val="00A063A3"/>
    <w:rsid w:val="00A0722F"/>
    <w:rsid w:val="00A1061F"/>
    <w:rsid w:val="00A10703"/>
    <w:rsid w:val="00A11A89"/>
    <w:rsid w:val="00A11D31"/>
    <w:rsid w:val="00A1247E"/>
    <w:rsid w:val="00A126D0"/>
    <w:rsid w:val="00A1321C"/>
    <w:rsid w:val="00A137EF"/>
    <w:rsid w:val="00A13D95"/>
    <w:rsid w:val="00A14285"/>
    <w:rsid w:val="00A1431F"/>
    <w:rsid w:val="00A14544"/>
    <w:rsid w:val="00A14A39"/>
    <w:rsid w:val="00A14DBF"/>
    <w:rsid w:val="00A15E01"/>
    <w:rsid w:val="00A165F2"/>
    <w:rsid w:val="00A16CE2"/>
    <w:rsid w:val="00A16ED9"/>
    <w:rsid w:val="00A178F1"/>
    <w:rsid w:val="00A20682"/>
    <w:rsid w:val="00A20C01"/>
    <w:rsid w:val="00A21EE0"/>
    <w:rsid w:val="00A223D2"/>
    <w:rsid w:val="00A225BF"/>
    <w:rsid w:val="00A22928"/>
    <w:rsid w:val="00A22FBA"/>
    <w:rsid w:val="00A22FEB"/>
    <w:rsid w:val="00A230BD"/>
    <w:rsid w:val="00A23D57"/>
    <w:rsid w:val="00A26BC5"/>
    <w:rsid w:val="00A27646"/>
    <w:rsid w:val="00A27D7F"/>
    <w:rsid w:val="00A30B8C"/>
    <w:rsid w:val="00A310F5"/>
    <w:rsid w:val="00A31AFE"/>
    <w:rsid w:val="00A32448"/>
    <w:rsid w:val="00A32AC8"/>
    <w:rsid w:val="00A32E98"/>
    <w:rsid w:val="00A334A2"/>
    <w:rsid w:val="00A33AFB"/>
    <w:rsid w:val="00A34047"/>
    <w:rsid w:val="00A3446E"/>
    <w:rsid w:val="00A344D4"/>
    <w:rsid w:val="00A34727"/>
    <w:rsid w:val="00A34EBA"/>
    <w:rsid w:val="00A36DCC"/>
    <w:rsid w:val="00A3735C"/>
    <w:rsid w:val="00A373D7"/>
    <w:rsid w:val="00A379DC"/>
    <w:rsid w:val="00A37EBE"/>
    <w:rsid w:val="00A40283"/>
    <w:rsid w:val="00A4064A"/>
    <w:rsid w:val="00A40D67"/>
    <w:rsid w:val="00A40F2E"/>
    <w:rsid w:val="00A40F34"/>
    <w:rsid w:val="00A41027"/>
    <w:rsid w:val="00A410CA"/>
    <w:rsid w:val="00A411FC"/>
    <w:rsid w:val="00A41C77"/>
    <w:rsid w:val="00A41F68"/>
    <w:rsid w:val="00A4204F"/>
    <w:rsid w:val="00A420D7"/>
    <w:rsid w:val="00A42183"/>
    <w:rsid w:val="00A437FB"/>
    <w:rsid w:val="00A43DE3"/>
    <w:rsid w:val="00A4474D"/>
    <w:rsid w:val="00A44A19"/>
    <w:rsid w:val="00A4614D"/>
    <w:rsid w:val="00A477CF"/>
    <w:rsid w:val="00A47A7E"/>
    <w:rsid w:val="00A504BD"/>
    <w:rsid w:val="00A505DE"/>
    <w:rsid w:val="00A5091C"/>
    <w:rsid w:val="00A50F38"/>
    <w:rsid w:val="00A51368"/>
    <w:rsid w:val="00A53335"/>
    <w:rsid w:val="00A53883"/>
    <w:rsid w:val="00A53A03"/>
    <w:rsid w:val="00A53F4E"/>
    <w:rsid w:val="00A53FD3"/>
    <w:rsid w:val="00A5548F"/>
    <w:rsid w:val="00A55B91"/>
    <w:rsid w:val="00A561DB"/>
    <w:rsid w:val="00A562C1"/>
    <w:rsid w:val="00A56C0C"/>
    <w:rsid w:val="00A56F37"/>
    <w:rsid w:val="00A57230"/>
    <w:rsid w:val="00A572DF"/>
    <w:rsid w:val="00A57F95"/>
    <w:rsid w:val="00A601C3"/>
    <w:rsid w:val="00A60297"/>
    <w:rsid w:val="00A60CC0"/>
    <w:rsid w:val="00A610B3"/>
    <w:rsid w:val="00A61685"/>
    <w:rsid w:val="00A6281E"/>
    <w:rsid w:val="00A63675"/>
    <w:rsid w:val="00A63ACF"/>
    <w:rsid w:val="00A63FAE"/>
    <w:rsid w:val="00A64F98"/>
    <w:rsid w:val="00A659A1"/>
    <w:rsid w:val="00A65D80"/>
    <w:rsid w:val="00A66148"/>
    <w:rsid w:val="00A700B1"/>
    <w:rsid w:val="00A707DE"/>
    <w:rsid w:val="00A70CCF"/>
    <w:rsid w:val="00A71E32"/>
    <w:rsid w:val="00A73AAD"/>
    <w:rsid w:val="00A74C12"/>
    <w:rsid w:val="00A753AF"/>
    <w:rsid w:val="00A754F3"/>
    <w:rsid w:val="00A7644C"/>
    <w:rsid w:val="00A76CBE"/>
    <w:rsid w:val="00A80622"/>
    <w:rsid w:val="00A81E46"/>
    <w:rsid w:val="00A82E4B"/>
    <w:rsid w:val="00A83735"/>
    <w:rsid w:val="00A838D4"/>
    <w:rsid w:val="00A841C9"/>
    <w:rsid w:val="00A84917"/>
    <w:rsid w:val="00A85075"/>
    <w:rsid w:val="00A85131"/>
    <w:rsid w:val="00A865AB"/>
    <w:rsid w:val="00A87491"/>
    <w:rsid w:val="00A87901"/>
    <w:rsid w:val="00A91065"/>
    <w:rsid w:val="00A91C14"/>
    <w:rsid w:val="00A93B49"/>
    <w:rsid w:val="00A93E11"/>
    <w:rsid w:val="00A94116"/>
    <w:rsid w:val="00A95165"/>
    <w:rsid w:val="00A958FE"/>
    <w:rsid w:val="00A963DA"/>
    <w:rsid w:val="00A964F0"/>
    <w:rsid w:val="00A96FED"/>
    <w:rsid w:val="00A9701A"/>
    <w:rsid w:val="00A97310"/>
    <w:rsid w:val="00A976CD"/>
    <w:rsid w:val="00AA11BF"/>
    <w:rsid w:val="00AA121F"/>
    <w:rsid w:val="00AA18E1"/>
    <w:rsid w:val="00AA1C39"/>
    <w:rsid w:val="00AA212A"/>
    <w:rsid w:val="00AA3DC1"/>
    <w:rsid w:val="00AA3ECA"/>
    <w:rsid w:val="00AA449A"/>
    <w:rsid w:val="00AA4CD6"/>
    <w:rsid w:val="00AA56CE"/>
    <w:rsid w:val="00AA5D02"/>
    <w:rsid w:val="00AA6779"/>
    <w:rsid w:val="00AA6A52"/>
    <w:rsid w:val="00AA772F"/>
    <w:rsid w:val="00AA7D24"/>
    <w:rsid w:val="00AB09D6"/>
    <w:rsid w:val="00AB0A80"/>
    <w:rsid w:val="00AB0BC0"/>
    <w:rsid w:val="00AB0D38"/>
    <w:rsid w:val="00AB1B4A"/>
    <w:rsid w:val="00AB21FB"/>
    <w:rsid w:val="00AB2A5D"/>
    <w:rsid w:val="00AB378B"/>
    <w:rsid w:val="00AB3CBD"/>
    <w:rsid w:val="00AB40BC"/>
    <w:rsid w:val="00AB52BC"/>
    <w:rsid w:val="00AB52F2"/>
    <w:rsid w:val="00AB5672"/>
    <w:rsid w:val="00AB6056"/>
    <w:rsid w:val="00AB64E9"/>
    <w:rsid w:val="00AB6D41"/>
    <w:rsid w:val="00AB6E88"/>
    <w:rsid w:val="00AB7A8F"/>
    <w:rsid w:val="00AB7E8F"/>
    <w:rsid w:val="00AC01D4"/>
    <w:rsid w:val="00AC036A"/>
    <w:rsid w:val="00AC03DC"/>
    <w:rsid w:val="00AC1D65"/>
    <w:rsid w:val="00AC25A4"/>
    <w:rsid w:val="00AC2B05"/>
    <w:rsid w:val="00AC2CF6"/>
    <w:rsid w:val="00AC4DDE"/>
    <w:rsid w:val="00AC51B4"/>
    <w:rsid w:val="00AC61C2"/>
    <w:rsid w:val="00AC649F"/>
    <w:rsid w:val="00AC65BD"/>
    <w:rsid w:val="00AD0917"/>
    <w:rsid w:val="00AD0A42"/>
    <w:rsid w:val="00AD0FBD"/>
    <w:rsid w:val="00AD1658"/>
    <w:rsid w:val="00AD1952"/>
    <w:rsid w:val="00AD2345"/>
    <w:rsid w:val="00AD25E8"/>
    <w:rsid w:val="00AD26F7"/>
    <w:rsid w:val="00AD2C31"/>
    <w:rsid w:val="00AD2C43"/>
    <w:rsid w:val="00AD33D6"/>
    <w:rsid w:val="00AD35DD"/>
    <w:rsid w:val="00AD38DD"/>
    <w:rsid w:val="00AD3A7F"/>
    <w:rsid w:val="00AD5871"/>
    <w:rsid w:val="00AD63E3"/>
    <w:rsid w:val="00AD669F"/>
    <w:rsid w:val="00AD756F"/>
    <w:rsid w:val="00AD7577"/>
    <w:rsid w:val="00AD7898"/>
    <w:rsid w:val="00AD7C07"/>
    <w:rsid w:val="00AD7D9A"/>
    <w:rsid w:val="00AE108C"/>
    <w:rsid w:val="00AE1461"/>
    <w:rsid w:val="00AE256A"/>
    <w:rsid w:val="00AE31A7"/>
    <w:rsid w:val="00AE34C9"/>
    <w:rsid w:val="00AE3B22"/>
    <w:rsid w:val="00AE3DCA"/>
    <w:rsid w:val="00AE4821"/>
    <w:rsid w:val="00AE4B32"/>
    <w:rsid w:val="00AE509F"/>
    <w:rsid w:val="00AE51FE"/>
    <w:rsid w:val="00AE5803"/>
    <w:rsid w:val="00AE7369"/>
    <w:rsid w:val="00AE7BB4"/>
    <w:rsid w:val="00AE7C09"/>
    <w:rsid w:val="00AF0A9E"/>
    <w:rsid w:val="00AF1248"/>
    <w:rsid w:val="00AF15A8"/>
    <w:rsid w:val="00AF20BE"/>
    <w:rsid w:val="00AF235D"/>
    <w:rsid w:val="00AF2BD9"/>
    <w:rsid w:val="00AF2CAE"/>
    <w:rsid w:val="00AF2EA7"/>
    <w:rsid w:val="00AF3316"/>
    <w:rsid w:val="00AF34A7"/>
    <w:rsid w:val="00AF3A3C"/>
    <w:rsid w:val="00AF3AD8"/>
    <w:rsid w:val="00AF45D7"/>
    <w:rsid w:val="00AF4A54"/>
    <w:rsid w:val="00AF4ECF"/>
    <w:rsid w:val="00AF5488"/>
    <w:rsid w:val="00AF55B6"/>
    <w:rsid w:val="00AF6992"/>
    <w:rsid w:val="00AF7C23"/>
    <w:rsid w:val="00AF7F1E"/>
    <w:rsid w:val="00B00430"/>
    <w:rsid w:val="00B00A51"/>
    <w:rsid w:val="00B015F8"/>
    <w:rsid w:val="00B0264B"/>
    <w:rsid w:val="00B02F3E"/>
    <w:rsid w:val="00B0387B"/>
    <w:rsid w:val="00B038E1"/>
    <w:rsid w:val="00B05698"/>
    <w:rsid w:val="00B05AA4"/>
    <w:rsid w:val="00B05B3C"/>
    <w:rsid w:val="00B05B8B"/>
    <w:rsid w:val="00B06414"/>
    <w:rsid w:val="00B06474"/>
    <w:rsid w:val="00B0714A"/>
    <w:rsid w:val="00B07CB9"/>
    <w:rsid w:val="00B10948"/>
    <w:rsid w:val="00B11B21"/>
    <w:rsid w:val="00B12144"/>
    <w:rsid w:val="00B12316"/>
    <w:rsid w:val="00B12596"/>
    <w:rsid w:val="00B126EA"/>
    <w:rsid w:val="00B1277D"/>
    <w:rsid w:val="00B1362F"/>
    <w:rsid w:val="00B13789"/>
    <w:rsid w:val="00B1477B"/>
    <w:rsid w:val="00B160BD"/>
    <w:rsid w:val="00B16292"/>
    <w:rsid w:val="00B16EF2"/>
    <w:rsid w:val="00B173BC"/>
    <w:rsid w:val="00B176E6"/>
    <w:rsid w:val="00B17D23"/>
    <w:rsid w:val="00B17F51"/>
    <w:rsid w:val="00B20A63"/>
    <w:rsid w:val="00B20AFF"/>
    <w:rsid w:val="00B20B5E"/>
    <w:rsid w:val="00B21221"/>
    <w:rsid w:val="00B22FD7"/>
    <w:rsid w:val="00B240B3"/>
    <w:rsid w:val="00B24728"/>
    <w:rsid w:val="00B24921"/>
    <w:rsid w:val="00B24C83"/>
    <w:rsid w:val="00B2517D"/>
    <w:rsid w:val="00B25DEC"/>
    <w:rsid w:val="00B26273"/>
    <w:rsid w:val="00B26394"/>
    <w:rsid w:val="00B2688C"/>
    <w:rsid w:val="00B27EA9"/>
    <w:rsid w:val="00B3044A"/>
    <w:rsid w:val="00B30DBE"/>
    <w:rsid w:val="00B30EFA"/>
    <w:rsid w:val="00B3116A"/>
    <w:rsid w:val="00B32199"/>
    <w:rsid w:val="00B32460"/>
    <w:rsid w:val="00B32AE8"/>
    <w:rsid w:val="00B33603"/>
    <w:rsid w:val="00B3411F"/>
    <w:rsid w:val="00B34FEA"/>
    <w:rsid w:val="00B35427"/>
    <w:rsid w:val="00B35485"/>
    <w:rsid w:val="00B3565F"/>
    <w:rsid w:val="00B36875"/>
    <w:rsid w:val="00B36E5C"/>
    <w:rsid w:val="00B40506"/>
    <w:rsid w:val="00B4073D"/>
    <w:rsid w:val="00B40B68"/>
    <w:rsid w:val="00B415A2"/>
    <w:rsid w:val="00B41C18"/>
    <w:rsid w:val="00B41C6C"/>
    <w:rsid w:val="00B41D03"/>
    <w:rsid w:val="00B42E35"/>
    <w:rsid w:val="00B434E5"/>
    <w:rsid w:val="00B43A98"/>
    <w:rsid w:val="00B43C9F"/>
    <w:rsid w:val="00B445A7"/>
    <w:rsid w:val="00B44686"/>
    <w:rsid w:val="00B44768"/>
    <w:rsid w:val="00B46662"/>
    <w:rsid w:val="00B46BE2"/>
    <w:rsid w:val="00B472A6"/>
    <w:rsid w:val="00B47CD5"/>
    <w:rsid w:val="00B47D69"/>
    <w:rsid w:val="00B50048"/>
    <w:rsid w:val="00B50941"/>
    <w:rsid w:val="00B50F10"/>
    <w:rsid w:val="00B5197B"/>
    <w:rsid w:val="00B51A81"/>
    <w:rsid w:val="00B52D52"/>
    <w:rsid w:val="00B5306E"/>
    <w:rsid w:val="00B53721"/>
    <w:rsid w:val="00B53969"/>
    <w:rsid w:val="00B53AF3"/>
    <w:rsid w:val="00B54824"/>
    <w:rsid w:val="00B54A05"/>
    <w:rsid w:val="00B54E9C"/>
    <w:rsid w:val="00B5504F"/>
    <w:rsid w:val="00B55AA4"/>
    <w:rsid w:val="00B55BB1"/>
    <w:rsid w:val="00B55EC5"/>
    <w:rsid w:val="00B56A38"/>
    <w:rsid w:val="00B56A6D"/>
    <w:rsid w:val="00B572ED"/>
    <w:rsid w:val="00B57EF8"/>
    <w:rsid w:val="00B615C9"/>
    <w:rsid w:val="00B626C7"/>
    <w:rsid w:val="00B629C9"/>
    <w:rsid w:val="00B636D6"/>
    <w:rsid w:val="00B638B0"/>
    <w:rsid w:val="00B658DB"/>
    <w:rsid w:val="00B65B16"/>
    <w:rsid w:val="00B65B5C"/>
    <w:rsid w:val="00B65D54"/>
    <w:rsid w:val="00B6601F"/>
    <w:rsid w:val="00B66150"/>
    <w:rsid w:val="00B66857"/>
    <w:rsid w:val="00B6704C"/>
    <w:rsid w:val="00B67DDB"/>
    <w:rsid w:val="00B67F2E"/>
    <w:rsid w:val="00B70025"/>
    <w:rsid w:val="00B7019D"/>
    <w:rsid w:val="00B70B21"/>
    <w:rsid w:val="00B73053"/>
    <w:rsid w:val="00B73BE6"/>
    <w:rsid w:val="00B73E40"/>
    <w:rsid w:val="00B74FFE"/>
    <w:rsid w:val="00B75895"/>
    <w:rsid w:val="00B75B40"/>
    <w:rsid w:val="00B7637C"/>
    <w:rsid w:val="00B76A75"/>
    <w:rsid w:val="00B77903"/>
    <w:rsid w:val="00B80631"/>
    <w:rsid w:val="00B8066C"/>
    <w:rsid w:val="00B80855"/>
    <w:rsid w:val="00B81043"/>
    <w:rsid w:val="00B8112B"/>
    <w:rsid w:val="00B81151"/>
    <w:rsid w:val="00B813F8"/>
    <w:rsid w:val="00B81CDE"/>
    <w:rsid w:val="00B825DF"/>
    <w:rsid w:val="00B82BD9"/>
    <w:rsid w:val="00B82D6C"/>
    <w:rsid w:val="00B82E10"/>
    <w:rsid w:val="00B8305F"/>
    <w:rsid w:val="00B830F3"/>
    <w:rsid w:val="00B83211"/>
    <w:rsid w:val="00B832C3"/>
    <w:rsid w:val="00B842A5"/>
    <w:rsid w:val="00B8485E"/>
    <w:rsid w:val="00B84B92"/>
    <w:rsid w:val="00B852BD"/>
    <w:rsid w:val="00B85499"/>
    <w:rsid w:val="00B854AC"/>
    <w:rsid w:val="00B85F1A"/>
    <w:rsid w:val="00B86214"/>
    <w:rsid w:val="00B90710"/>
    <w:rsid w:val="00B90C39"/>
    <w:rsid w:val="00B91B59"/>
    <w:rsid w:val="00B91B86"/>
    <w:rsid w:val="00B9242A"/>
    <w:rsid w:val="00B92717"/>
    <w:rsid w:val="00B92EE5"/>
    <w:rsid w:val="00B93CA0"/>
    <w:rsid w:val="00B93FCB"/>
    <w:rsid w:val="00B94D81"/>
    <w:rsid w:val="00B954F6"/>
    <w:rsid w:val="00B95893"/>
    <w:rsid w:val="00B96190"/>
    <w:rsid w:val="00B9776F"/>
    <w:rsid w:val="00BA0735"/>
    <w:rsid w:val="00BA0A30"/>
    <w:rsid w:val="00BA0D48"/>
    <w:rsid w:val="00BA16CF"/>
    <w:rsid w:val="00BA1925"/>
    <w:rsid w:val="00BA1A37"/>
    <w:rsid w:val="00BA222F"/>
    <w:rsid w:val="00BA225C"/>
    <w:rsid w:val="00BA25DB"/>
    <w:rsid w:val="00BA3227"/>
    <w:rsid w:val="00BA4358"/>
    <w:rsid w:val="00BA4547"/>
    <w:rsid w:val="00BA49C6"/>
    <w:rsid w:val="00BA6012"/>
    <w:rsid w:val="00BA640E"/>
    <w:rsid w:val="00BA6518"/>
    <w:rsid w:val="00BA6639"/>
    <w:rsid w:val="00BA6B11"/>
    <w:rsid w:val="00BB082D"/>
    <w:rsid w:val="00BB14E5"/>
    <w:rsid w:val="00BB1CDC"/>
    <w:rsid w:val="00BB2157"/>
    <w:rsid w:val="00BB2200"/>
    <w:rsid w:val="00BB2D1A"/>
    <w:rsid w:val="00BB2E3F"/>
    <w:rsid w:val="00BB3059"/>
    <w:rsid w:val="00BB3AA3"/>
    <w:rsid w:val="00BB3B52"/>
    <w:rsid w:val="00BB3D21"/>
    <w:rsid w:val="00BB408F"/>
    <w:rsid w:val="00BB431B"/>
    <w:rsid w:val="00BB4675"/>
    <w:rsid w:val="00BB5265"/>
    <w:rsid w:val="00BB5509"/>
    <w:rsid w:val="00BB5908"/>
    <w:rsid w:val="00BB61ED"/>
    <w:rsid w:val="00BB6E4E"/>
    <w:rsid w:val="00BB6ED0"/>
    <w:rsid w:val="00BB70DF"/>
    <w:rsid w:val="00BB70FB"/>
    <w:rsid w:val="00BB765B"/>
    <w:rsid w:val="00BB77C2"/>
    <w:rsid w:val="00BB7A19"/>
    <w:rsid w:val="00BB7DF7"/>
    <w:rsid w:val="00BB7E60"/>
    <w:rsid w:val="00BC164C"/>
    <w:rsid w:val="00BC1FAC"/>
    <w:rsid w:val="00BC20AF"/>
    <w:rsid w:val="00BC2982"/>
    <w:rsid w:val="00BC2C67"/>
    <w:rsid w:val="00BC302B"/>
    <w:rsid w:val="00BC3FAE"/>
    <w:rsid w:val="00BC4C29"/>
    <w:rsid w:val="00BC55F4"/>
    <w:rsid w:val="00BC6408"/>
    <w:rsid w:val="00BC678B"/>
    <w:rsid w:val="00BC7575"/>
    <w:rsid w:val="00BC7738"/>
    <w:rsid w:val="00BC7E13"/>
    <w:rsid w:val="00BD02E0"/>
    <w:rsid w:val="00BD0BCA"/>
    <w:rsid w:val="00BD118D"/>
    <w:rsid w:val="00BD12A4"/>
    <w:rsid w:val="00BD1939"/>
    <w:rsid w:val="00BD1C99"/>
    <w:rsid w:val="00BD3240"/>
    <w:rsid w:val="00BD32AF"/>
    <w:rsid w:val="00BD3374"/>
    <w:rsid w:val="00BD3967"/>
    <w:rsid w:val="00BD412A"/>
    <w:rsid w:val="00BD4257"/>
    <w:rsid w:val="00BD42B6"/>
    <w:rsid w:val="00BD4977"/>
    <w:rsid w:val="00BD4CF6"/>
    <w:rsid w:val="00BD4E68"/>
    <w:rsid w:val="00BD5D0F"/>
    <w:rsid w:val="00BD5E8C"/>
    <w:rsid w:val="00BD60A5"/>
    <w:rsid w:val="00BD7BCB"/>
    <w:rsid w:val="00BD7DF5"/>
    <w:rsid w:val="00BE1B39"/>
    <w:rsid w:val="00BE1C58"/>
    <w:rsid w:val="00BE272D"/>
    <w:rsid w:val="00BE2E21"/>
    <w:rsid w:val="00BE397B"/>
    <w:rsid w:val="00BE3DBF"/>
    <w:rsid w:val="00BE450A"/>
    <w:rsid w:val="00BE463A"/>
    <w:rsid w:val="00BE4668"/>
    <w:rsid w:val="00BE4B69"/>
    <w:rsid w:val="00BE4CDA"/>
    <w:rsid w:val="00BE62A0"/>
    <w:rsid w:val="00BE6440"/>
    <w:rsid w:val="00BE75B2"/>
    <w:rsid w:val="00BF022E"/>
    <w:rsid w:val="00BF0A83"/>
    <w:rsid w:val="00BF0DE2"/>
    <w:rsid w:val="00BF17DA"/>
    <w:rsid w:val="00BF1A1B"/>
    <w:rsid w:val="00BF1A7A"/>
    <w:rsid w:val="00BF1C94"/>
    <w:rsid w:val="00BF208B"/>
    <w:rsid w:val="00BF2C7D"/>
    <w:rsid w:val="00BF30FA"/>
    <w:rsid w:val="00BF38B1"/>
    <w:rsid w:val="00BF38E6"/>
    <w:rsid w:val="00BF3DF9"/>
    <w:rsid w:val="00BF4294"/>
    <w:rsid w:val="00BF474E"/>
    <w:rsid w:val="00BF47A1"/>
    <w:rsid w:val="00BF4F30"/>
    <w:rsid w:val="00BF566D"/>
    <w:rsid w:val="00BF5815"/>
    <w:rsid w:val="00BF5C89"/>
    <w:rsid w:val="00BF64EF"/>
    <w:rsid w:val="00BF7799"/>
    <w:rsid w:val="00BF7B41"/>
    <w:rsid w:val="00C0056A"/>
    <w:rsid w:val="00C00A1B"/>
    <w:rsid w:val="00C01343"/>
    <w:rsid w:val="00C02DD3"/>
    <w:rsid w:val="00C03A26"/>
    <w:rsid w:val="00C041C3"/>
    <w:rsid w:val="00C0448D"/>
    <w:rsid w:val="00C046C9"/>
    <w:rsid w:val="00C05627"/>
    <w:rsid w:val="00C057CF"/>
    <w:rsid w:val="00C05B45"/>
    <w:rsid w:val="00C05BD1"/>
    <w:rsid w:val="00C06229"/>
    <w:rsid w:val="00C071A0"/>
    <w:rsid w:val="00C07A9A"/>
    <w:rsid w:val="00C1001F"/>
    <w:rsid w:val="00C10777"/>
    <w:rsid w:val="00C10797"/>
    <w:rsid w:val="00C107C3"/>
    <w:rsid w:val="00C10C55"/>
    <w:rsid w:val="00C1144E"/>
    <w:rsid w:val="00C1146F"/>
    <w:rsid w:val="00C11AAD"/>
    <w:rsid w:val="00C11E18"/>
    <w:rsid w:val="00C128F1"/>
    <w:rsid w:val="00C13110"/>
    <w:rsid w:val="00C139DE"/>
    <w:rsid w:val="00C13A66"/>
    <w:rsid w:val="00C13B4A"/>
    <w:rsid w:val="00C13CEC"/>
    <w:rsid w:val="00C14230"/>
    <w:rsid w:val="00C14510"/>
    <w:rsid w:val="00C14A97"/>
    <w:rsid w:val="00C14AF9"/>
    <w:rsid w:val="00C14BE7"/>
    <w:rsid w:val="00C15540"/>
    <w:rsid w:val="00C15669"/>
    <w:rsid w:val="00C158F1"/>
    <w:rsid w:val="00C15A93"/>
    <w:rsid w:val="00C15CD0"/>
    <w:rsid w:val="00C16E01"/>
    <w:rsid w:val="00C171AE"/>
    <w:rsid w:val="00C2000A"/>
    <w:rsid w:val="00C20052"/>
    <w:rsid w:val="00C203D4"/>
    <w:rsid w:val="00C20996"/>
    <w:rsid w:val="00C21714"/>
    <w:rsid w:val="00C22038"/>
    <w:rsid w:val="00C220A8"/>
    <w:rsid w:val="00C224F5"/>
    <w:rsid w:val="00C22CE9"/>
    <w:rsid w:val="00C22F15"/>
    <w:rsid w:val="00C23B98"/>
    <w:rsid w:val="00C24669"/>
    <w:rsid w:val="00C24932"/>
    <w:rsid w:val="00C250D4"/>
    <w:rsid w:val="00C25657"/>
    <w:rsid w:val="00C257DC"/>
    <w:rsid w:val="00C263EA"/>
    <w:rsid w:val="00C263F7"/>
    <w:rsid w:val="00C26509"/>
    <w:rsid w:val="00C26B3D"/>
    <w:rsid w:val="00C2788A"/>
    <w:rsid w:val="00C27B0C"/>
    <w:rsid w:val="00C31910"/>
    <w:rsid w:val="00C31A03"/>
    <w:rsid w:val="00C31DC8"/>
    <w:rsid w:val="00C323A9"/>
    <w:rsid w:val="00C32A9B"/>
    <w:rsid w:val="00C32E3F"/>
    <w:rsid w:val="00C33332"/>
    <w:rsid w:val="00C33A20"/>
    <w:rsid w:val="00C33C4E"/>
    <w:rsid w:val="00C343C8"/>
    <w:rsid w:val="00C34D2C"/>
    <w:rsid w:val="00C35D12"/>
    <w:rsid w:val="00C36F8F"/>
    <w:rsid w:val="00C370F1"/>
    <w:rsid w:val="00C37501"/>
    <w:rsid w:val="00C37715"/>
    <w:rsid w:val="00C40452"/>
    <w:rsid w:val="00C40763"/>
    <w:rsid w:val="00C40881"/>
    <w:rsid w:val="00C40E65"/>
    <w:rsid w:val="00C412E0"/>
    <w:rsid w:val="00C42646"/>
    <w:rsid w:val="00C43F41"/>
    <w:rsid w:val="00C4553B"/>
    <w:rsid w:val="00C45565"/>
    <w:rsid w:val="00C4563D"/>
    <w:rsid w:val="00C45AD5"/>
    <w:rsid w:val="00C460A7"/>
    <w:rsid w:val="00C46AB8"/>
    <w:rsid w:val="00C47809"/>
    <w:rsid w:val="00C510E8"/>
    <w:rsid w:val="00C51193"/>
    <w:rsid w:val="00C521CD"/>
    <w:rsid w:val="00C52507"/>
    <w:rsid w:val="00C5260A"/>
    <w:rsid w:val="00C52EF5"/>
    <w:rsid w:val="00C5304E"/>
    <w:rsid w:val="00C531FD"/>
    <w:rsid w:val="00C53929"/>
    <w:rsid w:val="00C53B5E"/>
    <w:rsid w:val="00C54D48"/>
    <w:rsid w:val="00C54F4E"/>
    <w:rsid w:val="00C5532A"/>
    <w:rsid w:val="00C5542D"/>
    <w:rsid w:val="00C56865"/>
    <w:rsid w:val="00C56972"/>
    <w:rsid w:val="00C56CA6"/>
    <w:rsid w:val="00C5713E"/>
    <w:rsid w:val="00C571F7"/>
    <w:rsid w:val="00C576F1"/>
    <w:rsid w:val="00C57904"/>
    <w:rsid w:val="00C60A4B"/>
    <w:rsid w:val="00C61002"/>
    <w:rsid w:val="00C61619"/>
    <w:rsid w:val="00C616D3"/>
    <w:rsid w:val="00C61B2F"/>
    <w:rsid w:val="00C62538"/>
    <w:rsid w:val="00C625E4"/>
    <w:rsid w:val="00C63397"/>
    <w:rsid w:val="00C63C37"/>
    <w:rsid w:val="00C63D60"/>
    <w:rsid w:val="00C6499F"/>
    <w:rsid w:val="00C65750"/>
    <w:rsid w:val="00C65DA6"/>
    <w:rsid w:val="00C664A8"/>
    <w:rsid w:val="00C66580"/>
    <w:rsid w:val="00C6767C"/>
    <w:rsid w:val="00C67B6C"/>
    <w:rsid w:val="00C702B2"/>
    <w:rsid w:val="00C70489"/>
    <w:rsid w:val="00C717AF"/>
    <w:rsid w:val="00C719B4"/>
    <w:rsid w:val="00C7219A"/>
    <w:rsid w:val="00C72832"/>
    <w:rsid w:val="00C72E98"/>
    <w:rsid w:val="00C73740"/>
    <w:rsid w:val="00C73943"/>
    <w:rsid w:val="00C73C07"/>
    <w:rsid w:val="00C7480B"/>
    <w:rsid w:val="00C74A2E"/>
    <w:rsid w:val="00C74EFC"/>
    <w:rsid w:val="00C76E57"/>
    <w:rsid w:val="00C77704"/>
    <w:rsid w:val="00C7773A"/>
    <w:rsid w:val="00C77DB5"/>
    <w:rsid w:val="00C77EE1"/>
    <w:rsid w:val="00C8006E"/>
    <w:rsid w:val="00C800A8"/>
    <w:rsid w:val="00C801B8"/>
    <w:rsid w:val="00C8044C"/>
    <w:rsid w:val="00C805E0"/>
    <w:rsid w:val="00C80E74"/>
    <w:rsid w:val="00C81902"/>
    <w:rsid w:val="00C81A6B"/>
    <w:rsid w:val="00C81BCF"/>
    <w:rsid w:val="00C81DA0"/>
    <w:rsid w:val="00C82DF6"/>
    <w:rsid w:val="00C83A92"/>
    <w:rsid w:val="00C83AA5"/>
    <w:rsid w:val="00C84190"/>
    <w:rsid w:val="00C848AA"/>
    <w:rsid w:val="00C848BA"/>
    <w:rsid w:val="00C84BE4"/>
    <w:rsid w:val="00C8530B"/>
    <w:rsid w:val="00C8626D"/>
    <w:rsid w:val="00C86EDF"/>
    <w:rsid w:val="00C875C3"/>
    <w:rsid w:val="00C9006E"/>
    <w:rsid w:val="00C908E7"/>
    <w:rsid w:val="00C90C3F"/>
    <w:rsid w:val="00C922BE"/>
    <w:rsid w:val="00C93097"/>
    <w:rsid w:val="00C93170"/>
    <w:rsid w:val="00C93A80"/>
    <w:rsid w:val="00C93A8D"/>
    <w:rsid w:val="00C93CE2"/>
    <w:rsid w:val="00C941DE"/>
    <w:rsid w:val="00C947D8"/>
    <w:rsid w:val="00C9492A"/>
    <w:rsid w:val="00C94B59"/>
    <w:rsid w:val="00C95675"/>
    <w:rsid w:val="00C95960"/>
    <w:rsid w:val="00C959ED"/>
    <w:rsid w:val="00C959FF"/>
    <w:rsid w:val="00C95CBC"/>
    <w:rsid w:val="00C95F91"/>
    <w:rsid w:val="00C9639A"/>
    <w:rsid w:val="00C96797"/>
    <w:rsid w:val="00C96E55"/>
    <w:rsid w:val="00C9794D"/>
    <w:rsid w:val="00CA0101"/>
    <w:rsid w:val="00CA0676"/>
    <w:rsid w:val="00CA071E"/>
    <w:rsid w:val="00CA0BD2"/>
    <w:rsid w:val="00CA0CF6"/>
    <w:rsid w:val="00CA1920"/>
    <w:rsid w:val="00CA201F"/>
    <w:rsid w:val="00CA2ABF"/>
    <w:rsid w:val="00CA363C"/>
    <w:rsid w:val="00CA3798"/>
    <w:rsid w:val="00CA4EAE"/>
    <w:rsid w:val="00CA551E"/>
    <w:rsid w:val="00CA59D9"/>
    <w:rsid w:val="00CA5CB6"/>
    <w:rsid w:val="00CA6AE6"/>
    <w:rsid w:val="00CA7033"/>
    <w:rsid w:val="00CA7BC9"/>
    <w:rsid w:val="00CB019F"/>
    <w:rsid w:val="00CB0EB1"/>
    <w:rsid w:val="00CB1FA0"/>
    <w:rsid w:val="00CB2125"/>
    <w:rsid w:val="00CB2251"/>
    <w:rsid w:val="00CB2DF4"/>
    <w:rsid w:val="00CB4EB6"/>
    <w:rsid w:val="00CB544C"/>
    <w:rsid w:val="00CB5558"/>
    <w:rsid w:val="00CB5BFE"/>
    <w:rsid w:val="00CB617D"/>
    <w:rsid w:val="00CB6230"/>
    <w:rsid w:val="00CB682F"/>
    <w:rsid w:val="00CB6D43"/>
    <w:rsid w:val="00CB748B"/>
    <w:rsid w:val="00CB7823"/>
    <w:rsid w:val="00CC1473"/>
    <w:rsid w:val="00CC249C"/>
    <w:rsid w:val="00CC28BA"/>
    <w:rsid w:val="00CC340B"/>
    <w:rsid w:val="00CC388B"/>
    <w:rsid w:val="00CC44EE"/>
    <w:rsid w:val="00CC4C29"/>
    <w:rsid w:val="00CC4DCC"/>
    <w:rsid w:val="00CC5C5B"/>
    <w:rsid w:val="00CC5E29"/>
    <w:rsid w:val="00CC6086"/>
    <w:rsid w:val="00CC671B"/>
    <w:rsid w:val="00CC7166"/>
    <w:rsid w:val="00CC719F"/>
    <w:rsid w:val="00CC7DCF"/>
    <w:rsid w:val="00CD10DE"/>
    <w:rsid w:val="00CD2FE2"/>
    <w:rsid w:val="00CD5AC9"/>
    <w:rsid w:val="00CD60E4"/>
    <w:rsid w:val="00CD6258"/>
    <w:rsid w:val="00CD635B"/>
    <w:rsid w:val="00CD6954"/>
    <w:rsid w:val="00CD7EF2"/>
    <w:rsid w:val="00CE1E2B"/>
    <w:rsid w:val="00CE2702"/>
    <w:rsid w:val="00CE4529"/>
    <w:rsid w:val="00CE4F2B"/>
    <w:rsid w:val="00CE4FFB"/>
    <w:rsid w:val="00CE606C"/>
    <w:rsid w:val="00CE6FDE"/>
    <w:rsid w:val="00CE749C"/>
    <w:rsid w:val="00CE7DAA"/>
    <w:rsid w:val="00CF071A"/>
    <w:rsid w:val="00CF0795"/>
    <w:rsid w:val="00CF1B18"/>
    <w:rsid w:val="00CF427B"/>
    <w:rsid w:val="00CF482A"/>
    <w:rsid w:val="00CF5161"/>
    <w:rsid w:val="00CF5215"/>
    <w:rsid w:val="00CF6083"/>
    <w:rsid w:val="00CF65E8"/>
    <w:rsid w:val="00CF694C"/>
    <w:rsid w:val="00CF6C27"/>
    <w:rsid w:val="00D0055B"/>
    <w:rsid w:val="00D00D87"/>
    <w:rsid w:val="00D017D2"/>
    <w:rsid w:val="00D01A86"/>
    <w:rsid w:val="00D01AFA"/>
    <w:rsid w:val="00D0270E"/>
    <w:rsid w:val="00D02F80"/>
    <w:rsid w:val="00D0311D"/>
    <w:rsid w:val="00D03CB9"/>
    <w:rsid w:val="00D05468"/>
    <w:rsid w:val="00D05EC5"/>
    <w:rsid w:val="00D05EFC"/>
    <w:rsid w:val="00D062A9"/>
    <w:rsid w:val="00D072EE"/>
    <w:rsid w:val="00D074C8"/>
    <w:rsid w:val="00D10FCD"/>
    <w:rsid w:val="00D11488"/>
    <w:rsid w:val="00D13D74"/>
    <w:rsid w:val="00D13DD6"/>
    <w:rsid w:val="00D15D64"/>
    <w:rsid w:val="00D15E26"/>
    <w:rsid w:val="00D15FC1"/>
    <w:rsid w:val="00D160AF"/>
    <w:rsid w:val="00D1691C"/>
    <w:rsid w:val="00D1785A"/>
    <w:rsid w:val="00D179B3"/>
    <w:rsid w:val="00D17E63"/>
    <w:rsid w:val="00D17FFE"/>
    <w:rsid w:val="00D201AC"/>
    <w:rsid w:val="00D20ACE"/>
    <w:rsid w:val="00D20EDE"/>
    <w:rsid w:val="00D218FC"/>
    <w:rsid w:val="00D2216C"/>
    <w:rsid w:val="00D22A7F"/>
    <w:rsid w:val="00D23428"/>
    <w:rsid w:val="00D2344D"/>
    <w:rsid w:val="00D23CCD"/>
    <w:rsid w:val="00D23DEE"/>
    <w:rsid w:val="00D252DC"/>
    <w:rsid w:val="00D264EB"/>
    <w:rsid w:val="00D26823"/>
    <w:rsid w:val="00D27B8C"/>
    <w:rsid w:val="00D30045"/>
    <w:rsid w:val="00D305D1"/>
    <w:rsid w:val="00D31B87"/>
    <w:rsid w:val="00D32DA9"/>
    <w:rsid w:val="00D3348E"/>
    <w:rsid w:val="00D35E4E"/>
    <w:rsid w:val="00D36BA7"/>
    <w:rsid w:val="00D372F4"/>
    <w:rsid w:val="00D37343"/>
    <w:rsid w:val="00D37464"/>
    <w:rsid w:val="00D374FB"/>
    <w:rsid w:val="00D37500"/>
    <w:rsid w:val="00D3766C"/>
    <w:rsid w:val="00D401B8"/>
    <w:rsid w:val="00D4045D"/>
    <w:rsid w:val="00D40683"/>
    <w:rsid w:val="00D417C1"/>
    <w:rsid w:val="00D41B97"/>
    <w:rsid w:val="00D42084"/>
    <w:rsid w:val="00D42581"/>
    <w:rsid w:val="00D4339A"/>
    <w:rsid w:val="00D4366A"/>
    <w:rsid w:val="00D44729"/>
    <w:rsid w:val="00D45032"/>
    <w:rsid w:val="00D450E0"/>
    <w:rsid w:val="00D45CFF"/>
    <w:rsid w:val="00D45F6D"/>
    <w:rsid w:val="00D462ED"/>
    <w:rsid w:val="00D46475"/>
    <w:rsid w:val="00D46695"/>
    <w:rsid w:val="00D46ECA"/>
    <w:rsid w:val="00D506AE"/>
    <w:rsid w:val="00D5102D"/>
    <w:rsid w:val="00D513E7"/>
    <w:rsid w:val="00D514BF"/>
    <w:rsid w:val="00D52DD4"/>
    <w:rsid w:val="00D53611"/>
    <w:rsid w:val="00D54C10"/>
    <w:rsid w:val="00D54DDE"/>
    <w:rsid w:val="00D55093"/>
    <w:rsid w:val="00D5594F"/>
    <w:rsid w:val="00D562CF"/>
    <w:rsid w:val="00D566F8"/>
    <w:rsid w:val="00D5707A"/>
    <w:rsid w:val="00D575BC"/>
    <w:rsid w:val="00D57941"/>
    <w:rsid w:val="00D60138"/>
    <w:rsid w:val="00D6107A"/>
    <w:rsid w:val="00D61CCB"/>
    <w:rsid w:val="00D63055"/>
    <w:rsid w:val="00D63D68"/>
    <w:rsid w:val="00D63FEA"/>
    <w:rsid w:val="00D646A8"/>
    <w:rsid w:val="00D647BD"/>
    <w:rsid w:val="00D64D33"/>
    <w:rsid w:val="00D64EB4"/>
    <w:rsid w:val="00D64FB3"/>
    <w:rsid w:val="00D64FE5"/>
    <w:rsid w:val="00D6539E"/>
    <w:rsid w:val="00D655B3"/>
    <w:rsid w:val="00D65F2B"/>
    <w:rsid w:val="00D66185"/>
    <w:rsid w:val="00D6649A"/>
    <w:rsid w:val="00D665EC"/>
    <w:rsid w:val="00D67647"/>
    <w:rsid w:val="00D677F5"/>
    <w:rsid w:val="00D6785C"/>
    <w:rsid w:val="00D67D9C"/>
    <w:rsid w:val="00D67DB4"/>
    <w:rsid w:val="00D702AB"/>
    <w:rsid w:val="00D707C2"/>
    <w:rsid w:val="00D70876"/>
    <w:rsid w:val="00D71138"/>
    <w:rsid w:val="00D71251"/>
    <w:rsid w:val="00D723BB"/>
    <w:rsid w:val="00D72BAF"/>
    <w:rsid w:val="00D730C4"/>
    <w:rsid w:val="00D73626"/>
    <w:rsid w:val="00D752C4"/>
    <w:rsid w:val="00D7554E"/>
    <w:rsid w:val="00D76511"/>
    <w:rsid w:val="00D76875"/>
    <w:rsid w:val="00D81C93"/>
    <w:rsid w:val="00D81E1F"/>
    <w:rsid w:val="00D82123"/>
    <w:rsid w:val="00D82A45"/>
    <w:rsid w:val="00D82EF5"/>
    <w:rsid w:val="00D83B60"/>
    <w:rsid w:val="00D83C98"/>
    <w:rsid w:val="00D83F35"/>
    <w:rsid w:val="00D84E71"/>
    <w:rsid w:val="00D85F10"/>
    <w:rsid w:val="00D869CB"/>
    <w:rsid w:val="00D86C34"/>
    <w:rsid w:val="00D86EB4"/>
    <w:rsid w:val="00D87085"/>
    <w:rsid w:val="00D871CD"/>
    <w:rsid w:val="00D879A7"/>
    <w:rsid w:val="00D91F63"/>
    <w:rsid w:val="00D921FB"/>
    <w:rsid w:val="00D92535"/>
    <w:rsid w:val="00D92631"/>
    <w:rsid w:val="00D92BD4"/>
    <w:rsid w:val="00D93676"/>
    <w:rsid w:val="00D94232"/>
    <w:rsid w:val="00D94296"/>
    <w:rsid w:val="00D944F1"/>
    <w:rsid w:val="00D94716"/>
    <w:rsid w:val="00D947FA"/>
    <w:rsid w:val="00D94A96"/>
    <w:rsid w:val="00D94F1E"/>
    <w:rsid w:val="00D9525C"/>
    <w:rsid w:val="00D954C9"/>
    <w:rsid w:val="00DA040D"/>
    <w:rsid w:val="00DA0684"/>
    <w:rsid w:val="00DA0CFF"/>
    <w:rsid w:val="00DA2318"/>
    <w:rsid w:val="00DA237E"/>
    <w:rsid w:val="00DA23A0"/>
    <w:rsid w:val="00DA2AA2"/>
    <w:rsid w:val="00DA3AE9"/>
    <w:rsid w:val="00DA4A67"/>
    <w:rsid w:val="00DA5958"/>
    <w:rsid w:val="00DA5962"/>
    <w:rsid w:val="00DA6B75"/>
    <w:rsid w:val="00DA71C8"/>
    <w:rsid w:val="00DA721F"/>
    <w:rsid w:val="00DA7644"/>
    <w:rsid w:val="00DA7B0D"/>
    <w:rsid w:val="00DB0844"/>
    <w:rsid w:val="00DB0A92"/>
    <w:rsid w:val="00DB126E"/>
    <w:rsid w:val="00DB13C1"/>
    <w:rsid w:val="00DB2B94"/>
    <w:rsid w:val="00DB2BB6"/>
    <w:rsid w:val="00DB34CF"/>
    <w:rsid w:val="00DB4284"/>
    <w:rsid w:val="00DB48FF"/>
    <w:rsid w:val="00DB4A4E"/>
    <w:rsid w:val="00DB563A"/>
    <w:rsid w:val="00DB5E96"/>
    <w:rsid w:val="00DB5FC5"/>
    <w:rsid w:val="00DB6F5D"/>
    <w:rsid w:val="00DB6FEB"/>
    <w:rsid w:val="00DB77F8"/>
    <w:rsid w:val="00DB7DD2"/>
    <w:rsid w:val="00DC0784"/>
    <w:rsid w:val="00DC0F0E"/>
    <w:rsid w:val="00DC1678"/>
    <w:rsid w:val="00DC17CF"/>
    <w:rsid w:val="00DC1CB7"/>
    <w:rsid w:val="00DC2F87"/>
    <w:rsid w:val="00DC397F"/>
    <w:rsid w:val="00DC3A7E"/>
    <w:rsid w:val="00DC3C63"/>
    <w:rsid w:val="00DC4D12"/>
    <w:rsid w:val="00DC6125"/>
    <w:rsid w:val="00DC63D3"/>
    <w:rsid w:val="00DC67EB"/>
    <w:rsid w:val="00DC6BE2"/>
    <w:rsid w:val="00DC7BB7"/>
    <w:rsid w:val="00DD0784"/>
    <w:rsid w:val="00DD091D"/>
    <w:rsid w:val="00DD0E88"/>
    <w:rsid w:val="00DD24DC"/>
    <w:rsid w:val="00DD3641"/>
    <w:rsid w:val="00DD3D86"/>
    <w:rsid w:val="00DD5297"/>
    <w:rsid w:val="00DD5A28"/>
    <w:rsid w:val="00DD5BEF"/>
    <w:rsid w:val="00DD68C4"/>
    <w:rsid w:val="00DD6D1F"/>
    <w:rsid w:val="00DD7285"/>
    <w:rsid w:val="00DD72D5"/>
    <w:rsid w:val="00DD750A"/>
    <w:rsid w:val="00DD76FD"/>
    <w:rsid w:val="00DD7B1A"/>
    <w:rsid w:val="00DE0520"/>
    <w:rsid w:val="00DE07EF"/>
    <w:rsid w:val="00DE158D"/>
    <w:rsid w:val="00DE213E"/>
    <w:rsid w:val="00DE26F5"/>
    <w:rsid w:val="00DE38AC"/>
    <w:rsid w:val="00DE3D2F"/>
    <w:rsid w:val="00DE3F10"/>
    <w:rsid w:val="00DE4424"/>
    <w:rsid w:val="00DE45E9"/>
    <w:rsid w:val="00DE4B64"/>
    <w:rsid w:val="00DE542F"/>
    <w:rsid w:val="00DE6534"/>
    <w:rsid w:val="00DE678B"/>
    <w:rsid w:val="00DE6A7F"/>
    <w:rsid w:val="00DE78FD"/>
    <w:rsid w:val="00DF0081"/>
    <w:rsid w:val="00DF06BF"/>
    <w:rsid w:val="00DF082F"/>
    <w:rsid w:val="00DF0A7F"/>
    <w:rsid w:val="00DF1884"/>
    <w:rsid w:val="00DF2C56"/>
    <w:rsid w:val="00DF307F"/>
    <w:rsid w:val="00DF3CAA"/>
    <w:rsid w:val="00DF50CD"/>
    <w:rsid w:val="00DF5636"/>
    <w:rsid w:val="00DF5746"/>
    <w:rsid w:val="00DF5F2F"/>
    <w:rsid w:val="00DF6AE2"/>
    <w:rsid w:val="00DF6C0E"/>
    <w:rsid w:val="00DF6CF6"/>
    <w:rsid w:val="00DF6F11"/>
    <w:rsid w:val="00DF7FE2"/>
    <w:rsid w:val="00E017D8"/>
    <w:rsid w:val="00E026C8"/>
    <w:rsid w:val="00E02856"/>
    <w:rsid w:val="00E02B44"/>
    <w:rsid w:val="00E0371D"/>
    <w:rsid w:val="00E03854"/>
    <w:rsid w:val="00E039D7"/>
    <w:rsid w:val="00E04D94"/>
    <w:rsid w:val="00E05521"/>
    <w:rsid w:val="00E05A52"/>
    <w:rsid w:val="00E05B23"/>
    <w:rsid w:val="00E07AF0"/>
    <w:rsid w:val="00E07ED1"/>
    <w:rsid w:val="00E10067"/>
    <w:rsid w:val="00E10366"/>
    <w:rsid w:val="00E103D7"/>
    <w:rsid w:val="00E11365"/>
    <w:rsid w:val="00E11ED3"/>
    <w:rsid w:val="00E13C39"/>
    <w:rsid w:val="00E150B7"/>
    <w:rsid w:val="00E15CE8"/>
    <w:rsid w:val="00E16018"/>
    <w:rsid w:val="00E16576"/>
    <w:rsid w:val="00E16AD6"/>
    <w:rsid w:val="00E16BF7"/>
    <w:rsid w:val="00E16CA4"/>
    <w:rsid w:val="00E17180"/>
    <w:rsid w:val="00E179FC"/>
    <w:rsid w:val="00E20BE6"/>
    <w:rsid w:val="00E20E66"/>
    <w:rsid w:val="00E220F6"/>
    <w:rsid w:val="00E22CF5"/>
    <w:rsid w:val="00E232C2"/>
    <w:rsid w:val="00E24345"/>
    <w:rsid w:val="00E2446E"/>
    <w:rsid w:val="00E24858"/>
    <w:rsid w:val="00E25DEF"/>
    <w:rsid w:val="00E26049"/>
    <w:rsid w:val="00E262BD"/>
    <w:rsid w:val="00E2640B"/>
    <w:rsid w:val="00E271DB"/>
    <w:rsid w:val="00E27253"/>
    <w:rsid w:val="00E27E72"/>
    <w:rsid w:val="00E31A29"/>
    <w:rsid w:val="00E31AD4"/>
    <w:rsid w:val="00E31E65"/>
    <w:rsid w:val="00E327A0"/>
    <w:rsid w:val="00E32965"/>
    <w:rsid w:val="00E33A64"/>
    <w:rsid w:val="00E3409F"/>
    <w:rsid w:val="00E34C1C"/>
    <w:rsid w:val="00E34C2B"/>
    <w:rsid w:val="00E352FA"/>
    <w:rsid w:val="00E36814"/>
    <w:rsid w:val="00E36D98"/>
    <w:rsid w:val="00E40585"/>
    <w:rsid w:val="00E40BD3"/>
    <w:rsid w:val="00E40F66"/>
    <w:rsid w:val="00E41B1D"/>
    <w:rsid w:val="00E41E35"/>
    <w:rsid w:val="00E41EF0"/>
    <w:rsid w:val="00E4235F"/>
    <w:rsid w:val="00E427F6"/>
    <w:rsid w:val="00E4293A"/>
    <w:rsid w:val="00E432AA"/>
    <w:rsid w:val="00E43424"/>
    <w:rsid w:val="00E43FEE"/>
    <w:rsid w:val="00E45849"/>
    <w:rsid w:val="00E4737F"/>
    <w:rsid w:val="00E475E9"/>
    <w:rsid w:val="00E476C1"/>
    <w:rsid w:val="00E478E8"/>
    <w:rsid w:val="00E47A7B"/>
    <w:rsid w:val="00E47C82"/>
    <w:rsid w:val="00E50355"/>
    <w:rsid w:val="00E5062D"/>
    <w:rsid w:val="00E50C00"/>
    <w:rsid w:val="00E50D4C"/>
    <w:rsid w:val="00E5135F"/>
    <w:rsid w:val="00E51B6B"/>
    <w:rsid w:val="00E51CD7"/>
    <w:rsid w:val="00E52101"/>
    <w:rsid w:val="00E52A94"/>
    <w:rsid w:val="00E52DB7"/>
    <w:rsid w:val="00E534A1"/>
    <w:rsid w:val="00E53F84"/>
    <w:rsid w:val="00E54471"/>
    <w:rsid w:val="00E54503"/>
    <w:rsid w:val="00E55409"/>
    <w:rsid w:val="00E55C98"/>
    <w:rsid w:val="00E55F0F"/>
    <w:rsid w:val="00E56DC8"/>
    <w:rsid w:val="00E5702F"/>
    <w:rsid w:val="00E5792F"/>
    <w:rsid w:val="00E57C74"/>
    <w:rsid w:val="00E60042"/>
    <w:rsid w:val="00E60210"/>
    <w:rsid w:val="00E60322"/>
    <w:rsid w:val="00E60923"/>
    <w:rsid w:val="00E609EC"/>
    <w:rsid w:val="00E60BF7"/>
    <w:rsid w:val="00E6136D"/>
    <w:rsid w:val="00E61CE7"/>
    <w:rsid w:val="00E61FFC"/>
    <w:rsid w:val="00E6227D"/>
    <w:rsid w:val="00E62C2C"/>
    <w:rsid w:val="00E62FE6"/>
    <w:rsid w:val="00E63804"/>
    <w:rsid w:val="00E64262"/>
    <w:rsid w:val="00E6487C"/>
    <w:rsid w:val="00E648FA"/>
    <w:rsid w:val="00E6548F"/>
    <w:rsid w:val="00E662D6"/>
    <w:rsid w:val="00E66BBC"/>
    <w:rsid w:val="00E67865"/>
    <w:rsid w:val="00E67E3F"/>
    <w:rsid w:val="00E71123"/>
    <w:rsid w:val="00E71FFE"/>
    <w:rsid w:val="00E72220"/>
    <w:rsid w:val="00E73065"/>
    <w:rsid w:val="00E73108"/>
    <w:rsid w:val="00E73855"/>
    <w:rsid w:val="00E73D83"/>
    <w:rsid w:val="00E73E1A"/>
    <w:rsid w:val="00E73E51"/>
    <w:rsid w:val="00E73EFA"/>
    <w:rsid w:val="00E7435C"/>
    <w:rsid w:val="00E74AA2"/>
    <w:rsid w:val="00E75677"/>
    <w:rsid w:val="00E75B53"/>
    <w:rsid w:val="00E75B7B"/>
    <w:rsid w:val="00E75B7F"/>
    <w:rsid w:val="00E76386"/>
    <w:rsid w:val="00E803DC"/>
    <w:rsid w:val="00E806EE"/>
    <w:rsid w:val="00E80D9A"/>
    <w:rsid w:val="00E80DC2"/>
    <w:rsid w:val="00E81D1A"/>
    <w:rsid w:val="00E81EED"/>
    <w:rsid w:val="00E8217C"/>
    <w:rsid w:val="00E825E1"/>
    <w:rsid w:val="00E8415A"/>
    <w:rsid w:val="00E848C9"/>
    <w:rsid w:val="00E84D67"/>
    <w:rsid w:val="00E84EED"/>
    <w:rsid w:val="00E8521C"/>
    <w:rsid w:val="00E85301"/>
    <w:rsid w:val="00E8583D"/>
    <w:rsid w:val="00E85902"/>
    <w:rsid w:val="00E86806"/>
    <w:rsid w:val="00E86D6A"/>
    <w:rsid w:val="00E871F0"/>
    <w:rsid w:val="00E872B4"/>
    <w:rsid w:val="00E8762A"/>
    <w:rsid w:val="00E87692"/>
    <w:rsid w:val="00E876DE"/>
    <w:rsid w:val="00E901B1"/>
    <w:rsid w:val="00E90399"/>
    <w:rsid w:val="00E90A96"/>
    <w:rsid w:val="00E90B77"/>
    <w:rsid w:val="00E91363"/>
    <w:rsid w:val="00E91B05"/>
    <w:rsid w:val="00E9315A"/>
    <w:rsid w:val="00E94279"/>
    <w:rsid w:val="00E942BA"/>
    <w:rsid w:val="00E94FF2"/>
    <w:rsid w:val="00E9531F"/>
    <w:rsid w:val="00E956FC"/>
    <w:rsid w:val="00E95A9D"/>
    <w:rsid w:val="00E973E0"/>
    <w:rsid w:val="00E974DB"/>
    <w:rsid w:val="00E97CFD"/>
    <w:rsid w:val="00E97F8C"/>
    <w:rsid w:val="00EA00FF"/>
    <w:rsid w:val="00EA0372"/>
    <w:rsid w:val="00EA046C"/>
    <w:rsid w:val="00EA0599"/>
    <w:rsid w:val="00EA0D52"/>
    <w:rsid w:val="00EA1D55"/>
    <w:rsid w:val="00EA2BBF"/>
    <w:rsid w:val="00EA3276"/>
    <w:rsid w:val="00EA3B02"/>
    <w:rsid w:val="00EA3B33"/>
    <w:rsid w:val="00EA3CA1"/>
    <w:rsid w:val="00EA3E40"/>
    <w:rsid w:val="00EA437D"/>
    <w:rsid w:val="00EA45D4"/>
    <w:rsid w:val="00EA592F"/>
    <w:rsid w:val="00EA59AA"/>
    <w:rsid w:val="00EA5B60"/>
    <w:rsid w:val="00EA5DF8"/>
    <w:rsid w:val="00EA762D"/>
    <w:rsid w:val="00EB00D8"/>
    <w:rsid w:val="00EB067B"/>
    <w:rsid w:val="00EB1503"/>
    <w:rsid w:val="00EB1D1B"/>
    <w:rsid w:val="00EB34F0"/>
    <w:rsid w:val="00EB3BEC"/>
    <w:rsid w:val="00EB490D"/>
    <w:rsid w:val="00EB4990"/>
    <w:rsid w:val="00EB49A4"/>
    <w:rsid w:val="00EB4F17"/>
    <w:rsid w:val="00EB5C9A"/>
    <w:rsid w:val="00EB6527"/>
    <w:rsid w:val="00EB6754"/>
    <w:rsid w:val="00EB775A"/>
    <w:rsid w:val="00EB7B70"/>
    <w:rsid w:val="00EC0C23"/>
    <w:rsid w:val="00EC0FE9"/>
    <w:rsid w:val="00EC13FB"/>
    <w:rsid w:val="00EC14F5"/>
    <w:rsid w:val="00EC1592"/>
    <w:rsid w:val="00EC1687"/>
    <w:rsid w:val="00EC1D89"/>
    <w:rsid w:val="00EC3844"/>
    <w:rsid w:val="00EC3F1A"/>
    <w:rsid w:val="00EC4DE1"/>
    <w:rsid w:val="00EC4EAC"/>
    <w:rsid w:val="00EC520D"/>
    <w:rsid w:val="00EC5561"/>
    <w:rsid w:val="00EC5694"/>
    <w:rsid w:val="00EC610D"/>
    <w:rsid w:val="00EC730A"/>
    <w:rsid w:val="00EC734A"/>
    <w:rsid w:val="00EC7799"/>
    <w:rsid w:val="00EC7A57"/>
    <w:rsid w:val="00ED09B0"/>
    <w:rsid w:val="00ED0D64"/>
    <w:rsid w:val="00ED10CC"/>
    <w:rsid w:val="00ED1450"/>
    <w:rsid w:val="00ED1628"/>
    <w:rsid w:val="00ED169C"/>
    <w:rsid w:val="00ED171C"/>
    <w:rsid w:val="00ED1C83"/>
    <w:rsid w:val="00ED24C1"/>
    <w:rsid w:val="00ED34E4"/>
    <w:rsid w:val="00ED37E1"/>
    <w:rsid w:val="00ED3806"/>
    <w:rsid w:val="00ED3841"/>
    <w:rsid w:val="00ED4FBE"/>
    <w:rsid w:val="00ED5243"/>
    <w:rsid w:val="00ED5920"/>
    <w:rsid w:val="00ED5BE5"/>
    <w:rsid w:val="00ED5F70"/>
    <w:rsid w:val="00ED66EA"/>
    <w:rsid w:val="00ED6AFC"/>
    <w:rsid w:val="00ED6FD4"/>
    <w:rsid w:val="00ED7450"/>
    <w:rsid w:val="00ED7BBD"/>
    <w:rsid w:val="00EE0EEE"/>
    <w:rsid w:val="00EE111E"/>
    <w:rsid w:val="00EE139A"/>
    <w:rsid w:val="00EE14FF"/>
    <w:rsid w:val="00EE17B4"/>
    <w:rsid w:val="00EE1AEC"/>
    <w:rsid w:val="00EE1C64"/>
    <w:rsid w:val="00EE2557"/>
    <w:rsid w:val="00EE2CF0"/>
    <w:rsid w:val="00EE2FC3"/>
    <w:rsid w:val="00EE419A"/>
    <w:rsid w:val="00EE4634"/>
    <w:rsid w:val="00EE473B"/>
    <w:rsid w:val="00EE4A88"/>
    <w:rsid w:val="00EE5978"/>
    <w:rsid w:val="00EE635C"/>
    <w:rsid w:val="00EE758D"/>
    <w:rsid w:val="00EE7D50"/>
    <w:rsid w:val="00EF0575"/>
    <w:rsid w:val="00EF0902"/>
    <w:rsid w:val="00EF0C41"/>
    <w:rsid w:val="00EF11CB"/>
    <w:rsid w:val="00EF26E5"/>
    <w:rsid w:val="00EF37C1"/>
    <w:rsid w:val="00EF3F76"/>
    <w:rsid w:val="00EF40AC"/>
    <w:rsid w:val="00EF4603"/>
    <w:rsid w:val="00EF55F3"/>
    <w:rsid w:val="00EF56DE"/>
    <w:rsid w:val="00EF6202"/>
    <w:rsid w:val="00EF6DDB"/>
    <w:rsid w:val="00EF767A"/>
    <w:rsid w:val="00EF7C1A"/>
    <w:rsid w:val="00F00114"/>
    <w:rsid w:val="00F00B5B"/>
    <w:rsid w:val="00F01519"/>
    <w:rsid w:val="00F02E99"/>
    <w:rsid w:val="00F03166"/>
    <w:rsid w:val="00F033F2"/>
    <w:rsid w:val="00F03BF2"/>
    <w:rsid w:val="00F04826"/>
    <w:rsid w:val="00F04A0A"/>
    <w:rsid w:val="00F04FEF"/>
    <w:rsid w:val="00F06E95"/>
    <w:rsid w:val="00F07309"/>
    <w:rsid w:val="00F07352"/>
    <w:rsid w:val="00F0767A"/>
    <w:rsid w:val="00F07D46"/>
    <w:rsid w:val="00F10008"/>
    <w:rsid w:val="00F111A9"/>
    <w:rsid w:val="00F11916"/>
    <w:rsid w:val="00F119E6"/>
    <w:rsid w:val="00F121F4"/>
    <w:rsid w:val="00F12394"/>
    <w:rsid w:val="00F128ED"/>
    <w:rsid w:val="00F13574"/>
    <w:rsid w:val="00F142FC"/>
    <w:rsid w:val="00F14559"/>
    <w:rsid w:val="00F15E6C"/>
    <w:rsid w:val="00F16801"/>
    <w:rsid w:val="00F17C8D"/>
    <w:rsid w:val="00F20A62"/>
    <w:rsid w:val="00F2104C"/>
    <w:rsid w:val="00F21805"/>
    <w:rsid w:val="00F21CF6"/>
    <w:rsid w:val="00F21E4B"/>
    <w:rsid w:val="00F23024"/>
    <w:rsid w:val="00F2380F"/>
    <w:rsid w:val="00F23C89"/>
    <w:rsid w:val="00F23D2A"/>
    <w:rsid w:val="00F246AD"/>
    <w:rsid w:val="00F248BB"/>
    <w:rsid w:val="00F2491F"/>
    <w:rsid w:val="00F24C97"/>
    <w:rsid w:val="00F24D42"/>
    <w:rsid w:val="00F25636"/>
    <w:rsid w:val="00F26365"/>
    <w:rsid w:val="00F268AA"/>
    <w:rsid w:val="00F26C60"/>
    <w:rsid w:val="00F277BA"/>
    <w:rsid w:val="00F27C62"/>
    <w:rsid w:val="00F30C7B"/>
    <w:rsid w:val="00F30D0C"/>
    <w:rsid w:val="00F31458"/>
    <w:rsid w:val="00F316C2"/>
    <w:rsid w:val="00F32552"/>
    <w:rsid w:val="00F3271D"/>
    <w:rsid w:val="00F33C2D"/>
    <w:rsid w:val="00F34051"/>
    <w:rsid w:val="00F345B0"/>
    <w:rsid w:val="00F34E79"/>
    <w:rsid w:val="00F35250"/>
    <w:rsid w:val="00F35334"/>
    <w:rsid w:val="00F35AE2"/>
    <w:rsid w:val="00F35B6F"/>
    <w:rsid w:val="00F35FB1"/>
    <w:rsid w:val="00F361BF"/>
    <w:rsid w:val="00F36768"/>
    <w:rsid w:val="00F3687F"/>
    <w:rsid w:val="00F36C4E"/>
    <w:rsid w:val="00F36CAE"/>
    <w:rsid w:val="00F36E68"/>
    <w:rsid w:val="00F378EB"/>
    <w:rsid w:val="00F37F91"/>
    <w:rsid w:val="00F400CE"/>
    <w:rsid w:val="00F40FEB"/>
    <w:rsid w:val="00F41CDA"/>
    <w:rsid w:val="00F41E6C"/>
    <w:rsid w:val="00F42D5B"/>
    <w:rsid w:val="00F450A6"/>
    <w:rsid w:val="00F4514E"/>
    <w:rsid w:val="00F45159"/>
    <w:rsid w:val="00F45BB5"/>
    <w:rsid w:val="00F47144"/>
    <w:rsid w:val="00F47327"/>
    <w:rsid w:val="00F47473"/>
    <w:rsid w:val="00F47C09"/>
    <w:rsid w:val="00F47D35"/>
    <w:rsid w:val="00F50189"/>
    <w:rsid w:val="00F50429"/>
    <w:rsid w:val="00F5099E"/>
    <w:rsid w:val="00F50AD0"/>
    <w:rsid w:val="00F50BD4"/>
    <w:rsid w:val="00F514A5"/>
    <w:rsid w:val="00F51B49"/>
    <w:rsid w:val="00F523A2"/>
    <w:rsid w:val="00F52B76"/>
    <w:rsid w:val="00F53007"/>
    <w:rsid w:val="00F53DBB"/>
    <w:rsid w:val="00F5451C"/>
    <w:rsid w:val="00F54BC0"/>
    <w:rsid w:val="00F54BE5"/>
    <w:rsid w:val="00F54CF4"/>
    <w:rsid w:val="00F5682E"/>
    <w:rsid w:val="00F56912"/>
    <w:rsid w:val="00F570AB"/>
    <w:rsid w:val="00F578E0"/>
    <w:rsid w:val="00F600B2"/>
    <w:rsid w:val="00F601E2"/>
    <w:rsid w:val="00F6037E"/>
    <w:rsid w:val="00F62042"/>
    <w:rsid w:val="00F626CA"/>
    <w:rsid w:val="00F627C1"/>
    <w:rsid w:val="00F62AD1"/>
    <w:rsid w:val="00F6504B"/>
    <w:rsid w:val="00F657B1"/>
    <w:rsid w:val="00F65E89"/>
    <w:rsid w:val="00F66499"/>
    <w:rsid w:val="00F67031"/>
    <w:rsid w:val="00F67D1B"/>
    <w:rsid w:val="00F7001C"/>
    <w:rsid w:val="00F702C9"/>
    <w:rsid w:val="00F705F6"/>
    <w:rsid w:val="00F72333"/>
    <w:rsid w:val="00F7272D"/>
    <w:rsid w:val="00F7277A"/>
    <w:rsid w:val="00F73D75"/>
    <w:rsid w:val="00F74050"/>
    <w:rsid w:val="00F746C6"/>
    <w:rsid w:val="00F74DEB"/>
    <w:rsid w:val="00F751CD"/>
    <w:rsid w:val="00F755BD"/>
    <w:rsid w:val="00F765F3"/>
    <w:rsid w:val="00F76B14"/>
    <w:rsid w:val="00F7794D"/>
    <w:rsid w:val="00F80258"/>
    <w:rsid w:val="00F805C0"/>
    <w:rsid w:val="00F809A3"/>
    <w:rsid w:val="00F80AD3"/>
    <w:rsid w:val="00F8342D"/>
    <w:rsid w:val="00F8374D"/>
    <w:rsid w:val="00F837B6"/>
    <w:rsid w:val="00F850D1"/>
    <w:rsid w:val="00F859B3"/>
    <w:rsid w:val="00F86C23"/>
    <w:rsid w:val="00F878C8"/>
    <w:rsid w:val="00F90640"/>
    <w:rsid w:val="00F9197D"/>
    <w:rsid w:val="00F91A98"/>
    <w:rsid w:val="00F92CD8"/>
    <w:rsid w:val="00F9308C"/>
    <w:rsid w:val="00F931A5"/>
    <w:rsid w:val="00F93760"/>
    <w:rsid w:val="00F93A28"/>
    <w:rsid w:val="00F94061"/>
    <w:rsid w:val="00F947E8"/>
    <w:rsid w:val="00F94D50"/>
    <w:rsid w:val="00F95A23"/>
    <w:rsid w:val="00F95D23"/>
    <w:rsid w:val="00F96206"/>
    <w:rsid w:val="00F966B6"/>
    <w:rsid w:val="00F974E9"/>
    <w:rsid w:val="00F97ADD"/>
    <w:rsid w:val="00FA01AC"/>
    <w:rsid w:val="00FA0A31"/>
    <w:rsid w:val="00FA0D18"/>
    <w:rsid w:val="00FA1499"/>
    <w:rsid w:val="00FA2A22"/>
    <w:rsid w:val="00FA2F7C"/>
    <w:rsid w:val="00FA38C6"/>
    <w:rsid w:val="00FA3F41"/>
    <w:rsid w:val="00FA4140"/>
    <w:rsid w:val="00FA44AE"/>
    <w:rsid w:val="00FA453B"/>
    <w:rsid w:val="00FA488A"/>
    <w:rsid w:val="00FA4C10"/>
    <w:rsid w:val="00FA6051"/>
    <w:rsid w:val="00FA709D"/>
    <w:rsid w:val="00FA7DA4"/>
    <w:rsid w:val="00FA7DC9"/>
    <w:rsid w:val="00FB05C8"/>
    <w:rsid w:val="00FB0903"/>
    <w:rsid w:val="00FB1183"/>
    <w:rsid w:val="00FB12E7"/>
    <w:rsid w:val="00FB1313"/>
    <w:rsid w:val="00FB1653"/>
    <w:rsid w:val="00FB241B"/>
    <w:rsid w:val="00FB2CC7"/>
    <w:rsid w:val="00FB2F3B"/>
    <w:rsid w:val="00FB3101"/>
    <w:rsid w:val="00FB33F3"/>
    <w:rsid w:val="00FB3CC4"/>
    <w:rsid w:val="00FB41FF"/>
    <w:rsid w:val="00FB4658"/>
    <w:rsid w:val="00FB4EB7"/>
    <w:rsid w:val="00FB574E"/>
    <w:rsid w:val="00FB581D"/>
    <w:rsid w:val="00FB5ADD"/>
    <w:rsid w:val="00FB5B2C"/>
    <w:rsid w:val="00FB7739"/>
    <w:rsid w:val="00FB791F"/>
    <w:rsid w:val="00FB7C6D"/>
    <w:rsid w:val="00FB7D53"/>
    <w:rsid w:val="00FC0156"/>
    <w:rsid w:val="00FC0A0B"/>
    <w:rsid w:val="00FC0B87"/>
    <w:rsid w:val="00FC0DD3"/>
    <w:rsid w:val="00FC15CC"/>
    <w:rsid w:val="00FC1A15"/>
    <w:rsid w:val="00FC1B64"/>
    <w:rsid w:val="00FC1C75"/>
    <w:rsid w:val="00FC2132"/>
    <w:rsid w:val="00FC2E59"/>
    <w:rsid w:val="00FC357C"/>
    <w:rsid w:val="00FC3A50"/>
    <w:rsid w:val="00FC444C"/>
    <w:rsid w:val="00FC4887"/>
    <w:rsid w:val="00FC4B76"/>
    <w:rsid w:val="00FC4F26"/>
    <w:rsid w:val="00FC504C"/>
    <w:rsid w:val="00FC5426"/>
    <w:rsid w:val="00FC6E7A"/>
    <w:rsid w:val="00FC75D3"/>
    <w:rsid w:val="00FC774D"/>
    <w:rsid w:val="00FC7885"/>
    <w:rsid w:val="00FC7D12"/>
    <w:rsid w:val="00FD08CD"/>
    <w:rsid w:val="00FD0BFD"/>
    <w:rsid w:val="00FD111E"/>
    <w:rsid w:val="00FD1C65"/>
    <w:rsid w:val="00FD1C67"/>
    <w:rsid w:val="00FD1DAB"/>
    <w:rsid w:val="00FD1EBA"/>
    <w:rsid w:val="00FD21E4"/>
    <w:rsid w:val="00FD2C22"/>
    <w:rsid w:val="00FD3D5E"/>
    <w:rsid w:val="00FD5309"/>
    <w:rsid w:val="00FD6485"/>
    <w:rsid w:val="00FD6BEB"/>
    <w:rsid w:val="00FE0619"/>
    <w:rsid w:val="00FE09D2"/>
    <w:rsid w:val="00FE11DB"/>
    <w:rsid w:val="00FE197C"/>
    <w:rsid w:val="00FE22F4"/>
    <w:rsid w:val="00FE32EC"/>
    <w:rsid w:val="00FE5276"/>
    <w:rsid w:val="00FE5450"/>
    <w:rsid w:val="00FE6755"/>
    <w:rsid w:val="00FE77C3"/>
    <w:rsid w:val="00FE7963"/>
    <w:rsid w:val="00FE7B70"/>
    <w:rsid w:val="00FE7B77"/>
    <w:rsid w:val="00FF0A45"/>
    <w:rsid w:val="00FF0B82"/>
    <w:rsid w:val="00FF0C6B"/>
    <w:rsid w:val="00FF0CC2"/>
    <w:rsid w:val="00FF0F93"/>
    <w:rsid w:val="00FF1043"/>
    <w:rsid w:val="00FF1CF8"/>
    <w:rsid w:val="00FF25DD"/>
    <w:rsid w:val="00FF2638"/>
    <w:rsid w:val="00FF2861"/>
    <w:rsid w:val="00FF2AB7"/>
    <w:rsid w:val="00FF3725"/>
    <w:rsid w:val="00FF403E"/>
    <w:rsid w:val="00FF4241"/>
    <w:rsid w:val="00FF474C"/>
    <w:rsid w:val="00FF546C"/>
    <w:rsid w:val="00FF5702"/>
    <w:rsid w:val="00FF5A32"/>
    <w:rsid w:val="00FF600C"/>
    <w:rsid w:val="00FF6242"/>
    <w:rsid w:val="00FF6A26"/>
    <w:rsid w:val="00FF757A"/>
    <w:rsid w:val="00FF7A4E"/>
    <w:rsid w:val="00FF7BC2"/>
    <w:rsid w:val="00FF7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3649"/>
    <o:shapelayout v:ext="edit">
      <o:idmap v:ext="edit" data="1"/>
    </o:shapelayout>
  </w:shapeDefaults>
  <w:decimalSymbol w:val="."/>
  <w:listSeparator w:val=","/>
  <w14:docId w14:val="703FA197"/>
  <w15:docId w15:val="{E914C419-4B20-4FCC-B556-201CC9BA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95A"/>
    <w:rPr>
      <w:rFonts w:ascii="Arial" w:hAnsi="Arial"/>
      <w:szCs w:val="24"/>
    </w:rPr>
  </w:style>
  <w:style w:type="paragraph" w:styleId="Heading1">
    <w:name w:val="heading 1"/>
    <w:aliases w:val="A Head,H1-Sec.Head"/>
    <w:basedOn w:val="Normal"/>
    <w:next w:val="Normal"/>
    <w:link w:val="Heading1Char"/>
    <w:qFormat/>
    <w:rsid w:val="0005295A"/>
    <w:pPr>
      <w:keepNext/>
      <w:spacing w:after="360"/>
      <w:jc w:val="center"/>
      <w:outlineLvl w:val="0"/>
    </w:pPr>
    <w:rPr>
      <w:b/>
      <w:bCs/>
      <w:kern w:val="32"/>
      <w:sz w:val="32"/>
      <w:szCs w:val="32"/>
    </w:rPr>
  </w:style>
  <w:style w:type="paragraph" w:styleId="Heading2">
    <w:name w:val="heading 2"/>
    <w:aliases w:val="H2-Sec. Head"/>
    <w:basedOn w:val="Normal"/>
    <w:next w:val="Normal"/>
    <w:link w:val="Heading2Char"/>
    <w:qFormat/>
    <w:rsid w:val="00836D67"/>
    <w:pPr>
      <w:keepNext/>
      <w:spacing w:after="360"/>
      <w:jc w:val="center"/>
      <w:outlineLvl w:val="1"/>
    </w:pPr>
    <w:rPr>
      <w:b/>
      <w:i/>
      <w:sz w:val="28"/>
    </w:rPr>
  </w:style>
  <w:style w:type="paragraph" w:styleId="Heading3">
    <w:name w:val="heading 3"/>
    <w:aliases w:val="H3-Sec. Head"/>
    <w:basedOn w:val="Normal"/>
    <w:next w:val="Normal"/>
    <w:link w:val="Heading3Char"/>
    <w:qFormat/>
    <w:rsid w:val="0005295A"/>
    <w:pPr>
      <w:keepNext/>
      <w:spacing w:before="240" w:after="60"/>
      <w:outlineLvl w:val="2"/>
    </w:pPr>
    <w:rPr>
      <w:rFonts w:cs="Arial"/>
      <w:b/>
      <w:bCs/>
      <w:sz w:val="22"/>
      <w:szCs w:val="26"/>
    </w:rPr>
  </w:style>
  <w:style w:type="paragraph" w:styleId="Heading4">
    <w:name w:val="heading 4"/>
    <w:aliases w:val="subhead 3,h4"/>
    <w:basedOn w:val="Normal"/>
    <w:next w:val="Normal"/>
    <w:link w:val="Heading4Char"/>
    <w:qFormat/>
    <w:rsid w:val="00836D67"/>
    <w:pPr>
      <w:keepNext/>
      <w:outlineLvl w:val="3"/>
    </w:pPr>
    <w:rPr>
      <w:b/>
    </w:rPr>
  </w:style>
  <w:style w:type="paragraph" w:styleId="Heading5">
    <w:name w:val="heading 5"/>
    <w:basedOn w:val="Normal"/>
    <w:next w:val="Normal"/>
    <w:link w:val="Heading5Char"/>
    <w:qFormat/>
    <w:rsid w:val="00836D67"/>
    <w:pPr>
      <w:keepNext/>
      <w:ind w:right="360"/>
      <w:outlineLvl w:val="4"/>
    </w:pPr>
    <w:rPr>
      <w:i/>
      <w:iCs/>
    </w:rPr>
  </w:style>
  <w:style w:type="paragraph" w:styleId="Heading6">
    <w:name w:val="heading 6"/>
    <w:basedOn w:val="Normal"/>
    <w:next w:val="Normal"/>
    <w:link w:val="Heading6Char"/>
    <w:qFormat/>
    <w:rsid w:val="00836D67"/>
    <w:pPr>
      <w:keepNext/>
      <w:tabs>
        <w:tab w:val="left" w:pos="360"/>
      </w:tabs>
      <w:outlineLvl w:val="5"/>
    </w:pPr>
    <w:rPr>
      <w:bCs/>
      <w:i/>
    </w:rPr>
  </w:style>
  <w:style w:type="paragraph" w:styleId="Heading7">
    <w:name w:val="heading 7"/>
    <w:basedOn w:val="Normal"/>
    <w:next w:val="Normal"/>
    <w:link w:val="Heading7Char"/>
    <w:qFormat/>
    <w:rsid w:val="00836D67"/>
    <w:pPr>
      <w:keepNext/>
      <w:spacing w:after="240" w:line="600" w:lineRule="exact"/>
      <w:jc w:val="right"/>
      <w:outlineLvl w:val="6"/>
    </w:pPr>
    <w:rPr>
      <w:b/>
      <w:i/>
      <w:smallCaps/>
      <w:sz w:val="48"/>
    </w:rPr>
  </w:style>
  <w:style w:type="paragraph" w:styleId="Heading8">
    <w:name w:val="heading 8"/>
    <w:basedOn w:val="Normal"/>
    <w:next w:val="Normal"/>
    <w:link w:val="Heading8Char"/>
    <w:qFormat/>
    <w:rsid w:val="00BF3DF9"/>
    <w:pPr>
      <w:keepNext/>
      <w:outlineLvl w:val="7"/>
    </w:pPr>
    <w:rPr>
      <w:i/>
    </w:rPr>
  </w:style>
  <w:style w:type="paragraph" w:styleId="Heading9">
    <w:name w:val="heading 9"/>
    <w:basedOn w:val="Normal"/>
    <w:next w:val="Normal"/>
    <w:link w:val="Heading9Char"/>
    <w:qFormat/>
    <w:rsid w:val="00836D67"/>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1"/>
    <w:rsid w:val="0005295A"/>
    <w:pPr>
      <w:spacing w:before="180"/>
    </w:pPr>
    <w:rPr>
      <w:rFonts w:ascii="Arial" w:hAnsi="Arial"/>
      <w:szCs w:val="24"/>
    </w:rPr>
  </w:style>
  <w:style w:type="paragraph" w:customStyle="1" w:styleId="StdText">
    <w:name w:val="Std Text"/>
    <w:basedOn w:val="Body"/>
    <w:rsid w:val="00836D67"/>
    <w:rPr>
      <w:b/>
    </w:rPr>
  </w:style>
  <w:style w:type="paragraph" w:customStyle="1" w:styleId="StdIndent1">
    <w:name w:val="Std Indent 1"/>
    <w:basedOn w:val="StdText"/>
    <w:rsid w:val="00836D67"/>
    <w:pPr>
      <w:ind w:left="1714" w:hanging="994"/>
    </w:pPr>
  </w:style>
  <w:style w:type="paragraph" w:customStyle="1" w:styleId="StdIndent2">
    <w:name w:val="Std Indent 2"/>
    <w:basedOn w:val="StdIndent1"/>
    <w:rsid w:val="00836D67"/>
    <w:pPr>
      <w:ind w:left="2880" w:hanging="1166"/>
    </w:pPr>
  </w:style>
  <w:style w:type="paragraph" w:customStyle="1" w:styleId="SectionHead">
    <w:name w:val="Section Head"/>
    <w:basedOn w:val="Heading1"/>
    <w:rsid w:val="00AC649F"/>
    <w:pPr>
      <w:keepNext w:val="0"/>
      <w:widowControl w:val="0"/>
      <w:spacing w:after="240"/>
    </w:pPr>
  </w:style>
  <w:style w:type="paragraph" w:customStyle="1" w:styleId="StdTitle">
    <w:name w:val="Std Title"/>
    <w:basedOn w:val="SectionHead"/>
    <w:rsid w:val="00836D67"/>
    <w:pPr>
      <w:tabs>
        <w:tab w:val="right" w:pos="9720"/>
      </w:tabs>
      <w:spacing w:after="0"/>
      <w:jc w:val="left"/>
    </w:pPr>
    <w:rPr>
      <w:sz w:val="28"/>
    </w:rPr>
  </w:style>
  <w:style w:type="paragraph" w:customStyle="1" w:styleId="MainHead">
    <w:name w:val="Main Head"/>
    <w:basedOn w:val="SectionHead"/>
    <w:rsid w:val="00836D67"/>
    <w:pPr>
      <w:pBdr>
        <w:bottom w:val="single" w:sz="12" w:space="1" w:color="auto"/>
      </w:pBdr>
      <w:spacing w:before="240" w:after="0"/>
      <w:jc w:val="left"/>
      <w:outlineLvl w:val="2"/>
    </w:pPr>
    <w:rPr>
      <w:sz w:val="24"/>
    </w:rPr>
  </w:style>
  <w:style w:type="paragraph" w:customStyle="1" w:styleId="SubHead">
    <w:name w:val="Sub Head"/>
    <w:basedOn w:val="Heading3"/>
    <w:rsid w:val="00C81902"/>
    <w:pPr>
      <w:pBdr>
        <w:bottom w:val="single" w:sz="6" w:space="2" w:color="auto"/>
      </w:pBdr>
      <w:spacing w:after="0"/>
    </w:pPr>
    <w:rPr>
      <w:szCs w:val="24"/>
    </w:rPr>
  </w:style>
  <w:style w:type="paragraph" w:customStyle="1" w:styleId="AnswerText">
    <w:name w:val="Answer Text"/>
    <w:basedOn w:val="Normal"/>
    <w:rsid w:val="00836D67"/>
    <w:pPr>
      <w:widowControl w:val="0"/>
      <w:tabs>
        <w:tab w:val="left" w:pos="994"/>
        <w:tab w:val="left" w:pos="1627"/>
        <w:tab w:val="left" w:pos="2074"/>
      </w:tabs>
      <w:ind w:left="547"/>
    </w:pPr>
  </w:style>
  <w:style w:type="paragraph" w:customStyle="1" w:styleId="Bullet">
    <w:name w:val="Bullet"/>
    <w:link w:val="BulletChar"/>
    <w:rsid w:val="0005295A"/>
    <w:pPr>
      <w:numPr>
        <w:numId w:val="1"/>
      </w:numPr>
      <w:tabs>
        <w:tab w:val="left" w:pos="576"/>
      </w:tabs>
      <w:spacing w:before="120"/>
      <w:ind w:left="576"/>
    </w:pPr>
    <w:rPr>
      <w:rFonts w:ascii="Arial" w:hAnsi="Arial"/>
      <w:szCs w:val="24"/>
    </w:rPr>
  </w:style>
  <w:style w:type="paragraph" w:customStyle="1" w:styleId="Dash">
    <w:name w:val="Dash"/>
    <w:rsid w:val="0005295A"/>
    <w:pPr>
      <w:numPr>
        <w:numId w:val="2"/>
      </w:numPr>
      <w:spacing w:before="60"/>
    </w:pPr>
    <w:rPr>
      <w:rFonts w:ascii="Arial" w:hAnsi="Arial"/>
      <w:szCs w:val="24"/>
    </w:rPr>
  </w:style>
  <w:style w:type="paragraph" w:customStyle="1" w:styleId="ProcessBullet">
    <w:name w:val="Process Bullet"/>
    <w:link w:val="ProcessBulletChar"/>
    <w:rsid w:val="0005295A"/>
    <w:pPr>
      <w:numPr>
        <w:numId w:val="5"/>
      </w:numPr>
      <w:spacing w:before="120"/>
    </w:pPr>
    <w:rPr>
      <w:rFonts w:ascii="Arial" w:hAnsi="Arial"/>
      <w:szCs w:val="24"/>
    </w:rPr>
  </w:style>
  <w:style w:type="paragraph" w:customStyle="1" w:styleId="ProcessDash">
    <w:name w:val="Process Dash"/>
    <w:rsid w:val="0005295A"/>
    <w:pPr>
      <w:numPr>
        <w:numId w:val="6"/>
      </w:numPr>
      <w:tabs>
        <w:tab w:val="clear" w:pos="432"/>
        <w:tab w:val="left" w:pos="216"/>
      </w:tabs>
      <w:spacing w:before="60"/>
      <w:ind w:left="720" w:hanging="360"/>
    </w:pPr>
    <w:rPr>
      <w:rFonts w:ascii="Arial" w:hAnsi="Arial"/>
      <w:szCs w:val="24"/>
    </w:rPr>
  </w:style>
  <w:style w:type="paragraph" w:customStyle="1" w:styleId="ScoringGuideline">
    <w:name w:val="Scoring Guideline"/>
    <w:basedOn w:val="Heading1"/>
    <w:rsid w:val="00836D67"/>
    <w:pPr>
      <w:spacing w:after="120"/>
    </w:pPr>
    <w:rPr>
      <w:smallCaps/>
    </w:rPr>
  </w:style>
  <w:style w:type="paragraph" w:customStyle="1" w:styleId="StdHead">
    <w:name w:val="Std Head"/>
    <w:basedOn w:val="Heading2"/>
    <w:next w:val="Body"/>
    <w:qFormat/>
    <w:rsid w:val="00AC649F"/>
    <w:pPr>
      <w:widowControl w:val="0"/>
      <w:pBdr>
        <w:top w:val="single" w:sz="6" w:space="2" w:color="auto"/>
        <w:left w:val="single" w:sz="6" w:space="2" w:color="auto"/>
        <w:bottom w:val="single" w:sz="6" w:space="2" w:color="auto"/>
        <w:right w:val="single" w:sz="6" w:space="2" w:color="auto"/>
      </w:pBdr>
      <w:shd w:val="clear" w:color="auto" w:fill="000000"/>
      <w:spacing w:before="360" w:after="0"/>
      <w:jc w:val="left"/>
    </w:pPr>
    <w:rPr>
      <w:i w:val="0"/>
      <w:sz w:val="22"/>
      <w:szCs w:val="28"/>
    </w:rPr>
  </w:style>
  <w:style w:type="paragraph" w:styleId="BodyTextIndent2">
    <w:name w:val="Body Text Indent 2"/>
    <w:basedOn w:val="Normal"/>
    <w:link w:val="BodyTextIndent2Char"/>
    <w:rsid w:val="00836D67"/>
    <w:pPr>
      <w:numPr>
        <w:ilvl w:val="12"/>
      </w:numPr>
      <w:spacing w:after="240" w:line="260" w:lineRule="exact"/>
      <w:ind w:left="360"/>
    </w:pPr>
    <w:rPr>
      <w:snapToGrid w:val="0"/>
    </w:rPr>
  </w:style>
  <w:style w:type="paragraph" w:styleId="Header">
    <w:name w:val="header"/>
    <w:link w:val="HeaderChar"/>
    <w:uiPriority w:val="99"/>
    <w:rsid w:val="0005295A"/>
    <w:pPr>
      <w:pBdr>
        <w:bottom w:val="single" w:sz="6" w:space="1" w:color="auto"/>
      </w:pBdr>
      <w:tabs>
        <w:tab w:val="right" w:pos="9000"/>
        <w:tab w:val="right" w:pos="9720"/>
      </w:tabs>
      <w:spacing w:before="120" w:after="360"/>
    </w:pPr>
    <w:rPr>
      <w:rFonts w:ascii="Arial" w:hAnsi="Arial"/>
      <w:b/>
      <w:i/>
      <w:szCs w:val="24"/>
    </w:rPr>
  </w:style>
  <w:style w:type="paragraph" w:styleId="Footer">
    <w:name w:val="footer"/>
    <w:basedOn w:val="Normal"/>
    <w:link w:val="FooterChar"/>
    <w:rsid w:val="0005295A"/>
    <w:pPr>
      <w:pBdr>
        <w:top w:val="single" w:sz="8" w:space="1" w:color="auto"/>
      </w:pBdr>
      <w:tabs>
        <w:tab w:val="right" w:pos="9720"/>
      </w:tabs>
      <w:spacing w:before="240" w:after="120" w:line="260" w:lineRule="exact"/>
    </w:pPr>
    <w:rPr>
      <w:b/>
      <w:szCs w:val="20"/>
    </w:rPr>
  </w:style>
  <w:style w:type="paragraph" w:customStyle="1" w:styleId="StandardTitle">
    <w:name w:val="Standard Title"/>
    <w:basedOn w:val="MainHead"/>
    <w:rsid w:val="00836D67"/>
    <w:pPr>
      <w:pBdr>
        <w:bottom w:val="none" w:sz="0" w:space="0" w:color="auto"/>
      </w:pBdr>
      <w:spacing w:before="0"/>
    </w:pPr>
    <w:rPr>
      <w:sz w:val="28"/>
    </w:rPr>
  </w:style>
  <w:style w:type="paragraph" w:customStyle="1" w:styleId="TableHead">
    <w:name w:val="Table Head"/>
    <w:link w:val="TableHeadChar"/>
    <w:rsid w:val="0005295A"/>
    <w:pPr>
      <w:spacing w:before="40" w:after="40" w:line="200" w:lineRule="exact"/>
      <w:jc w:val="center"/>
    </w:pPr>
    <w:rPr>
      <w:rFonts w:ascii="Arial Narrow" w:hAnsi="Arial Narrow"/>
      <w:b/>
      <w:color w:val="FFFFFF"/>
    </w:rPr>
  </w:style>
  <w:style w:type="paragraph" w:customStyle="1" w:styleId="MoreInfo">
    <w:name w:val="More Info"/>
    <w:basedOn w:val="Normal"/>
    <w:rsid w:val="00836D67"/>
    <w:pPr>
      <w:spacing w:before="240"/>
      <w:jc w:val="center"/>
    </w:pPr>
    <w:rPr>
      <w:b/>
      <w:i/>
    </w:rPr>
  </w:style>
  <w:style w:type="paragraph" w:customStyle="1" w:styleId="Note">
    <w:name w:val="Note"/>
    <w:link w:val="NoteChar"/>
    <w:rsid w:val="0005295A"/>
    <w:pPr>
      <w:spacing w:before="120"/>
    </w:pPr>
    <w:rPr>
      <w:rFonts w:ascii="Arial" w:hAnsi="Arial"/>
      <w:i/>
      <w:szCs w:val="24"/>
    </w:rPr>
  </w:style>
  <w:style w:type="paragraph" w:customStyle="1" w:styleId="StdIndent3">
    <w:name w:val="Std Indent 3"/>
    <w:basedOn w:val="StdIndent2"/>
    <w:rsid w:val="00836D67"/>
    <w:pPr>
      <w:ind w:left="4046"/>
    </w:pPr>
  </w:style>
  <w:style w:type="paragraph" w:customStyle="1" w:styleId="TableText">
    <w:name w:val="Table Text"/>
    <w:link w:val="TableTextChar"/>
    <w:rsid w:val="0005295A"/>
    <w:pPr>
      <w:spacing w:before="40" w:after="40" w:line="200" w:lineRule="exact"/>
    </w:pPr>
    <w:rPr>
      <w:rFonts w:ascii="Arial Narrow" w:hAnsi="Arial Narrow"/>
      <w:szCs w:val="19"/>
    </w:rPr>
  </w:style>
  <w:style w:type="paragraph" w:customStyle="1" w:styleId="StdIndent4">
    <w:name w:val="Std Indent 4"/>
    <w:basedOn w:val="StdIndent3"/>
    <w:rsid w:val="00836D67"/>
    <w:pPr>
      <w:ind w:left="5400" w:hanging="1354"/>
    </w:pPr>
  </w:style>
  <w:style w:type="paragraph" w:customStyle="1" w:styleId="IndentBullet">
    <w:name w:val="Indent Bullet"/>
    <w:basedOn w:val="Body"/>
    <w:rsid w:val="00836D67"/>
    <w:pPr>
      <w:tabs>
        <w:tab w:val="num" w:pos="360"/>
      </w:tabs>
      <w:spacing w:before="20" w:after="20"/>
      <w:ind w:left="993" w:hanging="187"/>
    </w:pPr>
  </w:style>
  <w:style w:type="paragraph" w:customStyle="1" w:styleId="TableBullet">
    <w:name w:val="Table Bullet"/>
    <w:link w:val="TableBulletChar"/>
    <w:rsid w:val="00217CD7"/>
    <w:pPr>
      <w:numPr>
        <w:numId w:val="3"/>
      </w:numPr>
      <w:tabs>
        <w:tab w:val="clear" w:pos="306"/>
      </w:tabs>
      <w:spacing w:before="40" w:after="40" w:line="200" w:lineRule="exact"/>
      <w:ind w:left="158" w:hanging="158"/>
    </w:pPr>
    <w:rPr>
      <w:rFonts w:ascii="Arial Narrow" w:hAnsi="Arial Narrow"/>
      <w:szCs w:val="24"/>
    </w:rPr>
  </w:style>
  <w:style w:type="character" w:styleId="Hyperlink">
    <w:name w:val="Hyperlink"/>
    <w:basedOn w:val="DefaultParagraphFont"/>
    <w:uiPriority w:val="99"/>
    <w:rsid w:val="000B554F"/>
    <w:rPr>
      <w:color w:val="0000FF"/>
      <w:u w:val="single"/>
    </w:rPr>
  </w:style>
  <w:style w:type="paragraph" w:customStyle="1" w:styleId="IndentNormal">
    <w:name w:val="Indent Normal"/>
    <w:basedOn w:val="Normal"/>
    <w:next w:val="Normal"/>
    <w:rsid w:val="00836D67"/>
    <w:pPr>
      <w:spacing w:before="60" w:after="60"/>
    </w:pPr>
  </w:style>
  <w:style w:type="character" w:styleId="FootnoteReference">
    <w:name w:val="footnote reference"/>
    <w:basedOn w:val="DefaultParagraphFont"/>
    <w:rsid w:val="00836D67"/>
    <w:rPr>
      <w:vertAlign w:val="superscript"/>
    </w:rPr>
  </w:style>
  <w:style w:type="paragraph" w:styleId="TOC1">
    <w:name w:val="toc 1"/>
    <w:basedOn w:val="Normal"/>
    <w:next w:val="Normal"/>
    <w:autoRedefine/>
    <w:uiPriority w:val="39"/>
    <w:rsid w:val="002300AB"/>
    <w:pPr>
      <w:tabs>
        <w:tab w:val="right" w:leader="dot" w:pos="9710"/>
      </w:tabs>
      <w:spacing w:before="120"/>
    </w:pPr>
  </w:style>
  <w:style w:type="paragraph" w:styleId="FootnoteText">
    <w:name w:val="footnote text"/>
    <w:aliases w:val="F1"/>
    <w:basedOn w:val="Normal"/>
    <w:link w:val="FootnoteTextChar"/>
    <w:rsid w:val="00836D67"/>
    <w:rPr>
      <w:rFonts w:ascii="CG Times" w:hAnsi="CG Times"/>
    </w:rPr>
  </w:style>
  <w:style w:type="paragraph" w:customStyle="1" w:styleId="StyleMarginSubheadItalic">
    <w:name w:val="Style Margin Subhead + Italic"/>
    <w:basedOn w:val="MarginSubhead"/>
    <w:rsid w:val="00836D67"/>
    <w:pPr>
      <w:ind w:left="0"/>
    </w:pPr>
    <w:rPr>
      <w:bCs/>
      <w:i/>
      <w:iCs/>
    </w:rPr>
  </w:style>
  <w:style w:type="paragraph" w:customStyle="1" w:styleId="MarginSubhead">
    <w:name w:val="Margin Subhead"/>
    <w:rsid w:val="0005295A"/>
    <w:pPr>
      <w:spacing w:before="180"/>
      <w:ind w:left="216"/>
    </w:pPr>
    <w:rPr>
      <w:rFonts w:ascii="Arial" w:hAnsi="Arial"/>
      <w:b/>
      <w:szCs w:val="24"/>
    </w:rPr>
  </w:style>
  <w:style w:type="paragraph" w:customStyle="1" w:styleId="Footnote">
    <w:name w:val="Footnote"/>
    <w:basedOn w:val="Normal"/>
    <w:rsid w:val="00836D67"/>
    <w:pPr>
      <w:spacing w:line="220" w:lineRule="exact"/>
      <w:jc w:val="center"/>
    </w:pPr>
    <w:rPr>
      <w:rFonts w:ascii="Arial Narrow Bold" w:hAnsi="Arial Narrow Bold"/>
      <w:b/>
      <w:color w:val="FFFFFF"/>
    </w:rPr>
  </w:style>
  <w:style w:type="paragraph" w:customStyle="1" w:styleId="MarginHead">
    <w:name w:val="Margin Head"/>
    <w:rsid w:val="0005295A"/>
    <w:pPr>
      <w:spacing w:before="180"/>
    </w:pPr>
    <w:rPr>
      <w:rFonts w:ascii="Arial" w:hAnsi="Arial"/>
      <w:b/>
      <w:sz w:val="22"/>
      <w:szCs w:val="24"/>
    </w:rPr>
  </w:style>
  <w:style w:type="paragraph" w:styleId="MessageHeader">
    <w:name w:val="Message Header"/>
    <w:basedOn w:val="Normal"/>
    <w:link w:val="MessageHeaderChar"/>
    <w:rsid w:val="00836D67"/>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styleId="LineNumber">
    <w:name w:val="line number"/>
    <w:basedOn w:val="DefaultParagraphFont"/>
    <w:rsid w:val="00836D67"/>
  </w:style>
  <w:style w:type="paragraph" w:styleId="BodyText">
    <w:name w:val="Body Text"/>
    <w:basedOn w:val="Normal"/>
    <w:link w:val="BodyTextChar"/>
    <w:rsid w:val="00836D67"/>
    <w:rPr>
      <w:b/>
      <w:sz w:val="40"/>
    </w:rPr>
  </w:style>
  <w:style w:type="character" w:styleId="FollowedHyperlink">
    <w:name w:val="FollowedHyperlink"/>
    <w:basedOn w:val="DefaultParagraphFont"/>
    <w:uiPriority w:val="99"/>
    <w:rsid w:val="00836D67"/>
    <w:rPr>
      <w:color w:val="800080"/>
      <w:u w:val="single"/>
    </w:rPr>
  </w:style>
  <w:style w:type="paragraph" w:customStyle="1" w:styleId="ElementNumber">
    <w:name w:val="Element Number"/>
    <w:basedOn w:val="Body"/>
    <w:rsid w:val="00836D67"/>
    <w:pPr>
      <w:ind w:left="720" w:hanging="360"/>
    </w:pPr>
    <w:rPr>
      <w:b/>
    </w:rPr>
  </w:style>
  <w:style w:type="paragraph" w:customStyle="1" w:styleId="Question">
    <w:name w:val="Question"/>
    <w:basedOn w:val="Normal"/>
    <w:rsid w:val="00836D67"/>
    <w:pPr>
      <w:widowControl w:val="0"/>
      <w:tabs>
        <w:tab w:val="left" w:pos="547"/>
      </w:tabs>
      <w:spacing w:before="240" w:after="120"/>
      <w:ind w:left="547" w:hanging="547"/>
    </w:pPr>
    <w:rPr>
      <w:b/>
    </w:rPr>
  </w:style>
  <w:style w:type="paragraph" w:customStyle="1" w:styleId="QuestionText">
    <w:name w:val="Question Text"/>
    <w:basedOn w:val="Question"/>
    <w:rsid w:val="00836D67"/>
    <w:pPr>
      <w:spacing w:before="120" w:after="0"/>
      <w:ind w:left="0" w:firstLine="0"/>
    </w:pPr>
  </w:style>
  <w:style w:type="paragraph" w:customStyle="1" w:styleId="ColumnHead">
    <w:name w:val="Column Head"/>
    <w:basedOn w:val="Normal"/>
    <w:rsid w:val="00836D67"/>
    <w:pPr>
      <w:pBdr>
        <w:bottom w:val="single" w:sz="12" w:space="1" w:color="auto"/>
      </w:pBdr>
      <w:jc w:val="center"/>
    </w:pPr>
    <w:rPr>
      <w:b/>
      <w:sz w:val="26"/>
    </w:rPr>
  </w:style>
  <w:style w:type="paragraph" w:customStyle="1" w:styleId="SUbhead0">
    <w:name w:val="SUbhead"/>
    <w:basedOn w:val="Note"/>
    <w:rsid w:val="00836D67"/>
    <w:rPr>
      <w:b/>
    </w:rPr>
  </w:style>
  <w:style w:type="paragraph" w:styleId="BodyTextIndent">
    <w:name w:val="Body Text Indent"/>
    <w:basedOn w:val="Normal"/>
    <w:link w:val="BodyTextIndentChar"/>
    <w:rsid w:val="00836D67"/>
    <w:pPr>
      <w:tabs>
        <w:tab w:val="right" w:leader="dot" w:pos="9720"/>
      </w:tabs>
      <w:ind w:left="1260" w:hanging="180"/>
    </w:pPr>
  </w:style>
  <w:style w:type="paragraph" w:customStyle="1" w:styleId="TableDash">
    <w:name w:val="Table Dash"/>
    <w:rsid w:val="0005295A"/>
    <w:pPr>
      <w:numPr>
        <w:numId w:val="4"/>
      </w:numPr>
      <w:tabs>
        <w:tab w:val="clear" w:pos="432"/>
      </w:tabs>
      <w:ind w:left="374" w:hanging="158"/>
    </w:pPr>
    <w:rPr>
      <w:rFonts w:ascii="Arial Narrow" w:hAnsi="Arial Narrow"/>
      <w:szCs w:val="24"/>
    </w:rPr>
  </w:style>
  <w:style w:type="paragraph" w:customStyle="1" w:styleId="TOCtext">
    <w:name w:val="TOC text"/>
    <w:basedOn w:val="Normal"/>
    <w:rsid w:val="00836D67"/>
    <w:pPr>
      <w:tabs>
        <w:tab w:val="right" w:leader="dot" w:pos="9720"/>
      </w:tabs>
      <w:ind w:left="540"/>
    </w:pPr>
  </w:style>
  <w:style w:type="character" w:customStyle="1" w:styleId="StyleMarginSubheadItalicChar">
    <w:name w:val="Style Margin Subhead + Italic Char"/>
    <w:basedOn w:val="DefaultParagraphFont"/>
    <w:rsid w:val="00836D67"/>
    <w:rPr>
      <w:rFonts w:ascii="Arial" w:hAnsi="Arial"/>
      <w:b/>
      <w:bCs/>
      <w:i/>
      <w:iCs/>
      <w:noProof w:val="0"/>
      <w:sz w:val="22"/>
      <w:lang w:val="en-US" w:eastAsia="en-US" w:bidi="ar-SA"/>
    </w:rPr>
  </w:style>
  <w:style w:type="paragraph" w:customStyle="1" w:styleId="StyleMarginHeadBefore0pt">
    <w:name w:val="Style Margin Head + Before:  0 pt"/>
    <w:basedOn w:val="MarginHead"/>
    <w:rsid w:val="00836D67"/>
    <w:pPr>
      <w:spacing w:before="0"/>
    </w:pPr>
    <w:rPr>
      <w:bCs/>
    </w:rPr>
  </w:style>
  <w:style w:type="paragraph" w:customStyle="1" w:styleId="StyleTableBullet11">
    <w:name w:val="Style Table Bullet + 11"/>
    <w:basedOn w:val="TableBullet"/>
    <w:rsid w:val="0086582E"/>
    <w:pPr>
      <w:numPr>
        <w:numId w:val="0"/>
      </w:numPr>
      <w:spacing w:line="220" w:lineRule="exact"/>
    </w:pPr>
    <w:rPr>
      <w:sz w:val="22"/>
    </w:rPr>
  </w:style>
  <w:style w:type="character" w:styleId="PageNumber">
    <w:name w:val="page number"/>
    <w:basedOn w:val="DefaultParagraphFont"/>
    <w:rsid w:val="00836D67"/>
  </w:style>
  <w:style w:type="paragraph" w:styleId="BalloonText">
    <w:name w:val="Balloon Text"/>
    <w:basedOn w:val="Normal"/>
    <w:link w:val="BalloonTextChar"/>
    <w:uiPriority w:val="99"/>
    <w:semiHidden/>
    <w:rsid w:val="00836D67"/>
    <w:rPr>
      <w:rFonts w:ascii="Tahoma" w:hAnsi="Tahoma" w:cs="Tahoma"/>
      <w:sz w:val="16"/>
      <w:szCs w:val="16"/>
    </w:rPr>
  </w:style>
  <w:style w:type="paragraph" w:styleId="CommentText">
    <w:name w:val="annotation text"/>
    <w:basedOn w:val="Normal"/>
    <w:link w:val="CommentTextChar"/>
    <w:rsid w:val="00836D67"/>
  </w:style>
  <w:style w:type="character" w:styleId="CommentReference">
    <w:name w:val="annotation reference"/>
    <w:basedOn w:val="DefaultParagraphFont"/>
    <w:uiPriority w:val="99"/>
    <w:semiHidden/>
    <w:rsid w:val="00836D67"/>
    <w:rPr>
      <w:sz w:val="16"/>
      <w:szCs w:val="16"/>
    </w:rPr>
  </w:style>
  <w:style w:type="character" w:customStyle="1" w:styleId="BodyChar">
    <w:name w:val="Body Char"/>
    <w:basedOn w:val="DefaultParagraphFont"/>
    <w:rsid w:val="00836D67"/>
    <w:rPr>
      <w:rFonts w:ascii="Arial" w:hAnsi="Arial"/>
      <w:szCs w:val="24"/>
      <w:lang w:val="en-US" w:eastAsia="en-US" w:bidi="ar-SA"/>
    </w:rPr>
  </w:style>
  <w:style w:type="paragraph" w:styleId="CommentSubject">
    <w:name w:val="annotation subject"/>
    <w:basedOn w:val="CommentText"/>
    <w:next w:val="CommentText"/>
    <w:link w:val="CommentSubjectChar"/>
    <w:uiPriority w:val="99"/>
    <w:semiHidden/>
    <w:rsid w:val="00836D67"/>
    <w:rPr>
      <w:b/>
      <w:bCs/>
      <w:szCs w:val="20"/>
    </w:rPr>
  </w:style>
  <w:style w:type="table" w:styleId="TableGrid">
    <w:name w:val="Table Grid"/>
    <w:basedOn w:val="TableNormal"/>
    <w:uiPriority w:val="59"/>
    <w:rsid w:val="00EE63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extChar">
    <w:name w:val="Table Text Char"/>
    <w:basedOn w:val="DefaultParagraphFont"/>
    <w:link w:val="TableText"/>
    <w:rsid w:val="003845BE"/>
    <w:rPr>
      <w:rFonts w:ascii="Arial Narrow" w:hAnsi="Arial Narrow"/>
      <w:szCs w:val="19"/>
    </w:rPr>
  </w:style>
  <w:style w:type="character" w:customStyle="1" w:styleId="NoteChar">
    <w:name w:val="Note Char"/>
    <w:basedOn w:val="DefaultParagraphFont"/>
    <w:link w:val="Note"/>
    <w:rsid w:val="00405E0F"/>
    <w:rPr>
      <w:rFonts w:ascii="Arial" w:hAnsi="Arial"/>
      <w:i/>
      <w:szCs w:val="24"/>
    </w:rPr>
  </w:style>
  <w:style w:type="character" w:customStyle="1" w:styleId="BulletChar">
    <w:name w:val="Bullet Char"/>
    <w:basedOn w:val="DefaultParagraphFont"/>
    <w:link w:val="Bullet"/>
    <w:rsid w:val="0022566A"/>
    <w:rPr>
      <w:rFonts w:ascii="Arial" w:hAnsi="Arial"/>
      <w:szCs w:val="24"/>
    </w:rPr>
  </w:style>
  <w:style w:type="character" w:customStyle="1" w:styleId="ProcessBulletChar">
    <w:name w:val="Process Bullet Char"/>
    <w:basedOn w:val="DefaultParagraphFont"/>
    <w:link w:val="ProcessBullet"/>
    <w:rsid w:val="0022566A"/>
    <w:rPr>
      <w:rFonts w:ascii="Arial" w:hAnsi="Arial"/>
      <w:szCs w:val="24"/>
    </w:rPr>
  </w:style>
  <w:style w:type="character" w:customStyle="1" w:styleId="BodyChar1">
    <w:name w:val="Body Char1"/>
    <w:basedOn w:val="DefaultParagraphFont"/>
    <w:link w:val="Body"/>
    <w:rsid w:val="006B256D"/>
    <w:rPr>
      <w:rFonts w:ascii="Arial" w:hAnsi="Arial"/>
      <w:szCs w:val="24"/>
    </w:rPr>
  </w:style>
  <w:style w:type="paragraph" w:customStyle="1" w:styleId="StyleTableHeadArialNarrow">
    <w:name w:val="Style Table Head + Arial Narrow"/>
    <w:basedOn w:val="TableHead"/>
    <w:link w:val="StyleTableHeadArialNarrowChar"/>
    <w:rsid w:val="008411EF"/>
    <w:rPr>
      <w:bCs/>
    </w:rPr>
  </w:style>
  <w:style w:type="paragraph" w:styleId="Date">
    <w:name w:val="Date"/>
    <w:basedOn w:val="Normal"/>
    <w:next w:val="Normal"/>
    <w:link w:val="DateChar"/>
    <w:rsid w:val="009D7272"/>
  </w:style>
  <w:style w:type="character" w:customStyle="1" w:styleId="StyleTableHeadArialNarrowChar">
    <w:name w:val="Style Table Head + Arial Narrow Char"/>
    <w:basedOn w:val="DefaultParagraphFont"/>
    <w:link w:val="StyleTableHeadArialNarrow"/>
    <w:rsid w:val="008411EF"/>
    <w:rPr>
      <w:rFonts w:ascii="Arial Narrow" w:hAnsi="Arial Narrow"/>
      <w:b/>
      <w:bCs/>
      <w:color w:val="FFFFFF"/>
      <w:lang w:val="en-US" w:eastAsia="en-US" w:bidi="ar-SA"/>
    </w:rPr>
  </w:style>
  <w:style w:type="character" w:customStyle="1" w:styleId="TableHeadChar">
    <w:name w:val="Table Head Char"/>
    <w:basedOn w:val="DefaultParagraphFont"/>
    <w:link w:val="TableHead"/>
    <w:rsid w:val="008411EF"/>
    <w:rPr>
      <w:rFonts w:ascii="Arial Narrow" w:hAnsi="Arial Narrow"/>
      <w:b/>
      <w:color w:val="FFFFFF"/>
    </w:rPr>
  </w:style>
  <w:style w:type="character" w:customStyle="1" w:styleId="TableBulletChar">
    <w:name w:val="Table Bullet Char"/>
    <w:basedOn w:val="DefaultParagraphFont"/>
    <w:link w:val="TableBullet"/>
    <w:rsid w:val="00217CD7"/>
    <w:rPr>
      <w:rFonts w:ascii="Arial Narrow" w:hAnsi="Arial Narrow"/>
      <w:szCs w:val="24"/>
    </w:rPr>
  </w:style>
  <w:style w:type="paragraph" w:styleId="ListParagraph">
    <w:name w:val="List Paragraph"/>
    <w:basedOn w:val="Normal"/>
    <w:uiPriority w:val="34"/>
    <w:qFormat/>
    <w:rsid w:val="00A0280B"/>
    <w:pPr>
      <w:ind w:left="720"/>
    </w:pPr>
  </w:style>
  <w:style w:type="character" w:customStyle="1" w:styleId="BodyTextChar">
    <w:name w:val="Body Text Char"/>
    <w:basedOn w:val="DefaultParagraphFont"/>
    <w:link w:val="BodyText"/>
    <w:rsid w:val="00187F6D"/>
    <w:rPr>
      <w:b/>
      <w:sz w:val="40"/>
      <w:szCs w:val="24"/>
    </w:rPr>
  </w:style>
  <w:style w:type="character" w:customStyle="1" w:styleId="BodyTextIndentChar">
    <w:name w:val="Body Text Indent Char"/>
    <w:basedOn w:val="DefaultParagraphFont"/>
    <w:link w:val="BodyTextIndent"/>
    <w:rsid w:val="00187F6D"/>
    <w:rPr>
      <w:sz w:val="22"/>
      <w:szCs w:val="24"/>
    </w:rPr>
  </w:style>
  <w:style w:type="paragraph" w:styleId="Revision">
    <w:name w:val="Revision"/>
    <w:hidden/>
    <w:uiPriority w:val="99"/>
    <w:semiHidden/>
    <w:rsid w:val="00A82E4B"/>
    <w:rPr>
      <w:rFonts w:ascii="Arial" w:hAnsi="Arial"/>
      <w:szCs w:val="24"/>
    </w:rPr>
  </w:style>
  <w:style w:type="character" w:customStyle="1" w:styleId="Heading1Char">
    <w:name w:val="Heading 1 Char"/>
    <w:aliases w:val="A Head Char,H1-Sec.Head Char"/>
    <w:basedOn w:val="DefaultParagraphFont"/>
    <w:link w:val="Heading1"/>
    <w:rsid w:val="0005295A"/>
    <w:rPr>
      <w:rFonts w:ascii="Arial" w:hAnsi="Arial"/>
      <w:b/>
      <w:bCs/>
      <w:kern w:val="32"/>
      <w:sz w:val="32"/>
      <w:szCs w:val="32"/>
    </w:rPr>
  </w:style>
  <w:style w:type="character" w:customStyle="1" w:styleId="Heading3Char">
    <w:name w:val="Heading 3 Char"/>
    <w:aliases w:val="H3-Sec. Head Char"/>
    <w:basedOn w:val="DefaultParagraphFont"/>
    <w:link w:val="Heading3"/>
    <w:rsid w:val="00067E0E"/>
    <w:rPr>
      <w:rFonts w:ascii="Arial" w:hAnsi="Arial" w:cs="Arial"/>
      <w:b/>
      <w:bCs/>
      <w:sz w:val="22"/>
      <w:szCs w:val="26"/>
    </w:rPr>
  </w:style>
  <w:style w:type="character" w:customStyle="1" w:styleId="BodyTextIndent2Char">
    <w:name w:val="Body Text Indent 2 Char"/>
    <w:basedOn w:val="DefaultParagraphFont"/>
    <w:link w:val="BodyTextIndent2"/>
    <w:rsid w:val="003428D6"/>
    <w:rPr>
      <w:rFonts w:ascii="Arial" w:hAnsi="Arial"/>
      <w:snapToGrid w:val="0"/>
      <w:sz w:val="22"/>
      <w:szCs w:val="24"/>
    </w:rPr>
  </w:style>
  <w:style w:type="character" w:customStyle="1" w:styleId="HeaderChar">
    <w:name w:val="Header Char"/>
    <w:basedOn w:val="DefaultParagraphFont"/>
    <w:link w:val="Header"/>
    <w:uiPriority w:val="99"/>
    <w:rsid w:val="003428D6"/>
    <w:rPr>
      <w:rFonts w:ascii="Arial" w:hAnsi="Arial"/>
      <w:b/>
      <w:i/>
      <w:szCs w:val="24"/>
    </w:rPr>
  </w:style>
  <w:style w:type="character" w:customStyle="1" w:styleId="CommentTextChar">
    <w:name w:val="Comment Text Char"/>
    <w:basedOn w:val="DefaultParagraphFont"/>
    <w:link w:val="CommentText"/>
    <w:rsid w:val="003428D6"/>
    <w:rPr>
      <w:rFonts w:ascii="Arial" w:hAnsi="Arial"/>
      <w:szCs w:val="24"/>
    </w:rPr>
  </w:style>
  <w:style w:type="paragraph" w:customStyle="1" w:styleId="Breakpage">
    <w:name w:val="Break page"/>
    <w:basedOn w:val="Body"/>
    <w:link w:val="BreakpageChar"/>
    <w:qFormat/>
    <w:rsid w:val="0005295A"/>
    <w:pPr>
      <w:spacing w:before="0"/>
      <w:jc w:val="right"/>
    </w:pPr>
    <w:rPr>
      <w:b/>
      <w:sz w:val="48"/>
    </w:rPr>
  </w:style>
  <w:style w:type="paragraph" w:customStyle="1" w:styleId="BulletBefore0pt">
    <w:name w:val="Bullet + Before:  0 pt"/>
    <w:basedOn w:val="Bullet"/>
    <w:rsid w:val="00B126EA"/>
    <w:pPr>
      <w:numPr>
        <w:numId w:val="0"/>
      </w:numPr>
      <w:tabs>
        <w:tab w:val="left" w:pos="576"/>
      </w:tabs>
      <w:spacing w:before="0"/>
      <w:ind w:left="576" w:hanging="216"/>
    </w:pPr>
  </w:style>
  <w:style w:type="paragraph" w:styleId="PlainText">
    <w:name w:val="Plain Text"/>
    <w:basedOn w:val="Normal"/>
    <w:link w:val="PlainTextChar"/>
    <w:uiPriority w:val="99"/>
    <w:unhideWhenUsed/>
    <w:rsid w:val="006A5A36"/>
    <w:rPr>
      <w:rFonts w:ascii="Consolas" w:eastAsia="Calibri" w:hAnsi="Consolas"/>
      <w:sz w:val="21"/>
      <w:szCs w:val="21"/>
    </w:rPr>
  </w:style>
  <w:style w:type="character" w:customStyle="1" w:styleId="PlainTextChar">
    <w:name w:val="Plain Text Char"/>
    <w:basedOn w:val="DefaultParagraphFont"/>
    <w:link w:val="PlainText"/>
    <w:uiPriority w:val="99"/>
    <w:rsid w:val="006A5A36"/>
    <w:rPr>
      <w:rFonts w:ascii="Consolas" w:eastAsia="Calibri" w:hAnsi="Consolas"/>
      <w:sz w:val="21"/>
      <w:szCs w:val="21"/>
    </w:rPr>
  </w:style>
  <w:style w:type="paragraph" w:customStyle="1" w:styleId="Memo">
    <w:name w:val="Memo"/>
    <w:basedOn w:val="Body"/>
    <w:rsid w:val="0005295A"/>
    <w:rPr>
      <w:rFonts w:ascii="Times New Roman" w:hAnsi="Times New Roman"/>
      <w:sz w:val="24"/>
    </w:rPr>
  </w:style>
  <w:style w:type="paragraph" w:customStyle="1" w:styleId="Letter">
    <w:name w:val="Letter"/>
    <w:qFormat/>
    <w:rsid w:val="00047AC1"/>
    <w:pPr>
      <w:spacing w:before="180"/>
    </w:pPr>
    <w:rPr>
      <w:sz w:val="24"/>
      <w:szCs w:val="24"/>
    </w:rPr>
  </w:style>
  <w:style w:type="paragraph" w:styleId="NoSpacing">
    <w:name w:val="No Spacing"/>
    <w:uiPriority w:val="1"/>
    <w:qFormat/>
    <w:rsid w:val="0096074B"/>
    <w:rPr>
      <w:sz w:val="24"/>
      <w:szCs w:val="24"/>
    </w:rPr>
  </w:style>
  <w:style w:type="paragraph" w:customStyle="1" w:styleId="Default">
    <w:name w:val="Default"/>
    <w:rsid w:val="00A048C1"/>
    <w:pPr>
      <w:autoSpaceDE w:val="0"/>
      <w:autoSpaceDN w:val="0"/>
      <w:adjustRightInd w:val="0"/>
    </w:pPr>
    <w:rPr>
      <w:rFonts w:ascii="Arial" w:hAnsi="Arial" w:cs="Arial"/>
      <w:color w:val="000000"/>
      <w:sz w:val="24"/>
      <w:szCs w:val="24"/>
    </w:rPr>
  </w:style>
  <w:style w:type="character" w:customStyle="1" w:styleId="FooterChar">
    <w:name w:val="Footer Char"/>
    <w:basedOn w:val="DefaultParagraphFont"/>
    <w:link w:val="Footer"/>
    <w:rsid w:val="00E16576"/>
    <w:rPr>
      <w:rFonts w:ascii="Arial" w:hAnsi="Arial"/>
      <w:b/>
    </w:rPr>
  </w:style>
  <w:style w:type="paragraph" w:customStyle="1" w:styleId="ElementHead">
    <w:name w:val="Element Head"/>
    <w:basedOn w:val="MainHead"/>
    <w:rsid w:val="002A7B9B"/>
    <w:pPr>
      <w:widowControl/>
      <w:pBdr>
        <w:bottom w:val="none" w:sz="0" w:space="0" w:color="auto"/>
      </w:pBdr>
      <w:spacing w:before="180"/>
    </w:pPr>
    <w:rPr>
      <w:i/>
      <w:sz w:val="20"/>
    </w:rPr>
  </w:style>
  <w:style w:type="paragraph" w:customStyle="1" w:styleId="TableText2">
    <w:name w:val="Table Text 2"/>
    <w:basedOn w:val="Normal"/>
    <w:rsid w:val="002A7B9B"/>
    <w:pPr>
      <w:spacing w:before="40" w:after="40" w:line="200" w:lineRule="exact"/>
    </w:pPr>
    <w:rPr>
      <w:rFonts w:ascii="Arial Narrow" w:hAnsi="Arial Narrow"/>
      <w:sz w:val="19"/>
    </w:rPr>
  </w:style>
  <w:style w:type="paragraph" w:customStyle="1" w:styleId="TableHead2">
    <w:name w:val="Table Head 2"/>
    <w:basedOn w:val="TableText2"/>
    <w:rsid w:val="002A7B9B"/>
    <w:pPr>
      <w:spacing w:before="0" w:after="0" w:line="220" w:lineRule="exact"/>
      <w:jc w:val="center"/>
    </w:pPr>
    <w:rPr>
      <w:rFonts w:ascii="Arial Narrow Bold" w:hAnsi="Arial Narrow Bold"/>
      <w:b/>
      <w:color w:val="FFFFFF"/>
      <w:sz w:val="20"/>
    </w:rPr>
  </w:style>
  <w:style w:type="paragraph" w:customStyle="1" w:styleId="TableBullet2">
    <w:name w:val="Table Bullet 2"/>
    <w:basedOn w:val="TableText2"/>
    <w:rsid w:val="002A7B9B"/>
    <w:pPr>
      <w:ind w:left="158" w:hanging="158"/>
    </w:pPr>
  </w:style>
  <w:style w:type="paragraph" w:customStyle="1" w:styleId="RqtText">
    <w:name w:val="Rqt Text"/>
    <w:basedOn w:val="StdText"/>
    <w:rsid w:val="002A7B9B"/>
  </w:style>
  <w:style w:type="paragraph" w:customStyle="1" w:styleId="RqtBox">
    <w:name w:val="Rqt Box"/>
    <w:basedOn w:val="RqtText"/>
    <w:rsid w:val="002A7B9B"/>
    <w:pPr>
      <w:spacing w:before="120"/>
      <w:ind w:left="1800" w:hanging="360"/>
    </w:pPr>
  </w:style>
  <w:style w:type="paragraph" w:customStyle="1" w:styleId="RqtHead">
    <w:name w:val="Rqt Head"/>
    <w:basedOn w:val="MainHead"/>
    <w:rsid w:val="002A7B9B"/>
    <w:pPr>
      <w:widowControl/>
      <w:tabs>
        <w:tab w:val="right" w:pos="9720"/>
      </w:tabs>
      <w:spacing w:before="360"/>
    </w:pPr>
  </w:style>
  <w:style w:type="paragraph" w:customStyle="1" w:styleId="RqtTitle">
    <w:name w:val="Rqt Title"/>
    <w:basedOn w:val="StandardTitle"/>
    <w:rsid w:val="002A7B9B"/>
    <w:pPr>
      <w:widowControl/>
      <w:tabs>
        <w:tab w:val="right" w:pos="9720"/>
      </w:tabs>
    </w:pPr>
  </w:style>
  <w:style w:type="paragraph" w:customStyle="1" w:styleId="Style1">
    <w:name w:val="Style1"/>
    <w:basedOn w:val="TableBullet2"/>
    <w:rsid w:val="002A7B9B"/>
  </w:style>
  <w:style w:type="paragraph" w:styleId="Caption">
    <w:name w:val="caption"/>
    <w:basedOn w:val="Normal"/>
    <w:next w:val="Normal"/>
    <w:qFormat/>
    <w:rsid w:val="002A7B9B"/>
    <w:pPr>
      <w:spacing w:before="100" w:after="100"/>
      <w:jc w:val="center"/>
    </w:pPr>
    <w:rPr>
      <w:rFonts w:ascii="Arial Narrow" w:hAnsi="Arial Narrow"/>
      <w:b/>
      <w:i/>
      <w:sz w:val="19"/>
    </w:rPr>
  </w:style>
  <w:style w:type="paragraph" w:customStyle="1" w:styleId="Bullet2">
    <w:name w:val="Bullet 2"/>
    <w:basedOn w:val="Normal"/>
    <w:rsid w:val="002A7B9B"/>
    <w:pPr>
      <w:numPr>
        <w:numId w:val="7"/>
      </w:numPr>
    </w:pPr>
  </w:style>
  <w:style w:type="character" w:styleId="Strong">
    <w:name w:val="Strong"/>
    <w:basedOn w:val="DefaultParagraphFont"/>
    <w:uiPriority w:val="22"/>
    <w:qFormat/>
    <w:rsid w:val="002A7B9B"/>
    <w:rPr>
      <w:b/>
    </w:rPr>
  </w:style>
  <w:style w:type="paragraph" w:customStyle="1" w:styleId="TableHeadNotCondensed">
    <w:name w:val="Table Head Not Condensed"/>
    <w:basedOn w:val="Heading3"/>
    <w:rsid w:val="00CB544C"/>
  </w:style>
  <w:style w:type="paragraph" w:styleId="z-TopofForm">
    <w:name w:val="HTML Top of Form"/>
    <w:basedOn w:val="Normal"/>
    <w:next w:val="Normal"/>
    <w:link w:val="z-TopofFormChar"/>
    <w:hidden/>
    <w:rsid w:val="002A7B9B"/>
    <w:pPr>
      <w:pBdr>
        <w:bottom w:val="single" w:sz="6" w:space="1" w:color="auto"/>
      </w:pBdr>
      <w:jc w:val="center"/>
    </w:pPr>
    <w:rPr>
      <w:rFonts w:cs="Arial"/>
      <w:vanish/>
      <w:color w:val="0066CC"/>
      <w:sz w:val="16"/>
      <w:szCs w:val="16"/>
    </w:rPr>
  </w:style>
  <w:style w:type="character" w:customStyle="1" w:styleId="z-TopofFormChar">
    <w:name w:val="z-Top of Form Char"/>
    <w:basedOn w:val="DefaultParagraphFont"/>
    <w:link w:val="z-TopofForm"/>
    <w:rsid w:val="002A7B9B"/>
    <w:rPr>
      <w:rFonts w:ascii="Arial" w:hAnsi="Arial" w:cs="Arial"/>
      <w:vanish/>
      <w:color w:val="0066CC"/>
      <w:sz w:val="16"/>
      <w:szCs w:val="16"/>
    </w:rPr>
  </w:style>
  <w:style w:type="paragraph" w:styleId="z-BottomofForm">
    <w:name w:val="HTML Bottom of Form"/>
    <w:basedOn w:val="Normal"/>
    <w:next w:val="Normal"/>
    <w:link w:val="z-BottomofFormChar"/>
    <w:hidden/>
    <w:rsid w:val="002A7B9B"/>
    <w:pPr>
      <w:pBdr>
        <w:top w:val="single" w:sz="6" w:space="1" w:color="auto"/>
      </w:pBdr>
      <w:jc w:val="center"/>
    </w:pPr>
    <w:rPr>
      <w:rFonts w:cs="Arial"/>
      <w:vanish/>
      <w:color w:val="0066CC"/>
      <w:sz w:val="16"/>
      <w:szCs w:val="16"/>
    </w:rPr>
  </w:style>
  <w:style w:type="character" w:customStyle="1" w:styleId="z-BottomofFormChar">
    <w:name w:val="z-Bottom of Form Char"/>
    <w:basedOn w:val="DefaultParagraphFont"/>
    <w:link w:val="z-BottomofForm"/>
    <w:rsid w:val="002A7B9B"/>
    <w:rPr>
      <w:rFonts w:ascii="Arial" w:hAnsi="Arial" w:cs="Arial"/>
      <w:vanish/>
      <w:color w:val="0066CC"/>
      <w:sz w:val="16"/>
      <w:szCs w:val="16"/>
    </w:rPr>
  </w:style>
  <w:style w:type="character" w:customStyle="1" w:styleId="hcpcscode1">
    <w:name w:val="hcpcscode1"/>
    <w:basedOn w:val="DefaultParagraphFont"/>
    <w:rsid w:val="002A7B9B"/>
    <w:rPr>
      <w:color w:val="3955AD"/>
    </w:rPr>
  </w:style>
  <w:style w:type="character" w:customStyle="1" w:styleId="BulletChar1">
    <w:name w:val="Bullet Char1"/>
    <w:basedOn w:val="DefaultParagraphFont"/>
    <w:rsid w:val="002A7B9B"/>
    <w:rPr>
      <w:rFonts w:ascii="Arial" w:hAnsi="Arial"/>
      <w:szCs w:val="24"/>
    </w:rPr>
  </w:style>
  <w:style w:type="character" w:customStyle="1" w:styleId="BreakpageChar">
    <w:name w:val="Break page Char"/>
    <w:basedOn w:val="DefaultParagraphFont"/>
    <w:link w:val="Breakpage"/>
    <w:rsid w:val="002A7B9B"/>
    <w:rPr>
      <w:rFonts w:ascii="Arial" w:hAnsi="Arial"/>
      <w:b/>
      <w:sz w:val="48"/>
      <w:szCs w:val="24"/>
    </w:rPr>
  </w:style>
  <w:style w:type="paragraph" w:customStyle="1" w:styleId="Reference">
    <w:name w:val="Reference"/>
    <w:basedOn w:val="Normal"/>
    <w:qFormat/>
    <w:rsid w:val="002A7B9B"/>
    <w:pPr>
      <w:spacing w:line="480" w:lineRule="auto"/>
      <w:ind w:left="720" w:hanging="720"/>
    </w:pPr>
    <w:rPr>
      <w:rFonts w:ascii="Times New Roman" w:hAnsi="Times New Roman" w:cs="Arial"/>
      <w:bCs/>
      <w:kern w:val="32"/>
      <w:sz w:val="24"/>
    </w:rPr>
  </w:style>
  <w:style w:type="paragraph" w:customStyle="1" w:styleId="StyleHeading2H2-SecHead11ptNotItalicSmallcapsLeft">
    <w:name w:val="Style Heading 2H2-Sec. Head + 11 pt Not Italic Small caps Left..."/>
    <w:basedOn w:val="Heading2"/>
    <w:rsid w:val="002A7B9B"/>
    <w:pPr>
      <w:pBdr>
        <w:top w:val="single" w:sz="6" w:space="1" w:color="auto"/>
        <w:bottom w:val="single" w:sz="4" w:space="1" w:color="auto"/>
      </w:pBdr>
      <w:spacing w:after="0"/>
      <w:jc w:val="left"/>
    </w:pPr>
    <w:rPr>
      <w:rFonts w:eastAsiaTheme="majorEastAsia" w:cstheme="majorBidi"/>
      <w:bCs/>
      <w:i w:val="0"/>
      <w:iCs/>
      <w:smallCaps/>
      <w:sz w:val="22"/>
      <w:szCs w:val="28"/>
    </w:rPr>
  </w:style>
  <w:style w:type="paragraph" w:customStyle="1" w:styleId="BulletedText">
    <w:name w:val="Bulleted Text"/>
    <w:basedOn w:val="Normal"/>
    <w:rsid w:val="002A7B9B"/>
    <w:pPr>
      <w:numPr>
        <w:numId w:val="8"/>
      </w:numPr>
      <w:spacing w:after="240" w:line="260" w:lineRule="exact"/>
    </w:pPr>
  </w:style>
  <w:style w:type="paragraph" w:customStyle="1" w:styleId="SectionHeadTOC1">
    <w:name w:val="Section Head TOC1"/>
    <w:basedOn w:val="Normal"/>
    <w:rsid w:val="002A7B9B"/>
    <w:pPr>
      <w:keepNext/>
      <w:spacing w:after="240"/>
      <w:jc w:val="center"/>
      <w:outlineLvl w:val="0"/>
    </w:pPr>
    <w:rPr>
      <w:b/>
      <w:kern w:val="28"/>
      <w:sz w:val="32"/>
    </w:rPr>
  </w:style>
  <w:style w:type="paragraph" w:customStyle="1" w:styleId="MarginBullet">
    <w:name w:val="Margin Bullet"/>
    <w:basedOn w:val="Bullet"/>
    <w:rsid w:val="002A7B9B"/>
    <w:pPr>
      <w:numPr>
        <w:numId w:val="11"/>
      </w:numPr>
      <w:tabs>
        <w:tab w:val="clear" w:pos="0"/>
        <w:tab w:val="left" w:pos="576"/>
      </w:tabs>
      <w:spacing w:line="220" w:lineRule="exact"/>
      <w:ind w:left="274"/>
    </w:pPr>
  </w:style>
  <w:style w:type="paragraph" w:customStyle="1" w:styleId="MarginDash">
    <w:name w:val="Margin Dash"/>
    <w:basedOn w:val="Dash"/>
    <w:rsid w:val="002A7B9B"/>
    <w:pPr>
      <w:numPr>
        <w:numId w:val="9"/>
      </w:numPr>
      <w:tabs>
        <w:tab w:val="clear" w:pos="0"/>
      </w:tabs>
      <w:ind w:left="490" w:hanging="216"/>
    </w:pPr>
  </w:style>
  <w:style w:type="paragraph" w:customStyle="1" w:styleId="Bullet3">
    <w:name w:val="Bullet +3"/>
    <w:basedOn w:val="Bullet"/>
    <w:rsid w:val="002A7B9B"/>
    <w:pPr>
      <w:numPr>
        <w:numId w:val="10"/>
      </w:numPr>
      <w:tabs>
        <w:tab w:val="clear" w:pos="360"/>
        <w:tab w:val="left" w:pos="576"/>
      </w:tabs>
      <w:spacing w:before="60"/>
      <w:ind w:hanging="216"/>
    </w:pPr>
  </w:style>
  <w:style w:type="paragraph" w:customStyle="1" w:styleId="ElementText6">
    <w:name w:val="Element Text + 6"/>
    <w:basedOn w:val="ElementText"/>
    <w:rsid w:val="002A7B9B"/>
    <w:pPr>
      <w:spacing w:before="120"/>
    </w:pPr>
  </w:style>
  <w:style w:type="paragraph" w:customStyle="1" w:styleId="ElementText">
    <w:name w:val="Element Text"/>
    <w:basedOn w:val="Body"/>
    <w:rsid w:val="002A7B9B"/>
    <w:pPr>
      <w:spacing w:before="60" w:after="60" w:line="220" w:lineRule="exact"/>
      <w:ind w:left="58" w:right="29"/>
    </w:pPr>
    <w:rPr>
      <w:b/>
    </w:rPr>
  </w:style>
  <w:style w:type="paragraph" w:customStyle="1" w:styleId="FirstParagraph">
    <w:name w:val="First Paragraph"/>
    <w:basedOn w:val="Text"/>
    <w:next w:val="Text"/>
    <w:rsid w:val="002A7B9B"/>
    <w:pPr>
      <w:spacing w:before="200"/>
    </w:pPr>
  </w:style>
  <w:style w:type="paragraph" w:customStyle="1" w:styleId="Text">
    <w:name w:val="Text"/>
    <w:basedOn w:val="Body"/>
    <w:next w:val="Body"/>
    <w:rsid w:val="002A7B9B"/>
    <w:pPr>
      <w:spacing w:before="120" w:line="220" w:lineRule="exact"/>
      <w:ind w:left="58"/>
    </w:pPr>
  </w:style>
  <w:style w:type="paragraph" w:customStyle="1" w:styleId="TextHead">
    <w:name w:val="Text Head"/>
    <w:basedOn w:val="Text"/>
    <w:next w:val="Text"/>
    <w:rsid w:val="002A7B9B"/>
    <w:pPr>
      <w:spacing w:before="200"/>
    </w:pPr>
    <w:rPr>
      <w:b/>
    </w:rPr>
  </w:style>
  <w:style w:type="paragraph" w:customStyle="1" w:styleId="StyleElementHeadLeft004Right004">
    <w:name w:val="Style Element Head + Left:  0.04&quot; Right:  0.04&quot;"/>
    <w:basedOn w:val="Normal"/>
    <w:rsid w:val="002A7B9B"/>
    <w:pPr>
      <w:pBdr>
        <w:top w:val="single" w:sz="6" w:space="2" w:color="auto"/>
        <w:left w:val="single" w:sz="6" w:space="2" w:color="auto"/>
        <w:bottom w:val="single" w:sz="6" w:space="2" w:color="auto"/>
        <w:right w:val="single" w:sz="6" w:space="2" w:color="auto"/>
      </w:pBdr>
      <w:shd w:val="clear" w:color="auto" w:fill="000000"/>
      <w:ind w:right="58"/>
    </w:pPr>
    <w:rPr>
      <w:b/>
      <w:bCs/>
      <w:color w:val="FFFFFF"/>
      <w:sz w:val="22"/>
      <w:szCs w:val="20"/>
    </w:rPr>
  </w:style>
  <w:style w:type="character" w:customStyle="1" w:styleId="Heading2Char">
    <w:name w:val="Heading 2 Char"/>
    <w:aliases w:val="H2-Sec. Head Char"/>
    <w:basedOn w:val="DefaultParagraphFont"/>
    <w:link w:val="Heading2"/>
    <w:rsid w:val="002A7B9B"/>
    <w:rPr>
      <w:rFonts w:ascii="Arial" w:hAnsi="Arial"/>
      <w:b/>
      <w:i/>
      <w:sz w:val="28"/>
      <w:szCs w:val="24"/>
    </w:rPr>
  </w:style>
  <w:style w:type="paragraph" w:customStyle="1" w:styleId="BulletBefore3pt">
    <w:name w:val="Bullet + Before:  3 pt"/>
    <w:basedOn w:val="Bullet"/>
    <w:rsid w:val="002A7B9B"/>
    <w:pPr>
      <w:numPr>
        <w:numId w:val="0"/>
      </w:numPr>
      <w:tabs>
        <w:tab w:val="num" w:pos="532"/>
        <w:tab w:val="left" w:pos="576"/>
      </w:tabs>
      <w:spacing w:before="60"/>
      <w:ind w:left="648" w:hanging="216"/>
    </w:pPr>
  </w:style>
  <w:style w:type="paragraph" w:customStyle="1" w:styleId="ReverseHead">
    <w:name w:val="Reverse Head"/>
    <w:basedOn w:val="StdHead"/>
    <w:next w:val="Body"/>
    <w:rsid w:val="0018566F"/>
  </w:style>
  <w:style w:type="paragraph" w:styleId="TOC2">
    <w:name w:val="toc 2"/>
    <w:basedOn w:val="Normal"/>
    <w:next w:val="Normal"/>
    <w:autoRedefine/>
    <w:uiPriority w:val="39"/>
    <w:unhideWhenUsed/>
    <w:rsid w:val="00DE45E9"/>
    <w:pPr>
      <w:tabs>
        <w:tab w:val="right" w:leader="dot" w:pos="9710"/>
      </w:tabs>
      <w:ind w:left="540" w:hanging="340"/>
    </w:pPr>
  </w:style>
  <w:style w:type="paragraph" w:styleId="TOC3">
    <w:name w:val="toc 3"/>
    <w:basedOn w:val="Normal"/>
    <w:next w:val="Normal"/>
    <w:autoRedefine/>
    <w:uiPriority w:val="39"/>
    <w:unhideWhenUsed/>
    <w:rsid w:val="00DE45E9"/>
    <w:pPr>
      <w:tabs>
        <w:tab w:val="right" w:leader="dot" w:pos="9710"/>
      </w:tabs>
      <w:ind w:left="360"/>
    </w:pPr>
  </w:style>
  <w:style w:type="paragraph" w:styleId="TOC4">
    <w:name w:val="toc 4"/>
    <w:basedOn w:val="Normal"/>
    <w:next w:val="Normal"/>
    <w:autoRedefine/>
    <w:uiPriority w:val="39"/>
    <w:unhideWhenUsed/>
    <w:rsid w:val="002300AB"/>
    <w:pPr>
      <w:tabs>
        <w:tab w:val="right" w:leader="dot" w:pos="9710"/>
      </w:tabs>
      <w:ind w:left="720"/>
    </w:pPr>
  </w:style>
  <w:style w:type="paragraph" w:styleId="TOC5">
    <w:name w:val="toc 5"/>
    <w:basedOn w:val="Normal"/>
    <w:next w:val="Normal"/>
    <w:autoRedefine/>
    <w:uiPriority w:val="39"/>
    <w:unhideWhenUsed/>
    <w:rsid w:val="0018566F"/>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8566F"/>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8566F"/>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8566F"/>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8566F"/>
    <w:pPr>
      <w:spacing w:after="100" w:line="259" w:lineRule="auto"/>
      <w:ind w:left="1760"/>
    </w:pPr>
    <w:rPr>
      <w:rFonts w:asciiTheme="minorHAnsi" w:eastAsiaTheme="minorEastAsia" w:hAnsiTheme="minorHAnsi" w:cstheme="minorBidi"/>
      <w:sz w:val="22"/>
      <w:szCs w:val="22"/>
    </w:rPr>
  </w:style>
  <w:style w:type="paragraph" w:customStyle="1" w:styleId="Subhead2">
    <w:name w:val="Subhead 2"/>
    <w:basedOn w:val="SubHead"/>
    <w:next w:val="Body"/>
    <w:rsid w:val="0018566F"/>
  </w:style>
  <w:style w:type="paragraph" w:customStyle="1" w:styleId="SOC">
    <w:name w:val="SOC"/>
    <w:basedOn w:val="Heading2"/>
    <w:next w:val="ProcessBullet"/>
    <w:rsid w:val="0018566F"/>
    <w:pPr>
      <w:pBdr>
        <w:top w:val="single" w:sz="6" w:space="1" w:color="auto"/>
        <w:bottom w:val="single" w:sz="6" w:space="1" w:color="auto"/>
      </w:pBdr>
      <w:spacing w:after="0"/>
      <w:jc w:val="left"/>
    </w:pPr>
    <w:rPr>
      <w:i w:val="0"/>
      <w:smallCaps/>
      <w:sz w:val="22"/>
    </w:rPr>
  </w:style>
  <w:style w:type="paragraph" w:customStyle="1" w:styleId="SubHead20">
    <w:name w:val="Sub Head 2"/>
    <w:basedOn w:val="SubHead"/>
    <w:rsid w:val="00CB544C"/>
  </w:style>
  <w:style w:type="character" w:customStyle="1" w:styleId="SubHeadChar">
    <w:name w:val="Sub Head Char"/>
    <w:basedOn w:val="DefaultParagraphFont"/>
    <w:rsid w:val="00420FDE"/>
    <w:rPr>
      <w:rFonts w:ascii="Arial" w:hAnsi="Arial"/>
      <w:b/>
      <w:sz w:val="22"/>
      <w:szCs w:val="24"/>
      <w:lang w:val="en-US" w:eastAsia="en-US" w:bidi="ar-SA"/>
    </w:rPr>
  </w:style>
  <w:style w:type="character" w:customStyle="1" w:styleId="Heading7Char">
    <w:name w:val="Heading 7 Char"/>
    <w:basedOn w:val="DefaultParagraphFont"/>
    <w:link w:val="Heading7"/>
    <w:rsid w:val="00420FDE"/>
    <w:rPr>
      <w:rFonts w:ascii="Arial" w:hAnsi="Arial"/>
      <w:b/>
      <w:i/>
      <w:smallCaps/>
      <w:sz w:val="48"/>
      <w:szCs w:val="24"/>
    </w:rPr>
  </w:style>
  <w:style w:type="character" w:customStyle="1" w:styleId="DateChar">
    <w:name w:val="Date Char"/>
    <w:basedOn w:val="DefaultParagraphFont"/>
    <w:link w:val="Date"/>
    <w:rsid w:val="00420FDE"/>
    <w:rPr>
      <w:rFonts w:ascii="Arial" w:hAnsi="Arial"/>
      <w:szCs w:val="24"/>
    </w:rPr>
  </w:style>
  <w:style w:type="character" w:customStyle="1" w:styleId="CommentSubjectChar">
    <w:name w:val="Comment Subject Char"/>
    <w:basedOn w:val="CommentTextChar"/>
    <w:link w:val="CommentSubject"/>
    <w:uiPriority w:val="99"/>
    <w:semiHidden/>
    <w:rsid w:val="00420FDE"/>
    <w:rPr>
      <w:rFonts w:ascii="Arial" w:hAnsi="Arial"/>
      <w:b/>
      <w:bCs/>
      <w:szCs w:val="24"/>
    </w:rPr>
  </w:style>
  <w:style w:type="character" w:customStyle="1" w:styleId="BalloonTextChar">
    <w:name w:val="Balloon Text Char"/>
    <w:basedOn w:val="DefaultParagraphFont"/>
    <w:link w:val="BalloonText"/>
    <w:uiPriority w:val="99"/>
    <w:semiHidden/>
    <w:rsid w:val="00420FDE"/>
    <w:rPr>
      <w:rFonts w:ascii="Tahoma" w:hAnsi="Tahoma" w:cs="Tahoma"/>
      <w:sz w:val="16"/>
      <w:szCs w:val="16"/>
    </w:rPr>
  </w:style>
  <w:style w:type="character" w:customStyle="1" w:styleId="FootnoteTextChar">
    <w:name w:val="Footnote Text Char"/>
    <w:aliases w:val="F1 Char"/>
    <w:basedOn w:val="DefaultParagraphFont"/>
    <w:link w:val="FootnoteText"/>
    <w:rsid w:val="00420FDE"/>
    <w:rPr>
      <w:rFonts w:ascii="CG Times" w:hAnsi="CG Times"/>
      <w:szCs w:val="24"/>
    </w:rPr>
  </w:style>
  <w:style w:type="paragraph" w:styleId="BodyText3">
    <w:name w:val="Body Text 3"/>
    <w:basedOn w:val="Normal"/>
    <w:link w:val="BodyText3Char"/>
    <w:rsid w:val="00B852BD"/>
    <w:pPr>
      <w:spacing w:after="120"/>
    </w:pPr>
    <w:rPr>
      <w:sz w:val="16"/>
      <w:szCs w:val="16"/>
    </w:rPr>
  </w:style>
  <w:style w:type="character" w:customStyle="1" w:styleId="BodyText3Char">
    <w:name w:val="Body Text 3 Char"/>
    <w:basedOn w:val="DefaultParagraphFont"/>
    <w:link w:val="BodyText3"/>
    <w:rsid w:val="00B852BD"/>
    <w:rPr>
      <w:rFonts w:ascii="Arial" w:hAnsi="Arial"/>
      <w:sz w:val="16"/>
      <w:szCs w:val="16"/>
    </w:rPr>
  </w:style>
  <w:style w:type="paragraph" w:styleId="EndnoteText">
    <w:name w:val="endnote text"/>
    <w:basedOn w:val="Normal"/>
    <w:link w:val="EndnoteTextChar"/>
    <w:rsid w:val="00B852BD"/>
  </w:style>
  <w:style w:type="character" w:customStyle="1" w:styleId="EndnoteTextChar">
    <w:name w:val="Endnote Text Char"/>
    <w:basedOn w:val="DefaultParagraphFont"/>
    <w:link w:val="EndnoteText"/>
    <w:rsid w:val="00B852BD"/>
    <w:rPr>
      <w:rFonts w:ascii="Arial" w:hAnsi="Arial"/>
      <w:szCs w:val="24"/>
    </w:rPr>
  </w:style>
  <w:style w:type="character" w:styleId="EndnoteReference">
    <w:name w:val="endnote reference"/>
    <w:basedOn w:val="DefaultParagraphFont"/>
    <w:semiHidden/>
    <w:rsid w:val="00B852BD"/>
    <w:rPr>
      <w:vertAlign w:val="superscript"/>
    </w:rPr>
  </w:style>
  <w:style w:type="character" w:customStyle="1" w:styleId="MarginSubheadChar">
    <w:name w:val="Margin Subhead Char"/>
    <w:basedOn w:val="DefaultParagraphFont"/>
    <w:rsid w:val="00B852BD"/>
    <w:rPr>
      <w:rFonts w:ascii="Arial" w:hAnsi="Arial"/>
      <w:b/>
      <w:szCs w:val="24"/>
      <w:lang w:val="en-US" w:eastAsia="en-US" w:bidi="ar-SA"/>
    </w:rPr>
  </w:style>
  <w:style w:type="paragraph" w:customStyle="1" w:styleId="answertext0">
    <w:name w:val="answertext"/>
    <w:basedOn w:val="Normal"/>
    <w:rsid w:val="00B852BD"/>
    <w:pPr>
      <w:tabs>
        <w:tab w:val="num" w:pos="792"/>
      </w:tabs>
      <w:ind w:left="792" w:hanging="216"/>
    </w:pPr>
  </w:style>
  <w:style w:type="paragraph" w:customStyle="1" w:styleId="StyleHeading1AHeadH1-SecHead16ptCenteredBefore0pt">
    <w:name w:val="Style Heading 1A HeadH1-Sec.Head + 16 pt Centered Before:  0 pt..."/>
    <w:basedOn w:val="Heading1"/>
    <w:rsid w:val="00B852BD"/>
    <w:pPr>
      <w:spacing w:line="276" w:lineRule="auto"/>
    </w:pPr>
    <w:rPr>
      <w:rFonts w:asciiTheme="minorHAnsi" w:hAnsiTheme="minorHAnsi"/>
      <w:szCs w:val="20"/>
    </w:rPr>
  </w:style>
  <w:style w:type="paragraph" w:customStyle="1" w:styleId="Marginbullet1">
    <w:name w:val="Margin bullet"/>
    <w:basedOn w:val="Normal"/>
    <w:link w:val="MarginbulletChar"/>
    <w:rsid w:val="00B852BD"/>
    <w:pPr>
      <w:spacing w:after="200" w:line="220" w:lineRule="exact"/>
    </w:pPr>
    <w:rPr>
      <w:rFonts w:asciiTheme="minorHAnsi" w:eastAsiaTheme="minorHAnsi" w:hAnsiTheme="minorHAnsi" w:cstheme="minorBidi"/>
      <w:sz w:val="22"/>
      <w:szCs w:val="22"/>
    </w:rPr>
  </w:style>
  <w:style w:type="character" w:customStyle="1" w:styleId="MarginbulletChar">
    <w:name w:val="Margin bullet Char"/>
    <w:basedOn w:val="DefaultParagraphFont"/>
    <w:link w:val="Marginbullet1"/>
    <w:rsid w:val="00B852BD"/>
    <w:rPr>
      <w:rFonts w:asciiTheme="minorHAnsi" w:eastAsiaTheme="minorHAnsi" w:hAnsiTheme="minorHAnsi" w:cstheme="minorBidi"/>
      <w:sz w:val="22"/>
      <w:szCs w:val="22"/>
    </w:rPr>
  </w:style>
  <w:style w:type="paragraph" w:customStyle="1" w:styleId="DocuBullet">
    <w:name w:val="Docu Bullet"/>
    <w:basedOn w:val="Normal"/>
    <w:link w:val="DocuBulletChar"/>
    <w:rsid w:val="00B852BD"/>
    <w:pPr>
      <w:numPr>
        <w:numId w:val="12"/>
      </w:numPr>
      <w:spacing w:before="60" w:after="200" w:line="220" w:lineRule="exact"/>
    </w:pPr>
    <w:rPr>
      <w:rFonts w:asciiTheme="minorHAnsi" w:eastAsiaTheme="minorHAnsi" w:hAnsiTheme="minorHAnsi" w:cstheme="minorBidi"/>
      <w:sz w:val="22"/>
      <w:szCs w:val="22"/>
    </w:rPr>
  </w:style>
  <w:style w:type="character" w:customStyle="1" w:styleId="DocuBulletChar">
    <w:name w:val="Docu Bullet Char"/>
    <w:basedOn w:val="DefaultParagraphFont"/>
    <w:link w:val="DocuBullet"/>
    <w:rsid w:val="00B852BD"/>
    <w:rPr>
      <w:rFonts w:asciiTheme="minorHAnsi" w:eastAsiaTheme="minorHAnsi" w:hAnsiTheme="minorHAnsi" w:cstheme="minorBidi"/>
      <w:sz w:val="22"/>
      <w:szCs w:val="22"/>
    </w:rPr>
  </w:style>
  <w:style w:type="paragraph" w:customStyle="1" w:styleId="marginbullet0">
    <w:name w:val="margin bullet"/>
    <w:basedOn w:val="DocuBullet"/>
    <w:link w:val="marginbulletChar0"/>
    <w:rsid w:val="00B852BD"/>
    <w:pPr>
      <w:numPr>
        <w:numId w:val="13"/>
      </w:numPr>
      <w:spacing w:before="120"/>
    </w:pPr>
  </w:style>
  <w:style w:type="character" w:customStyle="1" w:styleId="marginbulletChar0">
    <w:name w:val="margin bullet Char"/>
    <w:basedOn w:val="DocuBulletChar"/>
    <w:link w:val="marginbullet0"/>
    <w:rsid w:val="00B852BD"/>
    <w:rPr>
      <w:rFonts w:asciiTheme="minorHAnsi" w:eastAsiaTheme="minorHAnsi" w:hAnsiTheme="minorHAnsi" w:cstheme="minorBidi"/>
      <w:sz w:val="22"/>
      <w:szCs w:val="22"/>
    </w:rPr>
  </w:style>
  <w:style w:type="character" w:customStyle="1" w:styleId="i9tabularcodedesc1">
    <w:name w:val="i9tabularcodedesc1"/>
    <w:basedOn w:val="DefaultParagraphFont"/>
    <w:rsid w:val="007304CF"/>
    <w:rPr>
      <w:b/>
      <w:bCs/>
    </w:rPr>
  </w:style>
  <w:style w:type="character" w:styleId="Emphasis">
    <w:name w:val="Emphasis"/>
    <w:basedOn w:val="DefaultParagraphFont"/>
    <w:uiPriority w:val="20"/>
    <w:qFormat/>
    <w:rsid w:val="00835D81"/>
    <w:rPr>
      <w:b/>
      <w:bCs/>
      <w:i w:val="0"/>
      <w:iCs w:val="0"/>
    </w:rPr>
  </w:style>
  <w:style w:type="paragraph" w:styleId="DocumentMap">
    <w:name w:val="Document Map"/>
    <w:basedOn w:val="Normal"/>
    <w:link w:val="DocumentMapChar"/>
    <w:semiHidden/>
    <w:rsid w:val="006A4B6D"/>
    <w:pPr>
      <w:shd w:val="clear" w:color="auto" w:fill="000080"/>
    </w:pPr>
    <w:rPr>
      <w:rFonts w:ascii="Tahoma" w:hAnsi="Tahoma"/>
    </w:rPr>
  </w:style>
  <w:style w:type="character" w:customStyle="1" w:styleId="DocumentMapChar">
    <w:name w:val="Document Map Char"/>
    <w:basedOn w:val="DefaultParagraphFont"/>
    <w:link w:val="DocumentMap"/>
    <w:semiHidden/>
    <w:rsid w:val="006A4B6D"/>
    <w:rPr>
      <w:rFonts w:ascii="Tahoma" w:hAnsi="Tahoma"/>
      <w:szCs w:val="24"/>
      <w:shd w:val="clear" w:color="auto" w:fill="000080"/>
    </w:rPr>
  </w:style>
  <w:style w:type="character" w:customStyle="1" w:styleId="TableTextCharChar1">
    <w:name w:val="Table Text Char Char1"/>
    <w:basedOn w:val="DefaultParagraphFont"/>
    <w:rsid w:val="006A4B6D"/>
    <w:rPr>
      <w:rFonts w:ascii="Arial Narrow" w:hAnsi="Arial Narrow"/>
      <w:sz w:val="19"/>
      <w:szCs w:val="19"/>
    </w:rPr>
  </w:style>
  <w:style w:type="character" w:customStyle="1" w:styleId="Style">
    <w:name w:val="Style"/>
    <w:basedOn w:val="CommentReference"/>
    <w:rsid w:val="006A4B6D"/>
    <w:rPr>
      <w:rFonts w:ascii="Arial" w:hAnsi="Arial"/>
      <w:sz w:val="16"/>
      <w:szCs w:val="16"/>
    </w:rPr>
  </w:style>
  <w:style w:type="character" w:styleId="PlaceholderText">
    <w:name w:val="Placeholder Text"/>
    <w:basedOn w:val="DefaultParagraphFont"/>
    <w:uiPriority w:val="99"/>
    <w:semiHidden/>
    <w:rsid w:val="006A4B6D"/>
    <w:rPr>
      <w:color w:val="808080"/>
    </w:rPr>
  </w:style>
  <w:style w:type="character" w:customStyle="1" w:styleId="Heading8Char">
    <w:name w:val="Heading 8 Char"/>
    <w:basedOn w:val="DefaultParagraphFont"/>
    <w:link w:val="Heading8"/>
    <w:rsid w:val="00BF3DF9"/>
    <w:rPr>
      <w:rFonts w:ascii="Arial" w:hAnsi="Arial"/>
      <w:i/>
      <w:szCs w:val="24"/>
    </w:rPr>
  </w:style>
  <w:style w:type="paragraph" w:styleId="BodyText2">
    <w:name w:val="Body Text 2"/>
    <w:basedOn w:val="Normal"/>
    <w:link w:val="BodyText2Char"/>
    <w:rsid w:val="00BF3DF9"/>
    <w:pPr>
      <w:tabs>
        <w:tab w:val="left" w:pos="960"/>
      </w:tabs>
      <w:spacing w:after="240" w:line="260" w:lineRule="exact"/>
      <w:ind w:left="965" w:hanging="360"/>
    </w:pPr>
  </w:style>
  <w:style w:type="character" w:customStyle="1" w:styleId="BodyText2Char">
    <w:name w:val="Body Text 2 Char"/>
    <w:basedOn w:val="DefaultParagraphFont"/>
    <w:link w:val="BodyText2"/>
    <w:rsid w:val="00BF3DF9"/>
    <w:rPr>
      <w:rFonts w:ascii="Arial" w:hAnsi="Arial"/>
      <w:szCs w:val="24"/>
    </w:rPr>
  </w:style>
  <w:style w:type="paragraph" w:customStyle="1" w:styleId="BodyText0">
    <w:name w:val="BodyText"/>
    <w:basedOn w:val="Normal"/>
    <w:rsid w:val="00BF3DF9"/>
    <w:pPr>
      <w:spacing w:before="60" w:after="60"/>
    </w:pPr>
  </w:style>
  <w:style w:type="paragraph" w:customStyle="1" w:styleId="marginsubhead0">
    <w:name w:val="marginsubhead"/>
    <w:basedOn w:val="Normal"/>
    <w:rsid w:val="00BF3DF9"/>
    <w:pPr>
      <w:spacing w:before="180"/>
      <w:ind w:left="216"/>
    </w:pPr>
    <w:rPr>
      <w:b/>
      <w:bCs/>
    </w:rPr>
  </w:style>
  <w:style w:type="paragraph" w:customStyle="1" w:styleId="a">
    <w:name w:val="_______"/>
    <w:basedOn w:val="TableText"/>
    <w:rsid w:val="00BF3DF9"/>
    <w:pPr>
      <w:jc w:val="center"/>
    </w:pPr>
  </w:style>
  <w:style w:type="paragraph" w:styleId="NormalWeb">
    <w:name w:val="Normal (Web)"/>
    <w:basedOn w:val="Normal"/>
    <w:unhideWhenUsed/>
    <w:rsid w:val="00BF3DF9"/>
    <w:pPr>
      <w:spacing w:before="100" w:beforeAutospacing="1" w:after="100" w:afterAutospacing="1"/>
    </w:pPr>
    <w:rPr>
      <w:rFonts w:ascii="Times New Roman" w:hAnsi="Times New Roman"/>
      <w:sz w:val="24"/>
    </w:rPr>
  </w:style>
  <w:style w:type="character" w:customStyle="1" w:styleId="hilite1">
    <w:name w:val="hilite1"/>
    <w:basedOn w:val="DefaultParagraphFont"/>
    <w:rsid w:val="008046A2"/>
    <w:rPr>
      <w:b/>
      <w:bCs/>
      <w:color w:val="CC0000"/>
    </w:rPr>
  </w:style>
  <w:style w:type="paragraph" w:customStyle="1" w:styleId="FootnoteTxt">
    <w:name w:val="Footnote Txt"/>
    <w:basedOn w:val="Note"/>
    <w:rsid w:val="00463667"/>
    <w:rPr>
      <w:i w:val="0"/>
    </w:rPr>
  </w:style>
  <w:style w:type="character" w:customStyle="1" w:styleId="searchcriteria">
    <w:name w:val="searchcriteria"/>
    <w:basedOn w:val="DefaultParagraphFont"/>
    <w:rsid w:val="00463667"/>
  </w:style>
  <w:style w:type="paragraph" w:customStyle="1" w:styleId="a10">
    <w:name w:val="a10"/>
    <w:basedOn w:val="Normal"/>
    <w:rsid w:val="00463667"/>
    <w:pPr>
      <w:spacing w:before="100" w:beforeAutospacing="1" w:after="100" w:afterAutospacing="1"/>
    </w:pPr>
    <w:rPr>
      <w:rFonts w:eastAsia="Arial Unicode MS" w:cs="Arial"/>
    </w:rPr>
  </w:style>
  <w:style w:type="paragraph" w:styleId="Subtitle">
    <w:name w:val="Subtitle"/>
    <w:basedOn w:val="Normal"/>
    <w:link w:val="SubtitleChar"/>
    <w:qFormat/>
    <w:rsid w:val="00463667"/>
    <w:pPr>
      <w:jc w:val="center"/>
    </w:pPr>
    <w:rPr>
      <w:b/>
      <w:caps/>
    </w:rPr>
  </w:style>
  <w:style w:type="character" w:customStyle="1" w:styleId="SubtitleChar">
    <w:name w:val="Subtitle Char"/>
    <w:basedOn w:val="DefaultParagraphFont"/>
    <w:link w:val="Subtitle"/>
    <w:rsid w:val="00463667"/>
    <w:rPr>
      <w:rFonts w:ascii="Arial" w:hAnsi="Arial"/>
      <w:b/>
      <w:caps/>
      <w:szCs w:val="24"/>
    </w:rPr>
  </w:style>
  <w:style w:type="paragraph" w:styleId="HTMLPreformatted">
    <w:name w:val="HTML Preformatted"/>
    <w:basedOn w:val="Normal"/>
    <w:link w:val="HTMLPreformattedChar"/>
    <w:rsid w:val="00463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463667"/>
    <w:rPr>
      <w:rFonts w:ascii="Courier New" w:hAnsi="Courier New" w:cs="Courier New"/>
    </w:rPr>
  </w:style>
  <w:style w:type="character" w:styleId="HTMLCite">
    <w:name w:val="HTML Cite"/>
    <w:basedOn w:val="DefaultParagraphFont"/>
    <w:rsid w:val="00463667"/>
    <w:rPr>
      <w:i/>
      <w:iCs/>
    </w:rPr>
  </w:style>
  <w:style w:type="paragraph" w:customStyle="1" w:styleId="Informal2">
    <w:name w:val="Informal2"/>
    <w:basedOn w:val="Normal"/>
    <w:rsid w:val="00463667"/>
    <w:pPr>
      <w:spacing w:before="60" w:after="60"/>
    </w:pPr>
    <w:rPr>
      <w:b/>
      <w:noProof/>
      <w:szCs w:val="20"/>
    </w:rPr>
  </w:style>
  <w:style w:type="paragraph" w:customStyle="1" w:styleId="Pa36">
    <w:name w:val="Pa36"/>
    <w:basedOn w:val="Normal"/>
    <w:next w:val="Normal"/>
    <w:uiPriority w:val="99"/>
    <w:rsid w:val="00463667"/>
    <w:pPr>
      <w:autoSpaceDE w:val="0"/>
      <w:autoSpaceDN w:val="0"/>
      <w:adjustRightInd w:val="0"/>
      <w:spacing w:line="241" w:lineRule="atLeast"/>
    </w:pPr>
    <w:rPr>
      <w:rFonts w:ascii="Times" w:hAnsi="Times"/>
      <w:sz w:val="24"/>
    </w:rPr>
  </w:style>
  <w:style w:type="paragraph" w:customStyle="1" w:styleId="size2">
    <w:name w:val="size2"/>
    <w:basedOn w:val="Normal"/>
    <w:rsid w:val="00463667"/>
    <w:pPr>
      <w:spacing w:before="100" w:beforeAutospacing="1" w:after="100" w:afterAutospacing="1"/>
    </w:pPr>
    <w:rPr>
      <w:rFonts w:ascii="Times" w:eastAsiaTheme="minorEastAsia" w:hAnsi="Times" w:cstheme="minorBidi"/>
      <w:szCs w:val="20"/>
    </w:rPr>
  </w:style>
  <w:style w:type="paragraph" w:customStyle="1" w:styleId="Heading2NOTOC">
    <w:name w:val="Heading2NOTOC"/>
    <w:basedOn w:val="Heading2"/>
    <w:rsid w:val="00463667"/>
  </w:style>
  <w:style w:type="paragraph" w:customStyle="1" w:styleId="FrontPage">
    <w:name w:val="Front Page"/>
    <w:qFormat/>
    <w:rsid w:val="009B1DEB"/>
    <w:pPr>
      <w:widowControl w:val="0"/>
      <w:pBdr>
        <w:bottom w:val="single" w:sz="4" w:space="1" w:color="auto"/>
      </w:pBdr>
      <w:tabs>
        <w:tab w:val="right" w:pos="9720"/>
      </w:tabs>
    </w:pPr>
    <w:rPr>
      <w:rFonts w:ascii="Arial Narrow" w:hAnsi="Arial Narrow"/>
      <w:i/>
      <w:sz w:val="48"/>
      <w:szCs w:val="19"/>
    </w:rPr>
  </w:style>
  <w:style w:type="paragraph" w:customStyle="1" w:styleId="Heading">
    <w:name w:val="Heading"/>
    <w:basedOn w:val="Header"/>
    <w:rsid w:val="009604F5"/>
    <w:pPr>
      <w:jc w:val="right"/>
    </w:pPr>
  </w:style>
  <w:style w:type="paragraph" w:customStyle="1" w:styleId="BATnumber">
    <w:name w:val="BAT number"/>
    <w:basedOn w:val="Body"/>
    <w:rsid w:val="009604F5"/>
    <w:pPr>
      <w:ind w:left="360" w:hanging="360"/>
    </w:pPr>
  </w:style>
  <w:style w:type="character" w:customStyle="1" w:styleId="Keyboard">
    <w:name w:val="Keyboard"/>
    <w:rsid w:val="009604F5"/>
    <w:rPr>
      <w:rFonts w:ascii="Courier New" w:hAnsi="Courier New"/>
      <w:b/>
      <w:sz w:val="20"/>
    </w:rPr>
  </w:style>
  <w:style w:type="paragraph" w:customStyle="1" w:styleId="Style2">
    <w:name w:val="Style2"/>
    <w:basedOn w:val="Normal"/>
    <w:rsid w:val="009604F5"/>
    <w:pPr>
      <w:keepNext/>
      <w:tabs>
        <w:tab w:val="right" w:pos="9720"/>
      </w:tabs>
      <w:outlineLvl w:val="0"/>
    </w:pPr>
    <w:rPr>
      <w:b/>
      <w:kern w:val="28"/>
      <w:sz w:val="28"/>
      <w:szCs w:val="28"/>
    </w:rPr>
  </w:style>
  <w:style w:type="character" w:customStyle="1" w:styleId="citation">
    <w:name w:val="citation"/>
    <w:basedOn w:val="DefaultParagraphFont"/>
    <w:rsid w:val="001559AE"/>
  </w:style>
  <w:style w:type="character" w:customStyle="1" w:styleId="ref-journal">
    <w:name w:val="ref-journal"/>
    <w:basedOn w:val="DefaultParagraphFont"/>
    <w:rsid w:val="001559AE"/>
  </w:style>
  <w:style w:type="character" w:customStyle="1" w:styleId="ref-vol">
    <w:name w:val="ref-vol"/>
    <w:basedOn w:val="DefaultParagraphFont"/>
    <w:rsid w:val="001559AE"/>
  </w:style>
  <w:style w:type="character" w:customStyle="1" w:styleId="apple-converted-space">
    <w:name w:val="apple-converted-space"/>
    <w:basedOn w:val="DefaultParagraphFont"/>
    <w:rsid w:val="001559AE"/>
  </w:style>
  <w:style w:type="character" w:customStyle="1" w:styleId="bkciteavail">
    <w:name w:val="bk_cite_avail"/>
    <w:basedOn w:val="DefaultParagraphFont"/>
    <w:rsid w:val="001559AE"/>
  </w:style>
  <w:style w:type="paragraph" w:customStyle="1" w:styleId="Pa0">
    <w:name w:val="Pa0"/>
    <w:basedOn w:val="Normal"/>
    <w:next w:val="Normal"/>
    <w:uiPriority w:val="99"/>
    <w:rsid w:val="00782A86"/>
    <w:pPr>
      <w:autoSpaceDE w:val="0"/>
      <w:autoSpaceDN w:val="0"/>
      <w:adjustRightInd w:val="0"/>
      <w:spacing w:line="241" w:lineRule="atLeast"/>
    </w:pPr>
    <w:rPr>
      <w:rFonts w:ascii="AGaramond" w:hAnsi="AGaramond"/>
      <w:sz w:val="24"/>
    </w:rPr>
  </w:style>
  <w:style w:type="character" w:customStyle="1" w:styleId="Heading4Char">
    <w:name w:val="Heading 4 Char"/>
    <w:aliases w:val="subhead 3 Char,h4 Char"/>
    <w:basedOn w:val="DefaultParagraphFont"/>
    <w:link w:val="Heading4"/>
    <w:rsid w:val="000C547E"/>
    <w:rPr>
      <w:rFonts w:ascii="Arial" w:hAnsi="Arial"/>
      <w:b/>
      <w:szCs w:val="24"/>
    </w:rPr>
  </w:style>
  <w:style w:type="character" w:customStyle="1" w:styleId="Heading5Char">
    <w:name w:val="Heading 5 Char"/>
    <w:basedOn w:val="DefaultParagraphFont"/>
    <w:link w:val="Heading5"/>
    <w:rsid w:val="000C547E"/>
    <w:rPr>
      <w:rFonts w:ascii="Arial" w:hAnsi="Arial"/>
      <w:i/>
      <w:iCs/>
      <w:szCs w:val="24"/>
    </w:rPr>
  </w:style>
  <w:style w:type="character" w:customStyle="1" w:styleId="Heading6Char">
    <w:name w:val="Heading 6 Char"/>
    <w:basedOn w:val="DefaultParagraphFont"/>
    <w:link w:val="Heading6"/>
    <w:rsid w:val="000C547E"/>
    <w:rPr>
      <w:rFonts w:ascii="Arial" w:hAnsi="Arial"/>
      <w:bCs/>
      <w:i/>
      <w:szCs w:val="24"/>
    </w:rPr>
  </w:style>
  <w:style w:type="character" w:customStyle="1" w:styleId="Heading9Char">
    <w:name w:val="Heading 9 Char"/>
    <w:basedOn w:val="DefaultParagraphFont"/>
    <w:link w:val="Heading9"/>
    <w:rsid w:val="000C547E"/>
    <w:rPr>
      <w:rFonts w:ascii="Arial" w:hAnsi="Arial"/>
      <w:szCs w:val="24"/>
    </w:rPr>
  </w:style>
  <w:style w:type="character" w:customStyle="1" w:styleId="MessageHeaderChar">
    <w:name w:val="Message Header Char"/>
    <w:basedOn w:val="DefaultParagraphFont"/>
    <w:link w:val="MessageHeader"/>
    <w:rsid w:val="000C547E"/>
    <w:rPr>
      <w:rFonts w:ascii="Arial" w:hAnsi="Arial"/>
      <w:szCs w:val="24"/>
      <w:shd w:val="pct20"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56948">
      <w:bodyDiv w:val="1"/>
      <w:marLeft w:val="0"/>
      <w:marRight w:val="0"/>
      <w:marTop w:val="0"/>
      <w:marBottom w:val="0"/>
      <w:divBdr>
        <w:top w:val="none" w:sz="0" w:space="0" w:color="auto"/>
        <w:left w:val="none" w:sz="0" w:space="0" w:color="auto"/>
        <w:bottom w:val="none" w:sz="0" w:space="0" w:color="auto"/>
        <w:right w:val="none" w:sz="0" w:space="0" w:color="auto"/>
      </w:divBdr>
    </w:div>
    <w:div w:id="206379257">
      <w:bodyDiv w:val="1"/>
      <w:marLeft w:val="0"/>
      <w:marRight w:val="0"/>
      <w:marTop w:val="0"/>
      <w:marBottom w:val="0"/>
      <w:divBdr>
        <w:top w:val="none" w:sz="0" w:space="0" w:color="auto"/>
        <w:left w:val="none" w:sz="0" w:space="0" w:color="auto"/>
        <w:bottom w:val="none" w:sz="0" w:space="0" w:color="auto"/>
        <w:right w:val="none" w:sz="0" w:space="0" w:color="auto"/>
      </w:divBdr>
    </w:div>
    <w:div w:id="222912740">
      <w:bodyDiv w:val="1"/>
      <w:marLeft w:val="0"/>
      <w:marRight w:val="0"/>
      <w:marTop w:val="0"/>
      <w:marBottom w:val="0"/>
      <w:divBdr>
        <w:top w:val="none" w:sz="0" w:space="0" w:color="auto"/>
        <w:left w:val="none" w:sz="0" w:space="0" w:color="auto"/>
        <w:bottom w:val="none" w:sz="0" w:space="0" w:color="auto"/>
        <w:right w:val="none" w:sz="0" w:space="0" w:color="auto"/>
      </w:divBdr>
    </w:div>
    <w:div w:id="313533253">
      <w:bodyDiv w:val="1"/>
      <w:marLeft w:val="0"/>
      <w:marRight w:val="360"/>
      <w:marTop w:val="0"/>
      <w:marBottom w:val="0"/>
      <w:divBdr>
        <w:top w:val="none" w:sz="0" w:space="0" w:color="auto"/>
        <w:left w:val="none" w:sz="0" w:space="0" w:color="auto"/>
        <w:bottom w:val="none" w:sz="0" w:space="0" w:color="auto"/>
        <w:right w:val="none" w:sz="0" w:space="0" w:color="auto"/>
      </w:divBdr>
      <w:divsChild>
        <w:div w:id="667055913">
          <w:marLeft w:val="240"/>
          <w:marRight w:val="240"/>
          <w:marTop w:val="0"/>
          <w:marBottom w:val="0"/>
          <w:divBdr>
            <w:top w:val="none" w:sz="0" w:space="0" w:color="auto"/>
            <w:left w:val="none" w:sz="0" w:space="0" w:color="auto"/>
            <w:bottom w:val="none" w:sz="0" w:space="0" w:color="auto"/>
            <w:right w:val="none" w:sz="0" w:space="0" w:color="auto"/>
          </w:divBdr>
          <w:divsChild>
            <w:div w:id="233011313">
              <w:marLeft w:val="0"/>
              <w:marRight w:val="0"/>
              <w:marTop w:val="0"/>
              <w:marBottom w:val="0"/>
              <w:divBdr>
                <w:top w:val="none" w:sz="0" w:space="0" w:color="auto"/>
                <w:left w:val="none" w:sz="0" w:space="0" w:color="auto"/>
                <w:bottom w:val="none" w:sz="0" w:space="0" w:color="auto"/>
                <w:right w:val="none" w:sz="0" w:space="0" w:color="auto"/>
              </w:divBdr>
              <w:divsChild>
                <w:div w:id="1093237475">
                  <w:marLeft w:val="240"/>
                  <w:marRight w:val="240"/>
                  <w:marTop w:val="0"/>
                  <w:marBottom w:val="0"/>
                  <w:divBdr>
                    <w:top w:val="none" w:sz="0" w:space="0" w:color="auto"/>
                    <w:left w:val="none" w:sz="0" w:space="0" w:color="auto"/>
                    <w:bottom w:val="none" w:sz="0" w:space="0" w:color="auto"/>
                    <w:right w:val="none" w:sz="0" w:space="0" w:color="auto"/>
                  </w:divBdr>
                  <w:divsChild>
                    <w:div w:id="598804235">
                      <w:marLeft w:val="0"/>
                      <w:marRight w:val="0"/>
                      <w:marTop w:val="0"/>
                      <w:marBottom w:val="0"/>
                      <w:divBdr>
                        <w:top w:val="none" w:sz="0" w:space="0" w:color="auto"/>
                        <w:left w:val="none" w:sz="0" w:space="0" w:color="auto"/>
                        <w:bottom w:val="none" w:sz="0" w:space="0" w:color="auto"/>
                        <w:right w:val="none" w:sz="0" w:space="0" w:color="auto"/>
                      </w:divBdr>
                      <w:divsChild>
                        <w:div w:id="121848491">
                          <w:marLeft w:val="240"/>
                          <w:marRight w:val="240"/>
                          <w:marTop w:val="0"/>
                          <w:marBottom w:val="0"/>
                          <w:divBdr>
                            <w:top w:val="none" w:sz="0" w:space="0" w:color="auto"/>
                            <w:left w:val="none" w:sz="0" w:space="0" w:color="auto"/>
                            <w:bottom w:val="none" w:sz="0" w:space="0" w:color="auto"/>
                            <w:right w:val="none" w:sz="0" w:space="0" w:color="auto"/>
                          </w:divBdr>
                          <w:divsChild>
                            <w:div w:id="1479299034">
                              <w:marLeft w:val="0"/>
                              <w:marRight w:val="0"/>
                              <w:marTop w:val="0"/>
                              <w:marBottom w:val="0"/>
                              <w:divBdr>
                                <w:top w:val="none" w:sz="0" w:space="0" w:color="auto"/>
                                <w:left w:val="none" w:sz="0" w:space="0" w:color="auto"/>
                                <w:bottom w:val="none" w:sz="0" w:space="0" w:color="auto"/>
                                <w:right w:val="none" w:sz="0" w:space="0" w:color="auto"/>
                              </w:divBdr>
                              <w:divsChild>
                                <w:div w:id="1782530398">
                                  <w:marLeft w:val="240"/>
                                  <w:marRight w:val="240"/>
                                  <w:marTop w:val="0"/>
                                  <w:marBottom w:val="0"/>
                                  <w:divBdr>
                                    <w:top w:val="none" w:sz="0" w:space="0" w:color="auto"/>
                                    <w:left w:val="none" w:sz="0" w:space="0" w:color="auto"/>
                                    <w:bottom w:val="none" w:sz="0" w:space="0" w:color="auto"/>
                                    <w:right w:val="none" w:sz="0" w:space="0" w:color="auto"/>
                                  </w:divBdr>
                                  <w:divsChild>
                                    <w:div w:id="1091389011">
                                      <w:marLeft w:val="0"/>
                                      <w:marRight w:val="0"/>
                                      <w:marTop w:val="0"/>
                                      <w:marBottom w:val="0"/>
                                      <w:divBdr>
                                        <w:top w:val="none" w:sz="0" w:space="0" w:color="auto"/>
                                        <w:left w:val="none" w:sz="0" w:space="0" w:color="auto"/>
                                        <w:bottom w:val="none" w:sz="0" w:space="0" w:color="auto"/>
                                        <w:right w:val="none" w:sz="0" w:space="0" w:color="auto"/>
                                      </w:divBdr>
                                      <w:divsChild>
                                        <w:div w:id="1116370030">
                                          <w:marLeft w:val="240"/>
                                          <w:marRight w:val="240"/>
                                          <w:marTop w:val="0"/>
                                          <w:marBottom w:val="0"/>
                                          <w:divBdr>
                                            <w:top w:val="none" w:sz="0" w:space="0" w:color="auto"/>
                                            <w:left w:val="none" w:sz="0" w:space="0" w:color="auto"/>
                                            <w:bottom w:val="none" w:sz="0" w:space="0" w:color="auto"/>
                                            <w:right w:val="none" w:sz="0" w:space="0" w:color="auto"/>
                                          </w:divBdr>
                                          <w:divsChild>
                                            <w:div w:id="581598929">
                                              <w:marLeft w:val="0"/>
                                              <w:marRight w:val="0"/>
                                              <w:marTop w:val="0"/>
                                              <w:marBottom w:val="0"/>
                                              <w:divBdr>
                                                <w:top w:val="none" w:sz="0" w:space="0" w:color="auto"/>
                                                <w:left w:val="none" w:sz="0" w:space="0" w:color="auto"/>
                                                <w:bottom w:val="none" w:sz="0" w:space="0" w:color="auto"/>
                                                <w:right w:val="none" w:sz="0" w:space="0" w:color="auto"/>
                                              </w:divBdr>
                                              <w:divsChild>
                                                <w:div w:id="1164473727">
                                                  <w:marLeft w:val="240"/>
                                                  <w:marRight w:val="240"/>
                                                  <w:marTop w:val="0"/>
                                                  <w:marBottom w:val="0"/>
                                                  <w:divBdr>
                                                    <w:top w:val="none" w:sz="0" w:space="0" w:color="auto"/>
                                                    <w:left w:val="none" w:sz="0" w:space="0" w:color="auto"/>
                                                    <w:bottom w:val="none" w:sz="0" w:space="0" w:color="auto"/>
                                                    <w:right w:val="none" w:sz="0" w:space="0" w:color="auto"/>
                                                  </w:divBdr>
                                                  <w:divsChild>
                                                    <w:div w:id="1400707512">
                                                      <w:marLeft w:val="240"/>
                                                      <w:marRight w:val="0"/>
                                                      <w:marTop w:val="0"/>
                                                      <w:marBottom w:val="0"/>
                                                      <w:divBdr>
                                                        <w:top w:val="none" w:sz="0" w:space="0" w:color="auto"/>
                                                        <w:left w:val="none" w:sz="0" w:space="0" w:color="auto"/>
                                                        <w:bottom w:val="none" w:sz="0" w:space="0" w:color="auto"/>
                                                        <w:right w:val="none" w:sz="0" w:space="0" w:color="auto"/>
                                                      </w:divBdr>
                                                    </w:div>
                                                    <w:div w:id="1535196883">
                                                      <w:marLeft w:val="0"/>
                                                      <w:marRight w:val="0"/>
                                                      <w:marTop w:val="0"/>
                                                      <w:marBottom w:val="0"/>
                                                      <w:divBdr>
                                                        <w:top w:val="none" w:sz="0" w:space="0" w:color="auto"/>
                                                        <w:left w:val="none" w:sz="0" w:space="0" w:color="auto"/>
                                                        <w:bottom w:val="none" w:sz="0" w:space="0" w:color="auto"/>
                                                        <w:right w:val="none" w:sz="0" w:space="0" w:color="auto"/>
                                                      </w:divBdr>
                                                      <w:divsChild>
                                                        <w:div w:id="79066920">
                                                          <w:marLeft w:val="240"/>
                                                          <w:marRight w:val="240"/>
                                                          <w:marTop w:val="0"/>
                                                          <w:marBottom w:val="0"/>
                                                          <w:divBdr>
                                                            <w:top w:val="none" w:sz="0" w:space="0" w:color="auto"/>
                                                            <w:left w:val="none" w:sz="0" w:space="0" w:color="auto"/>
                                                            <w:bottom w:val="none" w:sz="0" w:space="0" w:color="auto"/>
                                                            <w:right w:val="none" w:sz="0" w:space="0" w:color="auto"/>
                                                          </w:divBdr>
                                                          <w:divsChild>
                                                            <w:div w:id="1004090015">
                                                              <w:marLeft w:val="0"/>
                                                              <w:marRight w:val="0"/>
                                                              <w:marTop w:val="0"/>
                                                              <w:marBottom w:val="0"/>
                                                              <w:divBdr>
                                                                <w:top w:val="none" w:sz="0" w:space="0" w:color="auto"/>
                                                                <w:left w:val="none" w:sz="0" w:space="0" w:color="auto"/>
                                                                <w:bottom w:val="none" w:sz="0" w:space="0" w:color="auto"/>
                                                                <w:right w:val="none" w:sz="0" w:space="0" w:color="auto"/>
                                                              </w:divBdr>
                                                              <w:divsChild>
                                                                <w:div w:id="357852676">
                                                                  <w:marLeft w:val="0"/>
                                                                  <w:marRight w:val="0"/>
                                                                  <w:marTop w:val="0"/>
                                                                  <w:marBottom w:val="0"/>
                                                                  <w:divBdr>
                                                                    <w:top w:val="none" w:sz="0" w:space="0" w:color="auto"/>
                                                                    <w:left w:val="none" w:sz="0" w:space="0" w:color="auto"/>
                                                                    <w:bottom w:val="none" w:sz="0" w:space="0" w:color="auto"/>
                                                                    <w:right w:val="none" w:sz="0" w:space="0" w:color="auto"/>
                                                                  </w:divBdr>
                                                                </w:div>
                                                                <w:div w:id="1619414579">
                                                                  <w:marLeft w:val="240"/>
                                                                  <w:marRight w:val="240"/>
                                                                  <w:marTop w:val="0"/>
                                                                  <w:marBottom w:val="0"/>
                                                                  <w:divBdr>
                                                                    <w:top w:val="none" w:sz="0" w:space="0" w:color="auto"/>
                                                                    <w:left w:val="none" w:sz="0" w:space="0" w:color="auto"/>
                                                                    <w:bottom w:val="none" w:sz="0" w:space="0" w:color="auto"/>
                                                                    <w:right w:val="none" w:sz="0" w:space="0" w:color="auto"/>
                                                                  </w:divBdr>
                                                                  <w:divsChild>
                                                                    <w:div w:id="14472363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323342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0519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618633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228538">
      <w:bodyDiv w:val="1"/>
      <w:marLeft w:val="0"/>
      <w:marRight w:val="0"/>
      <w:marTop w:val="0"/>
      <w:marBottom w:val="0"/>
      <w:divBdr>
        <w:top w:val="none" w:sz="0" w:space="0" w:color="auto"/>
        <w:left w:val="none" w:sz="0" w:space="0" w:color="auto"/>
        <w:bottom w:val="none" w:sz="0" w:space="0" w:color="auto"/>
        <w:right w:val="none" w:sz="0" w:space="0" w:color="auto"/>
      </w:divBdr>
    </w:div>
    <w:div w:id="449783743">
      <w:bodyDiv w:val="1"/>
      <w:marLeft w:val="0"/>
      <w:marRight w:val="0"/>
      <w:marTop w:val="0"/>
      <w:marBottom w:val="0"/>
      <w:divBdr>
        <w:top w:val="none" w:sz="0" w:space="0" w:color="auto"/>
        <w:left w:val="none" w:sz="0" w:space="0" w:color="auto"/>
        <w:bottom w:val="none" w:sz="0" w:space="0" w:color="auto"/>
        <w:right w:val="none" w:sz="0" w:space="0" w:color="auto"/>
      </w:divBdr>
    </w:div>
    <w:div w:id="467286295">
      <w:bodyDiv w:val="1"/>
      <w:marLeft w:val="0"/>
      <w:marRight w:val="0"/>
      <w:marTop w:val="0"/>
      <w:marBottom w:val="0"/>
      <w:divBdr>
        <w:top w:val="none" w:sz="0" w:space="0" w:color="auto"/>
        <w:left w:val="none" w:sz="0" w:space="0" w:color="auto"/>
        <w:bottom w:val="none" w:sz="0" w:space="0" w:color="auto"/>
        <w:right w:val="none" w:sz="0" w:space="0" w:color="auto"/>
      </w:divBdr>
    </w:div>
    <w:div w:id="546571623">
      <w:bodyDiv w:val="1"/>
      <w:marLeft w:val="0"/>
      <w:marRight w:val="0"/>
      <w:marTop w:val="0"/>
      <w:marBottom w:val="0"/>
      <w:divBdr>
        <w:top w:val="none" w:sz="0" w:space="0" w:color="auto"/>
        <w:left w:val="none" w:sz="0" w:space="0" w:color="auto"/>
        <w:bottom w:val="none" w:sz="0" w:space="0" w:color="auto"/>
        <w:right w:val="none" w:sz="0" w:space="0" w:color="auto"/>
      </w:divBdr>
    </w:div>
    <w:div w:id="577599246">
      <w:bodyDiv w:val="1"/>
      <w:marLeft w:val="0"/>
      <w:marRight w:val="0"/>
      <w:marTop w:val="0"/>
      <w:marBottom w:val="0"/>
      <w:divBdr>
        <w:top w:val="none" w:sz="0" w:space="0" w:color="auto"/>
        <w:left w:val="none" w:sz="0" w:space="0" w:color="auto"/>
        <w:bottom w:val="none" w:sz="0" w:space="0" w:color="auto"/>
        <w:right w:val="none" w:sz="0" w:space="0" w:color="auto"/>
      </w:divBdr>
    </w:div>
    <w:div w:id="577862983">
      <w:bodyDiv w:val="1"/>
      <w:marLeft w:val="0"/>
      <w:marRight w:val="0"/>
      <w:marTop w:val="0"/>
      <w:marBottom w:val="0"/>
      <w:divBdr>
        <w:top w:val="none" w:sz="0" w:space="0" w:color="auto"/>
        <w:left w:val="none" w:sz="0" w:space="0" w:color="auto"/>
        <w:bottom w:val="none" w:sz="0" w:space="0" w:color="auto"/>
        <w:right w:val="none" w:sz="0" w:space="0" w:color="auto"/>
      </w:divBdr>
    </w:div>
    <w:div w:id="626280830">
      <w:bodyDiv w:val="1"/>
      <w:marLeft w:val="0"/>
      <w:marRight w:val="0"/>
      <w:marTop w:val="0"/>
      <w:marBottom w:val="0"/>
      <w:divBdr>
        <w:top w:val="none" w:sz="0" w:space="0" w:color="auto"/>
        <w:left w:val="none" w:sz="0" w:space="0" w:color="auto"/>
        <w:bottom w:val="none" w:sz="0" w:space="0" w:color="auto"/>
        <w:right w:val="none" w:sz="0" w:space="0" w:color="auto"/>
      </w:divBdr>
    </w:div>
    <w:div w:id="658845464">
      <w:bodyDiv w:val="1"/>
      <w:marLeft w:val="0"/>
      <w:marRight w:val="0"/>
      <w:marTop w:val="0"/>
      <w:marBottom w:val="0"/>
      <w:divBdr>
        <w:top w:val="none" w:sz="0" w:space="0" w:color="auto"/>
        <w:left w:val="none" w:sz="0" w:space="0" w:color="auto"/>
        <w:bottom w:val="none" w:sz="0" w:space="0" w:color="auto"/>
        <w:right w:val="none" w:sz="0" w:space="0" w:color="auto"/>
      </w:divBdr>
    </w:div>
    <w:div w:id="701128877">
      <w:bodyDiv w:val="1"/>
      <w:marLeft w:val="0"/>
      <w:marRight w:val="0"/>
      <w:marTop w:val="0"/>
      <w:marBottom w:val="0"/>
      <w:divBdr>
        <w:top w:val="none" w:sz="0" w:space="0" w:color="auto"/>
        <w:left w:val="none" w:sz="0" w:space="0" w:color="auto"/>
        <w:bottom w:val="none" w:sz="0" w:space="0" w:color="auto"/>
        <w:right w:val="none" w:sz="0" w:space="0" w:color="auto"/>
      </w:divBdr>
    </w:div>
    <w:div w:id="726028096">
      <w:bodyDiv w:val="1"/>
      <w:marLeft w:val="0"/>
      <w:marRight w:val="0"/>
      <w:marTop w:val="0"/>
      <w:marBottom w:val="0"/>
      <w:divBdr>
        <w:top w:val="none" w:sz="0" w:space="0" w:color="auto"/>
        <w:left w:val="none" w:sz="0" w:space="0" w:color="auto"/>
        <w:bottom w:val="none" w:sz="0" w:space="0" w:color="auto"/>
        <w:right w:val="none" w:sz="0" w:space="0" w:color="auto"/>
      </w:divBdr>
    </w:div>
    <w:div w:id="832262422">
      <w:bodyDiv w:val="1"/>
      <w:marLeft w:val="0"/>
      <w:marRight w:val="0"/>
      <w:marTop w:val="0"/>
      <w:marBottom w:val="0"/>
      <w:divBdr>
        <w:top w:val="none" w:sz="0" w:space="0" w:color="auto"/>
        <w:left w:val="none" w:sz="0" w:space="0" w:color="auto"/>
        <w:bottom w:val="none" w:sz="0" w:space="0" w:color="auto"/>
        <w:right w:val="none" w:sz="0" w:space="0" w:color="auto"/>
      </w:divBdr>
    </w:div>
    <w:div w:id="844439159">
      <w:bodyDiv w:val="1"/>
      <w:marLeft w:val="0"/>
      <w:marRight w:val="0"/>
      <w:marTop w:val="0"/>
      <w:marBottom w:val="0"/>
      <w:divBdr>
        <w:top w:val="none" w:sz="0" w:space="0" w:color="auto"/>
        <w:left w:val="none" w:sz="0" w:space="0" w:color="auto"/>
        <w:bottom w:val="none" w:sz="0" w:space="0" w:color="auto"/>
        <w:right w:val="none" w:sz="0" w:space="0" w:color="auto"/>
      </w:divBdr>
    </w:div>
    <w:div w:id="847214460">
      <w:bodyDiv w:val="1"/>
      <w:marLeft w:val="0"/>
      <w:marRight w:val="0"/>
      <w:marTop w:val="0"/>
      <w:marBottom w:val="0"/>
      <w:divBdr>
        <w:top w:val="none" w:sz="0" w:space="0" w:color="auto"/>
        <w:left w:val="none" w:sz="0" w:space="0" w:color="auto"/>
        <w:bottom w:val="none" w:sz="0" w:space="0" w:color="auto"/>
        <w:right w:val="none" w:sz="0" w:space="0" w:color="auto"/>
      </w:divBdr>
    </w:div>
    <w:div w:id="917442999">
      <w:bodyDiv w:val="1"/>
      <w:marLeft w:val="0"/>
      <w:marRight w:val="0"/>
      <w:marTop w:val="0"/>
      <w:marBottom w:val="0"/>
      <w:divBdr>
        <w:top w:val="none" w:sz="0" w:space="0" w:color="auto"/>
        <w:left w:val="none" w:sz="0" w:space="0" w:color="auto"/>
        <w:bottom w:val="none" w:sz="0" w:space="0" w:color="auto"/>
        <w:right w:val="none" w:sz="0" w:space="0" w:color="auto"/>
      </w:divBdr>
    </w:div>
    <w:div w:id="965354901">
      <w:bodyDiv w:val="1"/>
      <w:marLeft w:val="0"/>
      <w:marRight w:val="0"/>
      <w:marTop w:val="0"/>
      <w:marBottom w:val="0"/>
      <w:divBdr>
        <w:top w:val="none" w:sz="0" w:space="0" w:color="auto"/>
        <w:left w:val="none" w:sz="0" w:space="0" w:color="auto"/>
        <w:bottom w:val="none" w:sz="0" w:space="0" w:color="auto"/>
        <w:right w:val="none" w:sz="0" w:space="0" w:color="auto"/>
      </w:divBdr>
    </w:div>
    <w:div w:id="1058476479">
      <w:bodyDiv w:val="1"/>
      <w:marLeft w:val="0"/>
      <w:marRight w:val="0"/>
      <w:marTop w:val="0"/>
      <w:marBottom w:val="0"/>
      <w:divBdr>
        <w:top w:val="none" w:sz="0" w:space="0" w:color="auto"/>
        <w:left w:val="none" w:sz="0" w:space="0" w:color="auto"/>
        <w:bottom w:val="none" w:sz="0" w:space="0" w:color="auto"/>
        <w:right w:val="none" w:sz="0" w:space="0" w:color="auto"/>
      </w:divBdr>
    </w:div>
    <w:div w:id="1131285939">
      <w:bodyDiv w:val="1"/>
      <w:marLeft w:val="0"/>
      <w:marRight w:val="0"/>
      <w:marTop w:val="0"/>
      <w:marBottom w:val="0"/>
      <w:divBdr>
        <w:top w:val="none" w:sz="0" w:space="0" w:color="auto"/>
        <w:left w:val="none" w:sz="0" w:space="0" w:color="auto"/>
        <w:bottom w:val="none" w:sz="0" w:space="0" w:color="auto"/>
        <w:right w:val="none" w:sz="0" w:space="0" w:color="auto"/>
      </w:divBdr>
    </w:div>
    <w:div w:id="1160317614">
      <w:bodyDiv w:val="1"/>
      <w:marLeft w:val="0"/>
      <w:marRight w:val="0"/>
      <w:marTop w:val="0"/>
      <w:marBottom w:val="0"/>
      <w:divBdr>
        <w:top w:val="none" w:sz="0" w:space="0" w:color="auto"/>
        <w:left w:val="none" w:sz="0" w:space="0" w:color="auto"/>
        <w:bottom w:val="none" w:sz="0" w:space="0" w:color="auto"/>
        <w:right w:val="none" w:sz="0" w:space="0" w:color="auto"/>
      </w:divBdr>
    </w:div>
    <w:div w:id="1177231867">
      <w:bodyDiv w:val="1"/>
      <w:marLeft w:val="0"/>
      <w:marRight w:val="0"/>
      <w:marTop w:val="0"/>
      <w:marBottom w:val="0"/>
      <w:divBdr>
        <w:top w:val="none" w:sz="0" w:space="0" w:color="auto"/>
        <w:left w:val="none" w:sz="0" w:space="0" w:color="auto"/>
        <w:bottom w:val="none" w:sz="0" w:space="0" w:color="auto"/>
        <w:right w:val="none" w:sz="0" w:space="0" w:color="auto"/>
      </w:divBdr>
    </w:div>
    <w:div w:id="1216431337">
      <w:bodyDiv w:val="1"/>
      <w:marLeft w:val="0"/>
      <w:marRight w:val="0"/>
      <w:marTop w:val="0"/>
      <w:marBottom w:val="0"/>
      <w:divBdr>
        <w:top w:val="none" w:sz="0" w:space="0" w:color="auto"/>
        <w:left w:val="none" w:sz="0" w:space="0" w:color="auto"/>
        <w:bottom w:val="none" w:sz="0" w:space="0" w:color="auto"/>
        <w:right w:val="none" w:sz="0" w:space="0" w:color="auto"/>
      </w:divBdr>
    </w:div>
    <w:div w:id="1220165510">
      <w:bodyDiv w:val="1"/>
      <w:marLeft w:val="0"/>
      <w:marRight w:val="0"/>
      <w:marTop w:val="0"/>
      <w:marBottom w:val="0"/>
      <w:divBdr>
        <w:top w:val="none" w:sz="0" w:space="0" w:color="auto"/>
        <w:left w:val="none" w:sz="0" w:space="0" w:color="auto"/>
        <w:bottom w:val="none" w:sz="0" w:space="0" w:color="auto"/>
        <w:right w:val="none" w:sz="0" w:space="0" w:color="auto"/>
      </w:divBdr>
    </w:div>
    <w:div w:id="1229458557">
      <w:bodyDiv w:val="1"/>
      <w:marLeft w:val="0"/>
      <w:marRight w:val="0"/>
      <w:marTop w:val="0"/>
      <w:marBottom w:val="0"/>
      <w:divBdr>
        <w:top w:val="none" w:sz="0" w:space="0" w:color="auto"/>
        <w:left w:val="none" w:sz="0" w:space="0" w:color="auto"/>
        <w:bottom w:val="none" w:sz="0" w:space="0" w:color="auto"/>
        <w:right w:val="none" w:sz="0" w:space="0" w:color="auto"/>
      </w:divBdr>
      <w:divsChild>
        <w:div w:id="244416503">
          <w:marLeft w:val="0"/>
          <w:marRight w:val="0"/>
          <w:marTop w:val="0"/>
          <w:marBottom w:val="0"/>
          <w:divBdr>
            <w:top w:val="none" w:sz="0" w:space="0" w:color="auto"/>
            <w:left w:val="none" w:sz="0" w:space="0" w:color="auto"/>
            <w:bottom w:val="none" w:sz="0" w:space="0" w:color="auto"/>
            <w:right w:val="none" w:sz="0" w:space="0" w:color="auto"/>
          </w:divBdr>
        </w:div>
      </w:divsChild>
    </w:div>
    <w:div w:id="1353529741">
      <w:bodyDiv w:val="1"/>
      <w:marLeft w:val="0"/>
      <w:marRight w:val="0"/>
      <w:marTop w:val="0"/>
      <w:marBottom w:val="0"/>
      <w:divBdr>
        <w:top w:val="none" w:sz="0" w:space="0" w:color="auto"/>
        <w:left w:val="none" w:sz="0" w:space="0" w:color="auto"/>
        <w:bottom w:val="none" w:sz="0" w:space="0" w:color="auto"/>
        <w:right w:val="none" w:sz="0" w:space="0" w:color="auto"/>
      </w:divBdr>
    </w:div>
    <w:div w:id="1399547196">
      <w:bodyDiv w:val="1"/>
      <w:marLeft w:val="0"/>
      <w:marRight w:val="0"/>
      <w:marTop w:val="0"/>
      <w:marBottom w:val="0"/>
      <w:divBdr>
        <w:top w:val="none" w:sz="0" w:space="0" w:color="auto"/>
        <w:left w:val="none" w:sz="0" w:space="0" w:color="auto"/>
        <w:bottom w:val="none" w:sz="0" w:space="0" w:color="auto"/>
        <w:right w:val="none" w:sz="0" w:space="0" w:color="auto"/>
      </w:divBdr>
    </w:div>
    <w:div w:id="1539977034">
      <w:bodyDiv w:val="1"/>
      <w:marLeft w:val="0"/>
      <w:marRight w:val="0"/>
      <w:marTop w:val="0"/>
      <w:marBottom w:val="0"/>
      <w:divBdr>
        <w:top w:val="none" w:sz="0" w:space="0" w:color="auto"/>
        <w:left w:val="none" w:sz="0" w:space="0" w:color="auto"/>
        <w:bottom w:val="none" w:sz="0" w:space="0" w:color="auto"/>
        <w:right w:val="none" w:sz="0" w:space="0" w:color="auto"/>
      </w:divBdr>
    </w:div>
    <w:div w:id="1594975456">
      <w:bodyDiv w:val="1"/>
      <w:marLeft w:val="0"/>
      <w:marRight w:val="0"/>
      <w:marTop w:val="0"/>
      <w:marBottom w:val="0"/>
      <w:divBdr>
        <w:top w:val="none" w:sz="0" w:space="0" w:color="auto"/>
        <w:left w:val="none" w:sz="0" w:space="0" w:color="auto"/>
        <w:bottom w:val="none" w:sz="0" w:space="0" w:color="auto"/>
        <w:right w:val="none" w:sz="0" w:space="0" w:color="auto"/>
      </w:divBdr>
    </w:div>
    <w:div w:id="1725257868">
      <w:bodyDiv w:val="1"/>
      <w:marLeft w:val="0"/>
      <w:marRight w:val="0"/>
      <w:marTop w:val="0"/>
      <w:marBottom w:val="0"/>
      <w:divBdr>
        <w:top w:val="none" w:sz="0" w:space="0" w:color="auto"/>
        <w:left w:val="none" w:sz="0" w:space="0" w:color="auto"/>
        <w:bottom w:val="none" w:sz="0" w:space="0" w:color="auto"/>
        <w:right w:val="none" w:sz="0" w:space="0" w:color="auto"/>
      </w:divBdr>
    </w:div>
    <w:div w:id="1805804128">
      <w:bodyDiv w:val="1"/>
      <w:marLeft w:val="0"/>
      <w:marRight w:val="0"/>
      <w:marTop w:val="0"/>
      <w:marBottom w:val="0"/>
      <w:divBdr>
        <w:top w:val="none" w:sz="0" w:space="0" w:color="auto"/>
        <w:left w:val="none" w:sz="0" w:space="0" w:color="auto"/>
        <w:bottom w:val="none" w:sz="0" w:space="0" w:color="auto"/>
        <w:right w:val="none" w:sz="0" w:space="0" w:color="auto"/>
      </w:divBdr>
    </w:div>
    <w:div w:id="1828672442">
      <w:bodyDiv w:val="1"/>
      <w:marLeft w:val="0"/>
      <w:marRight w:val="0"/>
      <w:marTop w:val="0"/>
      <w:marBottom w:val="0"/>
      <w:divBdr>
        <w:top w:val="none" w:sz="0" w:space="0" w:color="auto"/>
        <w:left w:val="none" w:sz="0" w:space="0" w:color="auto"/>
        <w:bottom w:val="none" w:sz="0" w:space="0" w:color="auto"/>
        <w:right w:val="none" w:sz="0" w:space="0" w:color="auto"/>
      </w:divBdr>
    </w:div>
    <w:div w:id="1844053529">
      <w:bodyDiv w:val="1"/>
      <w:marLeft w:val="0"/>
      <w:marRight w:val="0"/>
      <w:marTop w:val="0"/>
      <w:marBottom w:val="0"/>
      <w:divBdr>
        <w:top w:val="none" w:sz="0" w:space="0" w:color="auto"/>
        <w:left w:val="none" w:sz="0" w:space="0" w:color="auto"/>
        <w:bottom w:val="none" w:sz="0" w:space="0" w:color="auto"/>
        <w:right w:val="none" w:sz="0" w:space="0" w:color="auto"/>
      </w:divBdr>
    </w:div>
    <w:div w:id="1858078783">
      <w:bodyDiv w:val="1"/>
      <w:marLeft w:val="0"/>
      <w:marRight w:val="0"/>
      <w:marTop w:val="0"/>
      <w:marBottom w:val="0"/>
      <w:divBdr>
        <w:top w:val="none" w:sz="0" w:space="0" w:color="auto"/>
        <w:left w:val="none" w:sz="0" w:space="0" w:color="auto"/>
        <w:bottom w:val="none" w:sz="0" w:space="0" w:color="auto"/>
        <w:right w:val="none" w:sz="0" w:space="0" w:color="auto"/>
      </w:divBdr>
    </w:div>
    <w:div w:id="1940139877">
      <w:bodyDiv w:val="1"/>
      <w:marLeft w:val="0"/>
      <w:marRight w:val="0"/>
      <w:marTop w:val="0"/>
      <w:marBottom w:val="0"/>
      <w:divBdr>
        <w:top w:val="none" w:sz="0" w:space="0" w:color="auto"/>
        <w:left w:val="none" w:sz="0" w:space="0" w:color="auto"/>
        <w:bottom w:val="none" w:sz="0" w:space="0" w:color="auto"/>
        <w:right w:val="none" w:sz="0" w:space="0" w:color="auto"/>
      </w:divBdr>
    </w:div>
    <w:div w:id="1950232750">
      <w:bodyDiv w:val="1"/>
      <w:marLeft w:val="0"/>
      <w:marRight w:val="0"/>
      <w:marTop w:val="0"/>
      <w:marBottom w:val="0"/>
      <w:divBdr>
        <w:top w:val="none" w:sz="0" w:space="0" w:color="auto"/>
        <w:left w:val="none" w:sz="0" w:space="0" w:color="auto"/>
        <w:bottom w:val="none" w:sz="0" w:space="0" w:color="auto"/>
        <w:right w:val="none" w:sz="0" w:space="0" w:color="auto"/>
      </w:divBdr>
    </w:div>
    <w:div w:id="211806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footer" Target="footer36.xml"/><Relationship Id="rId21" Type="http://schemas.openxmlformats.org/officeDocument/2006/relationships/header" Target="header5.xml"/><Relationship Id="rId42" Type="http://schemas.openxmlformats.org/officeDocument/2006/relationships/footer" Target="footer14.xml"/><Relationship Id="rId63" Type="http://schemas.openxmlformats.org/officeDocument/2006/relationships/hyperlink" Target="http://www.consumerreports.org/cro/2014/03/treating-high-cholesterol-with-statins/index.htm" TargetMode="External"/><Relationship Id="rId84" Type="http://schemas.openxmlformats.org/officeDocument/2006/relationships/header" Target="header27.xml"/><Relationship Id="rId138" Type="http://schemas.openxmlformats.org/officeDocument/2006/relationships/header" Target="header62.xml"/><Relationship Id="rId107" Type="http://schemas.openxmlformats.org/officeDocument/2006/relationships/header" Target="header42.xml"/><Relationship Id="rId11" Type="http://schemas.openxmlformats.org/officeDocument/2006/relationships/webSettings" Target="webSettings.xml"/><Relationship Id="rId32" Type="http://schemas.openxmlformats.org/officeDocument/2006/relationships/header" Target="header11.xml"/><Relationship Id="rId53" Type="http://schemas.openxmlformats.org/officeDocument/2006/relationships/footer" Target="footer19.xml"/><Relationship Id="rId74" Type="http://schemas.openxmlformats.org/officeDocument/2006/relationships/header" Target="header26.xml"/><Relationship Id="rId128" Type="http://schemas.openxmlformats.org/officeDocument/2006/relationships/header" Target="header55.xml"/><Relationship Id="rId149" Type="http://schemas.openxmlformats.org/officeDocument/2006/relationships/theme" Target="theme/theme1.xml"/><Relationship Id="rId5" Type="http://schemas.openxmlformats.org/officeDocument/2006/relationships/customXml" Target="../customXml/item4.xml"/><Relationship Id="rId95" Type="http://schemas.openxmlformats.org/officeDocument/2006/relationships/header" Target="header34.xml"/><Relationship Id="rId22" Type="http://schemas.openxmlformats.org/officeDocument/2006/relationships/footer" Target="footer4.xml"/><Relationship Id="rId27" Type="http://schemas.openxmlformats.org/officeDocument/2006/relationships/header" Target="header8.xml"/><Relationship Id="rId43" Type="http://schemas.openxmlformats.org/officeDocument/2006/relationships/header" Target="header16.xml"/><Relationship Id="rId48" Type="http://schemas.openxmlformats.org/officeDocument/2006/relationships/header" Target="header19.xml"/><Relationship Id="rId64" Type="http://schemas.openxmlformats.org/officeDocument/2006/relationships/hyperlink" Target="http://millionhearts.hhs.gov/aboutmh/overview.html" TargetMode="External"/><Relationship Id="rId69" Type="http://schemas.openxmlformats.org/officeDocument/2006/relationships/hyperlink" Target="http://www.consumerreports.org/cro/2014/03/treating-high-cholesterol-with-statins/index.htm" TargetMode="External"/><Relationship Id="rId113" Type="http://schemas.openxmlformats.org/officeDocument/2006/relationships/footer" Target="footer34.xml"/><Relationship Id="rId118" Type="http://schemas.openxmlformats.org/officeDocument/2006/relationships/header" Target="header48.xml"/><Relationship Id="rId134" Type="http://schemas.openxmlformats.org/officeDocument/2006/relationships/header" Target="header59.xml"/><Relationship Id="rId139" Type="http://schemas.openxmlformats.org/officeDocument/2006/relationships/footer" Target="footer43.xml"/><Relationship Id="rId80" Type="http://schemas.openxmlformats.org/officeDocument/2006/relationships/hyperlink" Target="http://healthindicators.gov/Resources/Initiatives/CMS/Utilization-Report_12/Indicator/Report" TargetMode="External"/><Relationship Id="rId85" Type="http://schemas.openxmlformats.org/officeDocument/2006/relationships/header" Target="header28.xml"/><Relationship Id="rId12" Type="http://schemas.openxmlformats.org/officeDocument/2006/relationships/footnotes" Target="footnotes.xml"/><Relationship Id="rId17" Type="http://schemas.openxmlformats.org/officeDocument/2006/relationships/header" Target="header3.xml"/><Relationship Id="rId33" Type="http://schemas.openxmlformats.org/officeDocument/2006/relationships/footer" Target="footer9.xml"/><Relationship Id="rId38" Type="http://schemas.openxmlformats.org/officeDocument/2006/relationships/footer" Target="footer12.xml"/><Relationship Id="rId59" Type="http://schemas.openxmlformats.org/officeDocument/2006/relationships/footer" Target="footer21.xml"/><Relationship Id="rId103" Type="http://schemas.openxmlformats.org/officeDocument/2006/relationships/footer" Target="footer30.xml"/><Relationship Id="rId108" Type="http://schemas.openxmlformats.org/officeDocument/2006/relationships/footer" Target="footer32.xml"/><Relationship Id="rId124" Type="http://schemas.openxmlformats.org/officeDocument/2006/relationships/footer" Target="footer38.xml"/><Relationship Id="rId129" Type="http://schemas.openxmlformats.org/officeDocument/2006/relationships/footer" Target="footer40.xml"/><Relationship Id="rId54" Type="http://schemas.openxmlformats.org/officeDocument/2006/relationships/header" Target="header22.xml"/><Relationship Id="rId70" Type="http://schemas.openxmlformats.org/officeDocument/2006/relationships/hyperlink" Target="http://onlinelibrary.wiley.com/doi/10.1111/j.1464-5491.2008.02476.x/abstract" TargetMode="External"/><Relationship Id="rId75" Type="http://schemas.openxmlformats.org/officeDocument/2006/relationships/hyperlink" Target="http://www.qualityindicators.ahrq.gov/Downloads/Modules/PQI/V31/pqi_guide_v31.pdf" TargetMode="External"/><Relationship Id="rId91" Type="http://schemas.openxmlformats.org/officeDocument/2006/relationships/header" Target="header32.xml"/><Relationship Id="rId96" Type="http://schemas.openxmlformats.org/officeDocument/2006/relationships/footer" Target="footer28.xml"/><Relationship Id="rId140" Type="http://schemas.openxmlformats.org/officeDocument/2006/relationships/header" Target="header63.xml"/><Relationship Id="rId145" Type="http://schemas.openxmlformats.org/officeDocument/2006/relationships/header" Target="header67.xml"/><Relationship Id="rId1" Type="http://schemas.microsoft.com/office/2006/relationships/keyMapCustomizations" Target="customizations.xml"/><Relationship Id="rId6" Type="http://schemas.openxmlformats.org/officeDocument/2006/relationships/customXml" Target="../customXml/item5.xml"/><Relationship Id="rId23" Type="http://schemas.openxmlformats.org/officeDocument/2006/relationships/header" Target="header6.xml"/><Relationship Id="rId28" Type="http://schemas.openxmlformats.org/officeDocument/2006/relationships/header" Target="header9.xml"/><Relationship Id="rId49" Type="http://schemas.openxmlformats.org/officeDocument/2006/relationships/header" Target="header20.xml"/><Relationship Id="rId114" Type="http://schemas.openxmlformats.org/officeDocument/2006/relationships/footer" Target="footer35.xml"/><Relationship Id="rId119" Type="http://schemas.openxmlformats.org/officeDocument/2006/relationships/header" Target="header49.xml"/><Relationship Id="rId44" Type="http://schemas.openxmlformats.org/officeDocument/2006/relationships/header" Target="header17.xml"/><Relationship Id="rId60" Type="http://schemas.openxmlformats.org/officeDocument/2006/relationships/footer" Target="footer22.xml"/><Relationship Id="rId65" Type="http://schemas.openxmlformats.org/officeDocument/2006/relationships/hyperlink" Target="http://www.nhlbi.nih.gov/health/health-topics/topics/atherosclerosis" TargetMode="External"/><Relationship Id="rId81" Type="http://schemas.openxmlformats.org/officeDocument/2006/relationships/hyperlink" Target="http://kff.org/medicare/fact-sheet/medicare-spending-and-financing-fact-sheet/" TargetMode="External"/><Relationship Id="rId86" Type="http://schemas.openxmlformats.org/officeDocument/2006/relationships/footer" Target="footer24.xml"/><Relationship Id="rId130" Type="http://schemas.openxmlformats.org/officeDocument/2006/relationships/header" Target="header56.xml"/><Relationship Id="rId135" Type="http://schemas.openxmlformats.org/officeDocument/2006/relationships/header" Target="header60.xml"/><Relationship Id="rId13" Type="http://schemas.openxmlformats.org/officeDocument/2006/relationships/endnotes" Target="endnotes.xml"/><Relationship Id="rId18" Type="http://schemas.openxmlformats.org/officeDocument/2006/relationships/footer" Target="footer2.xml"/><Relationship Id="rId39" Type="http://schemas.openxmlformats.org/officeDocument/2006/relationships/header" Target="header14.xml"/><Relationship Id="rId109" Type="http://schemas.openxmlformats.org/officeDocument/2006/relationships/header" Target="header43.xml"/><Relationship Id="rId34" Type="http://schemas.openxmlformats.org/officeDocument/2006/relationships/footer" Target="footer10.xml"/><Relationship Id="rId50" Type="http://schemas.openxmlformats.org/officeDocument/2006/relationships/footer" Target="footer17.xml"/><Relationship Id="rId55" Type="http://schemas.openxmlformats.org/officeDocument/2006/relationships/header" Target="header23.xml"/><Relationship Id="rId76" Type="http://schemas.openxmlformats.org/officeDocument/2006/relationships/hyperlink" Target="http://www.qualityindicators.ahrq.gov/Downloads/Modules/PQI/V31/pqi_guide_v31.pdf" TargetMode="External"/><Relationship Id="rId97" Type="http://schemas.openxmlformats.org/officeDocument/2006/relationships/header" Target="header35.xml"/><Relationship Id="rId104" Type="http://schemas.openxmlformats.org/officeDocument/2006/relationships/header" Target="header40.xml"/><Relationship Id="rId120" Type="http://schemas.openxmlformats.org/officeDocument/2006/relationships/footer" Target="footer37.xml"/><Relationship Id="rId125" Type="http://schemas.openxmlformats.org/officeDocument/2006/relationships/header" Target="header53.xml"/><Relationship Id="rId141" Type="http://schemas.openxmlformats.org/officeDocument/2006/relationships/header" Target="header64.xml"/><Relationship Id="rId146" Type="http://schemas.openxmlformats.org/officeDocument/2006/relationships/header" Target="header68.xml"/><Relationship Id="rId7" Type="http://schemas.openxmlformats.org/officeDocument/2006/relationships/customXml" Target="../customXml/item6.xml"/><Relationship Id="rId71" Type="http://schemas.openxmlformats.org/officeDocument/2006/relationships/hyperlink" Target="http://jama.ama-assn.org/content/303/9/825.full" TargetMode="External"/><Relationship Id="rId92" Type="http://schemas.openxmlformats.org/officeDocument/2006/relationships/footer" Target="footer26.xml"/><Relationship Id="rId2" Type="http://schemas.openxmlformats.org/officeDocument/2006/relationships/customXml" Target="../customXml/item1.xml"/><Relationship Id="rId29" Type="http://schemas.openxmlformats.org/officeDocument/2006/relationships/footer" Target="footer7.xml"/><Relationship Id="rId24" Type="http://schemas.openxmlformats.org/officeDocument/2006/relationships/header" Target="header7.xml"/><Relationship Id="rId40" Type="http://schemas.openxmlformats.org/officeDocument/2006/relationships/header" Target="header15.xml"/><Relationship Id="rId45" Type="http://schemas.openxmlformats.org/officeDocument/2006/relationships/footer" Target="footer15.xml"/><Relationship Id="rId66" Type="http://schemas.openxmlformats.org/officeDocument/2006/relationships/hyperlink" Target="http://ep.yimg.com/ty/cdn/epill/pdcmpr.pdf" TargetMode="External"/><Relationship Id="rId87" Type="http://schemas.openxmlformats.org/officeDocument/2006/relationships/header" Target="header29.xml"/><Relationship Id="rId110" Type="http://schemas.openxmlformats.org/officeDocument/2006/relationships/footer" Target="footer33.xml"/><Relationship Id="rId115" Type="http://schemas.openxmlformats.org/officeDocument/2006/relationships/header" Target="header46.xml"/><Relationship Id="rId131" Type="http://schemas.openxmlformats.org/officeDocument/2006/relationships/footer" Target="footer41.xml"/><Relationship Id="rId136" Type="http://schemas.openxmlformats.org/officeDocument/2006/relationships/footer" Target="footer42.xml"/><Relationship Id="rId61" Type="http://schemas.openxmlformats.org/officeDocument/2006/relationships/hyperlink" Target="http://www.heart.org/HEARTORG/Conditions/Cholesterol/PreventionTreatmentofHighCholesterol/Drug-Therapy-for-Cholesterol_UCM_305632_Article.jsp" TargetMode="External"/><Relationship Id="rId82" Type="http://schemas.openxmlformats.org/officeDocument/2006/relationships/hyperlink" Target="http://www.cms.gov/Research-Statistics-Data-and-Systems/Statistics-Trends-and-Reports/Reports/downloads/McCall_2004_3.pdf" TargetMode="External"/><Relationship Id="rId19" Type="http://schemas.openxmlformats.org/officeDocument/2006/relationships/header" Target="header4.xml"/><Relationship Id="rId14" Type="http://schemas.openxmlformats.org/officeDocument/2006/relationships/header" Target="header1.xml"/><Relationship Id="rId30" Type="http://schemas.openxmlformats.org/officeDocument/2006/relationships/footer" Target="footer8.xml"/><Relationship Id="rId35" Type="http://schemas.openxmlformats.org/officeDocument/2006/relationships/header" Target="header12.xml"/><Relationship Id="rId56" Type="http://schemas.openxmlformats.org/officeDocument/2006/relationships/footer" Target="footer20.xml"/><Relationship Id="rId77" Type="http://schemas.openxmlformats.org/officeDocument/2006/relationships/hyperlink" Target="http://www.ahrq.gov/research/findings/nhqrdr/nhdr12/index.html" TargetMode="External"/><Relationship Id="rId100" Type="http://schemas.openxmlformats.org/officeDocument/2006/relationships/header" Target="header37.xml"/><Relationship Id="rId105" Type="http://schemas.openxmlformats.org/officeDocument/2006/relationships/footer" Target="footer31.xml"/><Relationship Id="rId126" Type="http://schemas.openxmlformats.org/officeDocument/2006/relationships/header" Target="header54.xml"/><Relationship Id="rId147" Type="http://schemas.openxmlformats.org/officeDocument/2006/relationships/header" Target="header69.xml"/><Relationship Id="rId8" Type="http://schemas.openxmlformats.org/officeDocument/2006/relationships/numbering" Target="numbering.xml"/><Relationship Id="rId51" Type="http://schemas.openxmlformats.org/officeDocument/2006/relationships/footer" Target="footer18.xml"/><Relationship Id="rId72" Type="http://schemas.openxmlformats.org/officeDocument/2006/relationships/hyperlink" Target="http://ep.yimg.com/ty/cdn/epill/pdcmpr.pdf.%20" TargetMode="External"/><Relationship Id="rId93" Type="http://schemas.openxmlformats.org/officeDocument/2006/relationships/header" Target="header33.xml"/><Relationship Id="rId98" Type="http://schemas.openxmlformats.org/officeDocument/2006/relationships/header" Target="header36.xml"/><Relationship Id="rId121" Type="http://schemas.openxmlformats.org/officeDocument/2006/relationships/header" Target="header50.xml"/><Relationship Id="rId142" Type="http://schemas.openxmlformats.org/officeDocument/2006/relationships/header" Target="header65.xml"/><Relationship Id="rId3" Type="http://schemas.openxmlformats.org/officeDocument/2006/relationships/customXml" Target="../customXml/item2.xml"/><Relationship Id="rId25" Type="http://schemas.openxmlformats.org/officeDocument/2006/relationships/footer" Target="footer5.xml"/><Relationship Id="rId46" Type="http://schemas.openxmlformats.org/officeDocument/2006/relationships/footer" Target="footer16.xml"/><Relationship Id="rId67" Type="http://schemas.openxmlformats.org/officeDocument/2006/relationships/hyperlink" Target="http://www.diabetes.org/diabetes-basics/statistics/" TargetMode="External"/><Relationship Id="rId116" Type="http://schemas.openxmlformats.org/officeDocument/2006/relationships/header" Target="header47.xml"/><Relationship Id="rId137" Type="http://schemas.openxmlformats.org/officeDocument/2006/relationships/header" Target="header61.xml"/><Relationship Id="rId20" Type="http://schemas.openxmlformats.org/officeDocument/2006/relationships/footer" Target="footer3.xml"/><Relationship Id="rId41" Type="http://schemas.openxmlformats.org/officeDocument/2006/relationships/footer" Target="footer13.xml"/><Relationship Id="rId62" Type="http://schemas.openxmlformats.org/officeDocument/2006/relationships/hyperlink" Target="http://www.cdc.gov/nchs/data_access/Vitalstatsonline.htm%23Mortality_Multiple" TargetMode="External"/><Relationship Id="rId83" Type="http://schemas.openxmlformats.org/officeDocument/2006/relationships/footer" Target="footer23.xml"/><Relationship Id="rId88" Type="http://schemas.openxmlformats.org/officeDocument/2006/relationships/header" Target="header30.xml"/><Relationship Id="rId111" Type="http://schemas.openxmlformats.org/officeDocument/2006/relationships/header" Target="header44.xml"/><Relationship Id="rId132" Type="http://schemas.openxmlformats.org/officeDocument/2006/relationships/header" Target="header57.xml"/><Relationship Id="rId15" Type="http://schemas.openxmlformats.org/officeDocument/2006/relationships/header" Target="header2.xml"/><Relationship Id="rId36" Type="http://schemas.openxmlformats.org/officeDocument/2006/relationships/header" Target="header13.xml"/><Relationship Id="rId57" Type="http://schemas.openxmlformats.org/officeDocument/2006/relationships/header" Target="header24.xml"/><Relationship Id="rId106" Type="http://schemas.openxmlformats.org/officeDocument/2006/relationships/header" Target="header41.xml"/><Relationship Id="rId127" Type="http://schemas.openxmlformats.org/officeDocument/2006/relationships/footer" Target="footer39.xml"/><Relationship Id="rId10" Type="http://schemas.openxmlformats.org/officeDocument/2006/relationships/settings" Target="settings.xml"/><Relationship Id="rId31" Type="http://schemas.openxmlformats.org/officeDocument/2006/relationships/header" Target="header10.xml"/><Relationship Id="rId52" Type="http://schemas.openxmlformats.org/officeDocument/2006/relationships/header" Target="header21.xml"/><Relationship Id="rId73" Type="http://schemas.openxmlformats.org/officeDocument/2006/relationships/hyperlink" Target="http://www.jaoa.org/cgi/content/full/109/5_suppl_1/S2" TargetMode="External"/><Relationship Id="rId78" Type="http://schemas.openxmlformats.org/officeDocument/2006/relationships/hyperlink" Target="http://www.ncbi.nlm.nih.gov/books/NBK43831/" TargetMode="External"/><Relationship Id="rId94" Type="http://schemas.openxmlformats.org/officeDocument/2006/relationships/footer" Target="footer27.xml"/><Relationship Id="rId99" Type="http://schemas.openxmlformats.org/officeDocument/2006/relationships/footer" Target="footer29.xml"/><Relationship Id="rId101" Type="http://schemas.openxmlformats.org/officeDocument/2006/relationships/header" Target="header38.xml"/><Relationship Id="rId122" Type="http://schemas.openxmlformats.org/officeDocument/2006/relationships/header" Target="header51.xml"/><Relationship Id="rId143" Type="http://schemas.openxmlformats.org/officeDocument/2006/relationships/footer" Target="footer44.xml"/><Relationship Id="rId148"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styles" Target="styles.xml"/><Relationship Id="rId26" Type="http://schemas.openxmlformats.org/officeDocument/2006/relationships/footer" Target="footer6.xml"/><Relationship Id="rId47" Type="http://schemas.openxmlformats.org/officeDocument/2006/relationships/header" Target="header18.xml"/><Relationship Id="rId68" Type="http://schemas.openxmlformats.org/officeDocument/2006/relationships/hyperlink" Target="http://www.heart.org/HEARTORG/Conditions/Diabetes/WhyDiabetesMatters/Cardiovascular-Disease-Diabetes_UCM_313865_Article.jsp%20Accessed%20January%2012" TargetMode="External"/><Relationship Id="rId89" Type="http://schemas.openxmlformats.org/officeDocument/2006/relationships/footer" Target="footer25.xml"/><Relationship Id="rId112" Type="http://schemas.openxmlformats.org/officeDocument/2006/relationships/header" Target="header45.xml"/><Relationship Id="rId133" Type="http://schemas.openxmlformats.org/officeDocument/2006/relationships/header" Target="header58.xml"/><Relationship Id="rId16" Type="http://schemas.openxmlformats.org/officeDocument/2006/relationships/footer" Target="footer1.xml"/><Relationship Id="rId37" Type="http://schemas.openxmlformats.org/officeDocument/2006/relationships/footer" Target="footer11.xml"/><Relationship Id="rId58" Type="http://schemas.openxmlformats.org/officeDocument/2006/relationships/header" Target="header25.xml"/><Relationship Id="rId79" Type="http://schemas.openxmlformats.org/officeDocument/2006/relationships/hyperlink" Target="http://www.qualityindicators.ahrq.gov/Downloads/Modules/PQI/PQI%20Summary%20Report.pdf" TargetMode="External"/><Relationship Id="rId102" Type="http://schemas.openxmlformats.org/officeDocument/2006/relationships/header" Target="header39.xml"/><Relationship Id="rId123" Type="http://schemas.openxmlformats.org/officeDocument/2006/relationships/header" Target="header52.xml"/><Relationship Id="rId144" Type="http://schemas.openxmlformats.org/officeDocument/2006/relationships/header" Target="header66.xml"/><Relationship Id="rId90"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E95EDCDDB71B4A976398AAECCAAC99" ma:contentTypeVersion="12" ma:contentTypeDescription="Create a new document." ma:contentTypeScope="" ma:versionID="f34f3f0c0af1e9bb9dab317f274c8d54">
  <xsd:schema xmlns:xsd="http://www.w3.org/2001/XMLSchema" xmlns:xs="http://www.w3.org/2001/XMLSchema" xmlns:p="http://schemas.microsoft.com/office/2006/metadata/properties" xmlns:ns2="64615f93-1352-4a7e-b7a8-3b07e39b2009" targetNamespace="http://schemas.microsoft.com/office/2006/metadata/properties" ma:root="true" ma:fieldsID="66b4066c5de3fcaf967e6fb2eefd6a83" ns2:_="">
    <xsd:import namespace="64615f93-1352-4a7e-b7a8-3b07e39b2009"/>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615f93-1352-4a7e-b7a8-3b07e39b200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SharedWithUsers xmlns="64615f93-1352-4a7e-b7a8-3b07e39b200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0E400-7F26-4037-A6AD-CBDF2D9C4E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615f93-1352-4a7e-b7a8-3b07e39b2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24ED24-7586-4974-9FE0-35F43DF0342D}">
  <ds:schemaRefs>
    <ds:schemaRef ds:uri="http://schemas.openxmlformats.org/officeDocument/2006/bibliography"/>
  </ds:schemaRefs>
</ds:datastoreItem>
</file>

<file path=customXml/itemProps3.xml><?xml version="1.0" encoding="utf-8"?>
<ds:datastoreItem xmlns:ds="http://schemas.openxmlformats.org/officeDocument/2006/customXml" ds:itemID="{F151ECD0-AF98-48F0-91A3-B8C7B958EE0F}">
  <ds:schemaRefs>
    <ds:schemaRef ds:uri="http://schemas.microsoft.com/office/2006/documentManagement/types"/>
    <ds:schemaRef ds:uri="http://schemas.microsoft.com/office/infopath/2007/PartnerControls"/>
    <ds:schemaRef ds:uri="64615f93-1352-4a7e-b7a8-3b07e39b2009"/>
    <ds:schemaRef ds:uri="http://purl.org/dc/dcmitype/"/>
    <ds:schemaRef ds:uri="http://schemas.openxmlformats.org/package/2006/metadata/core-properties"/>
    <ds:schemaRef ds:uri="http://purl.org/dc/elements/1.1/"/>
    <ds:schemaRef ds:uri="http://purl.org/dc/term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CD43F494-0407-43EB-98DF-2FFA76894078}">
  <ds:schemaRefs>
    <ds:schemaRef ds:uri="http://schemas.microsoft.com/sharepoint/v3/contenttype/forms"/>
  </ds:schemaRefs>
</ds:datastoreItem>
</file>

<file path=customXml/itemProps5.xml><?xml version="1.0" encoding="utf-8"?>
<ds:datastoreItem xmlns:ds="http://schemas.openxmlformats.org/officeDocument/2006/customXml" ds:itemID="{82376526-173E-4813-AACB-9E72B695277B}">
  <ds:schemaRefs>
    <ds:schemaRef ds:uri="http://schemas.openxmlformats.org/officeDocument/2006/bibliography"/>
  </ds:schemaRefs>
</ds:datastoreItem>
</file>

<file path=customXml/itemProps6.xml><?xml version="1.0" encoding="utf-8"?>
<ds:datastoreItem xmlns:ds="http://schemas.openxmlformats.org/officeDocument/2006/customXml" ds:itemID="{B6DF735C-8EDA-4D2A-B0CE-91416204C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53</Pages>
  <Words>21936</Words>
  <Characters>125041</Characters>
  <Application>Microsoft Office Word</Application>
  <DocSecurity>2</DocSecurity>
  <Lines>1042</Lines>
  <Paragraphs>293</Paragraphs>
  <ScaleCrop>false</ScaleCrop>
  <HeadingPairs>
    <vt:vector size="2" baseType="variant">
      <vt:variant>
        <vt:lpstr>Title</vt:lpstr>
      </vt:variant>
      <vt:variant>
        <vt:i4>1</vt:i4>
      </vt:variant>
    </vt:vector>
  </HeadingPairs>
  <TitlesOfParts>
    <vt:vector size="1" baseType="lpstr">
      <vt:lpstr>HEDIS®</vt:lpstr>
    </vt:vector>
  </TitlesOfParts>
  <Company>NCQA</Company>
  <LinksUpToDate>false</LinksUpToDate>
  <CharactersWithSpaces>146684</CharactersWithSpaces>
  <SharedDoc>false</SharedDoc>
  <HLinks>
    <vt:vector size="102" baseType="variant">
      <vt:variant>
        <vt:i4>2359338</vt:i4>
      </vt:variant>
      <vt:variant>
        <vt:i4>72</vt:i4>
      </vt:variant>
      <vt:variant>
        <vt:i4>0</vt:i4>
      </vt:variant>
      <vt:variant>
        <vt:i4>5</vt:i4>
      </vt:variant>
      <vt:variant>
        <vt:lpwstr>http://www.ncqa.org/pcs</vt:lpwstr>
      </vt:variant>
      <vt:variant>
        <vt:lpwstr/>
      </vt:variant>
      <vt:variant>
        <vt:i4>2359338</vt:i4>
      </vt:variant>
      <vt:variant>
        <vt:i4>69</vt:i4>
      </vt:variant>
      <vt:variant>
        <vt:i4>0</vt:i4>
      </vt:variant>
      <vt:variant>
        <vt:i4>5</vt:i4>
      </vt:variant>
      <vt:variant>
        <vt:lpwstr>http://www.ncqa.org/pcs</vt:lpwstr>
      </vt:variant>
      <vt:variant>
        <vt:lpwstr/>
      </vt:variant>
      <vt:variant>
        <vt:i4>2359338</vt:i4>
      </vt:variant>
      <vt:variant>
        <vt:i4>48</vt:i4>
      </vt:variant>
      <vt:variant>
        <vt:i4>0</vt:i4>
      </vt:variant>
      <vt:variant>
        <vt:i4>5</vt:i4>
      </vt:variant>
      <vt:variant>
        <vt:lpwstr>http://www.ncqa.org/pcs</vt:lpwstr>
      </vt:variant>
      <vt:variant>
        <vt:lpwstr/>
      </vt:variant>
      <vt:variant>
        <vt:i4>4653146</vt:i4>
      </vt:variant>
      <vt:variant>
        <vt:i4>45</vt:i4>
      </vt:variant>
      <vt:variant>
        <vt:i4>0</vt:i4>
      </vt:variant>
      <vt:variant>
        <vt:i4>5</vt:i4>
      </vt:variant>
      <vt:variant>
        <vt:lpwstr>http://www.ncqa.org/</vt:lpwstr>
      </vt:variant>
      <vt:variant>
        <vt:lpwstr/>
      </vt:variant>
      <vt:variant>
        <vt:i4>5570679</vt:i4>
      </vt:variant>
      <vt:variant>
        <vt:i4>42</vt:i4>
      </vt:variant>
      <vt:variant>
        <vt:i4>0</vt:i4>
      </vt:variant>
      <vt:variant>
        <vt:i4>5</vt:i4>
      </vt:variant>
      <vt:variant>
        <vt:lpwstr>mailto:marketing@ncqa.org</vt:lpwstr>
      </vt:variant>
      <vt:variant>
        <vt:lpwstr/>
      </vt:variant>
      <vt:variant>
        <vt:i4>4653146</vt:i4>
      </vt:variant>
      <vt:variant>
        <vt:i4>39</vt:i4>
      </vt:variant>
      <vt:variant>
        <vt:i4>0</vt:i4>
      </vt:variant>
      <vt:variant>
        <vt:i4>5</vt:i4>
      </vt:variant>
      <vt:variant>
        <vt:lpwstr>http://www.ncqa.org/</vt:lpwstr>
      </vt:variant>
      <vt:variant>
        <vt:lpwstr/>
      </vt:variant>
      <vt:variant>
        <vt:i4>8257594</vt:i4>
      </vt:variant>
      <vt:variant>
        <vt:i4>36</vt:i4>
      </vt:variant>
      <vt:variant>
        <vt:i4>0</vt:i4>
      </vt:variant>
      <vt:variant>
        <vt:i4>5</vt:i4>
      </vt:variant>
      <vt:variant>
        <vt:lpwstr>http://www.ncqa.org/audit.aspx</vt:lpwstr>
      </vt:variant>
      <vt:variant>
        <vt:lpwstr/>
      </vt:variant>
      <vt:variant>
        <vt:i4>4653146</vt:i4>
      </vt:variant>
      <vt:variant>
        <vt:i4>33</vt:i4>
      </vt:variant>
      <vt:variant>
        <vt:i4>0</vt:i4>
      </vt:variant>
      <vt:variant>
        <vt:i4>5</vt:i4>
      </vt:variant>
      <vt:variant>
        <vt:lpwstr>http://www.ncqa.org/</vt:lpwstr>
      </vt:variant>
      <vt:variant>
        <vt:lpwstr/>
      </vt:variant>
      <vt:variant>
        <vt:i4>5898249</vt:i4>
      </vt:variant>
      <vt:variant>
        <vt:i4>30</vt:i4>
      </vt:variant>
      <vt:variant>
        <vt:i4>0</vt:i4>
      </vt:variant>
      <vt:variant>
        <vt:i4>5</vt:i4>
      </vt:variant>
      <vt:variant>
        <vt:lpwstr>http://visit/</vt:lpwstr>
      </vt:variant>
      <vt:variant>
        <vt:lpwstr/>
      </vt:variant>
      <vt:variant>
        <vt:i4>2359338</vt:i4>
      </vt:variant>
      <vt:variant>
        <vt:i4>27</vt:i4>
      </vt:variant>
      <vt:variant>
        <vt:i4>0</vt:i4>
      </vt:variant>
      <vt:variant>
        <vt:i4>5</vt:i4>
      </vt:variant>
      <vt:variant>
        <vt:lpwstr>http://www.ncqa.org/pcs</vt:lpwstr>
      </vt:variant>
      <vt:variant>
        <vt:lpwstr/>
      </vt:variant>
      <vt:variant>
        <vt:i4>2359338</vt:i4>
      </vt:variant>
      <vt:variant>
        <vt:i4>21</vt:i4>
      </vt:variant>
      <vt:variant>
        <vt:i4>0</vt:i4>
      </vt:variant>
      <vt:variant>
        <vt:i4>5</vt:i4>
      </vt:variant>
      <vt:variant>
        <vt:lpwstr>http://www.ncqa.org/pcs</vt:lpwstr>
      </vt:variant>
      <vt:variant>
        <vt:lpwstr/>
      </vt:variant>
      <vt:variant>
        <vt:i4>7602220</vt:i4>
      </vt:variant>
      <vt:variant>
        <vt:i4>18</vt:i4>
      </vt:variant>
      <vt:variant>
        <vt:i4>0</vt:i4>
      </vt:variant>
      <vt:variant>
        <vt:i4>5</vt:i4>
      </vt:variant>
      <vt:variant>
        <vt:lpwstr>http://www.ncqa.org/education/</vt:lpwstr>
      </vt:variant>
      <vt:variant>
        <vt:lpwstr/>
      </vt:variant>
      <vt:variant>
        <vt:i4>5570631</vt:i4>
      </vt:variant>
      <vt:variant>
        <vt:i4>15</vt:i4>
      </vt:variant>
      <vt:variant>
        <vt:i4>0</vt:i4>
      </vt:variant>
      <vt:variant>
        <vt:i4>5</vt:i4>
      </vt:variant>
      <vt:variant>
        <vt:lpwstr>http://www.ncqa.org/publications</vt:lpwstr>
      </vt:variant>
      <vt:variant>
        <vt:lpwstr/>
      </vt:variant>
      <vt:variant>
        <vt:i4>2359338</vt:i4>
      </vt:variant>
      <vt:variant>
        <vt:i4>9</vt:i4>
      </vt:variant>
      <vt:variant>
        <vt:i4>0</vt:i4>
      </vt:variant>
      <vt:variant>
        <vt:i4>5</vt:i4>
      </vt:variant>
      <vt:variant>
        <vt:lpwstr>http://www.ncqa.org/pcs</vt:lpwstr>
      </vt:variant>
      <vt:variant>
        <vt:lpwstr/>
      </vt:variant>
      <vt:variant>
        <vt:i4>4653146</vt:i4>
      </vt:variant>
      <vt:variant>
        <vt:i4>6</vt:i4>
      </vt:variant>
      <vt:variant>
        <vt:i4>0</vt:i4>
      </vt:variant>
      <vt:variant>
        <vt:i4>5</vt:i4>
      </vt:variant>
      <vt:variant>
        <vt:lpwstr>http://www.ncqa.org/</vt:lpwstr>
      </vt:variant>
      <vt:variant>
        <vt:lpwstr/>
      </vt:variant>
      <vt:variant>
        <vt:i4>2359338</vt:i4>
      </vt:variant>
      <vt:variant>
        <vt:i4>3</vt:i4>
      </vt:variant>
      <vt:variant>
        <vt:i4>0</vt:i4>
      </vt:variant>
      <vt:variant>
        <vt:i4>5</vt:i4>
      </vt:variant>
      <vt:variant>
        <vt:lpwstr>http://www.ncqa.org/pcs</vt:lpwstr>
      </vt:variant>
      <vt:variant>
        <vt:lpwstr/>
      </vt:variant>
      <vt:variant>
        <vt:i4>4653146</vt:i4>
      </vt:variant>
      <vt:variant>
        <vt:i4>0</vt:i4>
      </vt:variant>
      <vt:variant>
        <vt:i4>0</vt:i4>
      </vt:variant>
      <vt:variant>
        <vt:i4>5</vt:i4>
      </vt:variant>
      <vt:variant>
        <vt:lpwstr>http://www.ncqa.org/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HEDIS®</dc:title>
  <dc:creator>Judy Lacourciere</dc:creator>
  <cp:lastModifiedBy>Judy</cp:lastModifiedBy>
  <cp:revision>7</cp:revision>
  <cp:lastPrinted>2015-05-13T16:15:00Z</cp:lastPrinted>
  <dcterms:created xsi:type="dcterms:W3CDTF">2015-06-03T15:14:00Z</dcterms:created>
  <dcterms:modified xsi:type="dcterms:W3CDTF">2015-06-12T16:07:00Z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0x010100F5E95EDCDDB71B4A976398AAECCAAC99</vt:lpwstr>
  </property>
</Properties>
</file>