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1F4E79"/>
          <w:sz w:val="48"/>
        </w:rPr>
        <w:t>Статический аудит конфигурации 1С по НДС</w:t>
      </w:r>
    </w:p>
    <w:p>
      <w:pPr>
        <w:spacing w:after="240"/>
      </w:pPr>
      <w:r>
        <w:rPr>
          <w:rFonts w:ascii="Calibri" w:hAnsi="Calibri" w:eastAsia="Calibri"/>
          <w:b w:val="0"/>
          <w:color w:val="667085"/>
          <w:sz w:val="24"/>
        </w:rPr>
        <w:t>Сверка метаданных и BSL через MCP 1c-meta с требованиями НК РФ и разъяснениями ФНС. Дата проверки: 04.06.2026.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EEF6F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E79"/>
              </w:rPr>
              <w:t xml:space="preserve">Вывод. </w:t>
            </w:r>
            <w:r>
              <w:t>Критичная ошибка расчета ставки НДС 22% в проверенной части не обнаружена: ставка и расчетная ставка 22/122 есть в перечислениях и выбираются по дате. Основной комплаенс-риск относится к регламентированной декларации НДС за периоды 2026 года: в метаданных отчета явно видны формы/настройки до 2025Кв1, тогда как ФНС ввела изменения 2026 года и новые контрольные соотношения.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Объем и ограничения проверки</w:t>
      </w:r>
    </w:p>
    <w:p>
      <w:pPr>
        <w:spacing w:after="120" w:line="264" w:lineRule="auto"/>
      </w:pPr>
      <w:r>
        <w:t>Проверка выполнена как статический аудит доступной конфигурации Accounting/БухгалтерияПредприятияКОРП через MCP-сервер 1c-meta. Проверялись метаданные, регистры, макеты, перечисления и выборочные тела процедур/функций BSL.</w:t>
      </w:r>
    </w:p>
    <w:p>
      <w:pPr>
        <w:spacing w:after="120" w:line="264" w:lineRule="auto"/>
      </w:pPr>
      <w:r>
        <w:t>Не проверялись фактические данные базы, заполненность регистров по конкретным организациям, работоспособность внешнего сервиса 1С-Отчетность, актуальность поставки регламентированной отчетности вне метаданных, а также отправка файлов в ФНС.</w:t>
      </w:r>
    </w:p>
    <w:p>
      <w:pPr>
        <w:pStyle w:val="ListBullet"/>
        <w:spacing w:after="80"/>
      </w:pPr>
      <w:r>
        <w:t>MCP-сервер: 1c-meta.</w:t>
      </w:r>
    </w:p>
    <w:p>
      <w:pPr>
        <w:pStyle w:val="ListBullet"/>
        <w:spacing w:after="80"/>
      </w:pPr>
      <w:r>
        <w:t>Ключевые запросы: list_enum_values, list_layouts, search_metadata_by_description, list_module_routines, get_routine_body.</w:t>
      </w:r>
    </w:p>
    <w:p>
      <w:pPr>
        <w:pStyle w:val="ListBullet"/>
        <w:spacing w:after="80"/>
      </w:pPr>
      <w:r>
        <w:t>Официальные источники: сайт ФНС России и ссылки ФНС на pravo.gov.ru/publication.pravo.gov.ru.</w:t>
      </w:r>
    </w:p>
    <w:p>
      <w:pPr>
        <w:pStyle w:val="Heading1"/>
        <w:keepNext/>
      </w:pPr>
      <w:r>
        <w:t>2. Нормативная рамка на дату проверки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Область</w:t>
            </w:r>
          </w:p>
        </w:tc>
        <w:tc>
          <w:tcPr>
            <w:tcW w:type="dxa" w:w="540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Требование</w:t>
            </w:r>
          </w:p>
        </w:tc>
        <w:tc>
          <w:tcPr>
            <w:tcW w:type="dxa" w:w="216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Источник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Ставки НДС</w:t>
            </w:r>
          </w:p>
        </w:tc>
        <w:tc>
          <w:tcPr>
            <w:tcW w:type="dxa" w:w="54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 2026 года общая ставка - 22%; 0% и 10% применяются для специальных перечней/операций; для УСН действуют 5% и 7%; расчетные ставки включают 5/105, 7/107, 10/110 и 22/122.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Ст. 164 НК РФ; раздел НДС на nalog.gov.ru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Декларация НДС</w:t>
            </w:r>
          </w:p>
        </w:tc>
        <w:tc>
          <w:tcPr>
            <w:tcW w:type="dxa" w:w="54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Форма, порядок и электронные форматы утверждены приказом ФНС от 05.11.2024 N ЕД-7-3/989@; изменения для налоговых периодов 2026 года утверждены приказом ФНС от 18.12.2025 N ЕД-7-3/1227@.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ФНС: страница НДС; приказ ЕД-7-3/989@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Контрольные соотношения 2026</w:t>
            </w:r>
          </w:p>
        </w:tc>
        <w:tc>
          <w:tcPr>
            <w:tcW w:type="dxa" w:w="54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ФНС письмом от 20.02.2026 N СД-36-3/1314@ направила новые контрольные соотношения к декларации НДС 2026.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ФНС: письмо СД-36-3/1314@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Счета-фактуры, книги покупок/продаж</w:t>
            </w:r>
          </w:p>
        </w:tc>
        <w:tc>
          <w:tcPr>
            <w:tcW w:type="dxa" w:w="54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Постановлением Правительства РФ от 23.01.2026 N 26 изменены формы и правила заполнения счета-фактуры, книги покупок и книги продаж; появилась строка 5б и новые графы 7а/11а.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ФНС: новость от 22.04.2026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Прослеживаемость</w:t>
            </w:r>
          </w:p>
        </w:tc>
        <w:tc>
          <w:tcPr>
            <w:tcW w:type="dxa" w:w="54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 прослеживаемым товарам счета-фактуры/УПД должны содержать РНПТ, единицу и количество прослеживаемости; сведения включаются в книги и декларацию/отчетность.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ФНС: национальная система прослеживаемости; письмо ЕА-4-15/527@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Вычеты и восстановление</w:t>
            </w:r>
          </w:p>
        </w:tc>
        <w:tc>
          <w:tcPr>
            <w:tcW w:type="dxa" w:w="54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Вычет возможен при принятии к учету и наличии первичных документов/счета-фактуры; восстановление требуется по основаниям ст. 170 НК РФ.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Раздел НДС на nalog.gov.ru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3. Что подтверждено в конфигурации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6000"/>
        <w:gridCol w:w="1260"/>
      </w:tblGrid>
      <w:tr>
        <w:tc>
          <w:tcPr>
            <w:tcW w:type="dxa" w:w="210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Проверка</w:t>
            </w:r>
          </w:p>
        </w:tc>
        <w:tc>
          <w:tcPr>
            <w:tcW w:type="dxa" w:w="600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Доказательство из 1c-meta</w:t>
            </w:r>
          </w:p>
        </w:tc>
        <w:tc>
          <w:tcPr>
            <w:tcW w:type="dxa" w:w="126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Статус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Ставки 2026</w:t>
            </w:r>
          </w:p>
        </w:tc>
        <w:tc>
          <w:tcPr>
            <w:tcW w:type="dxa" w:w="60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Перечисление СтавкиНДС содержит НДС22 и НДС22_122, а также НДС5/5_105 и НДС7/7_107.</w:t>
            </w:r>
          </w:p>
        </w:tc>
        <w:tc>
          <w:tcPr>
            <w:tcW w:type="dxa" w:w="1260"/>
            <w:shd w:fill="E2F0D9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ОК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Выбор ставки по дате</w:t>
            </w:r>
          </w:p>
        </w:tc>
        <w:tc>
          <w:tcPr>
            <w:tcW w:type="dxa" w:w="60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Функция УчетНДСКлиентСервер.ОбщаяСтавкаНДС возвращает НДС18 до 2019, НДС20 до 01.01.2026 и НДС22 начиная с 01.01.2026.</w:t>
            </w:r>
          </w:p>
        </w:tc>
        <w:tc>
          <w:tcPr>
            <w:tcW w:type="dxa" w:w="1260"/>
            <w:shd w:fill="E2F0D9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ОК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Расчетная ставка по дате</w:t>
            </w:r>
          </w:p>
        </w:tc>
        <w:tc>
          <w:tcPr>
            <w:tcW w:type="dxa" w:w="60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Функция ОбщаяРасчетнаяСтавкаНДС возвращает НДС22_122 начиная с 01.01.2026.</w:t>
            </w:r>
          </w:p>
        </w:tc>
        <w:tc>
          <w:tcPr>
            <w:tcW w:type="dxa" w:w="1260"/>
            <w:shd w:fill="E2F0D9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ОК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Книга покупок/продаж</w:t>
            </w:r>
          </w:p>
        </w:tc>
        <w:tc>
          <w:tcPr>
            <w:tcW w:type="dxa" w:w="60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Есть регистры НДСЗаписиКнигиПокупок и НДСЗаписиКнигиПродаж со ставкой НДС, суммой без НДС, суммой НДС, доплистами и корректируемым периодом.</w:t>
            </w:r>
          </w:p>
        </w:tc>
        <w:tc>
          <w:tcPr>
            <w:tcW w:type="dxa" w:w="1260"/>
            <w:shd w:fill="E2F0D9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ОК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Документы НДС</w:t>
            </w:r>
          </w:p>
        </w:tc>
        <w:tc>
          <w:tcPr>
            <w:tcW w:type="dxa" w:w="60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Найдены документы формирования записей книг покупок/продаж, подтверждения нулевой ставки, восстановления НДС, раздела 7 декларации, налогового агента.</w:t>
            </w:r>
          </w:p>
        </w:tc>
        <w:tc>
          <w:tcPr>
            <w:tcW w:type="dxa" w:w="1260"/>
            <w:shd w:fill="E2F0D9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ОК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Прослеживаемость</w:t>
            </w:r>
          </w:p>
        </w:tc>
        <w:tc>
          <w:tcPr>
            <w:tcW w:type="dxa" w:w="60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Есть объекты УведомлениеОВвозеПрослеживаемыхТоваров, УведомлениеОбОстаткахПрослеживаемыхТоваров, ПомощникПолученияРНПТ, макеты счетов-фактур 2026 с признаком Прослеж.</w:t>
            </w:r>
          </w:p>
        </w:tc>
        <w:tc>
          <w:tcPr>
            <w:tcW w:type="dxa" w:w="1260"/>
            <w:shd w:fill="E2F0D9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ОК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4. Найденные риски и возможные несоответствия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1320"/>
        <w:gridCol w:w="900"/>
        <w:gridCol w:w="2300"/>
        <w:gridCol w:w="1970"/>
        <w:gridCol w:w="2110"/>
      </w:tblGrid>
      <w:tr>
        <w:tc>
          <w:tcPr>
            <w:tcW w:type="dxa" w:w="76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ID</w:t>
            </w:r>
          </w:p>
        </w:tc>
        <w:tc>
          <w:tcPr>
            <w:tcW w:type="dxa" w:w="132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Зона</w:t>
            </w:r>
          </w:p>
        </w:tc>
        <w:tc>
          <w:tcPr>
            <w:tcW w:type="dxa" w:w="90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Риск</w:t>
            </w:r>
          </w:p>
        </w:tc>
        <w:tc>
          <w:tcPr>
            <w:tcW w:type="dxa" w:w="230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Доказательство</w:t>
            </w:r>
          </w:p>
        </w:tc>
        <w:tc>
          <w:tcPr>
            <w:tcW w:type="dxa" w:w="197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Почему это важно</w:t>
            </w:r>
          </w:p>
        </w:tc>
        <w:tc>
          <w:tcPr>
            <w:tcW w:type="dxa" w:w="211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Задание</w:t>
            </w:r>
          </w:p>
        </w:tc>
      </w:tr>
      <w:tr>
        <w:tc>
          <w:tcPr>
            <w:tcW w:type="dxa" w:w="7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НДС-01</w:t>
            </w:r>
          </w:p>
        </w:tc>
        <w:tc>
          <w:tcPr>
            <w:tcW w:type="dxa" w:w="132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Декларация НДС 2026</w:t>
            </w:r>
          </w:p>
        </w:tc>
        <w:tc>
          <w:tcPr>
            <w:tcW w:type="dxa" w:w="900"/>
            <w:shd w:fill="FCE4D6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Высокий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В списке макетов отчета РегламентированныйОтчетНДС есть ПечатныйБланк/ФормаОтчета/СоставПоказателей/Списки только до 2025Кв1; запрос find_routines_by_name по 2026 не показал процедур декларации НДС 2026.</w:t>
            </w:r>
          </w:p>
        </w:tc>
        <w:tc>
          <w:tcPr>
            <w:tcW w:type="dxa" w:w="197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ФНС требует применять изменения за налоговые периоды 2026 года и новые КС. Возможны отказ приема, ошибки камерального контроля или искажение разделов 8-12.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Добавить/подтвердить форму, состав показателей, схемы выгрузки и КС декларации НДС 2026. Если форма поставляется внешней регламентированной отчетностью, обеспечить, чтобы MCP-индексация видела актуальную поставку. Сделать автотест выгрузки декларации за 1К2026.</w:t>
            </w:r>
          </w:p>
        </w:tc>
      </w:tr>
      <w:tr>
        <w:tc>
          <w:tcPr>
            <w:tcW w:type="dxa" w:w="7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НДС-02</w:t>
            </w:r>
          </w:p>
        </w:tc>
        <w:tc>
          <w:tcPr>
            <w:tcW w:type="dxa" w:w="132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Счет-фактура и книги 2026</w:t>
            </w:r>
          </w:p>
        </w:tc>
        <w:tc>
          <w:tcPr>
            <w:tcW w:type="dxa" w:w="900"/>
            <w:shd w:fill="FFF2CC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Средний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Макеты 2026 найдены: ПФ_MXL_СчетФактура2026, ПФ_MXL_КорректировочныйСчетФактура2026, КнигаПокупок2026, КнигаПродаж2026. Но синонимы/комментарии содержат пустое место в фразе 'в редакции постановления N'.</w:t>
            </w:r>
          </w:p>
        </w:tc>
        <w:tc>
          <w:tcPr>
            <w:tcW w:type="dxa" w:w="197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ФНС указывает новые формы 2026: строка 5б, графы 7а и 11а, отдельное отражение ставок 22/20/18. Риск не столько в наличии макета, сколько в выборе правильного макета и полноте реквизитов.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Проверить алгоритм выбора макетов по дате документа/налоговому периоду. Обновить синонимы/комментарии на постановление РФ от 23.01.2026 N 26. Добавить печатные тесты для аванса, отгрузки в счет аванса, ставки 22%, прослеживаемого товара.</w:t>
            </w:r>
          </w:p>
        </w:tc>
      </w:tr>
      <w:tr>
        <w:tc>
          <w:tcPr>
            <w:tcW w:type="dxa" w:w="7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НДС-03</w:t>
            </w:r>
          </w:p>
        </w:tc>
        <w:tc>
          <w:tcPr>
            <w:tcW w:type="dxa" w:w="132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Устаревшие ссылки в пользовательской справке</w:t>
            </w:r>
          </w:p>
        </w:tc>
        <w:tc>
          <w:tcPr>
            <w:tcW w:type="dxa" w:w="900"/>
            <w:shd w:fill="FFF2CC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Средний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Справка документа ТаможеннаяДекларацияЭкспорт ссылается на приказ ФНС от 29.10.2014 N ММВ-7-3/558@. Приказ ЕД-7-3/989@ признает этот приказ утратившим силу.</w:t>
            </w:r>
          </w:p>
        </w:tc>
        <w:tc>
          <w:tcPr>
            <w:tcW w:type="dxa" w:w="197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Пользователь может выбрать устаревший порядок/коды при подтверждении ставки 0% и заполнении реестров, даже если расчетный код актуален.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Актуализировать help_text/справку по экспортным документам: приказ ЕД-7-3/989@, изменения 2026, актуальные приложения и коды операций. Добавить проверку ссылок на утратившие силу НПА в CI индекса метаданных.</w:t>
            </w:r>
          </w:p>
        </w:tc>
      </w:tr>
      <w:tr>
        <w:tc>
          <w:tcPr>
            <w:tcW w:type="dxa" w:w="7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НДС-04</w:t>
            </w:r>
          </w:p>
        </w:tc>
        <w:tc>
          <w:tcPr>
            <w:tcW w:type="dxa" w:w="132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Налоговый агент: устаревшее описание ставки</w:t>
            </w:r>
          </w:p>
        </w:tc>
        <w:tc>
          <w:tcPr>
            <w:tcW w:type="dxa" w:w="900"/>
            <w:shd w:fill="E2F0D9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Низкий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Справка обработки РегистрацияСчетовФактурНалоговогоАгента говорит, что автоматически подставляется ставка 18%. Код процедуры ЗаполнитьСтрокиДокумента фактически использует ОбщаяРасчетнаяСтавкаНДС(Дата), то есть 22/122 с 2026.</w:t>
            </w:r>
          </w:p>
        </w:tc>
        <w:tc>
          <w:tcPr>
            <w:tcW w:type="dxa" w:w="197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Расчетный риск низкий, но подсказка вводит пользователя и аудитора в заблуждение; возможно неверное ручное изменение ставки.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Исправить текст справки обработки и добавить unit-сценарий: платеж налогового агента в 2026 году формирует строку со ставкой 22/122 и корректной суммой НДС.</w:t>
            </w:r>
          </w:p>
        </w:tc>
      </w:tr>
      <w:tr>
        <w:tc>
          <w:tcPr>
            <w:tcW w:type="dxa" w:w="7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НДС-05</w:t>
            </w:r>
          </w:p>
        </w:tc>
        <w:tc>
          <w:tcPr>
            <w:tcW w:type="dxa" w:w="132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Прослеживаемость в книгах и декларации</w:t>
            </w:r>
          </w:p>
        </w:tc>
        <w:tc>
          <w:tcPr>
            <w:tcW w:type="dxa" w:w="900"/>
            <w:shd w:fill="FFF2CC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Средний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Объекты прослеживаемости и процедура выгрузки сведений о прослеживаемом товаре в РегламентированныйОтчетНДС найдены. Но по статической структуре регистров НДСЗаписиКнигиПокупок/Продаж не видно самих РНПТ-полей; вероятно, данные идут из связанных регистров/табличных частей.</w:t>
            </w:r>
          </w:p>
        </w:tc>
        <w:tc>
          <w:tcPr>
            <w:tcW w:type="dxa" w:w="197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ФНС относит отсутствие реквизитов прослеживаемости в счетах-фактурах, книгах и декларации к типовым ошибкам. Без end-to-end теста нельзя подтвердить полноту маршрута РНПТ.</w:t>
            </w:r>
          </w:p>
        </w:tc>
        <w:tc>
          <w:tcPr>
            <w:tcW w:type="dxa" w:w="211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Сделать сквозной тест: поступление прослеживаемого товара с РНПТ -&gt; реализация -&gt; счет-фактура/УПД -&gt; книга продаж -&gt; разделы 8/9 декларации или отчет об операциях. Проверить графы 11, 12, 12а, 13 счета-фактуры и 20-23 книги продаж.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5. Карта соответствия требованиям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450"/>
        <w:gridCol w:w="3300"/>
        <w:gridCol w:w="2160"/>
      </w:tblGrid>
      <w:tr>
        <w:tc>
          <w:tcPr>
            <w:tcW w:type="dxa" w:w="245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Требование</w:t>
            </w:r>
          </w:p>
        </w:tc>
        <w:tc>
          <w:tcPr>
            <w:tcW w:type="dxa" w:w="145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Статус</w:t>
            </w:r>
          </w:p>
        </w:tc>
        <w:tc>
          <w:tcPr>
            <w:tcW w:type="dxa" w:w="330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Основание</w:t>
            </w:r>
          </w:p>
        </w:tc>
        <w:tc>
          <w:tcPr>
            <w:tcW w:type="dxa" w:w="216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Дальнейшая проверка</w:t>
            </w:r>
          </w:p>
        </w:tc>
      </w:tr>
      <w:tr>
        <w:tc>
          <w:tcPr>
            <w:tcW w:type="dxa" w:w="245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22% и 22/122 с 01.01.2026</w:t>
            </w:r>
          </w:p>
        </w:tc>
        <w:tc>
          <w:tcPr>
            <w:tcW w:type="dxa" w:w="145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Подтверждено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Перечисления и функции выбора ставки по дате реализованы.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Регрессионный тест на документы реализации/аванса в 2026.</w:t>
            </w:r>
          </w:p>
        </w:tc>
      </w:tr>
      <w:tr>
        <w:tc>
          <w:tcPr>
            <w:tcW w:type="dxa" w:w="245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Спецставки УСН 5% и 7%</w:t>
            </w:r>
          </w:p>
        </w:tc>
        <w:tc>
          <w:tcPr>
            <w:tcW w:type="dxa" w:w="145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Частично подтверждено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Ставки есть в перечислении; функциональные опции УСН с НДС найдены.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Проверить расчет лимитов доходов и выбор режима 5/7 на данных организаций.</w:t>
            </w:r>
          </w:p>
        </w:tc>
      </w:tr>
      <w:tr>
        <w:tc>
          <w:tcPr>
            <w:tcW w:type="dxa" w:w="245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Счет-фактура 2026, строка 5б</w:t>
            </w:r>
          </w:p>
        </w:tc>
        <w:tc>
          <w:tcPr>
            <w:tcW w:type="dxa" w:w="145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Частично подтверждено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Макеты 2026 найдены, но выбор и заполнение строки 5б не доказаны.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Печатный тест по авансу и отгрузке в счет аванса.</w:t>
            </w:r>
          </w:p>
        </w:tc>
      </w:tr>
      <w:tr>
        <w:tc>
          <w:tcPr>
            <w:tcW w:type="dxa" w:w="245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Книга покупок 2026, графа 7а</w:t>
            </w:r>
          </w:p>
        </w:tc>
        <w:tc>
          <w:tcPr>
            <w:tcW w:type="dxa" w:w="145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Частично подтверждено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КнигаПокупок2026 найдена; заполнение графы 7а не доказано.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Тест вычета НДС с аванса.</w:t>
            </w:r>
          </w:p>
        </w:tc>
      </w:tr>
      <w:tr>
        <w:tc>
          <w:tcPr>
            <w:tcW w:type="dxa" w:w="245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Книга продаж 2026, графа 11а и ставки 22/20/18</w:t>
            </w:r>
          </w:p>
        </w:tc>
        <w:tc>
          <w:tcPr>
            <w:tcW w:type="dxa" w:w="145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Частично подтверждено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КнигаПродаж2026 найдена; заполнение 11а и граф по ставкам не доказано.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Тест продажи в счет аванса и смешанных ставок.</w:t>
            </w:r>
          </w:p>
        </w:tc>
      </w:tr>
      <w:tr>
        <w:tc>
          <w:tcPr>
            <w:tcW w:type="dxa" w:w="245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Декларация НДС 2026</w:t>
            </w:r>
          </w:p>
        </w:tc>
        <w:tc>
          <w:tcPr>
            <w:tcW w:type="dxa" w:w="145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Риск несоответствия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В метаданных отчета видны формы до 2025Кв1; нет явных макетов/процедур 2026.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Обновить или подтвердить внешнюю поставку регламентированной отчетности.</w:t>
            </w:r>
          </w:p>
        </w:tc>
      </w:tr>
      <w:tr>
        <w:tc>
          <w:tcPr>
            <w:tcW w:type="dxa" w:w="245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Прослеживаемость</w:t>
            </w:r>
          </w:p>
        </w:tc>
        <w:tc>
          <w:tcPr>
            <w:tcW w:type="dxa" w:w="145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Частично подтверждено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Есть документы РНПТ, уведомления, макеты счетов-фактур с прослеживаемостью.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Сквозной тест маршрута РНПТ до декларации/отчета.</w:t>
            </w:r>
          </w:p>
        </w:tc>
      </w:tr>
      <w:tr>
        <w:tc>
          <w:tcPr>
            <w:tcW w:type="dxa" w:w="245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Раздельный учет и восстановление НДС</w:t>
            </w:r>
          </w:p>
        </w:tc>
        <w:tc>
          <w:tcPr>
            <w:tcW w:type="dxa" w:w="1450"/>
            <w:shd w:fill="F4F6F8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Подтверждено на уровне объектов</w:t>
            </w:r>
          </w:p>
        </w:tc>
        <w:tc>
          <w:tcPr>
            <w:tcW w:type="dxa" w:w="33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Найдены РаспределениеНДС, ВосстановлениеНДС, раздел 7, регистры косвенных расходов.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Проверить бизнес-настройки организаций и учетную политику.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6. Рекомендованный план исправлений</w:t>
      </w:r>
    </w:p>
    <w:p>
      <w:pPr>
        <w:pStyle w:val="Heading2"/>
        <w:keepNext/>
      </w:pPr>
      <w:r>
        <w:t>Спринт 1: декларация НДС 2026</w:t>
      </w:r>
    </w:p>
    <w:p>
      <w:pPr>
        <w:pStyle w:val="ListBullet"/>
        <w:spacing w:after="80"/>
      </w:pPr>
      <w:r>
        <w:t>Сверить состав макетов, XML-схем, списков значений и контрольных соотношений с приказом ЕД-7-3/989@ в редакции ЕД-7-3/1227@.</w:t>
      </w:r>
    </w:p>
    <w:p>
      <w:pPr>
        <w:pStyle w:val="ListBullet"/>
        <w:spacing w:after="80"/>
      </w:pPr>
      <w:r>
        <w:t>Добавить автоматический сценарий формирования декларации за 1 квартал 2026: ОСНО 22%, УСН 5/7, авансы, налоговый агент, прослеживаемость.</w:t>
      </w:r>
    </w:p>
    <w:p>
      <w:pPr>
        <w:pStyle w:val="ListBullet"/>
        <w:spacing w:after="80"/>
      </w:pPr>
      <w:r>
        <w:t>Проверить, что MCP-индекс 1c-meta после обновления показывает 2026-специфичные макеты/настройки или однозначный механизм применения 2026 редакции.</w:t>
      </w:r>
    </w:p>
    <w:p>
      <w:pPr>
        <w:pStyle w:val="Heading2"/>
        <w:keepNext/>
      </w:pPr>
      <w:r>
        <w:t>Спринт 2: счета-фактуры и книги</w:t>
      </w:r>
    </w:p>
    <w:p>
      <w:pPr>
        <w:pStyle w:val="ListBullet"/>
        <w:spacing w:after="80"/>
      </w:pPr>
      <w:r>
        <w:t>Проверить выбор макетов 2026 по дате документа и налоговому периоду.</w:t>
      </w:r>
    </w:p>
    <w:p>
      <w:pPr>
        <w:pStyle w:val="ListBullet"/>
        <w:spacing w:after="80"/>
      </w:pPr>
      <w:r>
        <w:t>В печатных формах проверить строку 5б, графу 7а книги покупок и графу 11а книги продаж.</w:t>
      </w:r>
    </w:p>
    <w:p>
      <w:pPr>
        <w:pStyle w:val="ListBullet"/>
        <w:spacing w:after="80"/>
      </w:pPr>
      <w:r>
        <w:t>Уточнить синонимы и комментарии макетов 2026: указать постановление РФ от 23.01.2026 N 26.</w:t>
      </w:r>
    </w:p>
    <w:p>
      <w:pPr>
        <w:pStyle w:val="Heading2"/>
        <w:keepNext/>
      </w:pPr>
      <w:r>
        <w:t>Спринт 3: справка и управляемость аудита</w:t>
      </w:r>
    </w:p>
    <w:p>
      <w:pPr>
        <w:pStyle w:val="ListBullet"/>
        <w:spacing w:after="80"/>
      </w:pPr>
      <w:r>
        <w:t>Заменить устаревшие ссылки на приказ ММВ-7-3/558@ в справке НДС-документов.</w:t>
      </w:r>
    </w:p>
    <w:p>
      <w:pPr>
        <w:pStyle w:val="ListBullet"/>
        <w:spacing w:after="80"/>
      </w:pPr>
      <w:r>
        <w:t>Обновить подсказку обработки счетов-фактур налогового агента: ставка выбирается по дате, а не фиксированная 18%.</w:t>
      </w:r>
    </w:p>
    <w:p>
      <w:pPr>
        <w:pStyle w:val="ListBullet"/>
        <w:spacing w:after="80"/>
      </w:pPr>
      <w:r>
        <w:t>Добавить статический контроль метаданных: поиск утративших силу НПА и старых ставок в help_text/comment/synonym.</w:t>
      </w:r>
    </w:p>
    <w:p>
      <w:pPr>
        <w:pStyle w:val="Heading1"/>
        <w:keepNext/>
      </w:pPr>
      <w:r>
        <w:t>7. Приложение: доказательства MCP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c>
          <w:tcPr>
            <w:tcW w:type="dxa" w:w="290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Запрос</w:t>
            </w:r>
          </w:p>
        </w:tc>
        <w:tc>
          <w:tcPr>
            <w:tcW w:type="dxa" w:w="646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D9EAF7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9"/>
              </w:rPr>
              <w:t>Результат</w:t>
            </w:r>
          </w:p>
        </w:tc>
      </w:tr>
      <w:tr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list_enum_values СтавкиНДС</w:t>
            </w:r>
          </w:p>
        </w:tc>
        <w:tc>
          <w:tcPr>
            <w:tcW w:type="dxa" w:w="64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БезНДС, НДС0, НДС10, НДС10_110, НДС18, НДС18_118, НДС20, НДС20_120, НДС22, НДС22_122, НДС5, НДС5_105, НДС7, НДС7_107.</w:t>
            </w:r>
          </w:p>
        </w:tc>
      </w:tr>
      <w:tr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get_routine_body ОбщаяСтавкаНДС</w:t>
            </w:r>
          </w:p>
        </w:tc>
        <w:tc>
          <w:tcPr>
            <w:tcW w:type="dxa" w:w="64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До 2019 возвращается НДС18; до 01.01.2026 - НДС20; с 01.01.2026 - НДС22.</w:t>
            </w:r>
          </w:p>
        </w:tc>
      </w:tr>
      <w:tr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get_routine_body ОбщаяРасчетнаяСтавкаНДС</w:t>
            </w:r>
          </w:p>
        </w:tc>
        <w:tc>
          <w:tcPr>
            <w:tcW w:type="dxa" w:w="64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До 2019 возвращается НДС18_118; до 01.01.2026 - НДС20_120; с 01.01.2026 - НДС22_122.</w:t>
            </w:r>
          </w:p>
        </w:tc>
      </w:tr>
      <w:tr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list_layouts РегламентированныйОтчетНДС</w:t>
            </w:r>
          </w:p>
        </w:tc>
        <w:tc>
          <w:tcPr>
            <w:tcW w:type="dxa" w:w="64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Печатные бланки, формы отчета, состав показателей, списки и настройки сравнения явно представлены до 2025Кв1; схемы выгрузки 501-511.</w:t>
            </w:r>
          </w:p>
        </w:tc>
      </w:tr>
      <w:tr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list_objects_by_name 2026</w:t>
            </w:r>
          </w:p>
        </w:tc>
        <w:tc>
          <w:tcPr>
            <w:tcW w:type="dxa" w:w="64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Найдены ЖурналУчетаСчетовФактур2026, КнигаПокупок2026, КнигаПродаж2026, ПФ_MXL_СчетФактура2026, ПФ_MXL_СчетФактура2026Прослеж и корректировочные формы.</w:t>
            </w:r>
          </w:p>
        </w:tc>
      </w:tr>
      <w:tr>
        <w:tc>
          <w:tcPr>
            <w:tcW w:type="dxa" w:w="290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search_metadata_by_description РНПТ</w:t>
            </w:r>
          </w:p>
        </w:tc>
        <w:tc>
          <w:tcPr>
            <w:tcW w:type="dxa" w:w="6460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sz w:val="17"/>
              </w:rPr>
              <w:t>Найдены ПомощникПолученияРНПТ, УведомлениеОВвозеПрослеживаемыхТоваров, УведомлениеОбОстаткахПрослеживаемыхТоваров, УведомлениеОПеремещенииПрослеживаемыхТоваров.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8. Официальные источники</w:t>
      </w:r>
    </w:p>
    <w:p>
      <w:pPr>
        <w:pStyle w:val="ListBullet"/>
        <w:spacing w:after="80"/>
      </w:pPr>
      <w:r>
        <w:t>ФНС России. Налог на добавленную стоимость (НДС): https://www.nalog.gov.ru/rn77/taxation/taxes/nds/</w:t>
      </w:r>
    </w:p>
    <w:p>
      <w:pPr>
        <w:pStyle w:val="ListBullet"/>
        <w:spacing w:after="80"/>
      </w:pPr>
      <w:r>
        <w:t>ФНС России. Приказ от 05.11.2024 N ЕД-7-3/989@: https://www.nalog.gov.ru/rn77/about_fts/docs/15545040/</w:t>
      </w:r>
    </w:p>
    <w:p>
      <w:pPr>
        <w:pStyle w:val="ListBullet"/>
        <w:spacing w:after="80"/>
      </w:pPr>
      <w:r>
        <w:t>ФНС России. Письмо от 20.02.2026 N СД-36-3/1314@ о новых КС к декларации НДС 2026: https://www.nalog.gov.ru/rn77/about_fts/about_nalog/16605831/</w:t>
      </w:r>
    </w:p>
    <w:p>
      <w:pPr>
        <w:pStyle w:val="ListBullet"/>
        <w:spacing w:after="80"/>
      </w:pPr>
      <w:r>
        <w:t>ФНС России. Новые формы счета-фактуры, книги покупок и книги продаж в 2026 году: https://www.nalog.gov.ru/rn79/news/activities_fts/16619429/</w:t>
      </w:r>
    </w:p>
    <w:p>
      <w:pPr>
        <w:pStyle w:val="ListBullet"/>
        <w:spacing w:after="80"/>
      </w:pPr>
      <w:r>
        <w:t>ФНС России. Национальная система прослеживаемости импортных товаров: https://www.nalog.gov.ru/rn77/related_activities/spt/</w:t>
      </w:r>
    </w:p>
    <w:p>
      <w:pPr>
        <w:pStyle w:val="ListBullet"/>
        <w:spacing w:after="80"/>
      </w:pPr>
      <w:r>
        <w:t>ФНС России. Типичные ошибки в отчетности по прослеживаемости, письмо ЕА-4-15/527@: https://www.nalog.gov.ru/rn50/news/tax_doc_news/11830428/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vAlign w:val="center"/>
            <w:shd w:fill="E2F0D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E79"/>
              </w:rPr>
              <w:t xml:space="preserve">Итог для владельца продукта. </w:t>
            </w:r>
            <w:r>
              <w:t>По НДС конфигурация выглядит зрелой в базовом учете и переходе на 22%, но для уверенного заключения о законодательном соответствии нужно закрыть доказательственный разрыв по декларации НДС 2026 и провести сквозные сценарные тесты по новым формам и прослеживаемости.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1C AI Auditor - VAT static compliance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