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Training and Assembling a Biologically Constrained Perceptual System</w:t>
      </w:r>
    </w:p>
    <w:p>
      <w:pPr>
        <w:pStyle w:val="Heading1"/>
      </w:pPr>
      <w:r>
        <w:t>1. The recommended strategy</w:t>
      </w:r>
    </w:p>
    <w:p>
      <w:r>
        <w:t>Train a usable version of each source circuit, train its consumers on that circuit's actual activity, and then close the feedback paths under controlled recalibration. This preserves independent development without requiring every anatomical area to be permanently finished before its partners exist.</w:t>
      </w:r>
    </w:p>
    <w:p>
      <w:r>
        <w:t xml:space="preserve">The appropriate ordering is over </w:t>
      </w:r>
      <w:r>
        <w:rPr>
          <w:b/>
        </w:rPr>
        <w:t>capabilities and circuit versions</w:t>
      </w:r>
      <w:r>
        <w:t>, rather than complete anatomical areas. A basic V1 representation can support a first MT module. An elementary body controller can generate experience for cortical motor learning. Coarse sensory codes can support early associative memory. Each can later acquire additional context-sensitive functionality when its partners become available. Developmental retinal activity, motor-driven somatosensory activity, and the later acquisition of visuomotor coupling support this staged rather than purely serial organization.</w:t>
      </w:r>
      <w:r>
        <w:rPr>
          <w:rStyle w:val="FootnoteReference"/>
        </w:rPr>
        <w:footnoteReference w:id="1"/>
      </w:r>
    </w:p>
    <w:p>
      <w:r>
        <w:t>The proposed sequence is:</w:t>
      </w:r>
    </w:p>
    <w:p>
      <w:r>
        <w:rPr>
          <w:b/>
        </w:rPr>
        <w:t>Body and receptor scaffold -&gt; parallel sensory and spinal foundations -&gt; elementary gaze/posture/action loops -&gt; object/motion representations and elementary memory -&gt; body-world and multisensory calibration -&gt; contextual episodic memory and flexible retention -&gt; event/semantic/task organization -&gt; optional grounded social-language branches -&gt; integrated access, continuity and metacognitive tests.</w:t>
      </w:r>
    </w:p>
    <w:p>
      <w:r>
        <w:t>These are nine engineering releases, R0-R8. A module can start as soon as its own prerequisites pass; it does not wait for every module in an earlier release. Several functions recur across releases because their primitive and context-rich versions have different prerequisites.</w:t>
      </w:r>
    </w:p>
    <w:p>
      <w:r>
        <w:t>The associated manifest specifies 49 implementation units or capability releases, their inputs, teaching signals, dependencies, live partners and acceptance tests. Its bootstrap graph has been checked for missing dependencies and cycles. The proposed curriculum itself has not been tested by training an agent. Biological evidence constrains the plan, but does not establish a uniquely optimal artificial training schedule or a sufficient recipe for subjective consciousness.</w:t>
      </w:r>
    </w:p>
    <w:p>
      <w:pPr>
        <w:pStyle w:val="Heading2"/>
      </w:pPr>
      <w:r>
        <w:t>Release overview</w:t>
      </w:r>
    </w:p>
    <w:tbl>
      <w:tblPr>
        <w:tblW w:type="auto" w:w="0"/>
        <w:jc w:val="center"/>
        <w:tblLayout w:type="fixed"/>
        <w:tblLook w:firstColumn="1" w:firstRow="1" w:lastColumn="0" w:lastRow="0" w:noHBand="0" w:noVBand="1" w:val="04A0"/>
        <w:tblBorders>
          <w:top w:val="nil" w:sz="4" w:color="BBBBBB"/>
          <w:left w:val="nil" w:sz="4" w:color="BBBBBB"/>
          <w:bottom w:val="single" w:sz="4" w:color="BBBBBB"/>
          <w:right w:val="nil" w:sz="4" w:color="BBBBBB"/>
          <w:insideH w:val="nil" w:sz="4" w:color="BBBBBB"/>
          <w:insideV w:val="nil" w:sz="4" w:color="BBBBBB"/>
        </w:tblBorders>
      </w:tblPr>
      <w:tblGrid>
        <w:gridCol w:w="936"/>
        <w:gridCol w:w="5112"/>
        <w:gridCol w:w="3888"/>
      </w:tblGrid>
      <w:tr>
        <w:trPr>
          <w:cantSplit/>
          <w:tblHeader/>
        </w:trPr>
        <w:tc>
          <w:tcPr>
            <w:tcW w:type="dxa" w:w="936"/>
            <w:vAlign w:val="center"/>
            <w:tcMar>
              <w:top w:w="85" w:type="dxa"/>
              <w:left w:w="90" w:type="dxa"/>
              <w:bottom w:w="85" w:type="dxa"/>
              <w:right w:w="90" w:type="dxa"/>
            </w:tcMar>
            <w:shd w:fill="EEEEEE"/>
          </w:tcPr>
          <w:p>
            <w:pPr>
              <w:spacing w:after="0" w:line="250" w:lineRule="auto"/>
            </w:pPr>
            <w:r>
              <w:rPr>
                <w:b/>
                <w:sz w:val="20"/>
              </w:rPr>
              <w:t>Release</w:t>
            </w:r>
          </w:p>
        </w:tc>
        <w:tc>
          <w:tcPr>
            <w:tcW w:type="dxa" w:w="5112"/>
            <w:vAlign w:val="center"/>
            <w:tcMar>
              <w:top w:w="85" w:type="dxa"/>
              <w:left w:w="90" w:type="dxa"/>
              <w:bottom w:w="85" w:type="dxa"/>
              <w:right w:w="90" w:type="dxa"/>
            </w:tcMar>
            <w:shd w:fill="EEEEEE"/>
          </w:tcPr>
          <w:p>
            <w:pPr>
              <w:spacing w:after="0" w:line="250" w:lineRule="auto"/>
            </w:pPr>
            <w:r>
              <w:rPr>
                <w:b/>
                <w:sz w:val="20"/>
              </w:rPr>
              <w:t>Principal new capability</w:t>
            </w:r>
          </w:p>
        </w:tc>
        <w:tc>
          <w:tcPr>
            <w:tcW w:type="dxa" w:w="3888"/>
            <w:vAlign w:val="center"/>
            <w:tcMar>
              <w:top w:w="85" w:type="dxa"/>
              <w:left w:w="90" w:type="dxa"/>
              <w:bottom w:w="85" w:type="dxa"/>
              <w:right w:w="90" w:type="dxa"/>
            </w:tcMar>
            <w:shd w:fill="EEEEEE"/>
          </w:tcPr>
          <w:p>
            <w:pPr>
              <w:spacing w:after="0" w:line="250" w:lineRule="auto"/>
            </w:pPr>
            <w:r>
              <w:rPr>
                <w:b/>
                <w:sz w:val="20"/>
              </w:rPr>
              <w:t>Minimum usable predecessors</w:t>
            </w:r>
          </w:p>
        </w:tc>
      </w:tr>
      <w:tr>
        <w:trPr>
          <w:cantSplit/>
        </w:trPr>
        <w:tc>
          <w:tcPr>
            <w:tcW w:type="dxa" w:w="936"/>
            <w:vAlign w:val="center"/>
            <w:tcMar>
              <w:top w:w="85" w:type="dxa"/>
              <w:left w:w="90" w:type="dxa"/>
              <w:bottom w:w="85" w:type="dxa"/>
              <w:right w:w="90" w:type="dxa"/>
            </w:tcMar>
          </w:tcPr>
          <w:p>
            <w:pPr>
              <w:spacing w:after="0" w:line="250" w:lineRule="auto"/>
            </w:pPr>
            <w:r>
              <w:rPr>
                <w:sz w:val="20"/>
              </w:rPr>
              <w:t>R0</w:t>
            </w:r>
          </w:p>
        </w:tc>
        <w:tc>
          <w:tcPr>
            <w:tcW w:type="dxa" w:w="5112"/>
            <w:vAlign w:val="center"/>
            <w:tcMar>
              <w:top w:w="85" w:type="dxa"/>
              <w:left w:w="90" w:type="dxa"/>
              <w:bottom w:w="85" w:type="dxa"/>
              <w:right w:w="90" w:type="dxa"/>
            </w:tcMar>
          </w:tcPr>
          <w:p>
            <w:pPr>
              <w:spacing w:after="0" w:line="250" w:lineRule="auto"/>
            </w:pPr>
            <w:r>
              <w:rPr>
                <w:sz w:val="20"/>
              </w:rPr>
              <w:t>Body, receptor streams, causal timing and initial circuit constraints</w:t>
            </w:r>
          </w:p>
        </w:tc>
        <w:tc>
          <w:tcPr>
            <w:tcW w:type="dxa" w:w="3888"/>
            <w:vAlign w:val="center"/>
            <w:tcMar>
              <w:top w:w="85" w:type="dxa"/>
              <w:left w:w="90" w:type="dxa"/>
              <w:bottom w:w="85" w:type="dxa"/>
              <w:right w:w="90" w:type="dxa"/>
            </w:tcMar>
          </w:tcPr>
          <w:p>
            <w:pPr>
              <w:spacing w:after="0" w:line="250" w:lineRule="auto"/>
            </w:pPr>
            <w:r>
              <w:rPr>
                <w:sz w:val="20"/>
              </w:rPr>
              <w:t>Defined environment and observation boundary</w:t>
            </w:r>
          </w:p>
        </w:tc>
      </w:tr>
      <w:tr>
        <w:trPr>
          <w:cantSplit/>
        </w:trPr>
        <w:tc>
          <w:tcPr>
            <w:tcW w:type="dxa" w:w="936"/>
            <w:vAlign w:val="center"/>
            <w:tcMar>
              <w:top w:w="85" w:type="dxa"/>
              <w:left w:w="90" w:type="dxa"/>
              <w:bottom w:w="85" w:type="dxa"/>
              <w:right w:w="90" w:type="dxa"/>
            </w:tcMar>
          </w:tcPr>
          <w:p>
            <w:pPr>
              <w:spacing w:after="0" w:line="250" w:lineRule="auto"/>
            </w:pPr>
            <w:r>
              <w:rPr>
                <w:sz w:val="20"/>
              </w:rPr>
              <w:t>R1</w:t>
            </w:r>
          </w:p>
        </w:tc>
        <w:tc>
          <w:tcPr>
            <w:tcW w:type="dxa" w:w="5112"/>
            <w:vAlign w:val="center"/>
            <w:tcMar>
              <w:top w:w="85" w:type="dxa"/>
              <w:left w:w="90" w:type="dxa"/>
              <w:bottom w:w="85" w:type="dxa"/>
              <w:right w:w="90" w:type="dxa"/>
            </w:tcMar>
          </w:tcPr>
          <w:p>
            <w:pPr>
              <w:spacing w:after="0" w:line="250" w:lineRule="auto"/>
            </w:pPr>
            <w:r>
              <w:rPr>
                <w:sz w:val="20"/>
              </w:rPr>
              <w:t>Parallel sensory codes, spinal primitives and bodily signals</w:t>
            </w:r>
          </w:p>
        </w:tc>
        <w:tc>
          <w:tcPr>
            <w:tcW w:type="dxa" w:w="3888"/>
            <w:vAlign w:val="center"/>
            <w:tcMar>
              <w:top w:w="85" w:type="dxa"/>
              <w:left w:w="90" w:type="dxa"/>
              <w:bottom w:w="85" w:type="dxa"/>
              <w:right w:w="90" w:type="dxa"/>
            </w:tcMar>
          </w:tcPr>
          <w:p>
            <w:pPr>
              <w:spacing w:after="0" w:line="250" w:lineRule="auto"/>
            </w:pPr>
            <w:r>
              <w:rPr>
                <w:sz w:val="20"/>
              </w:rPr>
              <w:t>R0</w:t>
            </w:r>
          </w:p>
        </w:tc>
      </w:tr>
      <w:tr>
        <w:trPr>
          <w:cantSplit/>
        </w:trPr>
        <w:tc>
          <w:tcPr>
            <w:tcW w:type="dxa" w:w="936"/>
            <w:vAlign w:val="center"/>
            <w:tcMar>
              <w:top w:w="85" w:type="dxa"/>
              <w:left w:w="90" w:type="dxa"/>
              <w:bottom w:w="85" w:type="dxa"/>
              <w:right w:w="90" w:type="dxa"/>
            </w:tcMar>
          </w:tcPr>
          <w:p>
            <w:pPr>
              <w:spacing w:after="0" w:line="250" w:lineRule="auto"/>
            </w:pPr>
            <w:r>
              <w:rPr>
                <w:sz w:val="20"/>
              </w:rPr>
              <w:t>R2</w:t>
            </w:r>
          </w:p>
        </w:tc>
        <w:tc>
          <w:tcPr>
            <w:tcW w:type="dxa" w:w="5112"/>
            <w:vAlign w:val="center"/>
            <w:tcMar>
              <w:top w:w="85" w:type="dxa"/>
              <w:left w:w="90" w:type="dxa"/>
              <w:bottom w:w="85" w:type="dxa"/>
              <w:right w:w="90" w:type="dxa"/>
            </w:tcMar>
          </w:tcPr>
          <w:p>
            <w:pPr>
              <w:spacing w:after="0" w:line="250" w:lineRule="auto"/>
            </w:pPr>
            <w:r>
              <w:rPr>
                <w:sz w:val="20"/>
              </w:rPr>
              <w:t>Gaze, posture, simple locomotor/action loops and heading</w:t>
            </w:r>
          </w:p>
        </w:tc>
        <w:tc>
          <w:tcPr>
            <w:tcW w:type="dxa" w:w="3888"/>
            <w:vAlign w:val="center"/>
            <w:tcMar>
              <w:top w:w="85" w:type="dxa"/>
              <w:left w:w="90" w:type="dxa"/>
              <w:bottom w:w="85" w:type="dxa"/>
              <w:right w:w="90" w:type="dxa"/>
            </w:tcMar>
          </w:tcPr>
          <w:p>
            <w:pPr>
              <w:spacing w:after="0" w:line="250" w:lineRule="auto"/>
            </w:pPr>
            <w:r>
              <w:rPr>
                <w:sz w:val="20"/>
              </w:rPr>
              <w:t>Relevant R1 sensory/body branches</w:t>
            </w:r>
          </w:p>
        </w:tc>
      </w:tr>
      <w:tr>
        <w:trPr>
          <w:cantSplit/>
        </w:trPr>
        <w:tc>
          <w:tcPr>
            <w:tcW w:type="dxa" w:w="936"/>
            <w:vAlign w:val="center"/>
            <w:tcMar>
              <w:top w:w="85" w:type="dxa"/>
              <w:left w:w="90" w:type="dxa"/>
              <w:bottom w:w="85" w:type="dxa"/>
              <w:right w:w="90" w:type="dxa"/>
            </w:tcMar>
          </w:tcPr>
          <w:p>
            <w:pPr>
              <w:spacing w:after="0" w:line="250" w:lineRule="auto"/>
            </w:pPr>
            <w:r>
              <w:rPr>
                <w:sz w:val="20"/>
              </w:rPr>
              <w:t>R3</w:t>
            </w:r>
          </w:p>
        </w:tc>
        <w:tc>
          <w:tcPr>
            <w:tcW w:type="dxa" w:w="5112"/>
            <w:vAlign w:val="center"/>
            <w:tcMar>
              <w:top w:w="85" w:type="dxa"/>
              <w:left w:w="90" w:type="dxa"/>
              <w:bottom w:w="85" w:type="dxa"/>
              <w:right w:w="90" w:type="dxa"/>
            </w:tcMar>
          </w:tcPr>
          <w:p>
            <w:pPr>
              <w:spacing w:after="0" w:line="250" w:lineRule="auto"/>
            </w:pPr>
            <w:r>
              <w:rPr>
                <w:sz w:val="20"/>
              </w:rPr>
              <w:t>Form, motion, object continuity, short retention and early episodes</w:t>
            </w:r>
          </w:p>
        </w:tc>
        <w:tc>
          <w:tcPr>
            <w:tcW w:type="dxa" w:w="3888"/>
            <w:vAlign w:val="center"/>
            <w:tcMar>
              <w:top w:w="85" w:type="dxa"/>
              <w:left w:w="90" w:type="dxa"/>
              <w:bottom w:w="85" w:type="dxa"/>
              <w:right w:w="90" w:type="dxa"/>
            </w:tcMar>
          </w:tcPr>
          <w:p>
            <w:pPr>
              <w:spacing w:after="0" w:line="250" w:lineRule="auto"/>
            </w:pPr>
            <w:r>
              <w:rPr>
                <w:sz w:val="20"/>
              </w:rPr>
              <w:t>Relevant R1 codes; R2 only where actions are needed</w:t>
            </w:r>
          </w:p>
        </w:tc>
      </w:tr>
      <w:tr>
        <w:trPr>
          <w:cantSplit/>
        </w:trPr>
        <w:tc>
          <w:tcPr>
            <w:tcW w:type="dxa" w:w="936"/>
            <w:vAlign w:val="center"/>
            <w:tcMar>
              <w:top w:w="85" w:type="dxa"/>
              <w:left w:w="90" w:type="dxa"/>
              <w:bottom w:w="85" w:type="dxa"/>
              <w:right w:w="90" w:type="dxa"/>
            </w:tcMar>
          </w:tcPr>
          <w:p>
            <w:pPr>
              <w:spacing w:after="0" w:line="250" w:lineRule="auto"/>
            </w:pPr>
            <w:r>
              <w:rPr>
                <w:sz w:val="20"/>
              </w:rPr>
              <w:t>R4</w:t>
            </w:r>
          </w:p>
        </w:tc>
        <w:tc>
          <w:tcPr>
            <w:tcW w:type="dxa" w:w="5112"/>
            <w:vAlign w:val="center"/>
            <w:tcMar>
              <w:top w:w="85" w:type="dxa"/>
              <w:left w:w="90" w:type="dxa"/>
              <w:bottom w:w="85" w:type="dxa"/>
              <w:right w:w="90" w:type="dxa"/>
            </w:tcMar>
          </w:tcPr>
          <w:p>
            <w:pPr>
              <w:spacing w:after="0" w:line="250" w:lineRule="auto"/>
            </w:pPr>
            <w:r>
              <w:rPr>
                <w:sz w:val="20"/>
              </w:rPr>
              <w:t>Body-world geometry, skilled contact, spatial context and active multisensory perception</w:t>
            </w:r>
          </w:p>
        </w:tc>
        <w:tc>
          <w:tcPr>
            <w:tcW w:type="dxa" w:w="3888"/>
            <w:vAlign w:val="center"/>
            <w:tcMar>
              <w:top w:w="85" w:type="dxa"/>
              <w:left w:w="90" w:type="dxa"/>
              <w:bottom w:w="85" w:type="dxa"/>
              <w:right w:w="90" w:type="dxa"/>
            </w:tcMar>
          </w:tcPr>
          <w:p>
            <w:pPr>
              <w:spacing w:after="0" w:line="250" w:lineRule="auto"/>
            </w:pPr>
            <w:r>
              <w:rPr>
                <w:sz w:val="20"/>
              </w:rPr>
              <w:t>Appropriate R2 controllers and R3 representations</w:t>
            </w:r>
          </w:p>
        </w:tc>
      </w:tr>
      <w:tr>
        <w:trPr>
          <w:cantSplit/>
        </w:trPr>
        <w:tc>
          <w:tcPr>
            <w:tcW w:type="dxa" w:w="936"/>
            <w:vAlign w:val="center"/>
            <w:tcMar>
              <w:top w:w="85" w:type="dxa"/>
              <w:left w:w="90" w:type="dxa"/>
              <w:bottom w:w="85" w:type="dxa"/>
              <w:right w:w="90" w:type="dxa"/>
            </w:tcMar>
          </w:tcPr>
          <w:p>
            <w:pPr>
              <w:spacing w:after="0" w:line="250" w:lineRule="auto"/>
            </w:pPr>
            <w:r>
              <w:rPr>
                <w:sz w:val="20"/>
              </w:rPr>
              <w:t>R5</w:t>
            </w:r>
          </w:p>
        </w:tc>
        <w:tc>
          <w:tcPr>
            <w:tcW w:type="dxa" w:w="5112"/>
            <w:vAlign w:val="center"/>
            <w:tcMar>
              <w:top w:w="85" w:type="dxa"/>
              <w:left w:w="90" w:type="dxa"/>
              <w:bottom w:w="85" w:type="dxa"/>
              <w:right w:w="90" w:type="dxa"/>
            </w:tcMar>
          </w:tcPr>
          <w:p>
            <w:pPr>
              <w:spacing w:after="0" w:line="250" w:lineRule="auto"/>
            </w:pPr>
            <w:r>
              <w:rPr>
                <w:sz w:val="20"/>
              </w:rPr>
              <w:t>Contextual episodic return paths, flexible maintenance/update and learned modulation</w:t>
            </w:r>
          </w:p>
        </w:tc>
        <w:tc>
          <w:tcPr>
            <w:tcW w:type="dxa" w:w="3888"/>
            <w:vAlign w:val="center"/>
            <w:tcMar>
              <w:top w:w="85" w:type="dxa"/>
              <w:left w:w="90" w:type="dxa"/>
              <w:bottom w:w="85" w:type="dxa"/>
              <w:right w:w="90" w:type="dxa"/>
            </w:tcMar>
          </w:tcPr>
          <w:p>
            <w:pPr>
              <w:spacing w:after="0" w:line="250" w:lineRule="auto"/>
            </w:pPr>
            <w:r>
              <w:rPr>
                <w:sz w:val="20"/>
              </w:rPr>
              <w:t>Early memory plus relevant R4 context and feedback</w:t>
            </w:r>
          </w:p>
        </w:tc>
      </w:tr>
      <w:tr>
        <w:trPr>
          <w:cantSplit/>
        </w:trPr>
        <w:tc>
          <w:tcPr>
            <w:tcW w:type="dxa" w:w="936"/>
            <w:vAlign w:val="center"/>
            <w:tcMar>
              <w:top w:w="85" w:type="dxa"/>
              <w:left w:w="90" w:type="dxa"/>
              <w:bottom w:w="85" w:type="dxa"/>
              <w:right w:w="90" w:type="dxa"/>
            </w:tcMar>
          </w:tcPr>
          <w:p>
            <w:pPr>
              <w:spacing w:after="0" w:line="250" w:lineRule="auto"/>
            </w:pPr>
            <w:r>
              <w:rPr>
                <w:sz w:val="20"/>
              </w:rPr>
              <w:t>R6</w:t>
            </w:r>
          </w:p>
        </w:tc>
        <w:tc>
          <w:tcPr>
            <w:tcW w:type="dxa" w:w="5112"/>
            <w:vAlign w:val="center"/>
            <w:tcMar>
              <w:top w:w="85" w:type="dxa"/>
              <w:left w:w="90" w:type="dxa"/>
              <w:bottom w:w="85" w:type="dxa"/>
              <w:right w:w="90" w:type="dxa"/>
            </w:tcMar>
          </w:tcPr>
          <w:p>
            <w:pPr>
              <w:spacing w:after="0" w:line="250" w:lineRule="auto"/>
            </w:pPr>
            <w:r>
              <w:rPr>
                <w:sz w:val="20"/>
              </w:rPr>
              <w:t>Concepts, long events, hidden task state, subgoals and confidence use</w:t>
            </w:r>
          </w:p>
        </w:tc>
        <w:tc>
          <w:tcPr>
            <w:tcW w:type="dxa" w:w="3888"/>
            <w:vAlign w:val="center"/>
            <w:tcMar>
              <w:top w:w="85" w:type="dxa"/>
              <w:left w:w="90" w:type="dxa"/>
              <w:bottom w:w="85" w:type="dxa"/>
              <w:right w:w="90" w:type="dxa"/>
            </w:tcMar>
          </w:tcPr>
          <w:p>
            <w:pPr>
              <w:spacing w:after="0" w:line="250" w:lineRule="auto"/>
            </w:pPr>
            <w:r>
              <w:rPr>
                <w:sz w:val="20"/>
              </w:rPr>
              <w:t>Relevant memory, perception and action interfaces</w:t>
            </w:r>
          </w:p>
        </w:tc>
      </w:tr>
      <w:tr>
        <w:trPr>
          <w:cantSplit/>
        </w:trPr>
        <w:tc>
          <w:tcPr>
            <w:tcW w:type="dxa" w:w="936"/>
            <w:vAlign w:val="center"/>
            <w:tcMar>
              <w:top w:w="85" w:type="dxa"/>
              <w:left w:w="90" w:type="dxa"/>
              <w:bottom w:w="85" w:type="dxa"/>
              <w:right w:w="90" w:type="dxa"/>
            </w:tcMar>
          </w:tcPr>
          <w:p>
            <w:pPr>
              <w:spacing w:after="0" w:line="250" w:lineRule="auto"/>
            </w:pPr>
            <w:r>
              <w:rPr>
                <w:sz w:val="20"/>
              </w:rPr>
              <w:t>R7</w:t>
            </w:r>
          </w:p>
        </w:tc>
        <w:tc>
          <w:tcPr>
            <w:tcW w:type="dxa" w:w="5112"/>
            <w:vAlign w:val="center"/>
            <w:tcMar>
              <w:top w:w="85" w:type="dxa"/>
              <w:left w:w="90" w:type="dxa"/>
              <w:bottom w:w="85" w:type="dxa"/>
              <w:right w:w="90" w:type="dxa"/>
            </w:tcMar>
          </w:tcPr>
          <w:p>
            <w:pPr>
              <w:spacing w:after="0" w:line="250" w:lineRule="auto"/>
            </w:pPr>
            <w:r>
              <w:rPr>
                <w:sz w:val="20"/>
              </w:rPr>
              <w:t>Grounded social reasoning and language branches</w:t>
            </w:r>
          </w:p>
        </w:tc>
        <w:tc>
          <w:tcPr>
            <w:tcW w:type="dxa" w:w="3888"/>
            <w:vAlign w:val="center"/>
            <w:tcMar>
              <w:top w:w="85" w:type="dxa"/>
              <w:left w:w="90" w:type="dxa"/>
              <w:bottom w:w="85" w:type="dxa"/>
              <w:right w:w="90" w:type="dxa"/>
            </w:tcMar>
          </w:tcPr>
          <w:p>
            <w:pPr>
              <w:spacing w:after="0" w:line="250" w:lineRule="auto"/>
            </w:pPr>
            <w:r>
              <w:rPr>
                <w:sz w:val="20"/>
              </w:rPr>
              <w:t>Their own sensory, memory, conceptual and task inputs</w:t>
            </w:r>
          </w:p>
        </w:tc>
      </w:tr>
      <w:tr>
        <w:trPr>
          <w:cantSplit/>
        </w:trPr>
        <w:tc>
          <w:tcPr>
            <w:tcW w:type="dxa" w:w="936"/>
            <w:vAlign w:val="center"/>
            <w:tcMar>
              <w:top w:w="85" w:type="dxa"/>
              <w:left w:w="90" w:type="dxa"/>
              <w:bottom w:w="85" w:type="dxa"/>
              <w:right w:w="90" w:type="dxa"/>
            </w:tcMar>
          </w:tcPr>
          <w:p>
            <w:pPr>
              <w:spacing w:after="0" w:line="250" w:lineRule="auto"/>
            </w:pPr>
            <w:r>
              <w:rPr>
                <w:sz w:val="20"/>
              </w:rPr>
              <w:t>R8</w:t>
            </w:r>
          </w:p>
        </w:tc>
        <w:tc>
          <w:tcPr>
            <w:tcW w:type="dxa" w:w="5112"/>
            <w:vAlign w:val="center"/>
            <w:tcMar>
              <w:top w:w="85" w:type="dxa"/>
              <w:left w:w="90" w:type="dxa"/>
              <w:bottom w:w="85" w:type="dxa"/>
              <w:right w:w="90" w:type="dxa"/>
            </w:tcMar>
          </w:tcPr>
          <w:p>
            <w:pPr>
              <w:spacing w:after="0" w:line="250" w:lineRule="auto"/>
            </w:pPr>
            <w:r>
              <w:rPr>
                <w:sz w:val="20"/>
              </w:rPr>
              <w:t>Integrated access, continuity, transfer and state-sensitive tests</w:t>
            </w:r>
          </w:p>
        </w:tc>
        <w:tc>
          <w:tcPr>
            <w:tcW w:type="dxa" w:w="3888"/>
            <w:vAlign w:val="center"/>
            <w:tcMar>
              <w:top w:w="85" w:type="dxa"/>
              <w:left w:w="90" w:type="dxa"/>
              <w:bottom w:w="85" w:type="dxa"/>
              <w:right w:w="90" w:type="dxa"/>
            </w:tcMar>
          </w:tcPr>
          <w:p>
            <w:pPr>
              <w:spacing w:after="0" w:line="250" w:lineRule="auto"/>
            </w:pPr>
            <w:r>
              <w:rPr>
                <w:sz w:val="20"/>
              </w:rPr>
              <w:t>Core assembly; R7 only for social/language tests</w:t>
            </w:r>
          </w:p>
        </w:tc>
      </w:tr>
    </w:tbl>
    <w:p>
      <w:pPr>
        <w:spacing w:after="20" w:before="0" w:line="240" w:lineRule="auto"/>
      </w:pPr>
      <w:r>
        <w:rPr>
          <w:sz w:val="4"/>
        </w:rPr>
      </w:r>
    </w:p>
    <w:p>
      <w:pPr>
        <w:pStyle w:val="Heading2"/>
      </w:pPr>
      <w:r>
        <w:t>Scope and anatomical resolution</w:t>
      </w:r>
    </w:p>
    <w:p>
      <w:r>
        <w:t>The core is primate-oriented and embodied: separate eyes, audition, somatic and vestibular input, independently controlled body actions, and causal sensory feedback. Rodent, cat and bird results constrain particular mechanisms but are labeled as comparative evidence. The environment can retain the existing MuJoCo-based body and external visual/audio pipeline; there is no requirement to replace that infrastructure.</w:t>
      </w:r>
    </w:p>
    <w:p>
      <w:r>
        <w:t xml:space="preserve">For RST, both common interpretations are covered. </w:t>
      </w:r>
      <w:r>
        <w:rPr>
          <w:b/>
        </w:rPr>
        <w:t>Reticulospinal</w:t>
      </w:r>
      <w:r>
        <w:t xml:space="preserve"> projections connect reticular-formation populations to spinal circuitry; </w:t>
      </w:r>
      <w:r>
        <w:rPr>
          <w:b/>
        </w:rPr>
        <w:t>rubrospinal</w:t>
      </w:r>
      <w:r>
        <w:t xml:space="preserve"> projections originate in the red nucleus. The processors to model are the source populations and receiving circuits, with the tract represented as constrained connectivity. The main body-control plan includes pontomedullary reticular formation and reticulospinal connections, including their documented primate distal-limb influence. The rubrospinal contribution is an explicitly species-dependent branch. Retrosplenial cortex, abbreviated RSC here, is separately included in navigation and context.</w:t>
      </w:r>
      <w:r>
        <w:rPr>
          <w:rStyle w:val="FootnoteReference"/>
        </w:rPr>
        <w:footnoteReference w:id="2"/>
      </w:r>
    </w:p>
    <w:p>
      <w:pPr>
        <w:pStyle w:val="Heading1"/>
      </w:pPr>
      <w:r>
        <w:t>2. What determines the training order</w:t>
      </w:r>
    </w:p>
    <w:p>
      <w:pPr>
        <w:pStyle w:val="Heading2"/>
      </w:pPr>
      <w:r>
        <w:t>Four kinds of dependency</w:t>
      </w:r>
    </w:p>
    <w:p>
      <w:r>
        <w:t xml:space="preserve">An </w:t>
      </w:r>
      <w:r>
        <w:rPr>
          <w:b/>
        </w:rPr>
        <w:t>input dependency</w:t>
      </w:r>
      <w:r>
        <w:t xml:space="preserve"> exists when a learner needs a usable representation from another module. MT-like motion pooling, for example, needs spatiotemporal visual population activity. A </w:t>
      </w:r>
      <w:r>
        <w:rPr>
          <w:b/>
        </w:rPr>
        <w:t>data-generation dependency</w:t>
      </w:r>
      <w:r>
        <w:t xml:space="preserve"> exists when learning requires movements or interactions that another controller must produce. A </w:t>
      </w:r>
      <w:r>
        <w:rPr>
          <w:b/>
        </w:rPr>
        <w:t>teaching dependency</w:t>
      </w:r>
      <w:r>
        <w:t xml:space="preserve"> exists when another system supplies an instructive signal. A </w:t>
      </w:r>
      <w:r>
        <w:rPr>
          <w:b/>
        </w:rPr>
        <w:t>mature feedback dependency</w:t>
      </w:r>
      <w:r>
        <w:t xml:space="preserve"> exists when a source's full task-sensitive function depends on its consumers.</w:t>
      </w:r>
    </w:p>
    <w:p>
      <w:r>
        <w:t>Only some of these dependencies require postponing initial training. Feedback-dependent refinement does not prevent an earlier source release. Conversely, an adult circuit's ability to execute a behavior without cortex does not prove it learned that behavior independently of cortex. In a rat motor-sequence task, lesions before training prevented acquisition while lesions after training spared execution. This result specifically blocks the inference that all subcortical skills should be completely trained before cortical motor circuits are introduced.</w:t>
      </w:r>
      <w:r>
        <w:rPr>
          <w:rStyle w:val="FootnoteReference"/>
        </w:rPr>
        <w:footnoteReference w:id="3"/>
      </w:r>
    </w:p>
    <w:p>
      <w:r>
        <w:t>The distinction is operational:</w:t>
      </w:r>
    </w:p>
    <w:p>
      <w:pPr>
        <w:pStyle w:val="ListBullet"/>
      </w:pPr>
      <w:r>
        <w:rPr>
          <w:b/>
        </w:rPr>
        <w:t>Independent pretraining:</w:t>
      </w:r>
      <w:r>
        <w:t xml:space="preserve"> an upstream source is frozen and a downstream learner receives recorded or live source activity.</w:t>
      </w:r>
    </w:p>
    <w:p>
      <w:pPr>
        <w:pStyle w:val="ListBullet"/>
      </w:pPr>
      <w:r>
        <w:rPr>
          <w:b/>
        </w:rPr>
        <w:t>Joint execution:</w:t>
      </w:r>
      <w:r>
        <w:t xml:space="preserve"> several modules run in a closed loop because the target function depends on reciprocal interaction.</w:t>
      </w:r>
    </w:p>
    <w:p>
      <w:pPr>
        <w:pStyle w:val="ListBullet"/>
      </w:pPr>
      <w:r>
        <w:rPr>
          <w:b/>
        </w:rPr>
        <w:t>Joint optimization:</w:t>
      </w:r>
      <w:r>
        <w:t xml:space="preserve"> parameters in several modules change during the same training interval.</w:t>
      </w:r>
    </w:p>
    <w:p>
      <w:r>
        <w:t>Joint execution often becomes necessary. Joint optimization can usually be approached first through alternating, restricted parameter updates. Frontal-thalamic perturbation experiments establish reciprocal dependence of persistent activity, not a requirement that every partner's synapses be optimized simultaneously.</w:t>
      </w:r>
      <w:r>
        <w:rPr>
          <w:rStyle w:val="FootnoteReference"/>
        </w:rPr>
        <w:footnoteReference w:id="4"/>
      </w:r>
    </w:p>
    <w:p>
      <w:pPr>
        <w:pStyle w:val="Heading2"/>
      </w:pPr>
      <w:r>
        <w:t>Evidence that changes the ordering</w:t>
      </w:r>
    </w:p>
    <w:tbl>
      <w:tblPr>
        <w:tblW w:type="auto" w:w="0"/>
        <w:jc w:val="center"/>
        <w:tblLayout w:type="fixed"/>
        <w:tblLook w:firstColumn="1" w:firstRow="1" w:lastColumn="0" w:lastRow="0" w:noHBand="0" w:noVBand="1" w:val="04A0"/>
        <w:tblBorders>
          <w:top w:val="nil" w:sz="4" w:color="BBBBBB"/>
          <w:left w:val="nil" w:sz="4" w:color="BBBBBB"/>
          <w:bottom w:val="single" w:sz="4" w:color="BBBBBB"/>
          <w:right w:val="nil" w:sz="4" w:color="BBBBBB"/>
          <w:insideH w:val="nil" w:sz="4" w:color="BBBBBB"/>
          <w:insideV w:val="nil" w:sz="4" w:color="BBBBBB"/>
        </w:tblBorders>
      </w:tblPr>
      <w:tblGrid>
        <w:gridCol w:w="4464"/>
        <w:gridCol w:w="5472"/>
      </w:tblGrid>
      <w:tr>
        <w:trPr>
          <w:cantSplit/>
          <w:tblHeader/>
        </w:trPr>
        <w:tc>
          <w:tcPr>
            <w:tcW w:type="dxa" w:w="4464"/>
            <w:vAlign w:val="center"/>
            <w:tcMar>
              <w:top w:w="85" w:type="dxa"/>
              <w:left w:w="90" w:type="dxa"/>
              <w:bottom w:w="85" w:type="dxa"/>
              <w:right w:w="90" w:type="dxa"/>
            </w:tcMar>
            <w:shd w:fill="EEEEEE"/>
          </w:tcPr>
          <w:p>
            <w:pPr>
              <w:spacing w:after="0" w:line="250" w:lineRule="auto"/>
            </w:pPr>
            <w:r>
              <w:rPr>
                <w:b/>
                <w:sz w:val="20"/>
              </w:rPr>
              <w:t>Evidence comparison</w:t>
            </w:r>
          </w:p>
        </w:tc>
        <w:tc>
          <w:tcPr>
            <w:tcW w:type="dxa" w:w="5472"/>
            <w:vAlign w:val="center"/>
            <w:tcMar>
              <w:top w:w="85" w:type="dxa"/>
              <w:left w:w="90" w:type="dxa"/>
              <w:bottom w:w="85" w:type="dxa"/>
              <w:right w:w="90" w:type="dxa"/>
            </w:tcMar>
            <w:shd w:fill="EEEEEE"/>
          </w:tcPr>
          <w:p>
            <w:pPr>
              <w:spacing w:after="0" w:line="250" w:lineRule="auto"/>
            </w:pPr>
            <w:r>
              <w:rPr>
                <w:b/>
                <w:sz w:val="20"/>
              </w:rPr>
              <w:t>Consequence for the plan</w:t>
            </w:r>
          </w:p>
        </w:tc>
      </w:tr>
      <w:tr>
        <w:trPr>
          <w:cantSplit/>
        </w:trPr>
        <w:tc>
          <w:tcPr>
            <w:tcW w:type="dxa" w:w="4464"/>
            <w:vAlign w:val="center"/>
            <w:tcMar>
              <w:top w:w="85" w:type="dxa"/>
              <w:left w:w="90" w:type="dxa"/>
              <w:bottom w:w="85" w:type="dxa"/>
              <w:right w:w="90" w:type="dxa"/>
            </w:tcMar>
          </w:tcPr>
          <w:p>
            <w:pPr>
              <w:spacing w:after="0" w:line="250" w:lineRule="auto"/>
            </w:pPr>
            <w:r>
              <w:rPr>
                <w:sz w:val="20"/>
              </w:rPr>
              <w:t>Retinal waves organize early visual activity; motor twitches drive early somatosensory activity.</w:t>
            </w:r>
          </w:p>
        </w:tc>
        <w:tc>
          <w:tcPr>
            <w:tcW w:type="dxa" w:w="5472"/>
            <w:vAlign w:val="center"/>
            <w:tcMar>
              <w:top w:w="85" w:type="dxa"/>
              <w:left w:w="90" w:type="dxa"/>
              <w:bottom w:w="85" w:type="dxa"/>
              <w:right w:w="90" w:type="dxa"/>
            </w:tcMar>
          </w:tcPr>
          <w:p>
            <w:pPr>
              <w:spacing w:after="0" w:line="250" w:lineRule="auto"/>
            </w:pPr>
            <w:r>
              <w:rPr>
                <w:sz w:val="20"/>
              </w:rPr>
              <w:t>Visual and body/somatic foundations can begin in parallel, with structured activity and an anatomical scaffold.</w:t>
            </w:r>
          </w:p>
        </w:tc>
      </w:tr>
      <w:tr>
        <w:trPr>
          <w:cantSplit/>
        </w:trPr>
        <w:tc>
          <w:tcPr>
            <w:tcW w:type="dxa" w:w="4464"/>
            <w:vAlign w:val="center"/>
            <w:tcMar>
              <w:top w:w="85" w:type="dxa"/>
              <w:left w:w="90" w:type="dxa"/>
              <w:bottom w:w="85" w:type="dxa"/>
              <w:right w:w="90" w:type="dxa"/>
            </w:tcMar>
          </w:tcPr>
          <w:p>
            <w:pPr>
              <w:spacing w:after="0" w:line="250" w:lineRule="auto"/>
            </w:pPr>
            <w:r>
              <w:rPr>
                <w:sz w:val="20"/>
              </w:rPr>
              <w:t>Passive temporal visual experience modifies IT invariance; altered action-vision coupling changes developing V1 responses.</w:t>
            </w:r>
          </w:p>
        </w:tc>
        <w:tc>
          <w:tcPr>
            <w:tcW w:type="dxa" w:w="5472"/>
            <w:vAlign w:val="center"/>
            <w:tcMar>
              <w:top w:w="85" w:type="dxa"/>
              <w:left w:w="90" w:type="dxa"/>
              <w:bottom w:w="85" w:type="dxa"/>
              <w:right w:w="90" w:type="dxa"/>
            </w:tcMar>
          </w:tcPr>
          <w:p>
            <w:pPr>
              <w:spacing w:after="0" w:line="250" w:lineRule="auto"/>
            </w:pPr>
            <w:r>
              <w:rPr>
                <w:sz w:val="20"/>
              </w:rPr>
              <w:t>Offline visual pretraining is useful, followed by explicit active sensorimotor calibration.</w:t>
            </w:r>
          </w:p>
        </w:tc>
      </w:tr>
      <w:tr>
        <w:trPr>
          <w:cantSplit/>
        </w:trPr>
        <w:tc>
          <w:tcPr>
            <w:tcW w:type="dxa" w:w="4464"/>
            <w:vAlign w:val="center"/>
            <w:tcMar>
              <w:top w:w="85" w:type="dxa"/>
              <w:left w:w="90" w:type="dxa"/>
              <w:bottom w:w="85" w:type="dxa"/>
              <w:right w:w="90" w:type="dxa"/>
            </w:tcMar>
          </w:tcPr>
          <w:p>
            <w:pPr>
              <w:spacing w:after="0" w:line="250" w:lineRule="auto"/>
            </w:pPr>
            <w:r>
              <w:rPr>
                <w:sz w:val="20"/>
              </w:rPr>
              <w:t>Motor cortex can be required for acquiring a skill that subcortical circuits later express.</w:t>
            </w:r>
          </w:p>
        </w:tc>
        <w:tc>
          <w:tcPr>
            <w:tcW w:type="dxa" w:w="5472"/>
            <w:vAlign w:val="center"/>
            <w:tcMar>
              <w:top w:w="85" w:type="dxa"/>
              <w:left w:w="90" w:type="dxa"/>
              <w:bottom w:w="85" w:type="dxa"/>
              <w:right w:w="90" w:type="dxa"/>
            </w:tcMar>
          </w:tcPr>
          <w:p>
            <w:pPr>
              <w:spacing w:after="0" w:line="250" w:lineRule="auto"/>
            </w:pPr>
            <w:r>
              <w:rPr>
                <w:sz w:val="20"/>
              </w:rPr>
              <w:t>Introduce a simple cortical learning/tutoring partner before demanding a finished subcortical repertoire.</w:t>
            </w:r>
          </w:p>
        </w:tc>
      </w:tr>
      <w:tr>
        <w:trPr>
          <w:cantSplit/>
        </w:trPr>
        <w:tc>
          <w:tcPr>
            <w:tcW w:type="dxa" w:w="4464"/>
            <w:vAlign w:val="center"/>
            <w:tcMar>
              <w:top w:w="85" w:type="dxa"/>
              <w:left w:w="90" w:type="dxa"/>
              <w:bottom w:w="85" w:type="dxa"/>
              <w:right w:w="90" w:type="dxa"/>
            </w:tcMar>
          </w:tcPr>
          <w:p>
            <w:pPr>
              <w:spacing w:after="0" w:line="250" w:lineRule="auto"/>
            </w:pPr>
            <w:r>
              <w:rPr>
                <w:sz w:val="20"/>
              </w:rPr>
              <w:t>Head-direction and place-related representations are available before mature grid organization.</w:t>
            </w:r>
          </w:p>
        </w:tc>
        <w:tc>
          <w:tcPr>
            <w:tcW w:type="dxa" w:w="5472"/>
            <w:vAlign w:val="center"/>
            <w:tcMar>
              <w:top w:w="85" w:type="dxa"/>
              <w:left w:w="90" w:type="dxa"/>
              <w:bottom w:w="85" w:type="dxa"/>
              <w:right w:w="90" w:type="dxa"/>
            </w:tcMar>
          </w:tcPr>
          <w:p>
            <w:pPr>
              <w:spacing w:after="0" w:line="250" w:lineRule="auto"/>
            </w:pPr>
            <w:r>
              <w:rPr>
                <w:sz w:val="20"/>
              </w:rPr>
              <w:t>Do not make a mature grid-cell model a prerequisite for the first episodic or spatial memories.</w:t>
            </w:r>
          </w:p>
        </w:tc>
      </w:tr>
      <w:tr>
        <w:trPr>
          <w:cantSplit/>
        </w:trPr>
        <w:tc>
          <w:tcPr>
            <w:tcW w:type="dxa" w:w="4464"/>
            <w:vAlign w:val="center"/>
            <w:tcMar>
              <w:top w:w="85" w:type="dxa"/>
              <w:left w:w="90" w:type="dxa"/>
              <w:bottom w:w="85" w:type="dxa"/>
              <w:right w:w="90" w:type="dxa"/>
            </w:tcMar>
          </w:tcPr>
          <w:p>
            <w:pPr>
              <w:spacing w:after="0" w:line="250" w:lineRule="auto"/>
            </w:pPr>
            <w:r>
              <w:rPr>
                <w:sz w:val="20"/>
              </w:rPr>
              <w:t>Frontal-thalamic loops support persistence; parietal-thalamic-reticular interaction can distinguish maintenance from updating.</w:t>
            </w:r>
          </w:p>
        </w:tc>
        <w:tc>
          <w:tcPr>
            <w:tcW w:type="dxa" w:w="5472"/>
            <w:vAlign w:val="center"/>
            <w:tcMar>
              <w:top w:w="85" w:type="dxa"/>
              <w:left w:w="90" w:type="dxa"/>
              <w:bottom w:w="85" w:type="dxa"/>
              <w:right w:w="90" w:type="dxa"/>
            </w:tcMar>
          </w:tcPr>
          <w:p>
            <w:pPr>
              <w:spacing w:after="0" w:line="250" w:lineRule="auto"/>
            </w:pPr>
            <w:r>
              <w:rPr>
                <w:sz w:val="20"/>
              </w:rPr>
              <w:t>Train primitive retention early, then test protection and replacement in a live recurrent coalition.</w:t>
            </w:r>
          </w:p>
        </w:tc>
      </w:tr>
      <w:tr>
        <w:trPr>
          <w:cantSplit/>
        </w:trPr>
        <w:tc>
          <w:tcPr>
            <w:tcW w:type="dxa" w:w="4464"/>
            <w:vAlign w:val="center"/>
            <w:tcMar>
              <w:top w:w="85" w:type="dxa"/>
              <w:left w:w="90" w:type="dxa"/>
              <w:bottom w:w="85" w:type="dxa"/>
              <w:right w:w="90" w:type="dxa"/>
            </w:tcMar>
          </w:tcPr>
          <w:p>
            <w:pPr>
              <w:spacing w:after="0" w:line="250" w:lineRule="auto"/>
            </w:pPr>
            <w:r>
              <w:rPr>
                <w:sz w:val="20"/>
              </w:rPr>
              <w:t>Visual input can calibrate an auditory spatial map, and cortical influences shape developing SC integration.</w:t>
            </w:r>
          </w:p>
        </w:tc>
        <w:tc>
          <w:tcPr>
            <w:tcW w:type="dxa" w:w="5472"/>
            <w:vAlign w:val="center"/>
            <w:tcMar>
              <w:top w:w="85" w:type="dxa"/>
              <w:left w:w="90" w:type="dxa"/>
              <w:bottom w:w="85" w:type="dxa"/>
              <w:right w:w="90" w:type="dxa"/>
            </w:tcMar>
          </w:tcPr>
          <w:p>
            <w:pPr>
              <w:spacing w:after="0" w:line="250" w:lineRule="auto"/>
            </w:pPr>
            <w:r>
              <w:rPr>
                <w:sz w:val="20"/>
              </w:rPr>
              <w:t>Basic auditory features precede sophisticated multisensory calibration; the latter requires actual partners.</w:t>
            </w:r>
          </w:p>
        </w:tc>
      </w:tr>
    </w:tbl>
    <w:p>
      <w:pPr>
        <w:spacing w:after="20" w:before="0" w:line="240" w:lineRule="auto"/>
      </w:pPr>
      <w:r>
        <w:rPr>
          <w:sz w:val="4"/>
        </w:rPr>
      </w:r>
    </w:p>
    <w:p>
      <w:r>
        <w:t>The experiments address different species and tasks. Their shared implication is a staged construction with feedback-dependent refinement; none is evidence that an arbitrary artificial network will acquire the proposed computation from a chosen loss alone.</w:t>
      </w:r>
      <w:r>
        <w:rPr>
          <w:rStyle w:val="FootnoteReference"/>
        </w:rPr>
        <w:footnoteReference w:id="5"/>
      </w:r>
    </w:p>
    <w:p>
      <w:pPr>
        <w:pStyle w:val="Heading2"/>
      </w:pPr>
      <w:r>
        <w:t>A usable source must preserve the information its consumers need</w:t>
      </w:r>
    </w:p>
    <w:p>
      <w:r>
        <w:t>A frozen visual classifier may discard location, phase or fine geometry that a later movement or motion module needs. Consequently, the released visual system should expose several anatomically motivated outputs: spatially organized early/intermediate activity, temporal motion-related activity, and object-related activity. The motion and reach branches should not be forced to reconstruct their inputs from a final category vector. MT response modeling and posterior-parietal recordings demonstrate why these distinctions matter.</w:t>
      </w:r>
      <w:r>
        <w:rPr>
          <w:rStyle w:val="FootnoteReference"/>
        </w:rPr>
        <w:footnoteReference w:id="6"/>
      </w:r>
    </w:p>
    <w:p>
      <w:r>
        <w:t>Use native neural activity between modules. The names used in interface documentation identify what a representation should support; they do not authorize supplying an explicit simulator identity, pose or confidence label. An explicit scalar uncertainty channel is an engineering option, whereas uncertainty may also be distributed in population activity.</w:t>
      </w:r>
    </w:p>
    <w:p>
      <w:pPr>
        <w:pStyle w:val="Heading1"/>
      </w:pPr>
      <w:r>
        <w:t>3. R0: body, transduction and initial circuit constraints</w:t>
      </w:r>
    </w:p>
    <w:p>
      <w:r>
        <w:rPr>
          <w:b/>
        </w:rPr>
        <w:t>Goal:</w:t>
      </w:r>
      <w:r>
        <w:t xml:space="preserve"> establish a physically and causally valid source of learning experience before optimizing perceptual or cognitive modules.</w:t>
      </w:r>
    </w:p>
    <w:p>
      <w:r>
        <w:t>Use separate eye images at their actual poses, separate ear signals, cutaneous contact, proprioceptive receptor proxies, and head-centered vestibular signals. MuJoCo provides building blocks rather than complete receptor physiology. For example, its accelerometer and gyroscope expose local physical signals, while muscle-spindle dynamics, skin spatial filtering, vestibular filtering, saturation and neural delays must be implemented or explicitly approximated. Existing joint-torque control can be an engineering baseline; muscle-driven actuation is the more appropriate target when studying muscle-receptor and activation dynamics.</w:t>
      </w:r>
      <w:r>
        <w:rPr>
          <w:rStyle w:val="FootnoteReference"/>
        </w:rPr>
        <w:footnoteReference w:id="7"/>
      </w:r>
    </w:p>
    <w:p>
      <w:r>
        <w:t xml:space="preserve">Separate the </w:t>
      </w:r>
      <w:r>
        <w:rPr>
          <w:b/>
        </w:rPr>
        <w:t>learner stream</w:t>
      </w:r>
      <w:r>
        <w:t xml:space="preserve"> from an </w:t>
      </w:r>
      <w:r>
        <w:rPr>
          <w:b/>
        </w:rPr>
        <w:t>observer stream</w:t>
      </w:r>
      <w:r>
        <w:t>. The learner receives available sensations, its issued commands, internal neural activity and explicitly modeled bodily consequences. The observer may use object identities, absolute poses, optical flow, joint truth and task success to score experiments. Those observer quantities must not enter policy inputs, supervised targets, a privileged critic or an automatic gaze controller.</w:t>
      </w:r>
    </w:p>
    <w:p>
      <w:r>
        <w:t>Training targets can be observations that become available later, such as the next touch signal, or representations that were actually observed earlier. They must not be hidden quantities merely because the simulator can calculate them. A caregiver can present visible/audible feedback or deliver an observable outcome, as in an experiment; the hidden rule used by the caregiver remains outside the learner.</w:t>
      </w:r>
    </w:p>
    <w:p>
      <w:r>
        <w:t>Specify an initial anatomical scaffold: local receptive fields, major projection masks, excitatory/inhibitory signs where supported, separate input and output populations, adaptation and bounded activity. These are inherited structural constraints in the model, not skills claimed to have been learned. Developmental patterned activity precedes competent perception, and homeostatic mechanisms contribute to controlling activity during plasticity.</w:t>
      </w:r>
      <w:r>
        <w:rPr>
          <w:rStyle w:val="FootnoteReference"/>
        </w:rPr>
        <w:footnoteReference w:id="8"/>
      </w:r>
    </w:p>
    <w:p>
      <w:r>
        <w:rPr>
          <w:b/>
        </w:rPr>
        <w:t>Acceptance:</w:t>
      </w:r>
      <w:r>
        <w:t xml:space="preserve"> verify causality, coordinate conventions, receptor signs, sampling times, eye independence, absence of privileged fields, and stable actuation. Record both passive and self-generated motion. Physical support can prevent falls during early learning; support is an environmental condition, not a hidden stabilizing controller inside the agent.</w:t>
      </w:r>
    </w:p>
    <w:p>
      <w:r>
        <w:t>The body morphology and sensory configuration should initially remain fixed. Later changes in mass, limb length, receptor delay or viewpoint become deliberate adaptation experiments. Embodiment affects learned motor behavior in MIMo-like simulations, but the June 2026 rolling study is a preprint and does not validate a particular neural-circuit curriculum.</w:t>
      </w:r>
      <w:r>
        <w:rPr>
          <w:rStyle w:val="FootnoteReference"/>
        </w:rPr>
        <w:footnoteReference w:id="9"/>
      </w:r>
    </w:p>
    <w:p>
      <w:pPr>
        <w:pStyle w:val="Heading1"/>
      </w:pPr>
      <w:r>
        <w:t>4. R1: parallel sensory and spinal foundations</w:t>
      </w:r>
    </w:p>
    <w:p>
      <w:pPr>
        <w:pStyle w:val="Heading2"/>
      </w:pPr>
      <w:r>
        <w:t>Visual orientation and early temporal structure</w:t>
      </w:r>
    </w:p>
    <w:p>
      <w:r>
        <w:rPr>
          <w:b/>
        </w:rPr>
        <w:t>Anatomy:</w:t>
      </w:r>
      <w:r>
        <w:t xml:space="preserve"> retinal channels, dorsal LGN and local V1 circuitry. </w:t>
      </w:r>
      <w:r>
        <w:rPr>
          <w:b/>
        </w:rPr>
        <w:t>Inputs:</w:t>
      </w:r>
      <w:r>
        <w:t xml:space="preserve"> separate-eye sensory histories. </w:t>
      </w:r>
      <w:r>
        <w:rPr>
          <w:b/>
        </w:rPr>
        <w:t>First output:</w:t>
      </w:r>
      <w:r>
        <w:t xml:space="preserve"> a spatially organized population code for contrast, local orientation, spatial and temporal structure, with binocular distinctions retained.</w:t>
      </w:r>
    </w:p>
    <w:p>
      <w:r>
        <w:t>Begin with structured spontaneous activity and varied unlabeled visual input. Then expose the system to natural surfaces, edges, movement, contrast changes and binocular views. Sparse coding is an established computational demonstration that useful simple-cell-like receptive fields can emerge from natural-image statistics. It is a candidate objective, not an established description of the brain's optimizer. Retinal-wave studies independently support early structured activity as a biological developmental input.</w:t>
      </w:r>
      <w:r>
        <w:rPr>
          <w:rStyle w:val="FootnoteReference"/>
        </w:rPr>
        <w:footnoteReference w:id="10"/>
      </w:r>
    </w:p>
    <w:p>
      <w:r>
        <w:t>Train only this local circuit initially. Candidate teaching signals include local reconstruction or future sensory prediction, competition and homeostatic stabilization. The evaluator can present oriented gratings and measure tuning, but the network need not receive orientation labels. Release the module when its responses preserve the temporal and spatial distinctions needed by later motion, form and gaze tasks, not merely when an orientation decoder succeeds.</w:t>
      </w:r>
    </w:p>
    <w:p>
      <w:pPr>
        <w:pStyle w:val="Heading2"/>
      </w:pPr>
      <w:r>
        <w:t>Somatic, vestibular and auditory branches</w:t>
      </w:r>
    </w:p>
    <w:p>
      <w:r>
        <w:t>Somatic learning starts with passive movements, twitches and contact. Inputs come from the body, and the initial representation preserves which body regions coactivate and how contacts change with movement. Early motor activity driving sensory cortical bursts supplies a developmental rationale for this sequence. The spinal and sensory learners can alternate training; neither requires a completed object-recognition system.</w:t>
      </w:r>
      <w:r>
        <w:rPr>
          <w:rStyle w:val="FootnoteReference"/>
        </w:rPr>
        <w:footnoteReference w:id="11"/>
      </w:r>
    </w:p>
    <w:p>
      <w:r>
        <w:t>Vestibular processing starts with passive rotation and translation and later adds command copies. Preserve the physical ambiguity of accelerometer-like signals; do not provide an exact world gravity vector as a sensory shortcut. Auditory preprocessing starts with the two waveforms, cochlear-like channels, temporal structure and binaural differences. Basic acoustic statistical learning can precede knowledge of words or objects. Sophisticated auditory spatial calibration is postponed until visual/head-motion partners can provide corresponding experience.</w:t>
      </w:r>
      <w:r>
        <w:rPr>
          <w:rStyle w:val="FootnoteReference"/>
        </w:rPr>
        <w:footnoteReference w:id="12"/>
      </w:r>
    </w:p>
    <w:p>
      <w:pPr>
        <w:pStyle w:val="Heading2"/>
      </w:pPr>
      <w:r>
        <w:t>Spinal and bodily-state foundations</w:t>
      </w:r>
    </w:p>
    <w:p>
      <w:r>
        <w:t>Seed motor pools, local reflex motifs and a bounded movement-generating circuit. Train short supported movements and contact-sensitive coordination before unrestricted whole-body locomotion. Genetic perturbations of spinal interneuron populations show differentiated roles in left-right coordination; a spinal block should therefore expose structured coordination rather than being a single arbitrary torque generator.</w:t>
      </w:r>
      <w:r>
        <w:rPr>
          <w:rStyle w:val="FootnoteReference"/>
        </w:rPr>
        <w:footnoteReference w:id="13"/>
      </w:r>
    </w:p>
    <w:p>
      <w:r>
        <w:t>At the same time, supply an explicit minimal bodily-state model. NTS and parabrachial findings motivate differentiated visceral and danger-related inputs; they do not imply that a simulator already contains hunger, fatigue or pain physiology. If those variables are modeled, their changes must follow declared body dynamics rather than hidden task correctness. Hypothalamic/arousal baselines operate from the beginning. Learned, context-dependent regulation develops later.</w:t>
      </w:r>
      <w:r>
        <w:rPr>
          <w:rStyle w:val="FootnoteReference"/>
        </w:rPr>
        <w:footnoteReference w:id="14"/>
      </w:r>
    </w:p>
    <w:p>
      <w:r>
        <w:rPr>
          <w:b/>
        </w:rPr>
        <w:t>Acceptance:</w:t>
      </w:r>
      <w:r>
        <w:t xml:space="preserve"> characterize sensory tuning, delay and masking; reproduce responses across unseen input conditions; keep activity bounded; verify elementary reflex or movement consequences. Maintain each branch's independent test set throughout later assembly. Optional chemical sensing starts here only when an odor/taste/body model actually exists.</w:t>
      </w:r>
    </w:p>
    <w:p>
      <w:pPr>
        <w:pStyle w:val="Heading1"/>
      </w:pPr>
      <w:r>
        <w:t>5. R2: elementary closed-loop embodiment</w:t>
      </w:r>
    </w:p>
    <w:p>
      <w:pPr>
        <w:pStyle w:val="Heading2"/>
      </w:pPr>
      <w:r>
        <w:t>Reticulospinal, vestibulospinal and locomotor coordination</w:t>
      </w:r>
    </w:p>
    <w:p>
      <w:r>
        <w:t xml:space="preserve">The reticulospinal implementation is a </w:t>
      </w:r>
      <w:r>
        <w:rPr>
          <w:b/>
        </w:rPr>
        <w:t>reticular-formation network connected to spinal targets</w:t>
      </w:r>
      <w:r>
        <w:t>, with vestibular, somatic and descending inputs. Its early training concerns postural responses, distributed limb/trunk coordination and the consequences of elementary drive. Primate reticulospinal projections influence distal as well as proximal motor pools. Cat recordings further show movement- and side-dependent reticular signals during reaching. Those findings justify structured outputs rather than assigning the pathway only a generic trunk-stability scalar.</w:t>
      </w:r>
      <w:r>
        <w:rPr>
          <w:rStyle w:val="FootnoteReference"/>
        </w:rPr>
        <w:footnoteReference w:id="15"/>
      </w:r>
    </w:p>
    <w:p>
      <w:r>
        <w:t>Begin with supported posture and small external perturbations. Gradually vary contact, load, head movement and movement direction. Learn from the body's sensed consequences. Introduce CnF/PPN-related locomotor drive and spinal rhythmic coordination only when these primitives can run stably. Mouse experiments distinguish midbrain populations influencing speed and gait, supporting a separate drive/control interface.</w:t>
      </w:r>
      <w:r>
        <w:rPr>
          <w:rStyle w:val="FootnoteReference"/>
        </w:rPr>
        <w:footnoteReference w:id="16"/>
      </w:r>
    </w:p>
    <w:p>
      <w:r>
        <w:t>The relevant coalition includes body, spinal circuitry, vestibular processing, reticular formation and an early cerebellar learner. Run them together while changing one selected component's parameters at a time. When a new cortical movement learner appears, allow limited recalibration of the lower coalition. A mature skill's apparent subcortical execution is not a reason to withhold its acquisition-related cortical partner.</w:t>
      </w:r>
      <w:r>
        <w:rPr>
          <w:rStyle w:val="FootnoteReference"/>
        </w:rPr>
        <w:footnoteReference w:id="17"/>
      </w:r>
    </w:p>
    <w:p>
      <w:pPr>
        <w:pStyle w:val="Heading2"/>
      </w:pPr>
      <w:r>
        <w:t>Gaze and cerebellar prediction</w:t>
      </w:r>
    </w:p>
    <w:p>
      <w:r>
        <w:t>Train gaze stabilization from retinal slip, vestibular input and issued eye commands. Include ocular premotor/brainstem integrators and the motor nuclei controlling the modeled eyes, with SC and pretectal/accessory-optic contributions represented at the appropriate level. A controller that receives target coordinates or automatic fixation has bypassed this learning problem.</w:t>
      </w:r>
    </w:p>
    <w:p>
      <w:r>
        <w:t>Early cerebellar circuits receive actual motor context and sensed consequences. Their initial role is learning predictable sensorimotor relationships in simple eye, limb and postural tasks. The same architecture later acquires richer task-specific calibrations. Propriospinal internal-copy circuitry and Purkinje-cell error/learning findings support providing internal motor information and an instructive consequence signal through separate routes.</w:t>
      </w:r>
      <w:r>
        <w:rPr>
          <w:rStyle w:val="FootnoteReference"/>
        </w:rPr>
        <w:footnoteReference w:id="18"/>
      </w:r>
    </w:p>
    <w:p>
      <w:r>
        <w:t xml:space="preserve">Command copies must be copies of </w:t>
      </w:r>
      <w:r>
        <w:rPr>
          <w:b/>
        </w:rPr>
        <w:t>issued commands</w:t>
      </w:r>
      <w:r>
        <w:t>, not the true resulting movement. A demonstrated SC-MD-FEF pathway supports using such information in visual remapping. The plan first establishes causal copies and elementary eye control, then trains richer remapping in R4.</w:t>
      </w:r>
      <w:r>
        <w:rPr>
          <w:rStyle w:val="FootnoteReference"/>
        </w:rPr>
        <w:footnoteReference w:id="19"/>
      </w:r>
    </w:p>
    <w:p>
      <w:pPr>
        <w:pStyle w:val="Heading2"/>
      </w:pPr>
      <w:r>
        <w:t>Early action value and heading</w:t>
      </w:r>
    </w:p>
    <w:p>
      <w:r>
        <w:t>A small action repertoire is enough to begin basal-ganglia-related outcome learning. Feed actual available movement states and sensed outcomes into a sign-constrained striatal-pallidal/nigral system. Test changes in action expression, vigor and interruption separately from trajectory generation. Dopamine-dependent learning and STN interruption experiments motivate these distinct functions.</w:t>
      </w:r>
      <w:r>
        <w:rPr>
          <w:rStyle w:val="FootnoteReference"/>
        </w:rPr>
        <w:footnoteReference w:id="20"/>
      </w:r>
    </w:p>
    <w:p>
      <w:r>
        <w:t>Start a recurrent heading representation from vestibular/self-motion input with occasional landmarks. The dorsal tegmental-lateral mammillary-anterior-thalamic family belongs here, before complete navigation or grid-cell organization. Early head-direction representations in developing rats and lateral mammillary lesion effects constrain that choice.</w:t>
      </w:r>
      <w:r>
        <w:rPr>
          <w:rStyle w:val="FootnoteReference"/>
        </w:rPr>
        <w:footnoteReference w:id="21"/>
      </w:r>
    </w:p>
    <w:p>
      <w:r>
        <w:rPr>
          <w:b/>
        </w:rPr>
        <w:t>Acceptance:</w:t>
      </w:r>
      <w:r>
        <w:t xml:space="preserve"> passive/active movement discrimination, gaze stabilization without target truth, recovery from novel perturbations, controlled speed changes and limited action-outcome adaptation. Successful standing, locomotion and dexterous grasping are separate milestones; the first two need not wait for the third.</w:t>
      </w:r>
    </w:p>
    <w:p>
      <w:pPr>
        <w:pStyle w:val="Heading1"/>
      </w:pPr>
      <w:r>
        <w:t>6. R3: reusable perceptual representations and elementary memory</w:t>
      </w:r>
    </w:p>
    <w:p>
      <w:pPr>
        <w:pStyle w:val="Heading2"/>
      </w:pPr>
      <w:r>
        <w:t>Train V2/V4, MT and IT from their actual predecessors</w:t>
      </w:r>
    </w:p>
    <w:p>
      <w:r>
        <w:t>Freeze the R1 visual checkpoint initially. Train intermediate form/surface populations and the motion branch on its real activity. Preserve local retinal geometry in the form branch and temporal population trajectories in the motion branch.</w:t>
      </w:r>
    </w:p>
    <w:p>
      <w:r>
        <w:t>MT is a particularly concrete example of the proposed modular method. A fitted nonlinear model operating on V1 population responses predicts important MT responses to gratings and plaids. Its useful ingredients include convergence across preferred directions, motion-opponent suppression and normalization. The model does not need raw images plus perfect flow labels. A learner can instead use temporal prediction of the actually observed visual code, while separate evaluator probes measure whether appropriate component and pattern-motion selectivity emerged. That learning objective remains a proposal to be tested.</w:t>
      </w:r>
      <w:r>
        <w:rPr>
          <w:rStyle w:val="FootnoteReference"/>
        </w:rPr>
        <w:footnoteReference w:id="22"/>
      </w:r>
    </w:p>
    <w:p>
      <w:r>
        <w:t>The ventral branch can then learn recurring object structure over changing appearances. Temporal experience changes IT invariant representations in primates, including under passive exposure. Therefore, a substantial part of this branch can be trained on recordings from the real upstream modules. Include multiple objects and interruptions so temporal adjacency does not simply collapse unrelated objects. More difficult recurrent recognition and active sampling are reserved for later refinement.</w:t>
      </w:r>
      <w:r>
        <w:rPr>
          <w:rStyle w:val="FootnoteReference"/>
        </w:rPr>
        <w:footnoteReference w:id="23"/>
      </w:r>
    </w:p>
    <w:p>
      <w:r>
        <w:t>Auditory association and haptic object/sequence processing can proceed in parallel. They need their own sensory codes and, for active haptics, an elementary exploratory motor loop. Object-related vision is not a prerequisite for every haptic or acoustic representation.</w:t>
      </w:r>
    </w:p>
    <w:p>
      <w:pPr>
        <w:pStyle w:val="Heading2"/>
      </w:pPr>
      <w:r>
        <w:t>Memory starts before the perceptual hierarchy is finished</w:t>
      </w:r>
    </w:p>
    <w:p>
      <w:r>
        <w:t>Introduce one-item delayed comparisons and short sensory sequences as soon as source codes are usable. The first working-state coalition can retain a location, orientation, sound pattern or tactile feature without an adult conceptual vocabulary. Train content retention, interference resistance and selective use as distinct operations. Human visual capacity results provide later comparative benchmarks; they are not instructions to initialize exactly four universal storage slots.</w:t>
      </w:r>
      <w:r>
        <w:rPr>
          <w:rStyle w:val="FootnoteReference"/>
        </w:rPr>
        <w:footnoteReference w:id="24"/>
      </w:r>
    </w:p>
    <w:p>
      <w:r>
        <w:t>Likewise, introduce an early EC-DG-CA3-CA1 scaffold using coarse sensory patterns and temporal context. It can learn relationships between actual activity patterns before they have semantic names. Developing spatial representations do not support waiting for mature grid organization before any place- or episode-related learning.</w:t>
      </w:r>
      <w:r>
        <w:rPr>
          <w:rStyle w:val="FootnoteReference"/>
        </w:rPr>
        <w:footnoteReference w:id="25"/>
      </w:r>
    </w:p>
    <w:p>
      <w:r>
        <w:t>The early hippocampal release should already distinguish slow representation learning from rapid event writing. Once useful associations exist, begin interleaved replay. Cortical memory traces can form early and subsequently mature with hippocampal support; replay should not be deferred until the end of the project.</w:t>
      </w:r>
      <w:r>
        <w:rPr>
          <w:rStyle w:val="FootnoteReference"/>
        </w:rPr>
        <w:footnoteReference w:id="26"/>
      </w:r>
    </w:p>
    <w:p>
      <w:pPr>
        <w:pStyle w:val="Heading2"/>
      </w:pPr>
      <w:r>
        <w:t>Elementary selective attention</w:t>
      </w:r>
    </w:p>
    <w:p>
      <w:r>
        <w:t>Train a target-template population from a briefly presented sensory cue. Connect it to feature and location selection while the recipient visual circuits run. Initially freeze those recipients and learn the influence of the feedback sender. Later, selectively recalibrate recipients if necessary. Frontal feature-selection and frontal-eye-field experiments support these target-dependent influences.</w:t>
      </w:r>
      <w:r>
        <w:rPr>
          <w:rStyle w:val="FootnoteReference"/>
        </w:rPr>
        <w:footnoteReference w:id="27"/>
      </w:r>
    </w:p>
    <w:p>
      <w:r>
        <w:rPr>
          <w:b/>
        </w:rPr>
        <w:t>Acceptance:</w:t>
      </w:r>
      <w:r>
        <w:t xml:space="preserve"> held-out object views, motion patterns, tactile trajectories and acoustic sequences; short-delay retention and interference curves; partial-cue associative retrieval; valid versus invalid cue effects. Each function is tested both on recorded inputs and with its original source generating live activity.</w:t>
      </w:r>
    </w:p>
    <w:p>
      <w:pPr>
        <w:pStyle w:val="Heading1"/>
      </w:pPr>
      <w:r>
        <w:t>7. R4: spatial, multisensory and active-perceptual assembly</w:t>
      </w:r>
    </w:p>
    <w:p>
      <w:pPr>
        <w:pStyle w:val="Heading2"/>
      </w:pPr>
      <w:r>
        <w:t>Body-relative geometry and skilled interaction</w:t>
      </w:r>
    </w:p>
    <w:p>
      <w:r>
        <w:t>Posterior parietal processing now combines actual spatial visual activity, gaze state, somatic input and command copies. Train the relation between a seen target and the hand through look-reach-contact experience. Actual contact supplies a crossmodal constraint; world target coordinates remain unavailable. Posterior-parietal recordings and F5/M1 perturbations support separating action geometry, visual hand preshaping and motor execution.</w:t>
      </w:r>
      <w:r>
        <w:rPr>
          <w:rStyle w:val="FootnoteReference"/>
        </w:rPr>
        <w:footnoteReference w:id="28"/>
      </w:r>
    </w:p>
    <w:p>
      <w:r>
        <w:t>A basic visually guided grasp requires usable shape and position information, not a completed semantic identity system. Human neuropsychological dissociation supports preserving this alternative route. The manifest therefore does not impose IT recognition as a hard prerequisite for its basic grasp learner.</w:t>
      </w:r>
      <w:r>
        <w:rPr>
          <w:rStyle w:val="FootnoteReference"/>
        </w:rPr>
        <w:footnoteReference w:id="29"/>
      </w:r>
    </w:p>
    <w:p>
      <w:r>
        <w:t>Train reach transport and finger configuration as distinguishable learners sharing a body loop. Start with supported reaches and simple objects, then vary orientation, friction, compliance and mass. Freeze the lower motor controller first, learn the cortical readout, then open a restricted recalibration phase where the new cortical commands change the distribution of lower-level experience.</w:t>
      </w:r>
    </w:p>
    <w:p>
      <w:pPr>
        <w:pStyle w:val="Heading2"/>
      </w:pPr>
      <w:r>
        <w:t>Retrosplenial and entorhinal navigation functions</w:t>
      </w:r>
    </w:p>
    <w:p>
      <w:r>
        <w:t>RSC receives a useful heading state, visual landmarks, movement history and early remembered context. It can now learn relationships between the current view, local turn sequence and larger route/environment. Rat RSC recordings combine internal route and external spatial information, and mouse work demonstrates coordinated heading representations in anterior thalamus and RSC. These findings justify a recurrent calibration coalition rather than a single image-to-location classifier.</w:t>
      </w:r>
      <w:r>
        <w:rPr>
          <w:rStyle w:val="FootnoteReference"/>
        </w:rPr>
        <w:footnoteReference w:id="30"/>
      </w:r>
    </w:p>
    <w:p>
      <w:r>
        <w:t>Train on routes approached from different directions, repeated-looking locations, shifted landmarks and dark segments. Refine entorhinal place/path representations alongside hippocampal memory. Grid-like structure can be a measured outcome under appropriate experience; it is not a prescribed prerequisite or a substitute for testing navigation behavior.</w:t>
      </w:r>
      <w:r>
        <w:rPr>
          <w:rStyle w:val="FootnoteReference"/>
        </w:rPr>
        <w:footnoteReference w:id="31"/>
      </w:r>
    </w:p>
    <w:p>
      <w:pPr>
        <w:pStyle w:val="Heading2"/>
      </w:pPr>
      <w:r>
        <w:t>Multisensory alignment and action-conditioned perception</w:t>
      </w:r>
    </w:p>
    <w:p>
      <w:r>
        <w:t>Combine the already useful auditory, visual, tactile and body representations. Training examples must include compatible events and mismatches, uncertainty and latency changes. The objective is to predict crossmodal consequences and use corroborating evidence, not merge every simultaneous signal. Cat SC development and owl auditory-map recalibration show that later multisensory competence depends on experience and appropriate partner influences. The exact owl anatomy is not transplanted into the primate-oriented core.</w:t>
      </w:r>
      <w:r>
        <w:rPr>
          <w:rStyle w:val="FootnoteReference"/>
        </w:rPr>
        <w:footnoteReference w:id="32"/>
      </w:r>
    </w:p>
    <w:p>
      <w:r>
        <w:t>Now revisit early vision under actual action. Interleave active movements, externally imposed movements and altered visuomotor coupling. Developing mouse V1 depends on matched visuomotor experience for particular mismatch-related responses, so passive pretraining alone cannot establish this functionality. Learn through issued commands and their actual consequences, preserving independent perturbations so self-motion is not confused with all observed motion.</w:t>
      </w:r>
      <w:r>
        <w:rPr>
          <w:rStyle w:val="FootnoteReference"/>
        </w:rPr>
        <w:footnoteReference w:id="33"/>
      </w:r>
    </w:p>
    <w:p>
      <w:r>
        <w:t>The 2025 mouse vLGN study adds a concrete comparative route: motor and state copies interact with visual signals in an inhibitory hub that influences downstream visuomotor processing. Keep this distinct from dorsal LGN and pulvinar. It motivates testing action-dependent subcortical visual regulation; a human-oriented implementation should not silently assert the identical nucleus-level circuit.</w:t>
      </w:r>
      <w:r>
        <w:rPr>
          <w:rStyle w:val="FootnoteReference"/>
        </w:rPr>
        <w:footnoteReference w:id="34"/>
      </w:r>
    </w:p>
    <w:p>
      <w:r>
        <w:rPr>
          <w:b/>
        </w:rPr>
        <w:t>Acceptance:</w:t>
      </w:r>
      <w:r>
        <w:t xml:space="preserve"> coordinate transfer across eye/head/hand changes; correspondence under modality noise and mismatch; heading drift and landmark reanchoring; contact-guided grasp; coupled versus uncoupled visual responses. Adding feedback must improve the relevant closed-loop behavior while retaining the previous source-level tests.</w:t>
      </w:r>
    </w:p>
    <w:p>
      <w:pPr>
        <w:pStyle w:val="Heading1"/>
      </w:pPr>
      <w:r>
        <w:t>8. R5: contextual episodic memory, controlled retention and modulation</w:t>
      </w:r>
    </w:p>
    <w:p>
      <w:pPr>
        <w:pStyle w:val="Heading2"/>
      </w:pPr>
      <w:r>
        <w:t>Train the hippocampal circuit in stages, then test its return path</w:t>
      </w:r>
    </w:p>
    <w:p>
      <w:r>
        <w:t>Use actual IT/perirhinal-like object codes, contextual/parahippocampal-RSC activity, spatial/temporal input and bodily interaction history. The learning target is a previously encountered relationship, not a simulator-labeled episode.</w:t>
      </w:r>
    </w:p>
    <w:p>
      <w:r>
        <w:t>First train a sparse DG-like transformation to reduce interference among overlapping input patterns. Next test CA3 recurrent association on those outputs, including direct entorhinal input. Then train CA1 output and reconstruction while supplying both CA3-derived and direct entorhinal input. Preserve the CA1/subiculum/deep-EC return paths into actual cortical recipients. CA3 completion, human cortical reinstatement and fast CA1 plasticity constrain these operations. Their exact artificial losses remain engineering choices.</w:t>
      </w:r>
      <w:r>
        <w:rPr>
          <w:rStyle w:val="FootnoteReference"/>
        </w:rPr>
        <w:footnoteReference w:id="35"/>
      </w:r>
    </w:p>
    <w:p>
      <w:r>
        <w:t>During deployment, a partial cue should recover a useful relation and reinstate activity that existing perceptual or spatial recipients can use. A correct symbolic answer produced by an extra decoder is insufficient if the intended recipient cannot interpret the native memory output.</w:t>
      </w:r>
    </w:p>
    <w:p>
      <w:r>
        <w:t>CA2 is a parallel branch, with entorhinal/DG inputs and strong influence on particular CA1 populations. Train its social-recognition contribution when recurring individual-related sensory streams exist. It is not a mandatory intermediate step between CA3 and CA1 or a prerequisite for nonsocial memory.</w:t>
      </w:r>
      <w:r>
        <w:rPr>
          <w:rStyle w:val="FootnoteReference"/>
        </w:rPr>
        <w:footnoteReference w:id="36"/>
      </w:r>
    </w:p>
    <w:p>
      <w:r>
        <w:t>Nucleus reuniens deserves target-specific treatment. A 2025 study found that CA1 pyramidal cells were not a major direct target, with hippocampal interneuron targeting and stronger effects in other connected areas. Accordingly, model context coordination through supported target classes rather than a generic excitatory PFC-to-reuniens-to-CA1-pyramidal bridge.</w:t>
      </w:r>
      <w:r>
        <w:rPr>
          <w:rStyle w:val="FootnoteReference"/>
        </w:rPr>
        <w:footnoteReference w:id="37"/>
      </w:r>
    </w:p>
    <w:p>
      <w:pPr>
        <w:pStyle w:val="Heading2"/>
      </w:pPr>
      <w:r>
        <w:t>Separate maintaining a target from updating a search</w:t>
      </w:r>
    </w:p>
    <w:p>
      <w:r>
        <w:t>Expand the short-delay working-state coalition into flexible maintenance, updating and reactivation. Its inputs now include both sensory activity and retrieved content. In one training task, the target remains fixed while the inspected locations change. In another, a new instruction replaces the target but leaves the room context useful.</w:t>
      </w:r>
    </w:p>
    <w:p>
      <w:r>
        <w:t>Frontal-MD and frontal motor-thalamic findings constrain persistent activity. A 2026 PPC-pulvinar-homolog/TRN study adds evidence for a separable updating mechanism: inhibitory reticular input disrupts maintained history so that a new representation can be incorporated. Train and perturb these operations separately, with the recipient cortex and thalamus running together.</w:t>
      </w:r>
      <w:r>
        <w:rPr>
          <w:rStyle w:val="FootnoteReference"/>
        </w:rPr>
        <w:footnoteReference w:id="38"/>
      </w:r>
    </w:p>
    <w:p>
      <w:r>
        <w:t>Broader attentional routing uses those retained states to influence visual and multisensory processing. Pulvinar-cortical recordings and frontal perturbations motivate testing actual changes in downstream information use, rather than evaluating an attention module only on its standalone output vector.</w:t>
      </w:r>
      <w:r>
        <w:rPr>
          <w:rStyle w:val="FootnoteReference"/>
        </w:rPr>
        <w:footnoteReference w:id="39"/>
      </w:r>
    </w:p>
    <w:p>
      <w:pPr>
        <w:pStyle w:val="Heading2"/>
      </w:pPr>
      <w:r>
        <w:t>Learn the contingencies of bodily modulation</w:t>
      </w:r>
    </w:p>
    <w:p>
      <w:r>
        <w:t>Basic physiological and gain mechanisms already exist. Now train how context and outcomes recruit them: satiety changes a food cue's relevance; waiting changes persistence demands; a previously useful action becomes ineffective. Preserve distinct amygdalar/insular/hypothalamic representations and projection-dependent dopaminergic, noradrenergic, cholinergic and serotonergic influences. These systems have differentiated experimental effects; a single learned global reward/gain variable would discard them.</w:t>
      </w:r>
      <w:r>
        <w:rPr>
          <w:rStyle w:val="FootnoteReference"/>
        </w:rPr>
        <w:footnoteReference w:id="40"/>
      </w:r>
    </w:p>
    <w:p>
      <w:r>
        <w:rPr>
          <w:b/>
        </w:rPr>
        <w:t>Acceptance:</w:t>
      </w:r>
      <w:r>
        <w:t xml:space="preserve"> rapid binding and partial-cue recovery, resistance to similar-event interference, successful cortical reinstatement, selective maintenance/update failures after perturbation, outcome reversal, devaluation and waiting behavior. Repeat tests with source representations degraded rather than only idealized inputs.</w:t>
      </w:r>
    </w:p>
    <w:p>
      <w:pPr>
        <w:pStyle w:val="Heading1"/>
      </w:pPr>
      <w:r>
        <w:t>9. R6: concepts, event models and flexible task organization</w:t>
      </w:r>
    </w:p>
    <w:p>
      <w:r>
        <w:t>The earlier releases supply object-related patterns, manipulation consequences, spatial relations and episodes. Use their recurring relationships to learn reusable concepts. A concept should support transfer to new instances or modalities; it should not merely memorize an appearance or a word.</w:t>
      </w:r>
    </w:p>
    <w:p>
      <w:r>
        <w:t>Train longer-timescale event representations using continuous activities with meaningful boundaries and interruptions. Relevant posterior-medial, RSC, lateral-parietal and medial-prefrontal populations maintain relations over longer periods than immediate sensory processing. Naturalistic event studies and differentiated default-associated networks constrain these functions. The implementation should preserve event reconstruction and social inference as distinguishable branches.</w:t>
      </w:r>
      <w:r>
        <w:rPr>
          <w:rStyle w:val="FootnoteReference"/>
        </w:rPr>
        <w:footnoteReference w:id="41"/>
      </w:r>
    </w:p>
    <w:p>
      <w:r>
        <w:t>Next train hidden task state and outcome organization. The same visible object can have different implications under different rules or recent outcomes. Orbitofrontal hidden-state representations motivate learning from history-dependent consequences rather than expecting the current sensory frame to specify the complete task.</w:t>
      </w:r>
      <w:r>
        <w:rPr>
          <w:rStyle w:val="FootnoteReference"/>
        </w:rPr>
        <w:footnoteReference w:id="42"/>
      </w:r>
    </w:p>
    <w:p>
      <w:r>
        <w:t>Finally, train a frontoparietal/medial-frontal and basal-ganglia-thalamic coalition to choose and update subgoals using the already available perceptual, motor and memory interfaces. Its training experience includes interrupted action sequences, failed attempts, alternative routes, delayed outcomes and changing priorities. The controller learns which existing circuit to influence and when; it does not replace those circuits with a new end-to-end policy.</w:t>
      </w:r>
    </w:p>
    <w:p>
      <w:r>
        <w:t>Confidence-sensitive behavior can begin on the simple tasks of earlier releases. At this release, train transferable use of confidence: request another view, switch to touch, defer a decision or verify a remembered answer. Parietal confidence-related recording and anterior-prefrontal lesion results motivate separating decision performance from metacognitive calibration.</w:t>
      </w:r>
      <w:r>
        <w:rPr>
          <w:rStyle w:val="FootnoteReference"/>
        </w:rPr>
        <w:footnoteReference w:id="43"/>
      </w:r>
    </w:p>
    <w:p>
      <w:r>
        <w:t>A claustral branch is optional for a specific distraction-resilience hypothesis. Mouse intervention evidence justifies testing its effect on distractor resistance, not assigning it the generation of consciousness.</w:t>
      </w:r>
      <w:r>
        <w:rPr>
          <w:rStyle w:val="FootnoteReference"/>
        </w:rPr>
        <w:footnoteReference w:id="44"/>
      </w:r>
    </w:p>
    <w:p>
      <w:r>
        <w:rPr>
          <w:b/>
        </w:rPr>
        <w:t>Acceptance:</w:t>
      </w:r>
      <w:r>
        <w:t xml:space="preserve"> compose familiar actions into unfamiliar sequences; update one subgoal without erasing the larger event; resume after interruption; infer changed contingencies; use uncertainty to acquire better evidence. The evaluator scores novel combinations rather than rewarding memorization of one scripted routine.</w:t>
      </w:r>
    </w:p>
    <w:p>
      <w:pPr>
        <w:pStyle w:val="Heading1"/>
      </w:pPr>
      <w:r>
        <w:t>10. R7: social and language branches</w:t>
      </w:r>
    </w:p>
    <w:p>
      <w:r>
        <w:t>Acoustic statistical learning begins in R1-R3. Grounded language now has richer prerequisites: recurrent auditory representations, phonological retention, concepts, episodes and task interfaces. Present spoken interactions through the audio stream, with visible referents and actual action consequences. Do not replace speech processing with text tokens from a pretrained language-model oracle.</w:t>
      </w:r>
    </w:p>
    <w:p>
      <w:r>
        <w:t>Infant statistical-learning experiments support learning acoustic regularities without mature semantics. A separate live-versus-recorded foreign-language experiment demonstrates the importance of contingent social exposure in that particular phonetic-learning setting. Together they support early acoustic pretraining followed by grounded, interactive experience, rather than one universal claim about how all language must be learned.</w:t>
      </w:r>
      <w:r>
        <w:rPr>
          <w:rStyle w:val="FootnoteReference"/>
        </w:rPr>
        <w:footnoteReference w:id="45"/>
      </w:r>
    </w:p>
    <w:p>
      <w:r>
        <w:t>Social-recognition memory can train before mature social reasoning. Later STS/TPJ/medial-prefrontal-related processing should distinguish what the agent observed from what another agent could observe. Use shared versus unshared access, changed object locations and turn-taking. CA2 recognition and differentiated social-associated networks support these distinct problems. A fully trained theory-of-mind system is not required before the first grounded instruction can be learned.</w:t>
      </w:r>
      <w:r>
        <w:rPr>
          <w:rStyle w:val="FootnoteReference"/>
        </w:rPr>
        <w:footnoteReference w:id="46"/>
      </w:r>
    </w:p>
    <w:p>
      <w:r>
        <w:t>Speech production requires an additional vocal/orofacial plant with sensed consequences. Without it, nonverbal choices or an explicitly labeled engineering speech interface are appropriate. They should not be described as learned biological vocal control.</w:t>
      </w:r>
    </w:p>
    <w:p>
      <w:r>
        <w:rPr>
          <w:b/>
        </w:rPr>
        <w:t>Acceptance:</w:t>
      </w:r>
      <w:r>
        <w:t xml:space="preserve"> new combinations of familiar words and actions; instruction retention during ongoing movement; generalization across voices and referents; social predictions conditioned on another agent's actual information access. These branches enrich human-like cognition but are not mandatory prerequisites for the nonverbal integrated-perception release.</w:t>
      </w:r>
    </w:p>
    <w:p>
      <w:pPr>
        <w:pStyle w:val="Heading1"/>
      </w:pPr>
      <w:r>
        <w:t>11. R8: integrated access and consciousness-related tests</w:t>
      </w:r>
    </w:p>
    <w:p>
      <w:r>
        <w:t>At this stage, train and test combinations of previously acquired functions rather than a separate consciousness module. A newly encountered item should be usable for later recognition, a remembered location, a changed motor plan and a relevant question or nonverbal choice. A task should survive eye movements, missing input and a brief interruption without treating each sample as an unrelated scene.</w:t>
      </w:r>
    </w:p>
    <w:p>
      <w:r>
        <w:t>The main tests are cross-task availability, temporal continuity, self/other and action/consequence discrimination, calibrated information seeking, and flexible use of retrieved versus currently sensed information. Interventions should identify which interactions are needed for each property: disconnect a memory return path, delay command copies, disrupt cortical-thalamic persistence, or alter state-regulating input while holding basic sensory discriminability as constant as possible.</w:t>
      </w:r>
    </w:p>
    <w:p>
      <w:r>
        <w:t>Biological arousal interventions and metacognitive dissociations provide useful experimental analogies. They do not make a matching artificial behavior a validated measure of experience. The 2025 adversarial consciousness-theory study also does not establish a sufficient modular construction. Report the capabilities and perturbational effects directly; retain subjective experience as an open empirical interpretation rather than a training label.</w:t>
      </w:r>
      <w:r>
        <w:rPr>
          <w:rStyle w:val="FootnoteReference"/>
        </w:rPr>
        <w:footnoteReference w:id="47"/>
      </w:r>
    </w:p>
    <w:p>
      <w:r>
        <w:rPr>
          <w:b/>
        </w:rPr>
        <w:t>Acceptance:</w:t>
      </w:r>
      <w:r>
        <w:t xml:space="preserve"> held-out combinations, multiple independently trained seeds, and matched ablations. Demonstrate transfer, not only a single-task benchmark. A language branch can explain a decision, but a verbal claim of awareness is not itself the acceptance criterion.</w:t>
      </w:r>
    </w:p>
    <w:p>
      <w:pPr>
        <w:pStyle w:val="Heading1"/>
      </w:pPr>
      <w:r>
        <w:t>12. The assembly protocol for every new module</w:t>
      </w:r>
    </w:p>
    <w:p>
      <w:pPr>
        <w:pStyle w:val="Heading2"/>
      </w:pPr>
      <w:r>
        <w:t>Step 1: specify the input contract and its minimal source checkpoint</w:t>
      </w:r>
    </w:p>
    <w:p>
      <w:r>
        <w:t>Specify source populations, causal timestamps, required spatial/body reference, noise and missingness, permitted control ports, and what temporal history must remain accessible. Use the earliest source version that preserves the required information. A motion learner needs temporal V1 activity; an episodic learner can start with stable coarse patterns; a reach learner needs target-body geometry, not a fully semantic object label.</w:t>
      </w:r>
    </w:p>
    <w:p>
      <w:pPr>
        <w:pStyle w:val="Heading2"/>
      </w:pPr>
      <w:r>
        <w:t>Step 2: pretrain on actual source activity</w:t>
      </w:r>
    </w:p>
    <w:p>
      <w:r>
        <w:t>Record the source together with sensory context, issued commands, available internal states and later observed consequences. Keep episodes and causal order intact. Arbitrary placeholder codes are useful for verifying dimensions and wiring; they are not evidence that the intended biological computation has been trained. Use real source recordings for learning and held-out source conditions for testing.</w:t>
      </w:r>
    </w:p>
    <w:p>
      <w:r>
        <w:t>The frozen source can still be recurrent. Preserve its reset rules and internal-state history when recording. If it is replayed from a different state, an identical instantaneous input may not generate the same output.</w:t>
      </w:r>
    </w:p>
    <w:p>
      <w:pPr>
        <w:pStyle w:val="Heading2"/>
      </w:pPr>
      <w:r>
        <w:t>Step 3: test the consumer with live, frozen sources</w:t>
      </w:r>
    </w:p>
    <w:p>
      <w:r>
        <w:t>Run the consumer's output through its intended recipients. For control modules, this immediately requires a closed loop. Actions alter future observations even when every upstream parameter is frozen, so recordings collected under the old behavior may not cover the new input distribution.</w:t>
      </w:r>
    </w:p>
    <w:p>
      <w:r>
        <w:t>Update the experience set using the agent's current behavior. The test is not simply whether the consumer predicts a held-out vector; it is whether its native output enables the intended next computation under live conditions.</w:t>
      </w:r>
    </w:p>
    <w:p>
      <w:pPr>
        <w:pStyle w:val="Heading2"/>
      </w:pPr>
      <w:r>
        <w:t>Step 4: introduce return paths gradually</w:t>
      </w:r>
    </w:p>
    <w:p>
      <w:r>
        <w:t>Initially fix established source weights and train the new projections or sender. Start within a bounded range of activity, and test neutral, useful, misleading and absent feedback. Next, allow a small, named recipient subset to adapt if required. Maintain clear-input and old-task regressions so increased contextual sensitivity does not overwrite basic sensory evidence.</w:t>
      </w:r>
    </w:p>
    <w:p>
      <w:r>
        <w:t>Incremental auditory-map recalibration in adult owls supports the biological usefulness of gradual mismatch exposure. The specific ramp, parameter subset and optimizer used in an artificial model remain engineering choices.</w:t>
      </w:r>
      <w:r>
        <w:rPr>
          <w:rStyle w:val="FootnoteReference"/>
        </w:rPr>
        <w:footnoteReference w:id="48"/>
      </w:r>
    </w:p>
    <w:p>
      <w:pPr>
        <w:pStyle w:val="Heading2"/>
      </w:pPr>
      <w:r>
        <w:t>Step 5: freeze a new release, not the entire future</w:t>
      </w:r>
    </w:p>
    <w:p>
      <w:r>
        <w:t>A checkpoint contains slow parameters, initialization rules, receptor and body configuration, allowed fast plasticity, learning-signal definitions, connection masks and the tested input distribution. Distinguish three states:</w:t>
      </w:r>
    </w:p>
    <w:p>
      <w:r>
        <w:rPr>
          <w:b/>
        </w:rPr>
        <w:t>Slow parameters, theta:</w:t>
      </w:r>
      <w:r>
        <w:t xml:space="preserve"> representation and controller weights that can be frozen during modular training.</w:t>
      </w:r>
    </w:p>
    <w:p>
      <w:r>
        <w:rPr>
          <w:b/>
        </w:rPr>
        <w:t>Online neural state, h:</w:t>
      </w:r>
      <w:r>
        <w:t xml:space="preserve"> activity, adaptation and recurrent state that still evolve in a frozen module.</w:t>
      </w:r>
    </w:p>
    <w:p>
      <w:r>
        <w:rPr>
          <w:b/>
        </w:rPr>
        <w:t>Fast associative state, M:</w:t>
      </w:r>
      <w:r>
        <w:t xml:space="preserve"> episodic or short-term changes that remain writable when the memory task requires learning a new event.</w:t>
      </w:r>
    </w:p>
    <w:p>
      <w:r>
        <w:t>Freezing a memory module's slow parameters while allowing M to bind a new episode is meaningful. Freezing every change and then testing new episodic learning is a contradiction in the experimental setup.</w:t>
      </w:r>
    </w:p>
    <w:p>
      <w:pPr>
        <w:pStyle w:val="Heading2"/>
      </w:pPr>
      <w:r>
        <w:t>Step 6: retain module and assembly regressions</w:t>
      </w:r>
    </w:p>
    <w:p>
      <w:r>
        <w:t>For each release, keep standalone probes, native downstream-use tests, closed-loop behavior, targeted pathway perturbations and robustness tests. Predeclare task-specific tolerances, seeds and confidence intervals. Do not borrow a convenient universal accuracy threshold from biology; justify the engineering gate by the failure it must exclude.</w:t>
      </w:r>
    </w:p>
    <w:p>
      <w:pPr>
        <w:pStyle w:val="Heading1"/>
      </w:pPr>
      <w:r>
        <w:t>13. Learning rules and biological realism</w:t>
      </w:r>
    </w:p>
    <w:p>
      <w:r>
        <w:t xml:space="preserve">A convincing biological model needs separate evaluations of </w:t>
      </w:r>
      <w:r>
        <w:rPr>
          <w:b/>
        </w:rPr>
        <w:t>connectivity</w:t>
      </w:r>
      <w:r>
        <w:t xml:space="preserve">, </w:t>
      </w:r>
      <w:r>
        <w:rPr>
          <w:b/>
        </w:rPr>
        <w:t>available information</w:t>
      </w:r>
      <w:r>
        <w:t xml:space="preserve">, </w:t>
      </w:r>
      <w:r>
        <w:rPr>
          <w:b/>
        </w:rPr>
        <w:t>learning mechanism</w:t>
      </w:r>
      <w:r>
        <w:t xml:space="preserve">, </w:t>
      </w:r>
      <w:r>
        <w:rPr>
          <w:b/>
        </w:rPr>
        <w:t>population dynamics</w:t>
      </w:r>
      <w:r>
        <w:t xml:space="preserve">, and </w:t>
      </w:r>
      <w:r>
        <w:rPr>
          <w:b/>
        </w:rPr>
        <w:t>behavior</w:t>
      </w:r>
      <w:r>
        <w:t>. Success on a behavioral task alone does not establish the other four.</w:t>
      </w:r>
    </w:p>
    <w:p>
      <w:r>
        <w:t>An efficient development track can use module-local gradient optimization with sensory self-supervision, preserving the anatomical graph and information restrictions. This is useful for establishing that a proposed interface carries enough information. It is an engineering feasibility track, not evidence that the brain propagates that gradient.</w:t>
      </w:r>
    </w:p>
    <w:p>
      <w:r>
        <w:t>A biological-learning track can test local competition and homeostasis, eligibility traces modulated by available instructive signals, rapid associative plasticity and more slowly learned cortical representations. Dopamine-sensitive spine plasticity, CA1 behavioral-timescale plasticity and homeostatic scaling provide experimental constraints on different mechanisms. They should not be collapsed into one universal update rule.</w:t>
      </w:r>
      <w:r>
        <w:rPr>
          <w:rStyle w:val="FootnoteReference"/>
        </w:rPr>
        <w:footnoteReference w:id="49"/>
      </w:r>
    </w:p>
    <w:p>
      <w:r>
        <w:t>E-prop provides an example of a computational recurrent-learning method built from eligibility traces and learning signals. It is a candidate implementation to compare against the feasibility baseline, not a demonstrated universal biological algorithm. The teaching signal must itself be causally available; an anatomically local synaptic update driven by hidden simulator truth would still violate the project assumptions.</w:t>
      </w:r>
      <w:r>
        <w:rPr>
          <w:rStyle w:val="FootnoteReference"/>
        </w:rPr>
        <w:footnoteReference w:id="50"/>
      </w:r>
    </w:p>
    <w:p>
      <w:r>
        <w:t>Different objectives are appropriate for different transformations: sensory prediction, rapid association, sensorimotor discrepancy, primary-outcome learning and confidence calibration. The anatomy and experiences constrain which modules receive which signals. The selected loss function is always documented as a modeling hypothesis unless directly established by the experiment.</w:t>
      </w:r>
    </w:p>
    <w:p>
      <w:pPr>
        <w:pStyle w:val="Heading1"/>
      </w:pPr>
      <w:r>
        <w:t>14. Functional coverage and minimum coalitions</w:t>
      </w:r>
    </w:p>
    <w:p>
      <w:r>
        <w:t>The main developmental coalitions are small relative to the complete architecture. They have stable external boundaries but internally recurrent operation.</w:t>
      </w:r>
    </w:p>
    <w:tbl>
      <w:tblPr>
        <w:tblW w:type="auto" w:w="0"/>
        <w:jc w:val="center"/>
        <w:tblLayout w:type="fixed"/>
        <w:tblLook w:firstColumn="1" w:firstRow="1" w:lastColumn="0" w:lastRow="0" w:noHBand="0" w:noVBand="1" w:val="04A0"/>
        <w:tblBorders>
          <w:top w:val="nil" w:sz="4" w:color="BBBBBB"/>
          <w:left w:val="nil" w:sz="4" w:color="BBBBBB"/>
          <w:bottom w:val="single" w:sz="4" w:color="BBBBBB"/>
          <w:right w:val="nil" w:sz="4" w:color="BBBBBB"/>
          <w:insideH w:val="nil" w:sz="4" w:color="BBBBBB"/>
          <w:insideV w:val="nil" w:sz="4" w:color="BBBBBB"/>
        </w:tblBorders>
      </w:tblPr>
      <w:tblGrid>
        <w:gridCol w:w="1584"/>
        <w:gridCol w:w="4608"/>
        <w:gridCol w:w="3744"/>
      </w:tblGrid>
      <w:tr>
        <w:trPr>
          <w:cantSplit/>
          <w:tblHeader/>
        </w:trPr>
        <w:tc>
          <w:tcPr>
            <w:tcW w:type="dxa" w:w="1584"/>
            <w:vAlign w:val="center"/>
            <w:tcMar>
              <w:top w:w="85" w:type="dxa"/>
              <w:left w:w="90" w:type="dxa"/>
              <w:bottom w:w="85" w:type="dxa"/>
              <w:right w:w="90" w:type="dxa"/>
            </w:tcMar>
            <w:shd w:fill="EEEEEE"/>
          </w:tcPr>
          <w:p>
            <w:pPr>
              <w:spacing w:after="0" w:line="250" w:lineRule="auto"/>
            </w:pPr>
            <w:r>
              <w:rPr>
                <w:b/>
                <w:sz w:val="20"/>
              </w:rPr>
              <w:t>Coalition</w:t>
            </w:r>
          </w:p>
        </w:tc>
        <w:tc>
          <w:tcPr>
            <w:tcW w:type="dxa" w:w="4608"/>
            <w:vAlign w:val="center"/>
            <w:tcMar>
              <w:top w:w="85" w:type="dxa"/>
              <w:left w:w="90" w:type="dxa"/>
              <w:bottom w:w="85" w:type="dxa"/>
              <w:right w:w="90" w:type="dxa"/>
            </w:tcMar>
            <w:shd w:fill="EEEEEE"/>
          </w:tcPr>
          <w:p>
            <w:pPr>
              <w:spacing w:after="0" w:line="250" w:lineRule="auto"/>
            </w:pPr>
            <w:r>
              <w:rPr>
                <w:b/>
                <w:sz w:val="20"/>
              </w:rPr>
              <w:t>Components that must execute together for its mature test</w:t>
            </w:r>
          </w:p>
        </w:tc>
        <w:tc>
          <w:tcPr>
            <w:tcW w:type="dxa" w:w="3744"/>
            <w:vAlign w:val="center"/>
            <w:tcMar>
              <w:top w:w="85" w:type="dxa"/>
              <w:left w:w="90" w:type="dxa"/>
              <w:bottom w:w="85" w:type="dxa"/>
              <w:right w:w="90" w:type="dxa"/>
            </w:tcMar>
            <w:shd w:fill="EEEEEE"/>
          </w:tcPr>
          <w:p>
            <w:pPr>
              <w:spacing w:after="0" w:line="250" w:lineRule="auto"/>
            </w:pPr>
            <w:r>
              <w:rPr>
                <w:b/>
                <w:sz w:val="20"/>
              </w:rPr>
              <w:t>What can be pretrained separately</w:t>
            </w:r>
          </w:p>
        </w:tc>
      </w:tr>
      <w:tr>
        <w:trPr>
          <w:cantSplit/>
        </w:trPr>
        <w:tc>
          <w:tcPr>
            <w:tcW w:type="dxa" w:w="1584"/>
            <w:vAlign w:val="center"/>
            <w:tcMar>
              <w:top w:w="85" w:type="dxa"/>
              <w:left w:w="90" w:type="dxa"/>
              <w:bottom w:w="85" w:type="dxa"/>
              <w:right w:w="90" w:type="dxa"/>
            </w:tcMar>
          </w:tcPr>
          <w:p>
            <w:pPr>
              <w:spacing w:after="0" w:line="250" w:lineRule="auto"/>
            </w:pPr>
            <w:r>
              <w:rPr>
                <w:sz w:val="20"/>
              </w:rPr>
              <w:t>Gaze/posture</w:t>
            </w:r>
          </w:p>
        </w:tc>
        <w:tc>
          <w:tcPr>
            <w:tcW w:type="dxa" w:w="4608"/>
            <w:vAlign w:val="center"/>
            <w:tcMar>
              <w:top w:w="85" w:type="dxa"/>
              <w:left w:w="90" w:type="dxa"/>
              <w:bottom w:w="85" w:type="dxa"/>
              <w:right w:w="90" w:type="dxa"/>
            </w:tcMar>
          </w:tcPr>
          <w:p>
            <w:pPr>
              <w:spacing w:after="0" w:line="250" w:lineRule="auto"/>
            </w:pPr>
            <w:r>
              <w:rPr>
                <w:sz w:val="20"/>
              </w:rPr>
              <w:t>Body, spinal and brainstem controllers, vestibular/somatic input, cerebellar calibration</w:t>
            </w:r>
          </w:p>
        </w:tc>
        <w:tc>
          <w:tcPr>
            <w:tcW w:type="dxa" w:w="3744"/>
            <w:vAlign w:val="center"/>
            <w:tcMar>
              <w:top w:w="85" w:type="dxa"/>
              <w:left w:w="90" w:type="dxa"/>
              <w:bottom w:w="85" w:type="dxa"/>
              <w:right w:w="90" w:type="dxa"/>
            </w:tcMar>
          </w:tcPr>
          <w:p>
            <w:pPr>
              <w:spacing w:after="0" w:line="250" w:lineRule="auto"/>
            </w:pPr>
            <w:r>
              <w:rPr>
                <w:sz w:val="20"/>
              </w:rPr>
              <w:t>Sensory front ends, primitive command response, prediction maps</w:t>
            </w:r>
          </w:p>
        </w:tc>
      </w:tr>
      <w:tr>
        <w:trPr>
          <w:cantSplit/>
        </w:trPr>
        <w:tc>
          <w:tcPr>
            <w:tcW w:type="dxa" w:w="1584"/>
            <w:vAlign w:val="center"/>
            <w:tcMar>
              <w:top w:w="85" w:type="dxa"/>
              <w:left w:w="90" w:type="dxa"/>
              <w:bottom w:w="85" w:type="dxa"/>
              <w:right w:w="90" w:type="dxa"/>
            </w:tcMar>
          </w:tcPr>
          <w:p>
            <w:pPr>
              <w:spacing w:after="0" w:line="250" w:lineRule="auto"/>
            </w:pPr>
            <w:r>
              <w:rPr>
                <w:sz w:val="20"/>
              </w:rPr>
              <w:t>Active vision</w:t>
            </w:r>
          </w:p>
        </w:tc>
        <w:tc>
          <w:tcPr>
            <w:tcW w:type="dxa" w:w="4608"/>
            <w:vAlign w:val="center"/>
            <w:tcMar>
              <w:top w:w="85" w:type="dxa"/>
              <w:left w:w="90" w:type="dxa"/>
              <w:bottom w:w="85" w:type="dxa"/>
              <w:right w:w="90" w:type="dxa"/>
            </w:tcMar>
          </w:tcPr>
          <w:p>
            <w:pPr>
              <w:spacing w:after="0" w:line="250" w:lineRule="auto"/>
            </w:pPr>
            <w:r>
              <w:rPr>
                <w:sz w:val="20"/>
              </w:rPr>
              <w:t>Early/extrastriate vision, gaze command copies, relevant thalamic and frontal feedback</w:t>
            </w:r>
          </w:p>
        </w:tc>
        <w:tc>
          <w:tcPr>
            <w:tcW w:type="dxa" w:w="3744"/>
            <w:vAlign w:val="center"/>
            <w:tcMar>
              <w:top w:w="85" w:type="dxa"/>
              <w:left w:w="90" w:type="dxa"/>
              <w:bottom w:w="85" w:type="dxa"/>
              <w:right w:w="90" w:type="dxa"/>
            </w:tcMar>
          </w:tcPr>
          <w:p>
            <w:pPr>
              <w:spacing w:after="0" w:line="250" w:lineRule="auto"/>
            </w:pPr>
            <w:r>
              <w:rPr>
                <w:sz w:val="20"/>
              </w:rPr>
              <w:t>V1 tuning, MT pooling, basic object continuity</w:t>
            </w:r>
          </w:p>
        </w:tc>
      </w:tr>
      <w:tr>
        <w:trPr>
          <w:cantSplit/>
        </w:trPr>
        <w:tc>
          <w:tcPr>
            <w:tcW w:type="dxa" w:w="1584"/>
            <w:vAlign w:val="center"/>
            <w:tcMar>
              <w:top w:w="85" w:type="dxa"/>
              <w:left w:w="90" w:type="dxa"/>
              <w:bottom w:w="85" w:type="dxa"/>
              <w:right w:w="90" w:type="dxa"/>
            </w:tcMar>
          </w:tcPr>
          <w:p>
            <w:pPr>
              <w:spacing w:after="0" w:line="250" w:lineRule="auto"/>
            </w:pPr>
            <w:r>
              <w:rPr>
                <w:sz w:val="20"/>
              </w:rPr>
              <w:t>Skilled contact</w:t>
            </w:r>
          </w:p>
        </w:tc>
        <w:tc>
          <w:tcPr>
            <w:tcW w:type="dxa" w:w="4608"/>
            <w:vAlign w:val="center"/>
            <w:tcMar>
              <w:top w:w="85" w:type="dxa"/>
              <w:left w:w="90" w:type="dxa"/>
              <w:bottom w:w="85" w:type="dxa"/>
              <w:right w:w="90" w:type="dxa"/>
            </w:tcMar>
          </w:tcPr>
          <w:p>
            <w:pPr>
              <w:spacing w:after="0" w:line="250" w:lineRule="auto"/>
            </w:pPr>
            <w:r>
              <w:rPr>
                <w:sz w:val="20"/>
              </w:rPr>
              <w:t>Parietal geometry, premotor/M1, spinal/reticular output, cerebellum and touch</w:t>
            </w:r>
          </w:p>
        </w:tc>
        <w:tc>
          <w:tcPr>
            <w:tcW w:type="dxa" w:w="3744"/>
            <w:vAlign w:val="center"/>
            <w:tcMar>
              <w:top w:w="85" w:type="dxa"/>
              <w:left w:w="90" w:type="dxa"/>
              <w:bottom w:w="85" w:type="dxa"/>
              <w:right w:w="90" w:type="dxa"/>
            </w:tcMar>
          </w:tcPr>
          <w:p>
            <w:pPr>
              <w:spacing w:after="0" w:line="250" w:lineRule="auto"/>
            </w:pPr>
            <w:r>
              <w:rPr>
                <w:sz w:val="20"/>
              </w:rPr>
              <w:t>Object code, local motor primitives, coarse reach transformations</w:t>
            </w:r>
          </w:p>
        </w:tc>
      </w:tr>
      <w:tr>
        <w:trPr>
          <w:cantSplit/>
        </w:trPr>
        <w:tc>
          <w:tcPr>
            <w:tcW w:type="dxa" w:w="1584"/>
            <w:vAlign w:val="center"/>
            <w:tcMar>
              <w:top w:w="85" w:type="dxa"/>
              <w:left w:w="90" w:type="dxa"/>
              <w:bottom w:w="85" w:type="dxa"/>
              <w:right w:w="90" w:type="dxa"/>
            </w:tcMar>
          </w:tcPr>
          <w:p>
            <w:pPr>
              <w:spacing w:after="0" w:line="250" w:lineRule="auto"/>
            </w:pPr>
            <w:r>
              <w:rPr>
                <w:sz w:val="20"/>
              </w:rPr>
              <w:t>Spatial context</w:t>
            </w:r>
          </w:p>
        </w:tc>
        <w:tc>
          <w:tcPr>
            <w:tcW w:type="dxa" w:w="4608"/>
            <w:vAlign w:val="center"/>
            <w:tcMar>
              <w:top w:w="85" w:type="dxa"/>
              <w:left w:w="90" w:type="dxa"/>
              <w:bottom w:w="85" w:type="dxa"/>
              <w:right w:w="90" w:type="dxa"/>
            </w:tcMar>
          </w:tcPr>
          <w:p>
            <w:pPr>
              <w:spacing w:after="0" w:line="250" w:lineRule="auto"/>
            </w:pPr>
            <w:r>
              <w:rPr>
                <w:sz w:val="20"/>
              </w:rPr>
              <w:t>Heading circuit, RSC, landmarks, EC/hippocampal representations</w:t>
            </w:r>
          </w:p>
        </w:tc>
        <w:tc>
          <w:tcPr>
            <w:tcW w:type="dxa" w:w="3744"/>
            <w:vAlign w:val="center"/>
            <w:tcMar>
              <w:top w:w="85" w:type="dxa"/>
              <w:left w:w="90" w:type="dxa"/>
              <w:bottom w:w="85" w:type="dxa"/>
              <w:right w:w="90" w:type="dxa"/>
            </w:tcMar>
          </w:tcPr>
          <w:p>
            <w:pPr>
              <w:spacing w:after="0" w:line="250" w:lineRule="auto"/>
            </w:pPr>
            <w:r>
              <w:rPr>
                <w:sz w:val="20"/>
              </w:rPr>
              <w:t>Relative-heading dynamics, landmark code, early association</w:t>
            </w:r>
          </w:p>
        </w:tc>
      </w:tr>
      <w:tr>
        <w:trPr>
          <w:cantSplit/>
        </w:trPr>
        <w:tc>
          <w:tcPr>
            <w:tcW w:type="dxa" w:w="1584"/>
            <w:vAlign w:val="center"/>
            <w:tcMar>
              <w:top w:w="85" w:type="dxa"/>
              <w:left w:w="90" w:type="dxa"/>
              <w:bottom w:w="85" w:type="dxa"/>
              <w:right w:w="90" w:type="dxa"/>
            </w:tcMar>
          </w:tcPr>
          <w:p>
            <w:pPr>
              <w:spacing w:after="0" w:line="250" w:lineRule="auto"/>
            </w:pPr>
            <w:r>
              <w:rPr>
                <w:sz w:val="20"/>
              </w:rPr>
              <w:t>Controlled memory</w:t>
            </w:r>
          </w:p>
        </w:tc>
        <w:tc>
          <w:tcPr>
            <w:tcW w:type="dxa" w:w="4608"/>
            <w:vAlign w:val="center"/>
            <w:tcMar>
              <w:top w:w="85" w:type="dxa"/>
              <w:left w:w="90" w:type="dxa"/>
              <w:bottom w:w="85" w:type="dxa"/>
              <w:right w:w="90" w:type="dxa"/>
            </w:tcMar>
          </w:tcPr>
          <w:p>
            <w:pPr>
              <w:spacing w:after="0" w:line="250" w:lineRule="auto"/>
            </w:pPr>
            <w:r>
              <w:rPr>
                <w:sz w:val="20"/>
              </w:rPr>
              <w:t>Content representations, PFC/thalamic maintenance/update and memory return paths</w:t>
            </w:r>
          </w:p>
        </w:tc>
        <w:tc>
          <w:tcPr>
            <w:tcW w:type="dxa" w:w="3744"/>
            <w:vAlign w:val="center"/>
            <w:tcMar>
              <w:top w:w="85" w:type="dxa"/>
              <w:left w:w="90" w:type="dxa"/>
              <w:bottom w:w="85" w:type="dxa"/>
              <w:right w:w="90" w:type="dxa"/>
            </w:tcMar>
          </w:tcPr>
          <w:p>
            <w:pPr>
              <w:spacing w:after="0" w:line="250" w:lineRule="auto"/>
            </w:pPr>
            <w:r>
              <w:rPr>
                <w:sz w:val="20"/>
              </w:rPr>
              <w:t>Sensory traces, simple delays, CA3 completion, cortical-code reconstruction</w:t>
            </w:r>
          </w:p>
        </w:tc>
      </w:tr>
      <w:tr>
        <w:trPr>
          <w:cantSplit/>
        </w:trPr>
        <w:tc>
          <w:tcPr>
            <w:tcW w:type="dxa" w:w="1584"/>
            <w:vAlign w:val="center"/>
            <w:tcMar>
              <w:top w:w="85" w:type="dxa"/>
              <w:left w:w="90" w:type="dxa"/>
              <w:bottom w:w="85" w:type="dxa"/>
              <w:right w:w="90" w:type="dxa"/>
            </w:tcMar>
          </w:tcPr>
          <w:p>
            <w:pPr>
              <w:spacing w:after="0" w:line="250" w:lineRule="auto"/>
            </w:pPr>
            <w:r>
              <w:rPr>
                <w:sz w:val="20"/>
              </w:rPr>
              <w:t>Task-directed cognition</w:t>
            </w:r>
          </w:p>
        </w:tc>
        <w:tc>
          <w:tcPr>
            <w:tcW w:type="dxa" w:w="4608"/>
            <w:vAlign w:val="center"/>
            <w:tcMar>
              <w:top w:w="85" w:type="dxa"/>
              <w:left w:w="90" w:type="dxa"/>
              <w:bottom w:w="85" w:type="dxa"/>
              <w:right w:w="90" w:type="dxa"/>
            </w:tcMar>
          </w:tcPr>
          <w:p>
            <w:pPr>
              <w:spacing w:after="0" w:line="250" w:lineRule="auto"/>
            </w:pPr>
            <w:r>
              <w:rPr>
                <w:sz w:val="20"/>
              </w:rPr>
              <w:t>Event/semantic memory, task-state/control, attention, action regulation and bodily valuation</w:t>
            </w:r>
          </w:p>
        </w:tc>
        <w:tc>
          <w:tcPr>
            <w:tcW w:type="dxa" w:w="3744"/>
            <w:vAlign w:val="center"/>
            <w:tcMar>
              <w:top w:w="85" w:type="dxa"/>
              <w:left w:w="90" w:type="dxa"/>
              <w:bottom w:w="85" w:type="dxa"/>
              <w:right w:w="90" w:type="dxa"/>
            </w:tcMar>
          </w:tcPr>
          <w:p>
            <w:pPr>
              <w:spacing w:after="0" w:line="250" w:lineRule="auto"/>
            </w:pPr>
            <w:r>
              <w:rPr>
                <w:sz w:val="20"/>
              </w:rPr>
              <w:t>Each constituent's simpler tasks and feedback response ranges</w:t>
            </w:r>
          </w:p>
        </w:tc>
      </w:tr>
    </w:tbl>
    <w:p>
      <w:pPr>
        <w:spacing w:after="20" w:before="0" w:line="240" w:lineRule="auto"/>
      </w:pPr>
      <w:r>
        <w:rPr>
          <w:sz w:val="4"/>
        </w:rPr>
      </w:r>
    </w:p>
    <w:p>
      <w:r>
        <w:t>The supported anatomy includes sensory thalamus, higher-order thalamus, TRN, anterior thalamus, central thalamus and target-specific reuniens; SC and eye-control paths; reticular, vestibular, rubral and locomotor systems; spinal circuitry; cerebellar loops; basal-ganglia pathways; DG/CA3/CA2/CA1 and output routes; RSC/entorhinal spatial processing; amygdalar, insular, hypothalamic, parabrachial and NTS-related bodily representations; multiple neuromodulatory systems; and differentiated cortical sensory, control, semantic, event and social functions. The manifest gives the proposed implementation boundary and evidence for each unit.</w:t>
      </w:r>
    </w:p>
    <w:p>
      <w:r>
        <w:t>This is functional coverage for the specified embodied project, not an atlas-level simulation of every nucleus, interneuron class, glial process, vascular mechanism or developmental molecular program. Orofacial, chemical and detailed autonomic physiology require additional body models. Those exclusions are explicit rather than hidden inside an all-purpose network. No current evidence establishes that every listed module is necessary for every kind of perception, or that their inclusion is sufficient for subjective experience.</w:t>
      </w:r>
    </w:p>
    <w:p>
      <w:pPr>
        <w:pStyle w:val="Heading1"/>
      </w:pPr>
      <w:r>
        <w:t>15. Worked assembly tests</w:t>
      </w:r>
    </w:p>
    <w:p>
      <w:pPr>
        <w:pStyle w:val="Heading2"/>
      </w:pPr>
      <w:r>
        <w:t>A. Find a watch in a dark room while late</w:t>
      </w:r>
    </w:p>
    <w:p>
      <w:r>
        <w:rPr>
          <w:b/>
        </w:rPr>
        <w:t>Prerequisite releases:</w:t>
      </w:r>
      <w:r>
        <w:t xml:space="preserve"> R1-R6 plus the confidence-sensitive functions; spoken instructions add R7 only when used.</w:t>
      </w:r>
    </w:p>
    <w:p>
      <w:r>
        <w:t>A visible target cue or previously grounded goal activates a retained object description. EPI retrieves a candidate location through actual cortical reinstatement. RSC and parietal processing relate that remembered place to the current view and body. ATT1 biases the next sample; EYE/RF/SPIN execute the orienting movement, with command copies reaching the relevant recipients.</w:t>
      </w:r>
    </w:p>
    <w:p>
      <w:r>
        <w:t>VISACTIVE interprets the new evidence under dim illumination. Failure to detect the watch should be less decisive when the observation is poor. META and task control can then select an information-gathering action: approach, obtain illumination, or explore by touch. This uncertainty-dependent strategy is a proposed integrated test, not a claim that one experiment assigned every step to these modules.</w:t>
      </w:r>
    </w:p>
    <w:p>
      <w:r>
        <w:t>RETENTION protects the target while replacing the inspected-location record. Repeated poorly informative checks should not become confident proof of absence. The body and valuation branch makes urgency or fatigue a causally represented condition, while modulation may change persistence or interference. It must not receive a hidden variable stating where the watch is.</w:t>
      </w:r>
    </w:p>
    <w:p>
      <w:r>
        <w:t>When touch or vision confirms the object, PPC/REACH/GRASP transform its current geometry into an action; spinal/reticular and cerebellar loops regulate the actual contact. EXEC then changes the subgoal from searching to leaving.</w:t>
      </w:r>
    </w:p>
    <w:p>
      <w:r>
        <w:rPr>
          <w:b/>
        </w:rPr>
        <w:t>Diagnostic ablations:</w:t>
      </w:r>
      <w:r>
        <w:t xml:space="preserve"> remove hippocampal reinstatement while retaining object recognition; corrupt the update gate while preserving the target; delay command copies; reduce visual reliability; disconnect tactile convergence; disrupt reticular support during reaching. Predicted failures should differ: lost remembered location, repeated inspection, spatial instability, inappropriate confidence, failed crossmodal confirmation or poor bodily coordination. These distinguish missing computations rather than merely producing a lower overall reward.</w:t>
      </w:r>
    </w:p>
    <w:p>
      <w:pPr>
        <w:pStyle w:val="Heading2"/>
      </w:pPr>
      <w:r>
        <w:t>B. Pick up a pencil, then discover it is slippery</w:t>
      </w:r>
    </w:p>
    <w:p>
      <w:r>
        <w:rPr>
          <w:b/>
        </w:rPr>
        <w:t>Prerequisite releases:</w:t>
      </w:r>
      <w:r>
        <w:t xml:space="preserve"> early R4 is sufficient for a basic version; extensive event semantics, social reasoning and language are unnecessary prerequisites.</w:t>
      </w:r>
    </w:p>
    <w:p>
      <w:r>
        <w:t>IT/form populations identify relevant structure, and PPC relates the pencil to the hand. AIP/F5-related processing prepares finger configuration; reach and motor circuitry produce transport and contact. BG0 modulates expression and interruption, while RF/SPIN supplies the distributed bodily output. Actual tactile feedback changes the grip, and cerebellar learning changes subsequent prediction.</w:t>
      </w:r>
    </w:p>
    <w:p>
      <w:r>
        <w:t xml:space="preserve">The key training order is </w:t>
      </w:r>
      <w:r>
        <w:rPr>
          <w:b/>
        </w:rPr>
        <w:t>body and contact control before visually specified dexterity</w:t>
      </w:r>
      <w:r>
        <w:t>, followed by their integration. The cortical learner must nevertheless be present during acquisition of the skill that is being studied; adult execution spared by cortical damage cannot substitute for an acquisition experiment.</w:t>
      </w:r>
      <w:r>
        <w:rPr>
          <w:rStyle w:val="FootnoteReference"/>
        </w:rPr>
        <w:footnoteReference w:id="51"/>
      </w:r>
    </w:p>
    <w:p>
      <w:r>
        <w:rPr>
          <w:b/>
        </w:rPr>
        <w:t>Diagnostic ablations:</w:t>
      </w:r>
      <w:r>
        <w:t xml:space="preserve"> compare loss of visual preshape, loss of finger execution, reduced postural coordination and failed adaptation. These tests are constrained by the differing effects of cortical and brainstem interventions rather than by a single generic motor score.</w:t>
      </w:r>
      <w:r>
        <w:rPr>
          <w:rStyle w:val="FootnoteReference"/>
        </w:rPr>
        <w:footnoteReference w:id="52"/>
      </w:r>
    </w:p>
    <w:p>
      <w:pPr>
        <w:pStyle w:val="Heading2"/>
      </w:pPr>
      <w:r>
        <w:t>C. Hear an instruction, navigate, and resume after interruption</w:t>
      </w:r>
    </w:p>
    <w:p>
      <w:r>
        <w:rPr>
          <w:b/>
        </w:rPr>
        <w:t>Prerequisite releases:</w:t>
      </w:r>
      <w:r>
        <w:t xml:space="preserve"> R7 language connected to the R4-R6 core.</w:t>
      </w:r>
    </w:p>
    <w:p>
      <w:r>
        <w:t>AUD/AUD1 represent the utterance; language and conceptual systems ground its relations. RETENTION preserves the required object and action while EVENT maintains the situation. EPI and RSC supply remembered places and route relationships. EXEC chooses a sequence of already learned gaze, locomotor and manipulation actions.</w:t>
      </w:r>
    </w:p>
    <w:p>
      <w:r>
        <w:t>During an interruption, some task information becomes less immediately expressed but must remain recoverable. Resumption tests whether the agent retained the correct subgoal and completed-action history, rather than merely repeating the instruction. Another speaker or agent adds a social-information condition only when the task requires knowing what that individual observed.</w:t>
      </w:r>
    </w:p>
    <w:p>
      <w:r>
        <w:rPr>
          <w:b/>
        </w:rPr>
        <w:t>Diagnostic ablations:</w:t>
      </w:r>
      <w:r>
        <w:t xml:space="preserve"> degrade acoustic sequence processing, prevent maintenance, remove episodic retrieval, or disrupt the ongoing event state separately. Compare failures of understanding, retention, location recovery and resumption. Successful instruction-following should generalize to new combinations of familiar objects, actions and places.</w:t>
      </w:r>
    </w:p>
    <w:p>
      <w:pPr>
        <w:pStyle w:val="Heading1"/>
      </w:pPr>
      <w:r>
        <w:t>16. Decision and next implementation milestone</w:t>
      </w:r>
    </w:p>
    <w:p>
      <w:r>
        <w:t xml:space="preserve">The first practical milestone is a reproducible </w:t>
      </w:r>
      <w:r>
        <w:rPr>
          <w:b/>
        </w:rPr>
        <w:t>R0-R2 sensorimotor foundation</w:t>
      </w:r>
      <w:r>
        <w:t xml:space="preserve">, developed alongside </w:t>
      </w:r>
      <w:r>
        <w:rPr>
          <w:b/>
        </w:rPr>
        <w:t>R1 visual pretraining</w:t>
      </w:r>
      <w:r>
        <w:t>. Once the visual checkpoint passes its spatial and temporal tests, branch immediately into MT and intermediate form processing, while body/gaze calibration continues. Start simple retention and associative memory from the first stable native codes rather than waiting for a completed visual cortex.</w:t>
      </w:r>
    </w:p>
    <w:p>
      <w:r>
        <w:t>The decisive integration milestone is R4: can the separately trained representations and controllers cooperate in actual look-move-touch behavior without privileged information? Passing that test establishes a useful foundation for contextual memory, flexible search and later instruction-following. It does not require freezing every lower circuit forever, nor retraining the entire architecture end to end whenever a new component is added.</w:t>
      </w:r>
    </w:p>
    <w:p>
      <w:r>
        <w:t xml:space="preserve">The recommended operating rule is: </w:t>
      </w:r>
      <w:r>
        <w:rPr>
          <w:b/>
        </w:rPr>
        <w:t>pretrain separately where the evidence and interfaces permit; execute together where the computation requires feedback; adapt only the necessary parts; preserve every earlier regression test.</w:t>
      </w:r>
    </w:p>
    <w:p>
      <w:pPr>
        <w:pStyle w:val="Heading1"/>
        <w:pageBreakBefore/>
      </w:pPr>
      <w:r>
        <w:t>Sources</w:t>
      </w:r>
    </w:p>
    <w:p>
      <w:pPr>
        <w:pStyle w:val="SourceText"/>
      </w:pPr>
      <w:r>
        <w:t>Primary experiments, original computational studies and official documentation cited in the plan. The companion evidence record distinguishes the supported observation, proposed training implication and access limitation for each source.</w:t>
      </w:r>
    </w:p>
    <w:p>
      <w:pPr>
        <w:pStyle w:val="SourceText"/>
        <w:keepLines/>
      </w:pPr>
      <w:r>
        <w:rPr>
          <w:b/>
        </w:rPr>
        <w:t xml:space="preserve">Ackman et al. (2012). </w:t>
      </w:r>
      <w:hyperlink r:id="rId10">
        <w:r>
          <w:rPr>
            <w:color w:val="333333"/>
            <w:u w:val="single"/>
          </w:rPr>
          <w:t>Retinal waves coordinate patterned activity throughout the developing visual system</w:t>
        </w:r>
      </w:hyperlink>
      <w:r>
        <w:t>. Nature.</w:t>
      </w:r>
    </w:p>
    <w:p>
      <w:pPr>
        <w:pStyle w:val="SourceText"/>
        <w:keepLines/>
      </w:pPr>
      <w:r>
        <w:rPr>
          <w:b/>
        </w:rPr>
        <w:t xml:space="preserve">Adamantidis et al. (2007). </w:t>
      </w:r>
      <w:hyperlink r:id="rId11">
        <w:r>
          <w:rPr>
            <w:color w:val="333333"/>
            <w:u w:val="single"/>
          </w:rPr>
          <w:t>Neural substrates of awakening probed with optogenetic control of hypocretin neurons</w:t>
        </w:r>
      </w:hyperlink>
      <w:r>
        <w:t>. Nature.</w:t>
      </w:r>
    </w:p>
    <w:p>
      <w:pPr>
        <w:pStyle w:val="SourceText"/>
        <w:keepLines/>
      </w:pPr>
      <w:r>
        <w:rPr>
          <w:b/>
        </w:rPr>
        <w:t xml:space="preserve">Alexander and Nitz (2015). </w:t>
      </w:r>
      <w:hyperlink r:id="rId12">
        <w:r>
          <w:rPr>
            <w:color w:val="333333"/>
            <w:u w:val="single"/>
          </w:rPr>
          <w:t>Retrosplenial cortex maps the conjunction of internal and external spaces</w:t>
        </w:r>
      </w:hyperlink>
      <w:r>
        <w:t>. Nature Neuroscience.</w:t>
      </w:r>
    </w:p>
    <w:p>
      <w:pPr>
        <w:pStyle w:val="SourceText"/>
        <w:keepLines/>
      </w:pPr>
      <w:r>
        <w:rPr>
          <w:b/>
        </w:rPr>
        <w:t xml:space="preserve">Andrianova et al. (2025). </w:t>
      </w:r>
      <w:hyperlink r:id="rId13">
        <w:r>
          <w:rPr>
            <w:color w:val="333333"/>
            <w:u w:val="single"/>
          </w:rPr>
          <w:t>Hippocampal pyramidal cells of the CA1 region are not a major target of the thalamic nucleus reuniens</w:t>
        </w:r>
      </w:hyperlink>
      <w:r>
        <w:t>. PLOS Biology.</w:t>
      </w:r>
    </w:p>
    <w:p>
      <w:pPr>
        <w:pStyle w:val="SourceText"/>
        <w:keepLines/>
      </w:pPr>
      <w:r>
        <w:rPr>
          <w:b/>
        </w:rPr>
        <w:t xml:space="preserve">Atlan et al. (2018). </w:t>
      </w:r>
      <w:hyperlink r:id="rId14">
        <w:r>
          <w:rPr>
            <w:color w:val="333333"/>
            <w:u w:val="single"/>
          </w:rPr>
          <w:t>The Claustrum Supports Resilience to Distraction</w:t>
        </w:r>
      </w:hyperlink>
      <w:r>
        <w:t>. Current Biology.</w:t>
      </w:r>
    </w:p>
    <w:p>
      <w:pPr>
        <w:pStyle w:val="SourceText"/>
        <w:keepLines/>
      </w:pPr>
      <w:r>
        <w:rPr>
          <w:b/>
        </w:rPr>
        <w:t xml:space="preserve">Attinger, Wang and Keller (2017). </w:t>
      </w:r>
      <w:hyperlink r:id="rId15">
        <w:r>
          <w:rPr>
            <w:color w:val="333333"/>
            <w:u w:val="single"/>
          </w:rPr>
          <w:t>Visuomotor Coupling Shapes the Functional Development of Mouse Visual Cortex</w:t>
        </w:r>
      </w:hyperlink>
      <w:r>
        <w:t>. Cell.</w:t>
      </w:r>
    </w:p>
    <w:p>
      <w:pPr>
        <w:pStyle w:val="SourceText"/>
        <w:keepLines/>
      </w:pPr>
      <w:r>
        <w:rPr>
          <w:b/>
        </w:rPr>
        <w:t xml:space="preserve">Azim et al. (2014). </w:t>
      </w:r>
      <w:hyperlink r:id="rId16">
        <w:r>
          <w:rPr>
            <w:color w:val="333333"/>
            <w:u w:val="single"/>
          </w:rPr>
          <w:t>Skilled reaching relies on a V2a propriospinal internal copy circuit</w:t>
        </w:r>
      </w:hyperlink>
      <w:r>
        <w:t>. Nature.</w:t>
      </w:r>
    </w:p>
    <w:p>
      <w:pPr>
        <w:pStyle w:val="SourceText"/>
        <w:keepLines/>
      </w:pPr>
      <w:r>
        <w:rPr>
          <w:b/>
        </w:rPr>
        <w:t xml:space="preserve">Baldassano et al. (2017). </w:t>
      </w:r>
      <w:hyperlink r:id="rId17">
        <w:r>
          <w:rPr>
            <w:color w:val="333333"/>
            <w:u w:val="single"/>
          </w:rPr>
          <w:t>Discovering Event Structure in Continuous Narrative Perception and Memory</w:t>
        </w:r>
      </w:hyperlink>
      <w:r>
        <w:t>. Neuron.</w:t>
      </w:r>
    </w:p>
    <w:p>
      <w:pPr>
        <w:pStyle w:val="SourceText"/>
        <w:keepLines/>
      </w:pPr>
      <w:r>
        <w:rPr>
          <w:b/>
        </w:rPr>
        <w:t xml:space="preserve">Bellec et al. (2020). </w:t>
      </w:r>
      <w:hyperlink r:id="rId18">
        <w:r>
          <w:rPr>
            <w:color w:val="333333"/>
            <w:u w:val="single"/>
          </w:rPr>
          <w:t>A solution to the learning dilemma for recurrent networks of spiking neurons</w:t>
        </w:r>
      </w:hyperlink>
      <w:r>
        <w:t>. Nature Communications.</w:t>
      </w:r>
    </w:p>
    <w:p>
      <w:pPr>
        <w:pStyle w:val="SourceText"/>
        <w:keepLines/>
      </w:pPr>
      <w:r>
        <w:rPr>
          <w:b/>
        </w:rPr>
        <w:t xml:space="preserve">Bichot et al. (2015). </w:t>
      </w:r>
      <w:hyperlink r:id="rId19">
        <w:r>
          <w:rPr>
            <w:color w:val="333333"/>
            <w:u w:val="single"/>
          </w:rPr>
          <w:t>A Source for Feature-Based Attention in the Prefrontal Cortex</w:t>
        </w:r>
      </w:hyperlink>
      <w:r>
        <w:t>. Neuron.</w:t>
      </w:r>
    </w:p>
    <w:p>
      <w:pPr>
        <w:pStyle w:val="SourceText"/>
        <w:keepLines/>
      </w:pPr>
      <w:r>
        <w:rPr>
          <w:b/>
        </w:rPr>
        <w:t xml:space="preserve">Bittner et al. (2017). </w:t>
      </w:r>
      <w:hyperlink r:id="rId20">
        <w:r>
          <w:rPr>
            <w:color w:val="333333"/>
            <w:u w:val="single"/>
          </w:rPr>
          <w:t>Behavioral time scale synaptic plasticity underlies CA1 place fields</w:t>
        </w:r>
      </w:hyperlink>
      <w:r>
        <w:t>. Science.</w:t>
      </w:r>
    </w:p>
    <w:p>
      <w:pPr>
        <w:pStyle w:val="SourceText"/>
        <w:keepLines/>
      </w:pPr>
      <w:r>
        <w:rPr>
          <w:b/>
        </w:rPr>
        <w:t xml:space="preserve">Bolkan et al. (2017). </w:t>
      </w:r>
      <w:hyperlink r:id="rId21">
        <w:r>
          <w:rPr>
            <w:color w:val="333333"/>
            <w:u w:val="single"/>
          </w:rPr>
          <w:t>Thalamic projections sustain prefrontal activity during working memory maintenance</w:t>
        </w:r>
      </w:hyperlink>
      <w:r>
        <w:t>. Nature Neuroscience.</w:t>
      </w:r>
    </w:p>
    <w:p>
      <w:pPr>
        <w:pStyle w:val="SourceText"/>
        <w:keepLines/>
      </w:pPr>
      <w:r>
        <w:rPr>
          <w:b/>
        </w:rPr>
        <w:t xml:space="preserve">Buneo et al. (2002). </w:t>
      </w:r>
      <w:hyperlink r:id="rId22">
        <w:r>
          <w:rPr>
            <w:color w:val="333333"/>
            <w:u w:val="single"/>
          </w:rPr>
          <w:t>Direct visuomotor transformations for reaching</w:t>
        </w:r>
      </w:hyperlink>
      <w:r>
        <w:t>. Nature.</w:t>
      </w:r>
    </w:p>
    <w:p>
      <w:pPr>
        <w:pStyle w:val="SourceText"/>
        <w:keepLines/>
      </w:pPr>
      <w:r>
        <w:rPr>
          <w:b/>
        </w:rPr>
        <w:t xml:space="preserve">Caggiano et al. (2018). </w:t>
      </w:r>
      <w:hyperlink r:id="rId23">
        <w:r>
          <w:rPr>
            <w:color w:val="333333"/>
            <w:u w:val="single"/>
          </w:rPr>
          <w:t>Midbrain circuits that set locomotor speed and gait selection</w:t>
        </w:r>
      </w:hyperlink>
      <w:r>
        <w:t>. Nature.</w:t>
      </w:r>
    </w:p>
    <w:p>
      <w:pPr>
        <w:pStyle w:val="SourceText"/>
        <w:keepLines/>
      </w:pPr>
      <w:r>
        <w:rPr>
          <w:b/>
        </w:rPr>
        <w:t xml:space="preserve">Campos et al. (2018). </w:t>
      </w:r>
      <w:hyperlink r:id="rId24">
        <w:r>
          <w:rPr>
            <w:color w:val="333333"/>
            <w:u w:val="single"/>
          </w:rPr>
          <w:t>Encoding of danger by parabrachial CGRP neurons</w:t>
        </w:r>
      </w:hyperlink>
      <w:r>
        <w:t>. Nature.</w:t>
      </w:r>
    </w:p>
    <w:p>
      <w:pPr>
        <w:pStyle w:val="SourceText"/>
        <w:keepLines/>
      </w:pPr>
      <w:r>
        <w:rPr>
          <w:b/>
        </w:rPr>
        <w:t xml:space="preserve">Cogitate Consortium et al. (2025). </w:t>
      </w:r>
      <w:hyperlink r:id="rId25">
        <w:r>
          <w:rPr>
            <w:color w:val="333333"/>
            <w:u w:val="single"/>
          </w:rPr>
          <w:t>Adversarial testing of global neuronal workspace and integrated information theories of consciousness</w:t>
        </w:r>
      </w:hyperlink>
      <w:r>
        <w:t>. Nature.</w:t>
      </w:r>
    </w:p>
    <w:p>
      <w:pPr>
        <w:pStyle w:val="SourceText"/>
        <w:keepLines/>
      </w:pPr>
      <w:r>
        <w:rPr>
          <w:b/>
        </w:rPr>
        <w:t xml:space="preserve">DiNicola, Braga and Buckner (2020). </w:t>
      </w:r>
      <w:hyperlink r:id="rId26">
        <w:r>
          <w:rPr>
            <w:color w:val="333333"/>
            <w:u w:val="single"/>
          </w:rPr>
          <w:t>Parallel distributed networks dissociate episodic and social functions within the individual</w:t>
        </w:r>
      </w:hyperlink>
      <w:r>
        <w:t>. Journal of Neurophysiology.</w:t>
      </w:r>
    </w:p>
    <w:p>
      <w:pPr>
        <w:pStyle w:val="SourceText"/>
        <w:keepLines/>
      </w:pPr>
      <w:r>
        <w:rPr>
          <w:b/>
        </w:rPr>
        <w:t xml:space="preserve">Fife et al. (2017). </w:t>
      </w:r>
      <w:hyperlink r:id="rId27">
        <w:r>
          <w:rPr>
            <w:color w:val="333333"/>
            <w:u w:val="single"/>
          </w:rPr>
          <w:t>Causal role for the subthalamic nucleus in interrupting behavior</w:t>
        </w:r>
      </w:hyperlink>
      <w:r>
        <w:t>. eLife.</w:t>
      </w:r>
    </w:p>
    <w:p>
      <w:pPr>
        <w:pStyle w:val="SourceText"/>
        <w:keepLines/>
      </w:pPr>
      <w:r>
        <w:rPr>
          <w:b/>
        </w:rPr>
        <w:t xml:space="preserve">Fleming et al. (2014). </w:t>
      </w:r>
      <w:hyperlink r:id="rId28">
        <w:r>
          <w:rPr>
            <w:color w:val="333333"/>
            <w:u w:val="single"/>
          </w:rPr>
          <w:t>Domain-specific impairment in metacognitive accuracy following anterior prefrontal lesions</w:t>
        </w:r>
      </w:hyperlink>
      <w:r>
        <w:t>. Brain.</w:t>
      </w:r>
    </w:p>
    <w:p>
      <w:pPr>
        <w:pStyle w:val="SourceText"/>
        <w:keepLines/>
      </w:pPr>
      <w:r>
        <w:rPr>
          <w:b/>
        </w:rPr>
        <w:t xml:space="preserve">Fogassi et al. (2001). </w:t>
      </w:r>
      <w:hyperlink r:id="rId29">
        <w:r>
          <w:rPr>
            <w:color w:val="333333"/>
            <w:u w:val="single"/>
          </w:rPr>
          <w:t>Cortical mechanism for the visual guidance of hand grasping movements in the monkey</w:t>
        </w:r>
      </w:hyperlink>
      <w:r>
        <w:t>. Brain.</w:t>
      </w:r>
    </w:p>
    <w:p>
      <w:pPr>
        <w:pStyle w:val="SourceText"/>
        <w:keepLines/>
      </w:pPr>
      <w:r>
        <w:rPr>
          <w:b/>
        </w:rPr>
        <w:t xml:space="preserve">Ge et al. (2021). </w:t>
      </w:r>
      <w:hyperlink r:id="rId30">
        <w:r>
          <w:rPr>
            <w:color w:val="333333"/>
            <w:u w:val="single"/>
          </w:rPr>
          <w:t>Retinal waves prime visual motion detection by simulating future optic flow</w:t>
        </w:r>
      </w:hyperlink>
      <w:r>
        <w:t>. Science.</w:t>
      </w:r>
    </w:p>
    <w:p>
      <w:pPr>
        <w:pStyle w:val="SourceText"/>
        <w:keepLines/>
      </w:pPr>
      <w:r>
        <w:rPr>
          <w:b/>
        </w:rPr>
        <w:t xml:space="preserve">Girardeau et al. (2009). </w:t>
      </w:r>
      <w:hyperlink r:id="rId31">
        <w:r>
          <w:rPr>
            <w:color w:val="333333"/>
            <w:u w:val="single"/>
          </w:rPr>
          <w:t>Selective suppression of hippocampal ripples impairs spatial memory</w:t>
        </w:r>
      </w:hyperlink>
      <w:r>
        <w:t>. Nature Neuroscience.</w:t>
      </w:r>
    </w:p>
    <w:p>
      <w:pPr>
        <w:pStyle w:val="SourceText"/>
        <w:keepLines/>
      </w:pPr>
      <w:r>
        <w:rPr>
          <w:b/>
        </w:rPr>
        <w:t xml:space="preserve">Goodale et al. (1991). </w:t>
      </w:r>
      <w:hyperlink r:id="rId32">
        <w:r>
          <w:rPr>
            <w:color w:val="333333"/>
            <w:u w:val="single"/>
          </w:rPr>
          <w:t>A neurological dissociation between perceiving objects and grasping them</w:t>
        </w:r>
      </w:hyperlink>
      <w:r>
        <w:t>. Nature.</w:t>
      </w:r>
    </w:p>
    <w:p>
      <w:pPr>
        <w:pStyle w:val="SourceText"/>
        <w:keepLines/>
      </w:pPr>
      <w:r>
        <w:rPr>
          <w:b/>
        </w:rPr>
        <w:t xml:space="preserve">Guo et al. (2017). </w:t>
      </w:r>
      <w:hyperlink r:id="rId33">
        <w:r>
          <w:rPr>
            <w:color w:val="333333"/>
            <w:u w:val="single"/>
          </w:rPr>
          <w:t>Maintenance of persistent activity in a frontal thalamocortical loop</w:t>
        </w:r>
      </w:hyperlink>
      <w:r>
        <w:t>. Nature.</w:t>
      </w:r>
    </w:p>
    <w:p>
      <w:pPr>
        <w:pStyle w:val="SourceText"/>
        <w:keepLines/>
      </w:pPr>
      <w:r>
        <w:rPr>
          <w:b/>
        </w:rPr>
        <w:t xml:space="preserve">Herzfeld et al. (2018). </w:t>
      </w:r>
      <w:hyperlink r:id="rId34">
        <w:r>
          <w:rPr>
            <w:color w:val="333333"/>
            <w:u w:val="single"/>
          </w:rPr>
          <w:t>Encoding of error and learning to correct that error by the Purkinje cells of the cerebellum</w:t>
        </w:r>
      </w:hyperlink>
      <w:r>
        <w:t>. Nature Neuroscience.</w:t>
      </w:r>
    </w:p>
    <w:p>
      <w:pPr>
        <w:pStyle w:val="SourceText"/>
        <w:keepLines/>
      </w:pPr>
      <w:r>
        <w:rPr>
          <w:b/>
        </w:rPr>
        <w:t xml:space="preserve">Hitti and Siegelbaum (2014). </w:t>
      </w:r>
      <w:hyperlink r:id="rId35">
        <w:r>
          <w:rPr>
            <w:color w:val="333333"/>
            <w:u w:val="single"/>
          </w:rPr>
          <w:t>The hippocampal CA2 region is essential for social memory</w:t>
        </w:r>
      </w:hyperlink>
      <w:r>
        <w:t>. Nature.</w:t>
      </w:r>
    </w:p>
    <w:p>
      <w:pPr>
        <w:pStyle w:val="SourceText"/>
        <w:keepLines/>
      </w:pPr>
      <w:r>
        <w:rPr>
          <w:b/>
        </w:rPr>
        <w:t xml:space="preserve">Horner et al. (2015). </w:t>
      </w:r>
      <w:hyperlink r:id="rId36">
        <w:r>
          <w:rPr>
            <w:color w:val="333333"/>
            <w:u w:val="single"/>
          </w:rPr>
          <w:t>Evidence for holistic episodic recollection via hippocampal pattern completion</w:t>
        </w:r>
      </w:hyperlink>
      <w:r>
        <w:t>. Nature Communications.</w:t>
      </w:r>
    </w:p>
    <w:p>
      <w:pPr>
        <w:pStyle w:val="SourceText"/>
        <w:keepLines/>
      </w:pPr>
      <w:r>
        <w:rPr>
          <w:b/>
        </w:rPr>
        <w:t xml:space="preserve">Hosford et al. (2026). </w:t>
      </w:r>
      <w:hyperlink r:id="rId37">
        <w:r>
          <w:rPr>
            <w:color w:val="333333"/>
            <w:u w:val="single"/>
          </w:rPr>
          <w:t>Control of representation updating by higher-order thalamus enables history-based decision-making</w:t>
        </w:r>
      </w:hyperlink>
      <w:r>
        <w:t>. Neuron.</w:t>
      </w:r>
    </w:p>
    <w:p>
      <w:pPr>
        <w:pStyle w:val="SourceText"/>
        <w:keepLines/>
      </w:pPr>
      <w:r>
        <w:rPr>
          <w:b/>
        </w:rPr>
        <w:t xml:space="preserve">Hyde and Knudsen (2002). </w:t>
      </w:r>
      <w:hyperlink r:id="rId38">
        <w:r>
          <w:rPr>
            <w:color w:val="333333"/>
            <w:u w:val="single"/>
          </w:rPr>
          <w:t>The optic tectum controls visually guided adaptive plasticity in the owl's auditory space map</w:t>
        </w:r>
      </w:hyperlink>
      <w:r>
        <w:t>. Nature.</w:t>
      </w:r>
    </w:p>
    <w:p>
      <w:pPr>
        <w:pStyle w:val="SourceText"/>
        <w:keepLines/>
      </w:pPr>
      <w:r>
        <w:rPr>
          <w:b/>
        </w:rPr>
        <w:t xml:space="preserve">Kar et al. (2019). </w:t>
      </w:r>
      <w:hyperlink r:id="rId39">
        <w:r>
          <w:rPr>
            <w:color w:val="333333"/>
            <w:u w:val="single"/>
          </w:rPr>
          <w:t>Evidence that recurrent circuits are critical to the ventral stream's execution of core object recognition behavior</w:t>
        </w:r>
      </w:hyperlink>
      <w:r>
        <w:t>. Nature Neuroscience.</w:t>
      </w:r>
    </w:p>
    <w:p>
      <w:pPr>
        <w:pStyle w:val="SourceText"/>
        <w:keepLines/>
      </w:pPr>
      <w:r>
        <w:rPr>
          <w:b/>
        </w:rPr>
        <w:t xml:space="preserve">Kawai et al. (2015). </w:t>
      </w:r>
      <w:hyperlink r:id="rId40">
        <w:r>
          <w:rPr>
            <w:color w:val="333333"/>
            <w:u w:val="single"/>
          </w:rPr>
          <w:t>Motor Cortex Is Required for Learning but Not for Executing a Motor Skill</w:t>
        </w:r>
      </w:hyperlink>
      <w:r>
        <w:t>. Neuron.</w:t>
      </w:r>
    </w:p>
    <w:p>
      <w:pPr>
        <w:pStyle w:val="SourceText"/>
        <w:keepLines/>
      </w:pPr>
      <w:r>
        <w:rPr>
          <w:b/>
        </w:rPr>
        <w:t xml:space="preserve">Khazipov et al. (2004). </w:t>
      </w:r>
      <w:hyperlink r:id="rId41">
        <w:r>
          <w:rPr>
            <w:color w:val="333333"/>
            <w:u w:val="single"/>
          </w:rPr>
          <w:t>Early motor activity drives spindle bursts in the developing somatosensory cortex</w:t>
        </w:r>
      </w:hyperlink>
      <w:r>
        <w:t>. Nature.</w:t>
      </w:r>
    </w:p>
    <w:p>
      <w:pPr>
        <w:pStyle w:val="SourceText"/>
        <w:keepLines/>
      </w:pPr>
      <w:r>
        <w:rPr>
          <w:b/>
        </w:rPr>
        <w:t xml:space="preserve">Kiani and Shadlen (2009). </w:t>
      </w:r>
      <w:hyperlink r:id="rId42">
        <w:r>
          <w:rPr>
            <w:color w:val="333333"/>
            <w:u w:val="single"/>
          </w:rPr>
          <w:t>Representation of confidence associated with a decision by neurons in the parietal cortex</w:t>
        </w:r>
      </w:hyperlink>
      <w:r>
        <w:t>. Science.</w:t>
      </w:r>
    </w:p>
    <w:p>
      <w:pPr>
        <w:pStyle w:val="SourceText"/>
        <w:keepLines/>
      </w:pPr>
      <w:r>
        <w:rPr>
          <w:b/>
        </w:rPr>
        <w:t xml:space="preserve">Kitamura et al. (2017). </w:t>
      </w:r>
      <w:hyperlink r:id="rId43">
        <w:r>
          <w:rPr>
            <w:color w:val="333333"/>
            <w:u w:val="single"/>
          </w:rPr>
          <w:t>Engrams and circuits crucial for systems consolidation of a memory</w:t>
        </w:r>
      </w:hyperlink>
      <w:r>
        <w:t>. Science.</w:t>
      </w:r>
    </w:p>
    <w:p>
      <w:pPr>
        <w:pStyle w:val="SourceText"/>
        <w:keepLines/>
      </w:pPr>
      <w:r>
        <w:rPr>
          <w:b/>
        </w:rPr>
        <w:t xml:space="preserve">Kohara et al. (2014). </w:t>
      </w:r>
      <w:hyperlink r:id="rId44">
        <w:r>
          <w:rPr>
            <w:color w:val="333333"/>
            <w:u w:val="single"/>
          </w:rPr>
          <w:t>Cell type-specific genetic and optogenetic tools reveal hippocampal CA2 circuits</w:t>
        </w:r>
      </w:hyperlink>
      <w:r>
        <w:t>. Nature Neuroscience.</w:t>
      </w:r>
    </w:p>
    <w:p>
      <w:pPr>
        <w:pStyle w:val="SourceText"/>
        <w:keepLines/>
      </w:pPr>
      <w:r>
        <w:rPr>
          <w:b/>
        </w:rPr>
        <w:t xml:space="preserve">Kuhl, Tsao and Liu (2003). </w:t>
      </w:r>
      <w:hyperlink r:id="rId45">
        <w:r>
          <w:rPr>
            <w:color w:val="333333"/>
            <w:u w:val="single"/>
          </w:rPr>
          <w:t>Foreign-language experience in infancy: Effects of short-term exposure and social interaction on phonetic learning</w:t>
        </w:r>
      </w:hyperlink>
      <w:r>
        <w:t>. PNAS.</w:t>
      </w:r>
    </w:p>
    <w:p>
      <w:pPr>
        <w:pStyle w:val="SourceText"/>
        <w:keepLines/>
      </w:pPr>
      <w:r>
        <w:rPr>
          <w:b/>
        </w:rPr>
        <w:t xml:space="preserve">Langston et al. (2010). </w:t>
      </w:r>
      <w:hyperlink r:id="rId46">
        <w:r>
          <w:rPr>
            <w:color w:val="333333"/>
            <w:u w:val="single"/>
          </w:rPr>
          <w:t>Development of the spatial representation system in the rat</w:t>
        </w:r>
      </w:hyperlink>
      <w:r>
        <w:t>. Science.</w:t>
      </w:r>
    </w:p>
    <w:p>
      <w:pPr>
        <w:pStyle w:val="SourceText"/>
        <w:keepLines/>
      </w:pPr>
      <w:r>
        <w:rPr>
          <w:b/>
        </w:rPr>
        <w:t xml:space="preserve">Li and DiCarlo (2008). </w:t>
      </w:r>
      <w:hyperlink r:id="rId47">
        <w:r>
          <w:rPr>
            <w:color w:val="333333"/>
            <w:u w:val="single"/>
          </w:rPr>
          <w:t>Unsupervised Natural Experience Rapidly Alters Invariant Object Representation in Visual Cortex</w:t>
        </w:r>
      </w:hyperlink>
      <w:r>
        <w:t>. Science.</w:t>
      </w:r>
    </w:p>
    <w:p>
      <w:pPr>
        <w:pStyle w:val="SourceText"/>
        <w:keepLines/>
      </w:pPr>
      <w:r>
        <w:rPr>
          <w:b/>
        </w:rPr>
        <w:t xml:space="preserve">Li and DiCarlo (2010). </w:t>
      </w:r>
      <w:hyperlink r:id="rId48">
        <w:r>
          <w:rPr>
            <w:color w:val="333333"/>
            <w:u w:val="single"/>
          </w:rPr>
          <w:t>Unsupervised Natural Visual Experience Rapidly Reshapes Size-Invariant Object Representation in Inferior Temporal Cortex</w:t>
        </w:r>
      </w:hyperlink>
      <w:r>
        <w:t>. Neuron.</w:t>
      </w:r>
    </w:p>
    <w:p>
      <w:pPr>
        <w:pStyle w:val="SourceText"/>
        <w:keepLines/>
      </w:pPr>
      <w:r>
        <w:rPr>
          <w:b/>
        </w:rPr>
        <w:t xml:space="preserve">Linkenhoker and Knudsen (2002). </w:t>
      </w:r>
      <w:hyperlink r:id="rId49">
        <w:r>
          <w:rPr>
            <w:color w:val="333333"/>
            <w:u w:val="single"/>
          </w:rPr>
          <w:t>Incremental training increases the plasticity of the auditory space map in adult barn owls</w:t>
        </w:r>
      </w:hyperlink>
      <w:r>
        <w:t>. Nature.</w:t>
      </w:r>
    </w:p>
    <w:p>
      <w:pPr>
        <w:pStyle w:val="SourceText"/>
        <w:keepLines/>
      </w:pPr>
      <w:r>
        <w:rPr>
          <w:b/>
        </w:rPr>
        <w:t xml:space="preserve">Livneh et al. (2017). </w:t>
      </w:r>
      <w:hyperlink r:id="rId50">
        <w:r>
          <w:rPr>
            <w:color w:val="333333"/>
            <w:u w:val="single"/>
          </w:rPr>
          <w:t>Homeostatic circuits selectively gate food cue responses in insular cortex</w:t>
        </w:r>
      </w:hyperlink>
      <w:r>
        <w:t>. Nature.</w:t>
      </w:r>
    </w:p>
    <w:p>
      <w:pPr>
        <w:pStyle w:val="SourceText"/>
        <w:keepLines/>
      </w:pPr>
      <w:r>
        <w:rPr>
          <w:b/>
        </w:rPr>
        <w:t xml:space="preserve">Luck and Vogel (1997). </w:t>
      </w:r>
      <w:hyperlink r:id="rId51">
        <w:r>
          <w:rPr>
            <w:color w:val="333333"/>
            <w:u w:val="single"/>
          </w:rPr>
          <w:t>The capacity of visual working memory for features and conjunctions</w:t>
        </w:r>
      </w:hyperlink>
      <w:r>
        <w:t>. Nature.</w:t>
      </w:r>
    </w:p>
    <w:p>
      <w:pPr>
        <w:pStyle w:val="SourceText"/>
        <w:keepLines/>
      </w:pPr>
      <w:r>
        <w:rPr>
          <w:b/>
        </w:rPr>
        <w:t xml:space="preserve">Matsumoto and Hikosaka (2007). </w:t>
      </w:r>
      <w:hyperlink r:id="rId52">
        <w:r>
          <w:rPr>
            <w:color w:val="333333"/>
            <w:u w:val="single"/>
          </w:rPr>
          <w:t>Lateral habenula as a source of negative reward signals in dopamine neurons</w:t>
        </w:r>
      </w:hyperlink>
      <w:r>
        <w:t>. Nature.</w:t>
      </w:r>
    </w:p>
    <w:p>
      <w:pPr>
        <w:pStyle w:val="SourceText"/>
        <w:keepLines/>
      </w:pPr>
      <w:r>
        <w:rPr>
          <w:b/>
        </w:rPr>
        <w:t xml:space="preserve">Mattern et al. (2023). </w:t>
      </w:r>
      <w:hyperlink r:id="rId53">
        <w:r>
          <w:rPr>
            <w:color w:val="333333"/>
            <w:u w:val="single"/>
          </w:rPr>
          <w:t>MIMo: A Multi-Modal Infant Model for Studying Cognitive Development</w:t>
        </w:r>
      </w:hyperlink>
      <w:r>
        <w:t>. Original research preprint.</w:t>
      </w:r>
    </w:p>
    <w:p>
      <w:pPr>
        <w:pStyle w:val="SourceText"/>
        <w:keepLines/>
      </w:pPr>
      <w:r>
        <w:rPr>
          <w:b/>
        </w:rPr>
        <w:t xml:space="preserve">Miyazaki et al. (2014). </w:t>
      </w:r>
      <w:hyperlink r:id="rId54">
        <w:r>
          <w:rPr>
            <w:color w:val="333333"/>
            <w:u w:val="single"/>
          </w:rPr>
          <w:t>Optogenetic Activation of Dorsal Raphe Serotonin Neurons Enhances Patience for Future Rewards</w:t>
        </w:r>
      </w:hyperlink>
      <w:r>
        <w:t>. Current Biology.</w:t>
      </w:r>
    </w:p>
    <w:p>
      <w:pPr>
        <w:pStyle w:val="SourceText"/>
        <w:keepLines/>
      </w:pPr>
      <w:r>
        <w:rPr>
          <w:b/>
        </w:rPr>
        <w:t xml:space="preserve">Moore and Armstrong (2003). </w:t>
      </w:r>
      <w:hyperlink r:id="rId55">
        <w:r>
          <w:rPr>
            <w:color w:val="333333"/>
            <w:u w:val="single"/>
          </w:rPr>
          <w:t>Selective gating of visual signals by microstimulation of frontal cortex</w:t>
        </w:r>
      </w:hyperlink>
      <w:r>
        <w:t>. Nature.</w:t>
      </w:r>
    </w:p>
    <w:p>
      <w:pPr>
        <w:pStyle w:val="SourceText"/>
        <w:keepLines/>
      </w:pPr>
      <w:r>
        <w:rPr>
          <w:b/>
        </w:rPr>
        <w:t xml:space="preserve">Morris et al. (2011). </w:t>
      </w:r>
      <w:hyperlink r:id="rId56">
        <w:r>
          <w:rPr>
            <w:color w:val="333333"/>
            <w:u w:val="single"/>
          </w:rPr>
          <w:t>Impaired Arpeggio Movement in Skilled Reaching by Rubrospinal Tract Lesions in the Rat: A Behavioral/Anatomical Fractionation</w:t>
        </w:r>
      </w:hyperlink>
      <w:r>
        <w:t>. Journal of Neurotrauma.</w:t>
      </w:r>
    </w:p>
    <w:p>
      <w:pPr>
        <w:pStyle w:val="SourceText"/>
        <w:keepLines/>
      </w:pPr>
      <w:r>
        <w:rPr>
          <w:b/>
        </w:rPr>
        <w:t xml:space="preserve">MuJoCo documentation (2026). </w:t>
      </w:r>
      <w:hyperlink r:id="rId57">
        <w:r>
          <w:rPr>
            <w:color w:val="333333"/>
            <w:u w:val="single"/>
          </w:rPr>
          <w:t>XML Reference: sensors</w:t>
        </w:r>
      </w:hyperlink>
      <w:r>
        <w:t>. Official documentation.</w:t>
      </w:r>
    </w:p>
    <w:p>
      <w:pPr>
        <w:pStyle w:val="SourceText"/>
        <w:keepLines/>
      </w:pPr>
      <w:r>
        <w:rPr>
          <w:b/>
        </w:rPr>
        <w:t xml:space="preserve">Nakazawa et al. (2002). </w:t>
      </w:r>
      <w:hyperlink r:id="rId58">
        <w:r>
          <w:rPr>
            <w:color w:val="333333"/>
            <w:u w:val="single"/>
          </w:rPr>
          <w:t>Requirement for hippocampal CA3 NMDA receptors in associative memory recall</w:t>
        </w:r>
      </w:hyperlink>
      <w:r>
        <w:t>. Science.</w:t>
      </w:r>
    </w:p>
    <w:p>
      <w:pPr>
        <w:pStyle w:val="SourceText"/>
        <w:keepLines/>
      </w:pPr>
      <w:r>
        <w:rPr>
          <w:b/>
        </w:rPr>
        <w:t xml:space="preserve">Olshausen and Field (1996). </w:t>
      </w:r>
      <w:hyperlink r:id="rId59">
        <w:r>
          <w:rPr>
            <w:color w:val="333333"/>
            <w:u w:val="single"/>
          </w:rPr>
          <w:t>Emergence of simple-cell receptive field properties by learning a sparse code for natural images</w:t>
        </w:r>
      </w:hyperlink>
      <w:r>
        <w:t>. Nature.</w:t>
      </w:r>
    </w:p>
    <w:p>
      <w:pPr>
        <w:pStyle w:val="SourceText"/>
        <w:keepLines/>
      </w:pPr>
      <w:r>
        <w:rPr>
          <w:b/>
        </w:rPr>
        <w:t xml:space="preserve">Park et al. (2024). </w:t>
      </w:r>
      <w:hyperlink r:id="rId60">
        <w:r>
          <w:rPr>
            <w:color w:val="333333"/>
            <w:u w:val="single"/>
          </w:rPr>
          <w:t>Egocentric neural representation of geometric vertex in the retrosplenial cortex</w:t>
        </w:r>
      </w:hyperlink>
      <w:r>
        <w:t>. Nature Communications.</w:t>
      </w:r>
    </w:p>
    <w:p>
      <w:pPr>
        <w:pStyle w:val="SourceText"/>
        <w:keepLines/>
      </w:pPr>
      <w:r>
        <w:rPr>
          <w:b/>
        </w:rPr>
        <w:t xml:space="preserve">Philipp, Lopez and Triesch (2026). </w:t>
      </w:r>
      <w:hyperlink r:id="rId61">
        <w:r>
          <w:rPr>
            <w:color w:val="333333"/>
            <w:u w:val="single"/>
          </w:rPr>
          <w:t>Embodiment Shapes Rolling Behavior in a Multimodal Infant Model</w:t>
        </w:r>
      </w:hyperlink>
      <w:r>
        <w:t>. Original research preprint.</w:t>
      </w:r>
    </w:p>
    <w:p>
      <w:pPr>
        <w:pStyle w:val="SourceText"/>
        <w:keepLines/>
      </w:pPr>
      <w:r>
        <w:rPr>
          <w:b/>
        </w:rPr>
        <w:t xml:space="preserve">Pinto et al. (2013). </w:t>
      </w:r>
      <w:hyperlink r:id="rId62">
        <w:r>
          <w:rPr>
            <w:color w:val="333333"/>
            <w:u w:val="single"/>
          </w:rPr>
          <w:t>Fast modulation of visual perception by basal forebrain cholinergic neurons</w:t>
        </w:r>
      </w:hyperlink>
      <w:r>
        <w:t>. Nature Neuroscience.</w:t>
      </w:r>
    </w:p>
    <w:p>
      <w:pPr>
        <w:pStyle w:val="SourceText"/>
        <w:keepLines/>
      </w:pPr>
      <w:r>
        <w:rPr>
          <w:b/>
        </w:rPr>
        <w:t xml:space="preserve">Ran et al. (2022). </w:t>
      </w:r>
      <w:hyperlink r:id="rId63">
        <w:r>
          <w:rPr>
            <w:color w:val="333333"/>
            <w:u w:val="single"/>
          </w:rPr>
          <w:t>A brainstem map for visceral sensations</w:t>
        </w:r>
      </w:hyperlink>
      <w:r>
        <w:t>. Nature.</w:t>
      </w:r>
    </w:p>
    <w:p>
      <w:pPr>
        <w:pStyle w:val="SourceText"/>
        <w:keepLines/>
      </w:pPr>
      <w:r>
        <w:rPr>
          <w:b/>
        </w:rPr>
        <w:t xml:space="preserve">Redinbaugh et al. (2020). </w:t>
      </w:r>
      <w:hyperlink r:id="rId64">
        <w:r>
          <w:rPr>
            <w:color w:val="333333"/>
            <w:u w:val="single"/>
          </w:rPr>
          <w:t>Thalamus Modulates Consciousness via Layer-Specific Control of Cortex</w:t>
        </w:r>
      </w:hyperlink>
      <w:r>
        <w:t>. Neuron.</w:t>
      </w:r>
    </w:p>
    <w:p>
      <w:pPr>
        <w:pStyle w:val="SourceText"/>
        <w:keepLines/>
      </w:pPr>
      <w:r>
        <w:rPr>
          <w:b/>
        </w:rPr>
        <w:t xml:space="preserve">Riddle, Edgley and Baker (2009). </w:t>
      </w:r>
      <w:hyperlink r:id="rId65">
        <w:r>
          <w:rPr>
            <w:color w:val="333333"/>
            <w:u w:val="single"/>
          </w:rPr>
          <w:t>Direct and indirect connections with upper limb motoneurons from the primate reticulospinal tract</w:t>
        </w:r>
      </w:hyperlink>
      <w:r>
        <w:t>. Journal of Neuroscience.</w:t>
      </w:r>
    </w:p>
    <w:p>
      <w:pPr>
        <w:pStyle w:val="SourceText"/>
        <w:keepLines/>
      </w:pPr>
      <w:r>
        <w:rPr>
          <w:b/>
        </w:rPr>
        <w:t xml:space="preserve">Rust et al. (2006). </w:t>
      </w:r>
      <w:hyperlink r:id="rId66">
        <w:r>
          <w:rPr>
            <w:color w:val="333333"/>
            <w:u w:val="single"/>
          </w:rPr>
          <w:t>How MT cells analyze the motion of visual patterns</w:t>
        </w:r>
      </w:hyperlink>
      <w:r>
        <w:t>. Nature Neuroscience.</w:t>
      </w:r>
    </w:p>
    <w:p>
      <w:pPr>
        <w:pStyle w:val="SourceText"/>
        <w:keepLines/>
      </w:pPr>
      <w:r>
        <w:rPr>
          <w:b/>
        </w:rPr>
        <w:t xml:space="preserve">Saalmann et al. (2012). </w:t>
      </w:r>
      <w:hyperlink r:id="rId67">
        <w:r>
          <w:rPr>
            <w:color w:val="333333"/>
            <w:u w:val="single"/>
          </w:rPr>
          <w:t>The pulvinar regulates information transmission between cortical areas based on attention demands</w:t>
        </w:r>
      </w:hyperlink>
      <w:r>
        <w:t>. Science.</w:t>
      </w:r>
    </w:p>
    <w:p>
      <w:pPr>
        <w:pStyle w:val="SourceText"/>
        <w:keepLines/>
      </w:pPr>
      <w:r>
        <w:rPr>
          <w:b/>
        </w:rPr>
        <w:t xml:space="preserve">Saffran, Aslin and Newport (1996). </w:t>
      </w:r>
      <w:hyperlink r:id="rId68">
        <w:r>
          <w:rPr>
            <w:color w:val="333333"/>
            <w:u w:val="single"/>
          </w:rPr>
          <w:t>Statistical learning by 8-month-old infants</w:t>
        </w:r>
      </w:hyperlink>
      <w:r>
        <w:t>. Science.</w:t>
      </w:r>
    </w:p>
    <w:p>
      <w:pPr>
        <w:pStyle w:val="SourceText"/>
        <w:keepLines/>
      </w:pPr>
      <w:r>
        <w:rPr>
          <w:b/>
        </w:rPr>
        <w:t xml:space="preserve">Schepens and Drew (2006). </w:t>
      </w:r>
      <w:hyperlink r:id="rId69">
        <w:r>
          <w:rPr>
            <w:color w:val="333333"/>
            <w:u w:val="single"/>
          </w:rPr>
          <w:t>Descending Signals From the Pontomedullary Reticular Formation Are Bilateral, Asymmetric, and Gated During Reaching Movements in the Cat</w:t>
        </w:r>
      </w:hyperlink>
      <w:r>
        <w:t>. Journal of Neurophysiology.</w:t>
      </w:r>
    </w:p>
    <w:p>
      <w:pPr>
        <w:pStyle w:val="SourceText"/>
        <w:keepLines/>
      </w:pPr>
      <w:r>
        <w:rPr>
          <w:b/>
        </w:rPr>
        <w:t xml:space="preserve">Schmitt et al. (2017). </w:t>
      </w:r>
      <w:hyperlink r:id="rId70">
        <w:r>
          <w:rPr>
            <w:color w:val="333333"/>
            <w:u w:val="single"/>
          </w:rPr>
          <w:t>Thalamic amplification of cortical connectivity sustains attentional control</w:t>
        </w:r>
      </w:hyperlink>
      <w:r>
        <w:t>. Nature.</w:t>
      </w:r>
    </w:p>
    <w:p>
      <w:pPr>
        <w:pStyle w:val="SourceText"/>
        <w:keepLines/>
      </w:pPr>
      <w:r>
        <w:rPr>
          <w:b/>
        </w:rPr>
        <w:t xml:space="preserve">Schuck et al. (2016). </w:t>
      </w:r>
      <w:hyperlink r:id="rId71">
        <w:r>
          <w:rPr>
            <w:color w:val="333333"/>
            <w:u w:val="single"/>
          </w:rPr>
          <w:t>Human Orbitofrontal Cortex Represents a Cognitive Map of State Space</w:t>
        </w:r>
      </w:hyperlink>
      <w:r>
        <w:t>. Neuron.</w:t>
      </w:r>
    </w:p>
    <w:p>
      <w:pPr>
        <w:pStyle w:val="SourceText"/>
        <w:keepLines/>
      </w:pPr>
      <w:r>
        <w:rPr>
          <w:b/>
        </w:rPr>
        <w:t xml:space="preserve">Sommer and Wurtz (2006). </w:t>
      </w:r>
      <w:hyperlink r:id="rId72">
        <w:r>
          <w:rPr>
            <w:color w:val="333333"/>
            <w:u w:val="single"/>
          </w:rPr>
          <w:t>Influence of the thalamus on spatial visual processing in frontal cortex</w:t>
        </w:r>
      </w:hyperlink>
      <w:r>
        <w:t>. Nature.</w:t>
      </w:r>
    </w:p>
    <w:p>
      <w:pPr>
        <w:pStyle w:val="SourceText"/>
        <w:keepLines/>
      </w:pPr>
      <w:r>
        <w:rPr>
          <w:b/>
        </w:rPr>
        <w:t xml:space="preserve">Steinberg et al. (2013). </w:t>
      </w:r>
      <w:hyperlink r:id="rId73">
        <w:r>
          <w:rPr>
            <w:color w:val="333333"/>
            <w:u w:val="single"/>
          </w:rPr>
          <w:t>A causal link between prediction errors, dopamine neurons and learning</w:t>
        </w:r>
      </w:hyperlink>
      <w:r>
        <w:t>. Nature Neuroscience.</w:t>
      </w:r>
    </w:p>
    <w:p>
      <w:pPr>
        <w:pStyle w:val="SourceText"/>
        <w:keepLines/>
      </w:pPr>
      <w:r>
        <w:rPr>
          <w:b/>
        </w:rPr>
        <w:t xml:space="preserve">Talpalar et al. (2013). </w:t>
      </w:r>
      <w:hyperlink r:id="rId74">
        <w:r>
          <w:rPr>
            <w:color w:val="333333"/>
            <w:u w:val="single"/>
          </w:rPr>
          <w:t>Dual-mode operation of neuronal networks involved in left-right alternation</w:t>
        </w:r>
      </w:hyperlink>
      <w:r>
        <w:t>. Nature.</w:t>
      </w:r>
    </w:p>
    <w:p>
      <w:pPr>
        <w:pStyle w:val="SourceText"/>
        <w:keepLines/>
      </w:pPr>
      <w:r>
        <w:rPr>
          <w:b/>
        </w:rPr>
        <w:t xml:space="preserve">Turrigiano et al. (1998). </w:t>
      </w:r>
      <w:hyperlink r:id="rId75">
        <w:r>
          <w:rPr>
            <w:color w:val="333333"/>
            <w:u w:val="single"/>
          </w:rPr>
          <w:t>Activity-dependent scaling of quantal amplitude in neocortical neurons</w:t>
        </w:r>
      </w:hyperlink>
      <w:r>
        <w:t>. Nature.</w:t>
      </w:r>
    </w:p>
    <w:p>
      <w:pPr>
        <w:pStyle w:val="SourceText"/>
        <w:keepLines/>
      </w:pPr>
      <w:r>
        <w:rPr>
          <w:b/>
        </w:rPr>
        <w:t xml:space="preserve">Uematsu et al. (2017). </w:t>
      </w:r>
      <w:hyperlink r:id="rId76">
        <w:r>
          <w:rPr>
            <w:color w:val="333333"/>
            <w:u w:val="single"/>
          </w:rPr>
          <w:t>Modular organization of the brainstem noradrenaline system coordinates opposing learning states</w:t>
        </w:r>
      </w:hyperlink>
      <w:r>
        <w:t>. Nature Neuroscience.</w:t>
      </w:r>
    </w:p>
    <w:p>
      <w:pPr>
        <w:pStyle w:val="SourceText"/>
        <w:keepLines/>
      </w:pPr>
      <w:r>
        <w:rPr>
          <w:b/>
        </w:rPr>
        <w:t xml:space="preserve">Vega-Zuniga et al. (2025). </w:t>
      </w:r>
      <w:hyperlink r:id="rId77">
        <w:r>
          <w:rPr>
            <w:color w:val="333333"/>
            <w:u w:val="single"/>
          </w:rPr>
          <w:t>A thalamic hub-and-spoke network enables visual perception during action by coordinating visuomotor dynamics</w:t>
        </w:r>
      </w:hyperlink>
      <w:r>
        <w:t>. Nature Neuroscience.</w:t>
      </w:r>
    </w:p>
    <w:p>
      <w:pPr>
        <w:pStyle w:val="SourceText"/>
        <w:keepLines/>
      </w:pPr>
      <w:r>
        <w:rPr>
          <w:b/>
        </w:rPr>
        <w:t xml:space="preserve">Wallace and Stein (2000). </w:t>
      </w:r>
      <w:hyperlink r:id="rId78">
        <w:r>
          <w:rPr>
            <w:color w:val="333333"/>
            <w:u w:val="single"/>
          </w:rPr>
          <w:t>Onset of Cross-Modal Synthesis in the Neonatal Superior Colliculus is Gated by the Development of Cortical Influences</w:t>
        </w:r>
      </w:hyperlink>
      <w:r>
        <w:t>. Journal of Neurophysiology.</w:t>
      </w:r>
    </w:p>
    <w:p>
      <w:pPr>
        <w:pStyle w:val="SourceText"/>
        <w:keepLines/>
      </w:pPr>
      <w:r>
        <w:rPr>
          <w:b/>
        </w:rPr>
        <w:t xml:space="preserve">Waye et al. (2019). </w:t>
      </w:r>
      <w:hyperlink r:id="rId79">
        <w:r>
          <w:rPr>
            <w:color w:val="333333"/>
            <w:u w:val="single"/>
          </w:rPr>
          <w:t>Lesions to the lateral mammillary nuclei disrupt spatial learning in rats</w:t>
        </w:r>
      </w:hyperlink>
      <w:r>
        <w:t>. Behavioral Neuroscience.</w:t>
      </w:r>
    </w:p>
    <w:p>
      <w:pPr>
        <w:pStyle w:val="SourceText"/>
        <w:keepLines/>
      </w:pPr>
      <w:r>
        <w:rPr>
          <w:b/>
        </w:rPr>
        <w:t xml:space="preserve">Yagishita et al. (2014). </w:t>
      </w:r>
      <w:hyperlink r:id="rId80">
        <w:r>
          <w:rPr>
            <w:color w:val="333333"/>
            <w:u w:val="single"/>
          </w:rPr>
          <w:t>A critical time window for dopamine actions on the structural plasticity of dendritic spines</w:t>
        </w:r>
      </w:hyperlink>
      <w:r>
        <w:t>. Science.</w:t>
      </w:r>
    </w:p>
    <w:p>
      <w:pPr>
        <w:pStyle w:val="SourceText"/>
        <w:keepLines/>
      </w:pPr>
      <w:r>
        <w:rPr>
          <w:b/>
        </w:rPr>
        <w:t xml:space="preserve">van der Goes et al. (2024). </w:t>
      </w:r>
      <w:hyperlink r:id="rId81">
        <w:r>
          <w:rPr>
            <w:color w:val="333333"/>
            <w:u w:val="single"/>
          </w:rPr>
          <w:t>Coordinated head direction representations in mouse anterodorsal thalamic nucleus and retrosplenial cortex</w:t>
        </w:r>
      </w:hyperlink>
      <w:r>
        <w:t>. eLife.</w:t>
      </w:r>
    </w:p>
    <w:sectPr w:rsidR="00FC693F" w:rsidRPr="0006063C" w:rsidSect="00034616">
      <w:footerReference w:type="default" r:id="rId9"/>
      <w:pgSz w:w="12240" w:h="15840"/>
      <w:pgMar w:top="1037"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pPr>
      <w:r>
        <w:rPr>
          <w:rStyle w:val="FootnoteReference"/>
        </w:rPr>
        <w:footnoteRef/>
      </w:r>
      <w:r>
        <w:rPr>
          <w:color w:val="333333"/>
          <w:u w:val="none"/>
        </w:rPr>
        <w:t xml:space="preserve"> </w:t>
      </w:r>
      <w:hyperlink r:id="rIdD1">
        <w:r>
          <w:rPr>
            <w:color w:val="333333"/>
            <w:u w:val="none"/>
          </w:rPr>
          <w:t xml:space="preserve">Ackman et al. (2012), Retinal waves coordinate patterned activity throughout the developing visual system. Nature</w:t>
        </w:r>
      </w:hyperlink>
      <w:r>
        <w:rPr>
          <w:color w:val="333333"/>
          <w:u w:val="none"/>
        </w:rPr>
        <w:t xml:space="preserve">; </w:t>
      </w:r>
      <w:hyperlink r:id="rIdD3">
        <w:r>
          <w:rPr>
            <w:color w:val="333333"/>
            <w:u w:val="none"/>
          </w:rPr>
          <w:t xml:space="preserve">Khazipov et al. (2004), Early motor activity drives spindle bursts in the developing somatosensory cortex. Nature</w:t>
        </w:r>
      </w:hyperlink>
      <w:r>
        <w:rPr>
          <w:color w:val="333333"/>
          <w:u w:val="none"/>
        </w:rPr>
        <w:t xml:space="preserve">; </w:t>
      </w:r>
      <w:hyperlink r:id="rIdD4">
        <w:r>
          <w:rPr>
            <w:color w:val="333333"/>
            <w:u w:val="none"/>
          </w:rPr>
          <w:t xml:space="preserve">Attinger, Wang and Keller (2017), Visuomotor Coupling Shapes the Functional Development of Mouse Visual Cortex. Cell</w:t>
        </w:r>
      </w:hyperlink>
      <w:r>
        <w:rPr>
          <w:color w:val="333333"/>
          <w:u w:val="none"/>
        </w:rPr>
        <w:t xml:space="preserve">.</w:t>
      </w:r>
    </w:p>
  </w:footnote>
  <w:footnote w:id="2">
    <w:p>
      <w:pPr>
        <w:pStyle w:val="FootnoteText"/>
      </w:pPr>
      <w:r>
        <w:rPr>
          <w:rStyle w:val="FootnoteReference"/>
        </w:rPr>
        <w:footnoteRef/>
      </w:r>
      <w:r>
        <w:rPr>
          <w:color w:val="333333"/>
          <w:u w:val="none"/>
        </w:rPr>
        <w:t xml:space="preserve"> </w:t>
      </w:r>
      <w:hyperlink r:id="rIdM1">
        <w:r>
          <w:rPr>
            <w:color w:val="333333"/>
            <w:u w:val="none"/>
          </w:rPr>
          <w:t xml:space="preserve">Riddle, Edgley and Baker (2009), Direct and indirect connections with upper limb motoneurons from the primate reticulospinal tract. Journal of Neuroscience</w:t>
        </w:r>
      </w:hyperlink>
      <w:r>
        <w:rPr>
          <w:color w:val="333333"/>
          <w:u w:val="none"/>
        </w:rPr>
        <w:t xml:space="preserve">; </w:t>
      </w:r>
      <w:hyperlink r:id="rIdM2">
        <w:r>
          <w:rPr>
            <w:color w:val="333333"/>
            <w:u w:val="none"/>
          </w:rPr>
          <w:t xml:space="preserve">Schepens and Drew (2006), Descending Signals From the Pontomedullary Reticular Formation Are Bilateral, Asymmetric, and Gated During Reaching Movements in the Cat. Journal of Neurophysiology</w:t>
        </w:r>
      </w:hyperlink>
      <w:r>
        <w:rPr>
          <w:color w:val="333333"/>
          <w:u w:val="none"/>
        </w:rPr>
        <w:t xml:space="preserve">; </w:t>
      </w:r>
      <w:hyperlink r:id="rIdM4">
        <w:r>
          <w:rPr>
            <w:color w:val="333333"/>
            <w:u w:val="none"/>
          </w:rPr>
          <w:t xml:space="preserve">Morris et al. (2011), Impaired Arpeggio Movement in Skilled Reaching by Rubrospinal Tract Lesions in the Rat: A Behavioral/Anatomical Fractionation. Journal of Neurotrauma</w:t>
        </w:r>
      </w:hyperlink>
      <w:r>
        <w:rPr>
          <w:color w:val="333333"/>
          <w:u w:val="none"/>
        </w:rPr>
        <w:t xml:space="preserve">; </w:t>
      </w:r>
      <w:hyperlink r:id="rIdN5">
        <w:r>
          <w:rPr>
            <w:color w:val="333333"/>
            <w:u w:val="none"/>
          </w:rPr>
          <w:t xml:space="preserve">Alexander and Nitz (2015), Retrosplenial cortex maps the conjunction of internal and external spaces. Nature Neuroscience</w:t>
        </w:r>
      </w:hyperlink>
      <w:r>
        <w:rPr>
          <w:color w:val="333333"/>
          <w:u w:val="none"/>
        </w:rPr>
        <w:t xml:space="preserve">.</w:t>
      </w:r>
    </w:p>
  </w:footnote>
  <w:footnote w:id="3">
    <w:p>
      <w:pPr>
        <w:pStyle w:val="FootnoteText"/>
      </w:pPr>
      <w:r>
        <w:rPr>
          <w:rStyle w:val="FootnoteReference"/>
        </w:rPr>
        <w:footnoteRef/>
      </w:r>
      <w:r>
        <w:rPr>
          <w:color w:val="333333"/>
          <w:u w:val="none"/>
        </w:rPr>
        <w:t xml:space="preserve"> </w:t>
      </w:r>
      <w:hyperlink r:id="rIdS2">
        <w:r>
          <w:rPr>
            <w:color w:val="333333"/>
            <w:u w:val="none"/>
          </w:rPr>
          <w:t xml:space="preserve">Rust et al. (2006), How MT cells analyze the motion of visual patterns. Nature Neuroscience</w:t>
        </w:r>
      </w:hyperlink>
      <w:r>
        <w:rPr>
          <w:color w:val="333333"/>
          <w:u w:val="none"/>
        </w:rPr>
        <w:t xml:space="preserve">; </w:t>
      </w:r>
      <w:hyperlink r:id="rIdD5">
        <w:r>
          <w:rPr>
            <w:color w:val="333333"/>
            <w:u w:val="none"/>
          </w:rPr>
          <w:t xml:space="preserve">Kawai et al. (2015), Motor Cortex Is Required for Learning but Not for Executing a Motor Skill. Neuron</w:t>
        </w:r>
      </w:hyperlink>
      <w:r>
        <w:rPr>
          <w:color w:val="333333"/>
          <w:u w:val="none"/>
        </w:rPr>
        <w:t xml:space="preserve">.</w:t>
      </w:r>
    </w:p>
  </w:footnote>
  <w:footnote w:id="4">
    <w:p>
      <w:pPr>
        <w:pStyle w:val="FootnoteText"/>
      </w:pPr>
      <w:r>
        <w:rPr>
          <w:rStyle w:val="FootnoteReference"/>
        </w:rPr>
        <w:footnoteRef/>
      </w:r>
      <w:r>
        <w:rPr>
          <w:color w:val="333333"/>
          <w:u w:val="none"/>
        </w:rPr>
        <w:t xml:space="preserve"> </w:t>
      </w:r>
      <w:hyperlink r:id="rIdT1">
        <w:r>
          <w:rPr>
            <w:color w:val="333333"/>
            <w:u w:val="none"/>
          </w:rPr>
          <w:t xml:space="preserve">Guo et al. (2017), Maintenance of persistent activity in a frontal thalamocortical loop. Nature</w:t>
        </w:r>
      </w:hyperlink>
      <w:r>
        <w:rPr>
          <w:color w:val="333333"/>
          <w:u w:val="none"/>
        </w:rPr>
        <w:t xml:space="preserve">; </w:t>
      </w:r>
      <w:hyperlink r:id="rIdT2">
        <w:r>
          <w:rPr>
            <w:color w:val="333333"/>
            <w:u w:val="none"/>
          </w:rPr>
          <w:t xml:space="preserve">Schmitt et al. (2017), Thalamic amplification of cortical connectivity sustains attentional control. Nature</w:t>
        </w:r>
      </w:hyperlink>
      <w:r>
        <w:rPr>
          <w:color w:val="333333"/>
          <w:u w:val="none"/>
        </w:rPr>
        <w:t xml:space="preserve">; </w:t>
      </w:r>
      <w:hyperlink r:id="rIdT3">
        <w:r>
          <w:rPr>
            <w:color w:val="333333"/>
            <w:u w:val="none"/>
          </w:rPr>
          <w:t xml:space="preserve">Bolkan et al. (2017), Thalamic projections sustain prefrontal activity during working memory maintenance. Nature Neuroscience</w:t>
        </w:r>
      </w:hyperlink>
      <w:r>
        <w:rPr>
          <w:color w:val="333333"/>
          <w:u w:val="none"/>
        </w:rPr>
        <w:t xml:space="preserve">.</w:t>
      </w:r>
    </w:p>
  </w:footnote>
  <w:footnote w:id="5">
    <w:p>
      <w:pPr>
        <w:pStyle w:val="FootnoteText"/>
      </w:pPr>
      <w:r>
        <w:rPr>
          <w:rStyle w:val="FootnoteReference"/>
        </w:rPr>
        <w:footnoteRef/>
      </w:r>
      <w:r>
        <w:rPr>
          <w:color w:val="333333"/>
          <w:u w:val="none"/>
        </w:rPr>
        <w:t xml:space="preserve"> </w:t>
      </w:r>
      <w:hyperlink r:id="rIdD1">
        <w:r>
          <w:rPr>
            <w:color w:val="333333"/>
            <w:u w:val="none"/>
          </w:rPr>
          <w:t xml:space="preserve">Ackman et al. (2012)</w:t>
        </w:r>
      </w:hyperlink>
      <w:r>
        <w:rPr>
          <w:color w:val="333333"/>
          <w:u w:val="none"/>
        </w:rPr>
        <w:t xml:space="preserve">; </w:t>
      </w:r>
      <w:hyperlink r:id="rIdD3">
        <w:r>
          <w:rPr>
            <w:color w:val="333333"/>
            <w:u w:val="none"/>
          </w:rPr>
          <w:t xml:space="preserve">Khazipov et al. (2004)</w:t>
        </w:r>
      </w:hyperlink>
      <w:r>
        <w:rPr>
          <w:color w:val="333333"/>
          <w:u w:val="none"/>
        </w:rPr>
        <w:t xml:space="preserve">; </w:t>
      </w:r>
      <w:hyperlink r:id="rIdL2">
        <w:r>
          <w:rPr>
            <w:color w:val="333333"/>
            <w:u w:val="none"/>
          </w:rPr>
          <w:t xml:space="preserve">Li and DiCarlo (2008), Unsupervised Natural Experience Rapidly Alters Invariant Object Representation in Visual Cortex. Science</w:t>
        </w:r>
      </w:hyperlink>
      <w:r>
        <w:rPr>
          <w:color w:val="333333"/>
          <w:u w:val="none"/>
        </w:rPr>
        <w:t xml:space="preserve">; </w:t>
      </w:r>
      <w:hyperlink r:id="rIdL3">
        <w:r>
          <w:rPr>
            <w:color w:val="333333"/>
            <w:u w:val="none"/>
          </w:rPr>
          <w:t xml:space="preserve">Li and DiCarlo (2010), Unsupervised Natural Visual Experience Rapidly Reshapes Size-Invariant Object Representation in Inferior Temporal Cortex. Neuron</w:t>
        </w:r>
      </w:hyperlink>
      <w:r>
        <w:rPr>
          <w:color w:val="333333"/>
          <w:u w:val="none"/>
        </w:rPr>
        <w:t xml:space="preserve">; </w:t>
      </w:r>
      <w:hyperlink r:id="rIdD4">
        <w:r>
          <w:rPr>
            <w:color w:val="333333"/>
            <w:u w:val="none"/>
          </w:rPr>
          <w:t xml:space="preserve">Attinger, Wang and Keller (2017)</w:t>
        </w:r>
      </w:hyperlink>
      <w:r>
        <w:rPr>
          <w:color w:val="333333"/>
          <w:u w:val="none"/>
        </w:rPr>
        <w:t xml:space="preserve">; </w:t>
      </w:r>
      <w:hyperlink r:id="rIdD5">
        <w:r>
          <w:rPr>
            <w:color w:val="333333"/>
            <w:u w:val="none"/>
          </w:rPr>
          <w:t xml:space="preserve">Kawai et al. (2015)</w:t>
        </w:r>
      </w:hyperlink>
      <w:r>
        <w:rPr>
          <w:color w:val="333333"/>
          <w:u w:val="none"/>
        </w:rPr>
        <w:t xml:space="preserve">; </w:t>
      </w:r>
      <w:hyperlink r:id="rIdN1">
        <w:r>
          <w:rPr>
            <w:color w:val="333333"/>
            <w:u w:val="none"/>
          </w:rPr>
          <w:t xml:space="preserve">Langston et al. (2010), Development of the spatial representation system in the rat. Science</w:t>
        </w:r>
      </w:hyperlink>
      <w:r>
        <w:rPr>
          <w:color w:val="333333"/>
          <w:u w:val="none"/>
        </w:rPr>
        <w:t xml:space="preserve">; </w:t>
      </w:r>
      <w:hyperlink r:id="rIdT1">
        <w:r>
          <w:rPr>
            <w:color w:val="333333"/>
            <w:u w:val="none"/>
          </w:rPr>
          <w:t xml:space="preserve">Guo et al. (2017)</w:t>
        </w:r>
      </w:hyperlink>
      <w:r>
        <w:rPr>
          <w:color w:val="333333"/>
          <w:u w:val="none"/>
        </w:rPr>
        <w:t xml:space="preserve">; </w:t>
      </w:r>
      <w:hyperlink r:id="rIdT4">
        <w:r>
          <w:rPr>
            <w:color w:val="333333"/>
            <w:u w:val="none"/>
          </w:rPr>
          <w:t xml:space="preserve">Hosford et al. (2026), Control of representation updating by higher-order thalamus enables history-based decision-making. Neuron</w:t>
        </w:r>
      </w:hyperlink>
      <w:r>
        <w:rPr>
          <w:color w:val="333333"/>
          <w:u w:val="none"/>
        </w:rPr>
        <w:t xml:space="preserve">; </w:t>
      </w:r>
      <w:hyperlink r:id="rIdD6">
        <w:r>
          <w:rPr>
            <w:color w:val="333333"/>
            <w:u w:val="none"/>
          </w:rPr>
          <w:t xml:space="preserve">Wallace and Stein (2000), Onset of Cross-Modal Synthesis in the Neonatal Superior Colliculus is Gated by the Development of Cortical Influences. Journal of Neurophysiology</w:t>
        </w:r>
      </w:hyperlink>
      <w:r>
        <w:rPr>
          <w:color w:val="333333"/>
          <w:u w:val="none"/>
        </w:rPr>
        <w:t xml:space="preserve">; </w:t>
      </w:r>
      <w:hyperlink r:id="rIdD7">
        <w:r>
          <w:rPr>
            <w:color w:val="333333"/>
            <w:u w:val="none"/>
          </w:rPr>
          <w:t xml:space="preserve">Hyde and Knudsen (2002), The optic tectum controls visually guided adaptive plasticity in the owl's auditory space map. Nature</w:t>
        </w:r>
      </w:hyperlink>
      <w:r>
        <w:rPr>
          <w:color w:val="333333"/>
          <w:u w:val="none"/>
        </w:rPr>
        <w:t xml:space="preserve">.</w:t>
      </w:r>
    </w:p>
  </w:footnote>
  <w:footnote w:id="6">
    <w:p>
      <w:pPr>
        <w:pStyle w:val="FootnoteText"/>
      </w:pPr>
      <w:r>
        <w:rPr>
          <w:rStyle w:val="FootnoteReference"/>
        </w:rPr>
        <w:footnoteRef/>
      </w:r>
      <w:r>
        <w:rPr>
          <w:color w:val="333333"/>
          <w:u w:val="none"/>
        </w:rPr>
        <w:t xml:space="preserve"> </w:t>
      </w:r>
      <w:hyperlink r:id="rIdS2">
        <w:r>
          <w:rPr>
            <w:color w:val="333333"/>
            <w:u w:val="none"/>
          </w:rPr>
          <w:t xml:space="preserve">Rust et al. (2006)</w:t>
        </w:r>
      </w:hyperlink>
      <w:r>
        <w:rPr>
          <w:color w:val="333333"/>
          <w:u w:val="none"/>
        </w:rPr>
        <w:t xml:space="preserve">; </w:t>
      </w:r>
      <w:hyperlink r:id="rIdS5">
        <w:r>
          <w:rPr>
            <w:color w:val="333333"/>
            <w:u w:val="none"/>
          </w:rPr>
          <w:t xml:space="preserve">Buneo et al. (2002), Direct visuomotor transformations for reaching. Nature</w:t>
        </w:r>
      </w:hyperlink>
      <w:r>
        <w:rPr>
          <w:color w:val="333333"/>
          <w:u w:val="none"/>
        </w:rPr>
        <w:t xml:space="preserve">.</w:t>
      </w:r>
    </w:p>
  </w:footnote>
  <w:footnote w:id="7">
    <w:p>
      <w:pPr>
        <w:pStyle w:val="FootnoteText"/>
      </w:pPr>
      <w:r>
        <w:rPr>
          <w:rStyle w:val="FootnoteReference"/>
        </w:rPr>
        <w:footnoteRef/>
      </w:r>
      <w:r>
        <w:rPr>
          <w:color w:val="333333"/>
          <w:u w:val="none"/>
        </w:rPr>
        <w:t xml:space="preserve"> </w:t>
      </w:r>
      <w:hyperlink r:id="rIdE1">
        <w:r>
          <w:rPr>
            <w:color w:val="333333"/>
            <w:u w:val="none"/>
          </w:rPr>
          <w:t xml:space="preserve">MuJoCo documentation (2026), XML Reference: sensors. Official documentation</w:t>
        </w:r>
      </w:hyperlink>
      <w:r>
        <w:rPr>
          <w:color w:val="333333"/>
          <w:u w:val="none"/>
        </w:rPr>
        <w:t xml:space="preserve">; </w:t>
      </w:r>
      <w:hyperlink r:id="rIdE2">
        <w:r>
          <w:rPr>
            <w:color w:val="333333"/>
            <w:u w:val="none"/>
          </w:rPr>
          <w:t xml:space="preserve">Mattern et al. (2023), MIMo: A Multi-Modal Infant Model for Studying Cognitive Development. Original research preprint</w:t>
        </w:r>
      </w:hyperlink>
      <w:r>
        <w:rPr>
          <w:color w:val="333333"/>
          <w:u w:val="none"/>
        </w:rPr>
        <w:t xml:space="preserve">.</w:t>
      </w:r>
    </w:p>
  </w:footnote>
  <w:footnote w:id="8">
    <w:p>
      <w:pPr>
        <w:pStyle w:val="FootnoteText"/>
      </w:pPr>
      <w:r>
        <w:rPr>
          <w:rStyle w:val="FootnoteReference"/>
        </w:rPr>
        <w:footnoteRef/>
      </w:r>
      <w:r>
        <w:rPr>
          <w:color w:val="333333"/>
          <w:u w:val="none"/>
        </w:rPr>
        <w:t xml:space="preserve"> </w:t>
      </w:r>
      <w:hyperlink r:id="rIdD1">
        <w:r>
          <w:rPr>
            <w:color w:val="333333"/>
            <w:u w:val="none"/>
          </w:rPr>
          <w:t xml:space="preserve">Ackman et al. (2012)</w:t>
        </w:r>
      </w:hyperlink>
      <w:r>
        <w:rPr>
          <w:color w:val="333333"/>
          <w:u w:val="none"/>
        </w:rPr>
        <w:t xml:space="preserve">; </w:t>
      </w:r>
      <w:hyperlink r:id="rIdD2">
        <w:r>
          <w:rPr>
            <w:color w:val="333333"/>
            <w:u w:val="none"/>
          </w:rPr>
          <w:t xml:space="preserve">Ge et al. (2021), Retinal waves prime visual motion detection by simulating future optic flow. Science</w:t>
        </w:r>
      </w:hyperlink>
      <w:r>
        <w:rPr>
          <w:color w:val="333333"/>
          <w:u w:val="none"/>
        </w:rPr>
        <w:t xml:space="preserve">; </w:t>
      </w:r>
      <w:hyperlink r:id="rIdL7">
        <w:r>
          <w:rPr>
            <w:color w:val="333333"/>
            <w:u w:val="none"/>
          </w:rPr>
          <w:t xml:space="preserve">Turrigiano et al. (1998), Activity-dependent scaling of quantal amplitude in neocortical neurons. Nature</w:t>
        </w:r>
      </w:hyperlink>
      <w:r>
        <w:rPr>
          <w:color w:val="333333"/>
          <w:u w:val="none"/>
        </w:rPr>
        <w:t xml:space="preserve">.</w:t>
      </w:r>
    </w:p>
  </w:footnote>
  <w:footnote w:id="9">
    <w:p>
      <w:pPr>
        <w:pStyle w:val="FootnoteText"/>
      </w:pPr>
      <w:r>
        <w:rPr>
          <w:rStyle w:val="FootnoteReference"/>
        </w:rPr>
        <w:footnoteRef/>
      </w:r>
      <w:r>
        <w:rPr>
          <w:color w:val="333333"/>
          <w:u w:val="none"/>
        </w:rPr>
        <w:t xml:space="preserve"> </w:t>
      </w:r>
      <w:hyperlink r:id="rIdE3">
        <w:r>
          <w:rPr>
            <w:color w:val="333333"/>
            <w:u w:val="none"/>
          </w:rPr>
          <w:t xml:space="preserve">Philipp, Lopez and Triesch (2026), Embodiment Shapes Rolling Behavior in a Multimodal Infant Model. Original research preprint</w:t>
        </w:r>
      </w:hyperlink>
      <w:r>
        <w:rPr>
          <w:color w:val="333333"/>
          <w:u w:val="none"/>
        </w:rPr>
        <w:t xml:space="preserve">.</w:t>
      </w:r>
    </w:p>
  </w:footnote>
  <w:footnote w:id="10">
    <w:p>
      <w:pPr>
        <w:pStyle w:val="FootnoteText"/>
      </w:pPr>
      <w:r>
        <w:rPr>
          <w:rStyle w:val="FootnoteReference"/>
        </w:rPr>
        <w:footnoteRef/>
      </w:r>
      <w:r>
        <w:rPr>
          <w:color w:val="333333"/>
          <w:u w:val="none"/>
        </w:rPr>
        <w:t xml:space="preserve"> </w:t>
      </w:r>
      <w:hyperlink r:id="rIdL1">
        <w:r>
          <w:rPr>
            <w:color w:val="333333"/>
            <w:u w:val="none"/>
          </w:rPr>
          <w:t xml:space="preserve">Olshausen and Field (1996), Emergence of simple-cell receptive field properties by learning a sparse code for natural images. Nature</w:t>
        </w:r>
      </w:hyperlink>
      <w:r>
        <w:rPr>
          <w:color w:val="333333"/>
          <w:u w:val="none"/>
        </w:rPr>
        <w:t xml:space="preserve">; </w:t>
      </w:r>
      <w:hyperlink r:id="rIdD1">
        <w:r>
          <w:rPr>
            <w:color w:val="333333"/>
            <w:u w:val="none"/>
          </w:rPr>
          <w:t xml:space="preserve">Ackman et al. (2012)</w:t>
        </w:r>
      </w:hyperlink>
      <w:r>
        <w:rPr>
          <w:color w:val="333333"/>
          <w:u w:val="none"/>
        </w:rPr>
        <w:t xml:space="preserve">; </w:t>
      </w:r>
      <w:hyperlink r:id="rIdD2">
        <w:r>
          <w:rPr>
            <w:color w:val="333333"/>
            <w:u w:val="none"/>
          </w:rPr>
          <w:t xml:space="preserve">Ge et al. (2021)</w:t>
        </w:r>
      </w:hyperlink>
      <w:r>
        <w:rPr>
          <w:color w:val="333333"/>
          <w:u w:val="none"/>
        </w:rPr>
        <w:t xml:space="preserve">.</w:t>
      </w:r>
    </w:p>
  </w:footnote>
  <w:footnote w:id="11">
    <w:p>
      <w:pPr>
        <w:pStyle w:val="FootnoteText"/>
      </w:pPr>
      <w:r>
        <w:rPr>
          <w:rStyle w:val="FootnoteReference"/>
        </w:rPr>
        <w:footnoteRef/>
      </w:r>
      <w:r>
        <w:rPr>
          <w:color w:val="333333"/>
          <w:u w:val="none"/>
        </w:rPr>
        <w:t xml:space="preserve"> </w:t>
      </w:r>
      <w:hyperlink r:id="rIdD3">
        <w:r>
          <w:rPr>
            <w:color w:val="333333"/>
            <w:u w:val="none"/>
          </w:rPr>
          <w:t xml:space="preserve">Khazipov et al. (2004)</w:t>
        </w:r>
      </w:hyperlink>
      <w:r>
        <w:rPr>
          <w:color w:val="333333"/>
          <w:u w:val="none"/>
        </w:rPr>
        <w:t xml:space="preserve">.</w:t>
      </w:r>
    </w:p>
  </w:footnote>
  <w:footnote w:id="12">
    <w:p>
      <w:pPr>
        <w:pStyle w:val="FootnoteText"/>
      </w:pPr>
      <w:r>
        <w:rPr>
          <w:rStyle w:val="FootnoteReference"/>
        </w:rPr>
        <w:footnoteRef/>
      </w:r>
      <w:r>
        <w:rPr>
          <w:color w:val="333333"/>
          <w:u w:val="none"/>
        </w:rPr>
        <w:t xml:space="preserve"> </w:t>
      </w:r>
      <w:hyperlink r:id="rIdE1">
        <w:r>
          <w:rPr>
            <w:color w:val="333333"/>
            <w:u w:val="none"/>
          </w:rPr>
          <w:t xml:space="preserve">MuJoCo documentation (2026)</w:t>
        </w:r>
      </w:hyperlink>
      <w:r>
        <w:rPr>
          <w:color w:val="333333"/>
          <w:u w:val="none"/>
        </w:rPr>
        <w:t xml:space="preserve">; </w:t>
      </w:r>
      <w:hyperlink r:id="rIdG1">
        <w:r>
          <w:rPr>
            <w:color w:val="333333"/>
            <w:u w:val="none"/>
          </w:rPr>
          <w:t xml:space="preserve">Saffran, Aslin and Newport (1996), Statistical learning by 8-month-old infants. Science</w:t>
        </w:r>
      </w:hyperlink>
      <w:r>
        <w:rPr>
          <w:color w:val="333333"/>
          <w:u w:val="none"/>
        </w:rPr>
        <w:t xml:space="preserve">; </w:t>
      </w:r>
      <w:hyperlink r:id="rIdD7">
        <w:r>
          <w:rPr>
            <w:color w:val="333333"/>
            <w:u w:val="none"/>
          </w:rPr>
          <w:t xml:space="preserve">Hyde and Knudsen (2002)</w:t>
        </w:r>
      </w:hyperlink>
      <w:r>
        <w:rPr>
          <w:color w:val="333333"/>
          <w:u w:val="none"/>
        </w:rPr>
        <w:t xml:space="preserve">.</w:t>
      </w:r>
    </w:p>
  </w:footnote>
  <w:footnote w:id="13">
    <w:p>
      <w:pPr>
        <w:pStyle w:val="FootnoteText"/>
      </w:pPr>
      <w:r>
        <w:rPr>
          <w:rStyle w:val="FootnoteReference"/>
        </w:rPr>
        <w:footnoteRef/>
      </w:r>
      <w:r>
        <w:rPr>
          <w:color w:val="333333"/>
          <w:u w:val="none"/>
        </w:rPr>
        <w:t xml:space="preserve"> </w:t>
      </w:r>
      <w:hyperlink r:id="rIdM7">
        <w:r>
          <w:rPr>
            <w:color w:val="333333"/>
            <w:u w:val="none"/>
          </w:rPr>
          <w:t xml:space="preserve">Talpalar et al. (2013), Dual-mode operation of neuronal networks involved in left-right alternation. Nature</w:t>
        </w:r>
      </w:hyperlink>
      <w:r>
        <w:rPr>
          <w:color w:val="333333"/>
          <w:u w:val="none"/>
        </w:rPr>
        <w:t xml:space="preserve">.</w:t>
      </w:r>
    </w:p>
  </w:footnote>
  <w:footnote w:id="14">
    <w:p>
      <w:pPr>
        <w:pStyle w:val="FootnoteText"/>
      </w:pPr>
      <w:r>
        <w:rPr>
          <w:rStyle w:val="FootnoteReference"/>
        </w:rPr>
        <w:footnoteRef/>
      </w:r>
      <w:r>
        <w:rPr>
          <w:color w:val="333333"/>
          <w:u w:val="none"/>
        </w:rPr>
        <w:t xml:space="preserve"> </w:t>
      </w:r>
      <w:hyperlink r:id="rIdV5">
        <w:r>
          <w:rPr>
            <w:color w:val="333333"/>
            <w:u w:val="none"/>
          </w:rPr>
          <w:t xml:space="preserve">Ran et al. (2022), A brainstem map for visceral sensations. Nature</w:t>
        </w:r>
      </w:hyperlink>
      <w:r>
        <w:rPr>
          <w:color w:val="333333"/>
          <w:u w:val="none"/>
        </w:rPr>
        <w:t xml:space="preserve">; </w:t>
      </w:r>
      <w:hyperlink r:id="rIdV10">
        <w:r>
          <w:rPr>
            <w:color w:val="333333"/>
            <w:u w:val="none"/>
          </w:rPr>
          <w:t xml:space="preserve">Campos et al. (2018), Encoding of danger by parabrachial CGRP neurons. Nature</w:t>
        </w:r>
      </w:hyperlink>
      <w:r>
        <w:rPr>
          <w:color w:val="333333"/>
          <w:u w:val="none"/>
        </w:rPr>
        <w:t xml:space="preserve">; </w:t>
      </w:r>
      <w:hyperlink r:id="rIdV6">
        <w:r>
          <w:rPr>
            <w:color w:val="333333"/>
            <w:u w:val="none"/>
          </w:rPr>
          <w:t xml:space="preserve">Adamantidis et al. (2007), Neural substrates of awakening probed with optogenetic control of hypocretin neurons. Nature</w:t>
        </w:r>
      </w:hyperlink>
      <w:r>
        <w:rPr>
          <w:color w:val="333333"/>
          <w:u w:val="none"/>
        </w:rPr>
        <w:t xml:space="preserve">.</w:t>
      </w:r>
    </w:p>
  </w:footnote>
  <w:footnote w:id="15">
    <w:p>
      <w:pPr>
        <w:pStyle w:val="FootnoteText"/>
      </w:pPr>
      <w:r>
        <w:rPr>
          <w:rStyle w:val="FootnoteReference"/>
        </w:rPr>
        <w:footnoteRef/>
      </w:r>
      <w:r>
        <w:rPr>
          <w:color w:val="333333"/>
          <w:u w:val="none"/>
        </w:rPr>
        <w:t xml:space="preserve"> </w:t>
      </w:r>
      <w:hyperlink r:id="rIdM1">
        <w:r>
          <w:rPr>
            <w:color w:val="333333"/>
            <w:u w:val="none"/>
          </w:rPr>
          <w:t xml:space="preserve">Riddle, Edgley and Baker (2009)</w:t>
        </w:r>
      </w:hyperlink>
      <w:r>
        <w:rPr>
          <w:color w:val="333333"/>
          <w:u w:val="none"/>
        </w:rPr>
        <w:t xml:space="preserve">; </w:t>
      </w:r>
      <w:hyperlink r:id="rIdM2">
        <w:r>
          <w:rPr>
            <w:color w:val="333333"/>
            <w:u w:val="none"/>
          </w:rPr>
          <w:t xml:space="preserve">Schepens and Drew (2006)</w:t>
        </w:r>
      </w:hyperlink>
      <w:r>
        <w:rPr>
          <w:color w:val="333333"/>
          <w:u w:val="none"/>
        </w:rPr>
        <w:t xml:space="preserve">.</w:t>
      </w:r>
    </w:p>
  </w:footnote>
  <w:footnote w:id="16">
    <w:p>
      <w:pPr>
        <w:pStyle w:val="FootnoteText"/>
      </w:pPr>
      <w:r>
        <w:rPr>
          <w:rStyle w:val="FootnoteReference"/>
        </w:rPr>
        <w:footnoteRef/>
      </w:r>
      <w:r>
        <w:rPr>
          <w:color w:val="333333"/>
          <w:u w:val="none"/>
        </w:rPr>
        <w:t xml:space="preserve"> </w:t>
      </w:r>
      <w:hyperlink r:id="rIdM3">
        <w:r>
          <w:rPr>
            <w:color w:val="333333"/>
            <w:u w:val="none"/>
          </w:rPr>
          <w:t xml:space="preserve">Caggiano et al. (2018), Midbrain circuits that set locomotor speed and gait selection. Nature</w:t>
        </w:r>
      </w:hyperlink>
      <w:r>
        <w:rPr>
          <w:color w:val="333333"/>
          <w:u w:val="none"/>
        </w:rPr>
        <w:t xml:space="preserve">; </w:t>
      </w:r>
      <w:hyperlink r:id="rIdM7">
        <w:r>
          <w:rPr>
            <w:color w:val="333333"/>
            <w:u w:val="none"/>
          </w:rPr>
          <w:t xml:space="preserve">Talpalar et al. (2013)</w:t>
        </w:r>
      </w:hyperlink>
      <w:r>
        <w:rPr>
          <w:color w:val="333333"/>
          <w:u w:val="none"/>
        </w:rPr>
        <w:t xml:space="preserve">.</w:t>
      </w:r>
    </w:p>
  </w:footnote>
  <w:footnote w:id="17">
    <w:p>
      <w:pPr>
        <w:pStyle w:val="FootnoteText"/>
      </w:pPr>
      <w:r>
        <w:rPr>
          <w:rStyle w:val="FootnoteReference"/>
        </w:rPr>
        <w:footnoteRef/>
      </w:r>
      <w:r>
        <w:rPr>
          <w:color w:val="333333"/>
          <w:u w:val="none"/>
        </w:rPr>
        <w:t xml:space="preserve"> </w:t>
      </w:r>
      <w:hyperlink r:id="rIdD5">
        <w:r>
          <w:rPr>
            <w:color w:val="333333"/>
            <w:u w:val="none"/>
          </w:rPr>
          <w:t xml:space="preserve">Kawai et al. (2015)</w:t>
        </w:r>
      </w:hyperlink>
      <w:r>
        <w:rPr>
          <w:color w:val="333333"/>
          <w:u w:val="none"/>
        </w:rPr>
        <w:t xml:space="preserve">.</w:t>
      </w:r>
    </w:p>
  </w:footnote>
  <w:footnote w:id="18">
    <w:p>
      <w:pPr>
        <w:pStyle w:val="FootnoteText"/>
      </w:pPr>
      <w:r>
        <w:rPr>
          <w:rStyle w:val="FootnoteReference"/>
        </w:rPr>
        <w:footnoteRef/>
      </w:r>
      <w:r>
        <w:rPr>
          <w:color w:val="333333"/>
          <w:u w:val="none"/>
        </w:rPr>
        <w:t xml:space="preserve"> </w:t>
      </w:r>
      <w:hyperlink r:id="rIdM5">
        <w:r>
          <w:rPr>
            <w:color w:val="333333"/>
            <w:u w:val="none"/>
          </w:rPr>
          <w:t xml:space="preserve">Azim et al. (2014), Skilled reaching relies on a V2a propriospinal internal copy circuit. Nature</w:t>
        </w:r>
      </w:hyperlink>
      <w:r>
        <w:rPr>
          <w:color w:val="333333"/>
          <w:u w:val="none"/>
        </w:rPr>
        <w:t xml:space="preserve">; </w:t>
      </w:r>
      <w:hyperlink r:id="rIdM6">
        <w:r>
          <w:rPr>
            <w:color w:val="333333"/>
            <w:u w:val="none"/>
          </w:rPr>
          <w:t xml:space="preserve">Herzfeld et al. (2018), Encoding of error and learning to correct that error by the Purkinje cells of the cerebellum. Nature Neuroscience</w:t>
        </w:r>
      </w:hyperlink>
      <w:r>
        <w:rPr>
          <w:color w:val="333333"/>
          <w:u w:val="none"/>
        </w:rPr>
        <w:t xml:space="preserve">.</w:t>
      </w:r>
    </w:p>
  </w:footnote>
  <w:footnote w:id="19">
    <w:p>
      <w:pPr>
        <w:pStyle w:val="FootnoteText"/>
      </w:pPr>
      <w:r>
        <w:rPr>
          <w:rStyle w:val="FootnoteReference"/>
        </w:rPr>
        <w:footnoteRef/>
      </w:r>
      <w:r>
        <w:rPr>
          <w:color w:val="333333"/>
          <w:u w:val="none"/>
        </w:rPr>
        <w:t xml:space="preserve"> </w:t>
      </w:r>
      <w:hyperlink r:id="rIdS4">
        <w:r>
          <w:rPr>
            <w:color w:val="333333"/>
            <w:u w:val="none"/>
          </w:rPr>
          <w:t xml:space="preserve">Sommer and Wurtz (2006), Influence of the thalamus on spatial visual processing in frontal cortex. Nature</w:t>
        </w:r>
      </w:hyperlink>
      <w:r>
        <w:rPr>
          <w:color w:val="333333"/>
          <w:u w:val="none"/>
        </w:rPr>
        <w:t xml:space="preserve">.</w:t>
      </w:r>
    </w:p>
  </w:footnote>
  <w:footnote w:id="20">
    <w:p>
      <w:pPr>
        <w:pStyle w:val="FootnoteText"/>
      </w:pPr>
      <w:r>
        <w:rPr>
          <w:rStyle w:val="FootnoteReference"/>
        </w:rPr>
        <w:footnoteRef/>
      </w:r>
      <w:r>
        <w:rPr>
          <w:color w:val="333333"/>
          <w:u w:val="none"/>
        </w:rPr>
        <w:t xml:space="preserve"> </w:t>
      </w:r>
      <w:hyperlink r:id="rIdV1">
        <w:r>
          <w:rPr>
            <w:color w:val="333333"/>
            <w:u w:val="none"/>
          </w:rPr>
          <w:t xml:space="preserve">Steinberg et al. (2013), A causal link between prediction errors, dopamine neurons and learning. Nature Neuroscience</w:t>
        </w:r>
      </w:hyperlink>
      <w:r>
        <w:rPr>
          <w:color w:val="333333"/>
          <w:u w:val="none"/>
        </w:rPr>
        <w:t xml:space="preserve">; </w:t>
      </w:r>
      <w:hyperlink r:id="rIdL4">
        <w:r>
          <w:rPr>
            <w:color w:val="333333"/>
            <w:u w:val="none"/>
          </w:rPr>
          <w:t xml:space="preserve">Yagishita et al. (2014), A critical time window for dopamine actions on the structural plasticity of dendritic spines. Science</w:t>
        </w:r>
      </w:hyperlink>
      <w:r>
        <w:rPr>
          <w:color w:val="333333"/>
          <w:u w:val="none"/>
        </w:rPr>
        <w:t xml:space="preserve">; </w:t>
      </w:r>
      <w:hyperlink r:id="rIdM8">
        <w:r>
          <w:rPr>
            <w:color w:val="333333"/>
            <w:u w:val="none"/>
          </w:rPr>
          <w:t xml:space="preserve">Fife et al. (2017), Causal role for the subthalamic nucleus in interrupting behavior. eLife</w:t>
        </w:r>
      </w:hyperlink>
      <w:r>
        <w:rPr>
          <w:color w:val="333333"/>
          <w:u w:val="none"/>
        </w:rPr>
        <w:t xml:space="preserve">.</w:t>
      </w:r>
    </w:p>
  </w:footnote>
  <w:footnote w:id="21">
    <w:p>
      <w:pPr>
        <w:pStyle w:val="FootnoteText"/>
      </w:pPr>
      <w:r>
        <w:rPr>
          <w:rStyle w:val="FootnoteReference"/>
        </w:rPr>
        <w:footnoteRef/>
      </w:r>
      <w:r>
        <w:rPr>
          <w:color w:val="333333"/>
          <w:u w:val="none"/>
        </w:rPr>
        <w:t xml:space="preserve"> </w:t>
      </w:r>
      <w:hyperlink r:id="rIdN1">
        <w:r>
          <w:rPr>
            <w:color w:val="333333"/>
            <w:u w:val="none"/>
          </w:rPr>
          <w:t xml:space="preserve">Langston et al. (2010)</w:t>
        </w:r>
      </w:hyperlink>
      <w:r>
        <w:rPr>
          <w:color w:val="333333"/>
          <w:u w:val="none"/>
        </w:rPr>
        <w:t xml:space="preserve">; </w:t>
      </w:r>
      <w:hyperlink r:id="rIdN4">
        <w:r>
          <w:rPr>
            <w:color w:val="333333"/>
            <w:u w:val="none"/>
          </w:rPr>
          <w:t xml:space="preserve">Waye et al. (2019), Lesions to the lateral mammillary nuclei disrupt spatial learning in rats. Behavioral Neuroscience</w:t>
        </w:r>
      </w:hyperlink>
      <w:r>
        <w:rPr>
          <w:color w:val="333333"/>
          <w:u w:val="none"/>
        </w:rPr>
        <w:t xml:space="preserve">.</w:t>
      </w:r>
    </w:p>
  </w:footnote>
  <w:footnote w:id="22">
    <w:p>
      <w:pPr>
        <w:pStyle w:val="FootnoteText"/>
      </w:pPr>
      <w:r>
        <w:rPr>
          <w:rStyle w:val="FootnoteReference"/>
        </w:rPr>
        <w:footnoteRef/>
      </w:r>
      <w:r>
        <w:rPr>
          <w:color w:val="333333"/>
          <w:u w:val="none"/>
        </w:rPr>
        <w:t xml:space="preserve"> </w:t>
      </w:r>
      <w:hyperlink r:id="rIdS2">
        <w:r>
          <w:rPr>
            <w:color w:val="333333"/>
            <w:u w:val="none"/>
          </w:rPr>
          <w:t xml:space="preserve">Rust et al. (2006)</w:t>
        </w:r>
      </w:hyperlink>
      <w:r>
        <w:rPr>
          <w:color w:val="333333"/>
          <w:u w:val="none"/>
        </w:rPr>
        <w:t xml:space="preserve">.</w:t>
      </w:r>
    </w:p>
  </w:footnote>
  <w:footnote w:id="23">
    <w:p>
      <w:pPr>
        <w:pStyle w:val="FootnoteText"/>
      </w:pPr>
      <w:r>
        <w:rPr>
          <w:rStyle w:val="FootnoteReference"/>
        </w:rPr>
        <w:footnoteRef/>
      </w:r>
      <w:r>
        <w:rPr>
          <w:color w:val="333333"/>
          <w:u w:val="none"/>
        </w:rPr>
        <w:t xml:space="preserve"> </w:t>
      </w:r>
      <w:hyperlink r:id="rIdL2">
        <w:r>
          <w:rPr>
            <w:color w:val="333333"/>
            <w:u w:val="none"/>
          </w:rPr>
          <w:t xml:space="preserve">Li and DiCarlo (2008)</w:t>
        </w:r>
      </w:hyperlink>
      <w:r>
        <w:rPr>
          <w:color w:val="333333"/>
          <w:u w:val="none"/>
        </w:rPr>
        <w:t xml:space="preserve">; </w:t>
      </w:r>
      <w:hyperlink r:id="rIdL3">
        <w:r>
          <w:rPr>
            <w:color w:val="333333"/>
            <w:u w:val="none"/>
          </w:rPr>
          <w:t xml:space="preserve">Li and DiCarlo (2010)</w:t>
        </w:r>
      </w:hyperlink>
      <w:r>
        <w:rPr>
          <w:color w:val="333333"/>
          <w:u w:val="none"/>
        </w:rPr>
        <w:t xml:space="preserve">; </w:t>
      </w:r>
      <w:hyperlink r:id="rIdS3">
        <w:r>
          <w:rPr>
            <w:color w:val="333333"/>
            <w:u w:val="none"/>
          </w:rPr>
          <w:t xml:space="preserve">Kar et al. (2019), Evidence that recurrent circuits are critical to the ventral stream's execution of core object recognition behavior. Nature Neuroscience</w:t>
        </w:r>
      </w:hyperlink>
      <w:r>
        <w:rPr>
          <w:color w:val="333333"/>
          <w:u w:val="none"/>
        </w:rPr>
        <w:t xml:space="preserve">.</w:t>
      </w:r>
    </w:p>
  </w:footnote>
  <w:footnote w:id="24">
    <w:p>
      <w:pPr>
        <w:pStyle w:val="FootnoteText"/>
      </w:pPr>
      <w:r>
        <w:rPr>
          <w:rStyle w:val="FootnoteReference"/>
        </w:rPr>
        <w:footnoteRef/>
      </w:r>
      <w:r>
        <w:rPr>
          <w:color w:val="333333"/>
          <w:u w:val="none"/>
        </w:rPr>
        <w:t xml:space="preserve"> </w:t>
      </w:r>
      <w:hyperlink r:id="rIdT1">
        <w:r>
          <w:rPr>
            <w:color w:val="333333"/>
            <w:u w:val="none"/>
          </w:rPr>
          <w:t xml:space="preserve">Guo et al. (2017)</w:t>
        </w:r>
      </w:hyperlink>
      <w:r>
        <w:rPr>
          <w:color w:val="333333"/>
          <w:u w:val="none"/>
        </w:rPr>
        <w:t xml:space="preserve">; </w:t>
      </w:r>
      <w:hyperlink r:id="rIdT3">
        <w:r>
          <w:rPr>
            <w:color w:val="333333"/>
            <w:u w:val="none"/>
          </w:rPr>
          <w:t xml:space="preserve">Bolkan et al. (2017)</w:t>
        </w:r>
      </w:hyperlink>
      <w:r>
        <w:rPr>
          <w:color w:val="333333"/>
          <w:u w:val="none"/>
        </w:rPr>
        <w:t xml:space="preserve">; </w:t>
      </w:r>
      <w:hyperlink r:id="rIdT6">
        <w:r>
          <w:rPr>
            <w:color w:val="333333"/>
            <w:u w:val="none"/>
          </w:rPr>
          <w:t xml:space="preserve">Luck and Vogel (1997), The capacity of visual working memory for features and conjunctions. Nature</w:t>
        </w:r>
      </w:hyperlink>
      <w:r>
        <w:rPr>
          <w:color w:val="333333"/>
          <w:u w:val="none"/>
        </w:rPr>
        <w:t xml:space="preserve">.</w:t>
      </w:r>
    </w:p>
  </w:footnote>
  <w:footnote w:id="25">
    <w:p>
      <w:pPr>
        <w:pStyle w:val="FootnoteText"/>
      </w:pPr>
      <w:r>
        <w:rPr>
          <w:rStyle w:val="FootnoteReference"/>
        </w:rPr>
        <w:footnoteRef/>
      </w:r>
      <w:r>
        <w:rPr>
          <w:color w:val="333333"/>
          <w:u w:val="none"/>
        </w:rPr>
        <w:t xml:space="preserve"> </w:t>
      </w:r>
      <w:hyperlink r:id="rIdN1">
        <w:r>
          <w:rPr>
            <w:color w:val="333333"/>
            <w:u w:val="none"/>
          </w:rPr>
          <w:t xml:space="preserve">Langston et al. (2010)</w:t>
        </w:r>
      </w:hyperlink>
      <w:r>
        <w:rPr>
          <w:color w:val="333333"/>
          <w:u w:val="none"/>
        </w:rPr>
        <w:t xml:space="preserve">; </w:t>
      </w:r>
      <w:hyperlink r:id="rIdH1">
        <w:r>
          <w:rPr>
            <w:color w:val="333333"/>
            <w:u w:val="none"/>
          </w:rPr>
          <w:t xml:space="preserve">Nakazawa et al. (2002), Requirement for hippocampal CA3 NMDA receptors in associative memory recall. Science</w:t>
        </w:r>
      </w:hyperlink>
      <w:r>
        <w:rPr>
          <w:color w:val="333333"/>
          <w:u w:val="none"/>
        </w:rPr>
        <w:t xml:space="preserve">.</w:t>
      </w:r>
    </w:p>
  </w:footnote>
  <w:footnote w:id="26">
    <w:p>
      <w:pPr>
        <w:pStyle w:val="FootnoteText"/>
      </w:pPr>
      <w:r>
        <w:rPr>
          <w:rStyle w:val="FootnoteReference"/>
        </w:rPr>
        <w:footnoteRef/>
      </w:r>
      <w:r>
        <w:rPr>
          <w:color w:val="333333"/>
          <w:u w:val="none"/>
        </w:rPr>
        <w:t xml:space="preserve"> </w:t>
      </w:r>
      <w:hyperlink r:id="rIdH4">
        <w:r>
          <w:rPr>
            <w:color w:val="333333"/>
            <w:u w:val="none"/>
          </w:rPr>
          <w:t xml:space="preserve">Girardeau et al. (2009), Selective suppression of hippocampal ripples impairs spatial memory. Nature Neuroscience</w:t>
        </w:r>
      </w:hyperlink>
      <w:r>
        <w:rPr>
          <w:color w:val="333333"/>
          <w:u w:val="none"/>
        </w:rPr>
        <w:t xml:space="preserve">; </w:t>
      </w:r>
      <w:hyperlink r:id="rIdH5">
        <w:r>
          <w:rPr>
            <w:color w:val="333333"/>
            <w:u w:val="none"/>
          </w:rPr>
          <w:t xml:space="preserve">Kitamura et al. (2017), Engrams and circuits crucial for systems consolidation of a memory. Science</w:t>
        </w:r>
      </w:hyperlink>
      <w:r>
        <w:rPr>
          <w:color w:val="333333"/>
          <w:u w:val="none"/>
        </w:rPr>
        <w:t xml:space="preserve">.</w:t>
      </w:r>
    </w:p>
  </w:footnote>
  <w:footnote w:id="27">
    <w:p>
      <w:pPr>
        <w:pStyle w:val="FootnoteText"/>
      </w:pPr>
      <w:r>
        <w:rPr>
          <w:rStyle w:val="FootnoteReference"/>
        </w:rPr>
        <w:footnoteRef/>
      </w:r>
      <w:r>
        <w:rPr>
          <w:color w:val="333333"/>
          <w:u w:val="none"/>
        </w:rPr>
        <w:t xml:space="preserve"> </w:t>
      </w:r>
      <w:hyperlink r:id="rIdA1">
        <w:r>
          <w:rPr>
            <w:color w:val="333333"/>
            <w:u w:val="none"/>
          </w:rPr>
          <w:t xml:space="preserve">Moore and Armstrong (2003), Selective gating of visual signals by microstimulation of frontal cortex. Nature</w:t>
        </w:r>
      </w:hyperlink>
      <w:r>
        <w:rPr>
          <w:color w:val="333333"/>
          <w:u w:val="none"/>
        </w:rPr>
        <w:t xml:space="preserve">; </w:t>
      </w:r>
      <w:hyperlink r:id="rIdA3">
        <w:r>
          <w:rPr>
            <w:color w:val="333333"/>
            <w:u w:val="none"/>
          </w:rPr>
          <w:t xml:space="preserve">Bichot et al. (2015), A Source for Feature-Based Attention in the Prefrontal Cortex. Neuron</w:t>
        </w:r>
      </w:hyperlink>
      <w:r>
        <w:rPr>
          <w:color w:val="333333"/>
          <w:u w:val="none"/>
        </w:rPr>
        <w:t xml:space="preserve">.</w:t>
      </w:r>
    </w:p>
  </w:footnote>
  <w:footnote w:id="28">
    <w:p>
      <w:pPr>
        <w:pStyle w:val="FootnoteText"/>
      </w:pPr>
      <w:r>
        <w:rPr>
          <w:rStyle w:val="FootnoteReference"/>
        </w:rPr>
        <w:footnoteRef/>
      </w:r>
      <w:r>
        <w:rPr>
          <w:color w:val="333333"/>
          <w:u w:val="none"/>
        </w:rPr>
        <w:t xml:space="preserve"> </w:t>
      </w:r>
      <w:hyperlink r:id="rIdS5">
        <w:r>
          <w:rPr>
            <w:color w:val="333333"/>
            <w:u w:val="none"/>
          </w:rPr>
          <w:t xml:space="preserve">Buneo et al. (2002)</w:t>
        </w:r>
      </w:hyperlink>
      <w:r>
        <w:rPr>
          <w:color w:val="333333"/>
          <w:u w:val="none"/>
        </w:rPr>
        <w:t xml:space="preserve">; </w:t>
      </w:r>
      <w:hyperlink r:id="rIdM9">
        <w:r>
          <w:rPr>
            <w:color w:val="333333"/>
            <w:u w:val="none"/>
          </w:rPr>
          <w:t xml:space="preserve">Fogassi et al. (2001), Cortical mechanism for the visual guidance of hand grasping movements in the monkey. Brain</w:t>
        </w:r>
      </w:hyperlink>
      <w:r>
        <w:rPr>
          <w:color w:val="333333"/>
          <w:u w:val="none"/>
        </w:rPr>
        <w:t xml:space="preserve">.</w:t>
      </w:r>
    </w:p>
  </w:footnote>
  <w:footnote w:id="29">
    <w:p>
      <w:pPr>
        <w:pStyle w:val="FootnoteText"/>
      </w:pPr>
      <w:r>
        <w:rPr>
          <w:rStyle w:val="FootnoteReference"/>
        </w:rPr>
        <w:footnoteRef/>
      </w:r>
      <w:r>
        <w:rPr>
          <w:color w:val="333333"/>
          <w:u w:val="none"/>
        </w:rPr>
        <w:t xml:space="preserve"> </w:t>
      </w:r>
      <w:hyperlink r:id="rIdS6">
        <w:r>
          <w:rPr>
            <w:color w:val="333333"/>
            <w:u w:val="none"/>
          </w:rPr>
          <w:t xml:space="preserve">Goodale et al. (1991), A neurological dissociation between perceiving objects and grasping them. Nature</w:t>
        </w:r>
      </w:hyperlink>
      <w:r>
        <w:rPr>
          <w:color w:val="333333"/>
          <w:u w:val="none"/>
        </w:rPr>
        <w:t xml:space="preserve">.</w:t>
      </w:r>
    </w:p>
  </w:footnote>
  <w:footnote w:id="30">
    <w:p>
      <w:pPr>
        <w:pStyle w:val="FootnoteText"/>
      </w:pPr>
      <w:r>
        <w:rPr>
          <w:rStyle w:val="FootnoteReference"/>
        </w:rPr>
        <w:footnoteRef/>
      </w:r>
      <w:r>
        <w:rPr>
          <w:color w:val="333333"/>
          <w:u w:val="none"/>
        </w:rPr>
        <w:t xml:space="preserve"> </w:t>
      </w:r>
      <w:hyperlink r:id="rIdN2">
        <w:r>
          <w:rPr>
            <w:color w:val="333333"/>
            <w:u w:val="none"/>
          </w:rPr>
          <w:t xml:space="preserve">van der Goes et al. (2024), Coordinated head direction representations in mouse anterodorsal thalamic nucleus and retrosplenial cortex. eLife</w:t>
        </w:r>
      </w:hyperlink>
      <w:r>
        <w:rPr>
          <w:color w:val="333333"/>
          <w:u w:val="none"/>
        </w:rPr>
        <w:t xml:space="preserve">; </w:t>
      </w:r>
      <w:hyperlink r:id="rIdN3">
        <w:r>
          <w:rPr>
            <w:color w:val="333333"/>
            <w:u w:val="none"/>
          </w:rPr>
          <w:t xml:space="preserve">Park et al. (2024), Egocentric neural representation of geometric vertex in the retrosplenial cortex. Nature Communications</w:t>
        </w:r>
      </w:hyperlink>
      <w:r>
        <w:rPr>
          <w:color w:val="333333"/>
          <w:u w:val="none"/>
        </w:rPr>
        <w:t xml:space="preserve">; </w:t>
      </w:r>
      <w:hyperlink r:id="rIdN5">
        <w:r>
          <w:rPr>
            <w:color w:val="333333"/>
            <w:u w:val="none"/>
          </w:rPr>
          <w:t xml:space="preserve">Alexander and Nitz (2015)</w:t>
        </w:r>
      </w:hyperlink>
      <w:r>
        <w:rPr>
          <w:color w:val="333333"/>
          <w:u w:val="none"/>
        </w:rPr>
        <w:t xml:space="preserve">.</w:t>
      </w:r>
    </w:p>
  </w:footnote>
  <w:footnote w:id="31">
    <w:p>
      <w:pPr>
        <w:pStyle w:val="FootnoteText"/>
      </w:pPr>
      <w:r>
        <w:rPr>
          <w:rStyle w:val="FootnoteReference"/>
        </w:rPr>
        <w:footnoteRef/>
      </w:r>
      <w:r>
        <w:rPr>
          <w:color w:val="333333"/>
          <w:u w:val="none"/>
        </w:rPr>
        <w:t xml:space="preserve"> </w:t>
      </w:r>
      <w:hyperlink r:id="rIdN1">
        <w:r>
          <w:rPr>
            <w:color w:val="333333"/>
            <w:u w:val="none"/>
          </w:rPr>
          <w:t xml:space="preserve">Langston et al. (2010)</w:t>
        </w:r>
      </w:hyperlink>
      <w:r>
        <w:rPr>
          <w:color w:val="333333"/>
          <w:u w:val="none"/>
        </w:rPr>
        <w:t xml:space="preserve">.</w:t>
      </w:r>
    </w:p>
  </w:footnote>
  <w:footnote w:id="32">
    <w:p>
      <w:pPr>
        <w:pStyle w:val="FootnoteText"/>
      </w:pPr>
      <w:r>
        <w:rPr>
          <w:rStyle w:val="FootnoteReference"/>
        </w:rPr>
        <w:footnoteRef/>
      </w:r>
      <w:r>
        <w:rPr>
          <w:color w:val="333333"/>
          <w:u w:val="none"/>
        </w:rPr>
        <w:t xml:space="preserve"> </w:t>
      </w:r>
      <w:hyperlink r:id="rIdD6">
        <w:r>
          <w:rPr>
            <w:color w:val="333333"/>
            <w:u w:val="none"/>
          </w:rPr>
          <w:t xml:space="preserve">Wallace and Stein (2000)</w:t>
        </w:r>
      </w:hyperlink>
      <w:r>
        <w:rPr>
          <w:color w:val="333333"/>
          <w:u w:val="none"/>
        </w:rPr>
        <w:t xml:space="preserve">; </w:t>
      </w:r>
      <w:hyperlink r:id="rIdD7">
        <w:r>
          <w:rPr>
            <w:color w:val="333333"/>
            <w:u w:val="none"/>
          </w:rPr>
          <w:t xml:space="preserve">Hyde and Knudsen (2002)</w:t>
        </w:r>
      </w:hyperlink>
      <w:r>
        <w:rPr>
          <w:color w:val="333333"/>
          <w:u w:val="none"/>
        </w:rPr>
        <w:t xml:space="preserve">.</w:t>
      </w:r>
    </w:p>
  </w:footnote>
  <w:footnote w:id="33">
    <w:p>
      <w:pPr>
        <w:pStyle w:val="FootnoteText"/>
      </w:pPr>
      <w:r>
        <w:rPr>
          <w:rStyle w:val="FootnoteReference"/>
        </w:rPr>
        <w:footnoteRef/>
      </w:r>
      <w:r>
        <w:rPr>
          <w:color w:val="333333"/>
          <w:u w:val="none"/>
        </w:rPr>
        <w:t xml:space="preserve"> </w:t>
      </w:r>
      <w:hyperlink r:id="rIdD4">
        <w:r>
          <w:rPr>
            <w:color w:val="333333"/>
            <w:u w:val="none"/>
          </w:rPr>
          <w:t xml:space="preserve">Attinger, Wang and Keller (2017)</w:t>
        </w:r>
      </w:hyperlink>
      <w:r>
        <w:rPr>
          <w:color w:val="333333"/>
          <w:u w:val="none"/>
        </w:rPr>
        <w:t xml:space="preserve">.</w:t>
      </w:r>
    </w:p>
  </w:footnote>
  <w:footnote w:id="34">
    <w:p>
      <w:pPr>
        <w:pStyle w:val="FootnoteText"/>
      </w:pPr>
      <w:r>
        <w:rPr>
          <w:rStyle w:val="FootnoteReference"/>
        </w:rPr>
        <w:footnoteRef/>
      </w:r>
      <w:r>
        <w:rPr>
          <w:color w:val="333333"/>
          <w:u w:val="none"/>
        </w:rPr>
        <w:t xml:space="preserve"> </w:t>
      </w:r>
      <w:hyperlink r:id="rIdS1">
        <w:r>
          <w:rPr>
            <w:color w:val="333333"/>
            <w:u w:val="none"/>
          </w:rPr>
          <w:t xml:space="preserve">Vega-Zuniga et al. (2025), A thalamic hub-and-spoke network enables visual perception during action by coordinating visuomotor dynamics. Nature Neuroscience</w:t>
        </w:r>
      </w:hyperlink>
      <w:r>
        <w:rPr>
          <w:color w:val="333333"/>
          <w:u w:val="none"/>
        </w:rPr>
        <w:t xml:space="preserve">.</w:t>
      </w:r>
    </w:p>
  </w:footnote>
  <w:footnote w:id="35">
    <w:p>
      <w:pPr>
        <w:pStyle w:val="FootnoteText"/>
      </w:pPr>
      <w:r>
        <w:rPr>
          <w:rStyle w:val="FootnoteReference"/>
        </w:rPr>
        <w:footnoteRef/>
      </w:r>
      <w:r>
        <w:rPr>
          <w:color w:val="333333"/>
          <w:u w:val="none"/>
        </w:rPr>
        <w:t xml:space="preserve"> </w:t>
      </w:r>
      <w:hyperlink r:id="rIdH1">
        <w:r>
          <w:rPr>
            <w:color w:val="333333"/>
            <w:u w:val="none"/>
          </w:rPr>
          <w:t xml:space="preserve">Nakazawa et al. (2002)</w:t>
        </w:r>
      </w:hyperlink>
      <w:r>
        <w:rPr>
          <w:color w:val="333333"/>
          <w:u w:val="none"/>
        </w:rPr>
        <w:t xml:space="preserve">; </w:t>
      </w:r>
      <w:hyperlink r:id="rIdH3">
        <w:r>
          <w:rPr>
            <w:color w:val="333333"/>
            <w:u w:val="none"/>
          </w:rPr>
          <w:t xml:space="preserve">Horner et al. (2015), Evidence for holistic episodic recollection via hippocampal pattern completion. Nature Communications</w:t>
        </w:r>
      </w:hyperlink>
      <w:r>
        <w:rPr>
          <w:color w:val="333333"/>
          <w:u w:val="none"/>
        </w:rPr>
        <w:t xml:space="preserve">; </w:t>
      </w:r>
      <w:hyperlink r:id="rIdL5">
        <w:r>
          <w:rPr>
            <w:color w:val="333333"/>
            <w:u w:val="none"/>
          </w:rPr>
          <w:t xml:space="preserve">Bittner et al. (2017), Behavioral time scale synaptic plasticity underlies CA1 place fields. Science</w:t>
        </w:r>
      </w:hyperlink>
      <w:r>
        <w:rPr>
          <w:color w:val="333333"/>
          <w:u w:val="none"/>
        </w:rPr>
        <w:t xml:space="preserve">.</w:t>
      </w:r>
    </w:p>
  </w:footnote>
  <w:footnote w:id="36">
    <w:p>
      <w:pPr>
        <w:pStyle w:val="FootnoteText"/>
      </w:pPr>
      <w:r>
        <w:rPr>
          <w:rStyle w:val="FootnoteReference"/>
        </w:rPr>
        <w:footnoteRef/>
      </w:r>
      <w:r>
        <w:rPr>
          <w:color w:val="333333"/>
          <w:u w:val="none"/>
        </w:rPr>
        <w:t xml:space="preserve"> </w:t>
      </w:r>
      <w:hyperlink r:id="rIdH2">
        <w:r>
          <w:rPr>
            <w:color w:val="333333"/>
            <w:u w:val="none"/>
          </w:rPr>
          <w:t xml:space="preserve">Kohara et al. (2014), Cell type-specific genetic and optogenetic tools reveal hippocampal CA2 circuits. Nature Neuroscience</w:t>
        </w:r>
      </w:hyperlink>
      <w:r>
        <w:rPr>
          <w:color w:val="333333"/>
          <w:u w:val="none"/>
        </w:rPr>
        <w:t xml:space="preserve">; </w:t>
      </w:r>
      <w:hyperlink r:id="rIdH6">
        <w:r>
          <w:rPr>
            <w:color w:val="333333"/>
            <w:u w:val="none"/>
          </w:rPr>
          <w:t xml:space="preserve">Hitti and Siegelbaum (2014), The hippocampal CA2 region is essential for social memory. Nature</w:t>
        </w:r>
      </w:hyperlink>
      <w:r>
        <w:rPr>
          <w:color w:val="333333"/>
          <w:u w:val="none"/>
        </w:rPr>
        <w:t xml:space="preserve">.</w:t>
      </w:r>
    </w:p>
  </w:footnote>
  <w:footnote w:id="37">
    <w:p>
      <w:pPr>
        <w:pStyle w:val="FootnoteText"/>
      </w:pPr>
      <w:r>
        <w:rPr>
          <w:rStyle w:val="FootnoteReference"/>
        </w:rPr>
        <w:footnoteRef/>
      </w:r>
      <w:r>
        <w:rPr>
          <w:color w:val="333333"/>
          <w:u w:val="none"/>
        </w:rPr>
        <w:t xml:space="preserve"> </w:t>
      </w:r>
      <w:hyperlink r:id="rIdT5">
        <w:r>
          <w:rPr>
            <w:color w:val="333333"/>
            <w:u w:val="none"/>
          </w:rPr>
          <w:t xml:space="preserve">Andrianova et al. (2025), Hippocampal pyramidal cells of the CA1 region are not a major target of the thalamic nucleus reuniens. PLOS Biology</w:t>
        </w:r>
      </w:hyperlink>
      <w:r>
        <w:rPr>
          <w:color w:val="333333"/>
          <w:u w:val="none"/>
        </w:rPr>
        <w:t xml:space="preserve">.</w:t>
      </w:r>
    </w:p>
  </w:footnote>
  <w:footnote w:id="38">
    <w:p>
      <w:pPr>
        <w:pStyle w:val="FootnoteText"/>
      </w:pPr>
      <w:r>
        <w:rPr>
          <w:rStyle w:val="FootnoteReference"/>
        </w:rPr>
        <w:footnoteRef/>
      </w:r>
      <w:r>
        <w:rPr>
          <w:color w:val="333333"/>
          <w:u w:val="none"/>
        </w:rPr>
        <w:t xml:space="preserve"> </w:t>
      </w:r>
      <w:hyperlink r:id="rIdT1">
        <w:r>
          <w:rPr>
            <w:color w:val="333333"/>
            <w:u w:val="none"/>
          </w:rPr>
          <w:t xml:space="preserve">Guo et al. (2017)</w:t>
        </w:r>
      </w:hyperlink>
      <w:r>
        <w:rPr>
          <w:color w:val="333333"/>
          <w:u w:val="none"/>
        </w:rPr>
        <w:t xml:space="preserve">; </w:t>
      </w:r>
      <w:hyperlink r:id="rIdT2">
        <w:r>
          <w:rPr>
            <w:color w:val="333333"/>
            <w:u w:val="none"/>
          </w:rPr>
          <w:t xml:space="preserve">Schmitt et al. (2017)</w:t>
        </w:r>
      </w:hyperlink>
      <w:r>
        <w:rPr>
          <w:color w:val="333333"/>
          <w:u w:val="none"/>
        </w:rPr>
        <w:t xml:space="preserve">; </w:t>
      </w:r>
      <w:hyperlink r:id="rIdT3">
        <w:r>
          <w:rPr>
            <w:color w:val="333333"/>
            <w:u w:val="none"/>
          </w:rPr>
          <w:t xml:space="preserve">Bolkan et al. (2017)</w:t>
        </w:r>
      </w:hyperlink>
      <w:r>
        <w:rPr>
          <w:color w:val="333333"/>
          <w:u w:val="none"/>
        </w:rPr>
        <w:t xml:space="preserve">; </w:t>
      </w:r>
      <w:hyperlink r:id="rIdT4">
        <w:r>
          <w:rPr>
            <w:color w:val="333333"/>
            <w:u w:val="none"/>
          </w:rPr>
          <w:t xml:space="preserve">Hosford et al. (2026)</w:t>
        </w:r>
      </w:hyperlink>
      <w:r>
        <w:rPr>
          <w:color w:val="333333"/>
          <w:u w:val="none"/>
        </w:rPr>
        <w:t xml:space="preserve">.</w:t>
      </w:r>
    </w:p>
  </w:footnote>
  <w:footnote w:id="39">
    <w:p>
      <w:pPr>
        <w:pStyle w:val="FootnoteText"/>
      </w:pPr>
      <w:r>
        <w:rPr>
          <w:rStyle w:val="FootnoteReference"/>
        </w:rPr>
        <w:footnoteRef/>
      </w:r>
      <w:r>
        <w:rPr>
          <w:color w:val="333333"/>
          <w:u w:val="none"/>
        </w:rPr>
        <w:t xml:space="preserve"> </w:t>
      </w:r>
      <w:hyperlink r:id="rIdA1">
        <w:r>
          <w:rPr>
            <w:color w:val="333333"/>
            <w:u w:val="none"/>
          </w:rPr>
          <w:t xml:space="preserve">Moore and Armstrong (2003)</w:t>
        </w:r>
      </w:hyperlink>
      <w:r>
        <w:rPr>
          <w:color w:val="333333"/>
          <w:u w:val="none"/>
        </w:rPr>
        <w:t xml:space="preserve">; </w:t>
      </w:r>
      <w:hyperlink r:id="rIdA3">
        <w:r>
          <w:rPr>
            <w:color w:val="333333"/>
            <w:u w:val="none"/>
          </w:rPr>
          <w:t xml:space="preserve">Bichot et al. (2015)</w:t>
        </w:r>
      </w:hyperlink>
      <w:r>
        <w:rPr>
          <w:color w:val="333333"/>
          <w:u w:val="none"/>
        </w:rPr>
        <w:t xml:space="preserve">; </w:t>
      </w:r>
      <w:hyperlink r:id="rIdA4">
        <w:r>
          <w:rPr>
            <w:color w:val="333333"/>
            <w:u w:val="none"/>
          </w:rPr>
          <w:t xml:space="preserve">Saalmann et al. (2012), The pulvinar regulates information transmission between cortical areas based on attention demands. Science</w:t>
        </w:r>
      </w:hyperlink>
      <w:r>
        <w:rPr>
          <w:color w:val="333333"/>
          <w:u w:val="none"/>
        </w:rPr>
        <w:t xml:space="preserve">.</w:t>
      </w:r>
    </w:p>
  </w:footnote>
  <w:footnote w:id="40">
    <w:p>
      <w:pPr>
        <w:pStyle w:val="FootnoteText"/>
      </w:pPr>
      <w:r>
        <w:rPr>
          <w:rStyle w:val="FootnoteReference"/>
        </w:rPr>
        <w:footnoteRef/>
      </w:r>
      <w:r>
        <w:rPr>
          <w:color w:val="333333"/>
          <w:u w:val="none"/>
        </w:rPr>
        <w:t xml:space="preserve"> </w:t>
      </w:r>
      <w:hyperlink r:id="rIdV2">
        <w:r>
          <w:rPr>
            <w:color w:val="333333"/>
            <w:u w:val="none"/>
          </w:rPr>
          <w:t xml:space="preserve">Livneh et al. (2017), Homeostatic circuits selectively gate food cue responses in insular cortex. Nature</w:t>
        </w:r>
      </w:hyperlink>
      <w:r>
        <w:rPr>
          <w:color w:val="333333"/>
          <w:u w:val="none"/>
        </w:rPr>
        <w:t xml:space="preserve">; </w:t>
      </w:r>
      <w:hyperlink r:id="rIdV3">
        <w:r>
          <w:rPr>
            <w:color w:val="333333"/>
            <w:u w:val="none"/>
          </w:rPr>
          <w:t xml:space="preserve">Matsumoto and Hikosaka (2007), Lateral habenula as a source of negative reward signals in dopamine neurons. Nature</w:t>
        </w:r>
      </w:hyperlink>
      <w:r>
        <w:rPr>
          <w:color w:val="333333"/>
          <w:u w:val="none"/>
        </w:rPr>
        <w:t xml:space="preserve">; </w:t>
      </w:r>
      <w:hyperlink r:id="rIdV7">
        <w:r>
          <w:rPr>
            <w:color w:val="333333"/>
            <w:u w:val="none"/>
          </w:rPr>
          <w:t xml:space="preserve">Uematsu et al. (2017), Modular organization of the brainstem noradrenaline system coordinates opposing learning states. Nature Neuroscience</w:t>
        </w:r>
      </w:hyperlink>
      <w:r>
        <w:rPr>
          <w:color w:val="333333"/>
          <w:u w:val="none"/>
        </w:rPr>
        <w:t xml:space="preserve">; </w:t>
      </w:r>
      <w:hyperlink r:id="rIdV8">
        <w:r>
          <w:rPr>
            <w:color w:val="333333"/>
            <w:u w:val="none"/>
          </w:rPr>
          <w:t xml:space="preserve">Pinto et al. (2013), Fast modulation of visual perception by basal forebrain cholinergic neurons. Nature Neuroscience</w:t>
        </w:r>
      </w:hyperlink>
      <w:r>
        <w:rPr>
          <w:color w:val="333333"/>
          <w:u w:val="none"/>
        </w:rPr>
        <w:t xml:space="preserve">; </w:t>
      </w:r>
      <w:hyperlink r:id="rIdV9">
        <w:r>
          <w:rPr>
            <w:color w:val="333333"/>
            <w:u w:val="none"/>
          </w:rPr>
          <w:t xml:space="preserve">Miyazaki et al. (2014), Optogenetic Activation of Dorsal Raphe Serotonin Neurons Enhances Patience for Future Rewards. Current Biology</w:t>
        </w:r>
      </w:hyperlink>
      <w:r>
        <w:rPr>
          <w:color w:val="333333"/>
          <w:u w:val="none"/>
        </w:rPr>
        <w:t xml:space="preserve">.</w:t>
      </w:r>
    </w:p>
  </w:footnote>
  <w:footnote w:id="41">
    <w:p>
      <w:pPr>
        <w:pStyle w:val="FootnoteText"/>
      </w:pPr>
      <w:r>
        <w:rPr>
          <w:rStyle w:val="FootnoteReference"/>
        </w:rPr>
        <w:footnoteRef/>
      </w:r>
      <w:r>
        <w:rPr>
          <w:color w:val="333333"/>
          <w:u w:val="none"/>
        </w:rPr>
        <w:t xml:space="preserve"> </w:t>
      </w:r>
      <w:hyperlink r:id="rIdG2">
        <w:r>
          <w:rPr>
            <w:color w:val="333333"/>
            <w:u w:val="none"/>
          </w:rPr>
          <w:t xml:space="preserve">Baldassano et al. (2017), Discovering Event Structure in Continuous Narrative Perception and Memory. Neuron</w:t>
        </w:r>
      </w:hyperlink>
      <w:r>
        <w:rPr>
          <w:color w:val="333333"/>
          <w:u w:val="none"/>
        </w:rPr>
        <w:t xml:space="preserve">; </w:t>
      </w:r>
      <w:hyperlink r:id="rIdG3">
        <w:r>
          <w:rPr>
            <w:color w:val="333333"/>
            <w:u w:val="none"/>
          </w:rPr>
          <w:t xml:space="preserve">DiNicola, Braga and Buckner (2020), Parallel distributed networks dissociate episodic and social functions within the individual. Journal of Neurophysiology</w:t>
        </w:r>
      </w:hyperlink>
      <w:r>
        <w:rPr>
          <w:color w:val="333333"/>
          <w:u w:val="none"/>
        </w:rPr>
        <w:t xml:space="preserve">.</w:t>
      </w:r>
    </w:p>
  </w:footnote>
  <w:footnote w:id="42">
    <w:p>
      <w:pPr>
        <w:pStyle w:val="FootnoteText"/>
      </w:pPr>
      <w:r>
        <w:rPr>
          <w:rStyle w:val="FootnoteReference"/>
        </w:rPr>
        <w:footnoteRef/>
      </w:r>
      <w:r>
        <w:rPr>
          <w:color w:val="333333"/>
          <w:u w:val="none"/>
        </w:rPr>
        <w:t xml:space="preserve"> </w:t>
      </w:r>
      <w:hyperlink r:id="rIdV4">
        <w:r>
          <w:rPr>
            <w:color w:val="333333"/>
            <w:u w:val="none"/>
          </w:rPr>
          <w:t xml:space="preserve">Schuck et al. (2016), Human Orbitofrontal Cortex Represents a Cognitive Map of State Space. Neuron</w:t>
        </w:r>
      </w:hyperlink>
      <w:r>
        <w:rPr>
          <w:color w:val="333333"/>
          <w:u w:val="none"/>
        </w:rPr>
        <w:t xml:space="preserve">.</w:t>
      </w:r>
    </w:p>
  </w:footnote>
  <w:footnote w:id="43">
    <w:p>
      <w:pPr>
        <w:pStyle w:val="FootnoteText"/>
      </w:pPr>
      <w:r>
        <w:rPr>
          <w:rStyle w:val="FootnoteReference"/>
        </w:rPr>
        <w:footnoteRef/>
      </w:r>
      <w:r>
        <w:rPr>
          <w:color w:val="333333"/>
          <w:u w:val="none"/>
        </w:rPr>
        <w:t xml:space="preserve"> </w:t>
      </w:r>
      <w:hyperlink r:id="rIdC4">
        <w:r>
          <w:rPr>
            <w:color w:val="333333"/>
            <w:u w:val="none"/>
          </w:rPr>
          <w:t xml:space="preserve">Kiani and Shadlen (2009), Representation of confidence associated with a decision by neurons in the parietal cortex. Science</w:t>
        </w:r>
      </w:hyperlink>
      <w:r>
        <w:rPr>
          <w:color w:val="333333"/>
          <w:u w:val="none"/>
        </w:rPr>
        <w:t xml:space="preserve">; </w:t>
      </w:r>
      <w:hyperlink r:id="rIdC3">
        <w:r>
          <w:rPr>
            <w:color w:val="333333"/>
            <w:u w:val="none"/>
          </w:rPr>
          <w:t xml:space="preserve">Fleming et al. (2014), Domain-specific impairment in metacognitive accuracy following anterior prefrontal lesions. Brain</w:t>
        </w:r>
      </w:hyperlink>
      <w:r>
        <w:rPr>
          <w:color w:val="333333"/>
          <w:u w:val="none"/>
        </w:rPr>
        <w:t xml:space="preserve">.</w:t>
      </w:r>
    </w:p>
  </w:footnote>
  <w:footnote w:id="44">
    <w:p>
      <w:pPr>
        <w:pStyle w:val="FootnoteText"/>
      </w:pPr>
      <w:r>
        <w:rPr>
          <w:rStyle w:val="FootnoteReference"/>
        </w:rPr>
        <w:footnoteRef/>
      </w:r>
      <w:r>
        <w:rPr>
          <w:color w:val="333333"/>
          <w:u w:val="none"/>
        </w:rPr>
        <w:t xml:space="preserve"> </w:t>
      </w:r>
      <w:hyperlink r:id="rIdA2">
        <w:r>
          <w:rPr>
            <w:color w:val="333333"/>
            <w:u w:val="none"/>
          </w:rPr>
          <w:t xml:space="preserve">Atlan et al. (2018), The Claustrum Supports Resilience to Distraction. Current Biology</w:t>
        </w:r>
      </w:hyperlink>
      <w:r>
        <w:rPr>
          <w:color w:val="333333"/>
          <w:u w:val="none"/>
        </w:rPr>
        <w:t xml:space="preserve">.</w:t>
      </w:r>
    </w:p>
  </w:footnote>
  <w:footnote w:id="45">
    <w:p>
      <w:pPr>
        <w:pStyle w:val="FootnoteText"/>
      </w:pPr>
      <w:r>
        <w:rPr>
          <w:rStyle w:val="FootnoteReference"/>
        </w:rPr>
        <w:footnoteRef/>
      </w:r>
      <w:r>
        <w:rPr>
          <w:color w:val="333333"/>
          <w:u w:val="none"/>
        </w:rPr>
        <w:t xml:space="preserve"> </w:t>
      </w:r>
      <w:hyperlink r:id="rIdG1">
        <w:r>
          <w:rPr>
            <w:color w:val="333333"/>
            <w:u w:val="none"/>
          </w:rPr>
          <w:t xml:space="preserve">Saffran, Aslin and Newport (1996)</w:t>
        </w:r>
      </w:hyperlink>
      <w:r>
        <w:rPr>
          <w:color w:val="333333"/>
          <w:u w:val="none"/>
        </w:rPr>
        <w:t xml:space="preserve">; </w:t>
      </w:r>
      <w:hyperlink r:id="rIdG4">
        <w:r>
          <w:rPr>
            <w:color w:val="333333"/>
            <w:u w:val="none"/>
          </w:rPr>
          <w:t xml:space="preserve">Kuhl, Tsao and Liu (2003), Foreign-language experience in infancy: Effects of short-term exposure and social interaction on phonetic learning. PNAS</w:t>
        </w:r>
      </w:hyperlink>
      <w:r>
        <w:rPr>
          <w:color w:val="333333"/>
          <w:u w:val="none"/>
        </w:rPr>
        <w:t xml:space="preserve">.</w:t>
      </w:r>
    </w:p>
  </w:footnote>
  <w:footnote w:id="46">
    <w:p>
      <w:pPr>
        <w:pStyle w:val="FootnoteText"/>
      </w:pPr>
      <w:r>
        <w:rPr>
          <w:rStyle w:val="FootnoteReference"/>
        </w:rPr>
        <w:footnoteRef/>
      </w:r>
      <w:r>
        <w:rPr>
          <w:color w:val="333333"/>
          <w:u w:val="none"/>
        </w:rPr>
        <w:t xml:space="preserve"> </w:t>
      </w:r>
      <w:hyperlink r:id="rIdH6">
        <w:r>
          <w:rPr>
            <w:color w:val="333333"/>
            <w:u w:val="none"/>
          </w:rPr>
          <w:t xml:space="preserve">Hitti and Siegelbaum (2014)</w:t>
        </w:r>
      </w:hyperlink>
      <w:r>
        <w:rPr>
          <w:color w:val="333333"/>
          <w:u w:val="none"/>
        </w:rPr>
        <w:t xml:space="preserve">; </w:t>
      </w:r>
      <w:hyperlink r:id="rIdG3">
        <w:r>
          <w:rPr>
            <w:color w:val="333333"/>
            <w:u w:val="none"/>
          </w:rPr>
          <w:t xml:space="preserve">DiNicola, Braga and Buckner (2020)</w:t>
        </w:r>
      </w:hyperlink>
      <w:r>
        <w:rPr>
          <w:color w:val="333333"/>
          <w:u w:val="none"/>
        </w:rPr>
        <w:t xml:space="preserve">.</w:t>
      </w:r>
    </w:p>
  </w:footnote>
  <w:footnote w:id="47">
    <w:p>
      <w:pPr>
        <w:pStyle w:val="FootnoteText"/>
      </w:pPr>
      <w:r>
        <w:rPr>
          <w:rStyle w:val="FootnoteReference"/>
        </w:rPr>
        <w:footnoteRef/>
      </w:r>
      <w:r>
        <w:rPr>
          <w:color w:val="333333"/>
          <w:u w:val="none"/>
        </w:rPr>
        <w:t xml:space="preserve"> </w:t>
      </w:r>
      <w:hyperlink r:id="rIdC1">
        <w:r>
          <w:rPr>
            <w:color w:val="333333"/>
            <w:u w:val="none"/>
          </w:rPr>
          <w:t xml:space="preserve">Redinbaugh et al. (2020), Thalamus Modulates Consciousness via Layer-Specific Control of Cortex. Neuron</w:t>
        </w:r>
      </w:hyperlink>
      <w:r>
        <w:rPr>
          <w:color w:val="333333"/>
          <w:u w:val="none"/>
        </w:rPr>
        <w:t xml:space="preserve">; </w:t>
      </w:r>
      <w:hyperlink r:id="rIdC2">
        <w:r>
          <w:rPr>
            <w:color w:val="333333"/>
            <w:u w:val="none"/>
          </w:rPr>
          <w:t xml:space="preserve">Cogitate Consortium et al. (2025), Adversarial testing of global neuronal workspace and integrated information theories of consciousness. Nature</w:t>
        </w:r>
      </w:hyperlink>
      <w:r>
        <w:rPr>
          <w:color w:val="333333"/>
          <w:u w:val="none"/>
        </w:rPr>
        <w:t xml:space="preserve">; </w:t>
      </w:r>
      <w:hyperlink r:id="rIdC3">
        <w:r>
          <w:rPr>
            <w:color w:val="333333"/>
            <w:u w:val="none"/>
          </w:rPr>
          <w:t xml:space="preserve">Fleming et al. (2014)</w:t>
        </w:r>
      </w:hyperlink>
      <w:r>
        <w:rPr>
          <w:color w:val="333333"/>
          <w:u w:val="none"/>
        </w:rPr>
        <w:t xml:space="preserve">.</w:t>
      </w:r>
    </w:p>
  </w:footnote>
  <w:footnote w:id="48">
    <w:p>
      <w:pPr>
        <w:pStyle w:val="FootnoteText"/>
      </w:pPr>
      <w:r>
        <w:rPr>
          <w:rStyle w:val="FootnoteReference"/>
        </w:rPr>
        <w:footnoteRef/>
      </w:r>
      <w:r>
        <w:rPr>
          <w:color w:val="333333"/>
          <w:u w:val="none"/>
        </w:rPr>
        <w:t xml:space="preserve"> </w:t>
      </w:r>
      <w:hyperlink r:id="rIdD8">
        <w:r>
          <w:rPr>
            <w:color w:val="333333"/>
            <w:u w:val="none"/>
          </w:rPr>
          <w:t xml:space="preserve">Linkenhoker and Knudsen (2002), Incremental training increases the plasticity of the auditory space map in adult barn owls. Nature</w:t>
        </w:r>
      </w:hyperlink>
      <w:r>
        <w:rPr>
          <w:color w:val="333333"/>
          <w:u w:val="none"/>
        </w:rPr>
        <w:t xml:space="preserve">.</w:t>
      </w:r>
    </w:p>
  </w:footnote>
  <w:footnote w:id="49">
    <w:p>
      <w:pPr>
        <w:pStyle w:val="FootnoteText"/>
      </w:pPr>
      <w:r>
        <w:rPr>
          <w:rStyle w:val="FootnoteReference"/>
        </w:rPr>
        <w:footnoteRef/>
      </w:r>
      <w:r>
        <w:rPr>
          <w:color w:val="333333"/>
          <w:u w:val="none"/>
        </w:rPr>
        <w:t xml:space="preserve"> </w:t>
      </w:r>
      <w:hyperlink r:id="rIdL4">
        <w:r>
          <w:rPr>
            <w:color w:val="333333"/>
            <w:u w:val="none"/>
          </w:rPr>
          <w:t xml:space="preserve">Yagishita et al. (2014)</w:t>
        </w:r>
      </w:hyperlink>
      <w:r>
        <w:rPr>
          <w:color w:val="333333"/>
          <w:u w:val="none"/>
        </w:rPr>
        <w:t xml:space="preserve">; </w:t>
      </w:r>
      <w:hyperlink r:id="rIdL5">
        <w:r>
          <w:rPr>
            <w:color w:val="333333"/>
            <w:u w:val="none"/>
          </w:rPr>
          <w:t xml:space="preserve">Bittner et al. (2017)</w:t>
        </w:r>
      </w:hyperlink>
      <w:r>
        <w:rPr>
          <w:color w:val="333333"/>
          <w:u w:val="none"/>
        </w:rPr>
        <w:t xml:space="preserve">; </w:t>
      </w:r>
      <w:hyperlink r:id="rIdL7">
        <w:r>
          <w:rPr>
            <w:color w:val="333333"/>
            <w:u w:val="none"/>
          </w:rPr>
          <w:t xml:space="preserve">Turrigiano et al. (1998)</w:t>
        </w:r>
      </w:hyperlink>
      <w:r>
        <w:rPr>
          <w:color w:val="333333"/>
          <w:u w:val="none"/>
        </w:rPr>
        <w:t xml:space="preserve">.</w:t>
      </w:r>
    </w:p>
  </w:footnote>
  <w:footnote w:id="50">
    <w:p>
      <w:pPr>
        <w:pStyle w:val="FootnoteText"/>
      </w:pPr>
      <w:r>
        <w:rPr>
          <w:rStyle w:val="FootnoteReference"/>
        </w:rPr>
        <w:footnoteRef/>
      </w:r>
      <w:r>
        <w:rPr>
          <w:color w:val="333333"/>
          <w:u w:val="none"/>
        </w:rPr>
        <w:t xml:space="preserve"> </w:t>
      </w:r>
      <w:hyperlink r:id="rIdL6">
        <w:r>
          <w:rPr>
            <w:color w:val="333333"/>
            <w:u w:val="none"/>
          </w:rPr>
          <w:t xml:space="preserve">Bellec et al. (2020), A solution to the learning dilemma for recurrent networks of spiking neurons. Nature Communications</w:t>
        </w:r>
      </w:hyperlink>
      <w:r>
        <w:rPr>
          <w:color w:val="333333"/>
          <w:u w:val="none"/>
        </w:rPr>
        <w:t xml:space="preserve">.</w:t>
      </w:r>
    </w:p>
  </w:footnote>
  <w:footnote w:id="51">
    <w:p>
      <w:pPr>
        <w:pStyle w:val="FootnoteText"/>
      </w:pPr>
      <w:r>
        <w:rPr>
          <w:rStyle w:val="FootnoteReference"/>
        </w:rPr>
        <w:footnoteRef/>
      </w:r>
      <w:r>
        <w:rPr>
          <w:color w:val="333333"/>
          <w:u w:val="none"/>
        </w:rPr>
        <w:t xml:space="preserve"> </w:t>
      </w:r>
      <w:hyperlink r:id="rIdM9">
        <w:r>
          <w:rPr>
            <w:color w:val="333333"/>
            <w:u w:val="none"/>
          </w:rPr>
          <w:t xml:space="preserve">Fogassi et al. (2001)</w:t>
        </w:r>
      </w:hyperlink>
      <w:r>
        <w:rPr>
          <w:color w:val="333333"/>
          <w:u w:val="none"/>
        </w:rPr>
        <w:t xml:space="preserve">; </w:t>
      </w:r>
      <w:hyperlink r:id="rIdD5">
        <w:r>
          <w:rPr>
            <w:color w:val="333333"/>
            <w:u w:val="none"/>
          </w:rPr>
          <w:t xml:space="preserve">Kawai et al. (2015)</w:t>
        </w:r>
      </w:hyperlink>
      <w:r>
        <w:rPr>
          <w:color w:val="333333"/>
          <w:u w:val="none"/>
        </w:rPr>
        <w:t xml:space="preserve">.</w:t>
      </w:r>
    </w:p>
  </w:footnote>
  <w:footnote w:id="52">
    <w:p>
      <w:pPr>
        <w:pStyle w:val="FootnoteText"/>
      </w:pPr>
      <w:r>
        <w:rPr>
          <w:rStyle w:val="FootnoteReference"/>
        </w:rPr>
        <w:footnoteRef/>
      </w:r>
      <w:r>
        <w:rPr>
          <w:color w:val="333333"/>
          <w:u w:val="none"/>
        </w:rPr>
        <w:t xml:space="preserve"> </w:t>
      </w:r>
      <w:hyperlink r:id="rIdM1">
        <w:r>
          <w:rPr>
            <w:color w:val="333333"/>
            <w:u w:val="none"/>
          </w:rPr>
          <w:t xml:space="preserve">Riddle, Edgley and Baker (2009)</w:t>
        </w:r>
      </w:hyperlink>
      <w:r>
        <w:rPr>
          <w:color w:val="333333"/>
          <w:u w:val="none"/>
        </w:rPr>
        <w:t xml:space="preserve">; </w:t>
      </w:r>
      <w:hyperlink r:id="rIdM9">
        <w:r>
          <w:rPr>
            <w:color w:val="333333"/>
            <w:u w:val="none"/>
          </w:rPr>
          <w:t xml:space="preserve">Fogassi et al. (2001)</w:t>
        </w:r>
      </w:hyperlink>
      <w:r>
        <w:rPr>
          <w:color w:val="333333"/>
          <w:u w:val="none"/>
        </w:rPr>
        <w:t xml:space="preserve">; </w:t>
      </w:r>
      <w:hyperlink r:id="rIdM6">
        <w:r>
          <w:rPr>
            <w:color w:val="333333"/>
            <w:u w:val="none"/>
          </w:rPr>
          <w:t xml:space="preserve">Herzfeld et al. (2018)</w:t>
        </w:r>
      </w:hyperlink>
      <w:r>
        <w:rPr>
          <w:color w:val="333333"/>
          <w:u w:val="none"/>
        </w:rPr>
        <w:t xml:space="preserve">.</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59" w:lineRule="auto"/>
    </w:pPr>
    <w:rPr>
      <w:rFonts w:ascii="Calibri" w:hAnsi="Calibri"/>
      <w:color w:val="191919"/>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widowControl/>
      <w:spacing w:after="20" w:line="240" w:lineRule="auto"/>
    </w:pPr>
    <w:rPr>
      <w:rFonts w:ascii="Calibri" w:hAnsi="Calibri"/>
      <w:sz w:val="18"/>
    </w:rPr>
  </w:style>
  <w:style w:type="paragraph" w:customStyle="1" w:styleId="SourceText">
    <w:name w:val="Source Text"/>
    <w:pPr>
      <w:widowControl/>
      <w:spacing w:after="60" w:line="250" w:lineRule="auto"/>
    </w:pPr>
    <w:rPr>
      <w:rFonts w:ascii="Calibri" w:hAnsi="Calibri"/>
      <w:sz w:val="20"/>
    </w:rPr>
  </w:style>
  <w:style w:type="character" w:customStyle="1" w:styleId="FootnoteReference">
    <w:name w:val="Footnote Reference"/>
    <w:rPr>
      <w:sz w:val="16"/>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ature.com/articles/nature11529" TargetMode="External"/><Relationship Id="rId11" Type="http://schemas.openxmlformats.org/officeDocument/2006/relationships/hyperlink" Target="https://www.nature.com/articles/nature06310" TargetMode="External"/><Relationship Id="rId12" Type="http://schemas.openxmlformats.org/officeDocument/2006/relationships/hyperlink" Target="https://www.nature.com/articles/nn.4058" TargetMode="External"/><Relationship Id="rId13" Type="http://schemas.openxmlformats.org/officeDocument/2006/relationships/hyperlink" Target="https://pubmed.ncbi.nlm.nih.gov/41082527/" TargetMode="External"/><Relationship Id="rId14" Type="http://schemas.openxmlformats.org/officeDocument/2006/relationships/hyperlink" Target="https://www.sciencedirect.com/science/article/pii/S0960982218308595" TargetMode="External"/><Relationship Id="rId15" Type="http://schemas.openxmlformats.org/officeDocument/2006/relationships/hyperlink" Target="https://pubmed.ncbi.nlm.nih.gov/28602353/" TargetMode="External"/><Relationship Id="rId16" Type="http://schemas.openxmlformats.org/officeDocument/2006/relationships/hyperlink" Target="https://www.nature.com/articles/nature13021" TargetMode="External"/><Relationship Id="rId17" Type="http://schemas.openxmlformats.org/officeDocument/2006/relationships/hyperlink" Target="https://doi.org/10.1016/j.neuron.2017.06.041" TargetMode="External"/><Relationship Id="rId18" Type="http://schemas.openxmlformats.org/officeDocument/2006/relationships/hyperlink" Target="https://www.nature.com/articles/s41467-020-17236-y" TargetMode="External"/><Relationship Id="rId19" Type="http://schemas.openxmlformats.org/officeDocument/2006/relationships/hyperlink" Target="https://pubmed.ncbi.nlm.nih.gov/26526392/" TargetMode="External"/><Relationship Id="rId20" Type="http://schemas.openxmlformats.org/officeDocument/2006/relationships/hyperlink" Target="https://pubmed.ncbi.nlm.nih.gov/28883072/" TargetMode="External"/><Relationship Id="rId21" Type="http://schemas.openxmlformats.org/officeDocument/2006/relationships/hyperlink" Target="https://www.nature.com/articles/nn.4568" TargetMode="External"/><Relationship Id="rId22" Type="http://schemas.openxmlformats.org/officeDocument/2006/relationships/hyperlink" Target="https://www.nature.com/articles/416632a" TargetMode="External"/><Relationship Id="rId23" Type="http://schemas.openxmlformats.org/officeDocument/2006/relationships/hyperlink" Target="https://www.nature.com/articles/nature25448" TargetMode="External"/><Relationship Id="rId24" Type="http://schemas.openxmlformats.org/officeDocument/2006/relationships/hyperlink" Target="https://www.nature.com/articles/nature25511" TargetMode="External"/><Relationship Id="rId25" Type="http://schemas.openxmlformats.org/officeDocument/2006/relationships/hyperlink" Target="https://www.nature.com/articles/s41586-025-08888-1" TargetMode="External"/><Relationship Id="rId26" Type="http://schemas.openxmlformats.org/officeDocument/2006/relationships/hyperlink" Target="https://doi.org/10.1152/jn.00529.2019" TargetMode="External"/><Relationship Id="rId27" Type="http://schemas.openxmlformats.org/officeDocument/2006/relationships/hyperlink" Target="https://elifesciences.org/articles/27689" TargetMode="External"/><Relationship Id="rId28" Type="http://schemas.openxmlformats.org/officeDocument/2006/relationships/hyperlink" Target="https://pubmed.ncbi.nlm.nih.gov/25100039/" TargetMode="External"/><Relationship Id="rId29" Type="http://schemas.openxmlformats.org/officeDocument/2006/relationships/hyperlink" Target="https://academic.oup.com/brain/article/124/3/571/334371" TargetMode="External"/><Relationship Id="rId30" Type="http://schemas.openxmlformats.org/officeDocument/2006/relationships/hyperlink" Target="https://pubmed.ncbi.nlm.nih.gov/34437090/" TargetMode="External"/><Relationship Id="rId31" Type="http://schemas.openxmlformats.org/officeDocument/2006/relationships/hyperlink" Target="https://www.nature.com/articles/nn.2384" TargetMode="External"/><Relationship Id="rId32" Type="http://schemas.openxmlformats.org/officeDocument/2006/relationships/hyperlink" Target="https://www.nature.com/articles/349154a0" TargetMode="External"/><Relationship Id="rId33" Type="http://schemas.openxmlformats.org/officeDocument/2006/relationships/hyperlink" Target="https://www.nature.com/articles/nature22324" TargetMode="External"/><Relationship Id="rId34" Type="http://schemas.openxmlformats.org/officeDocument/2006/relationships/hyperlink" Target="https://www.nature.com/articles/s41593-018-0136-y" TargetMode="External"/><Relationship Id="rId35" Type="http://schemas.openxmlformats.org/officeDocument/2006/relationships/hyperlink" Target="https://www.nature.com/articles/nature13028" TargetMode="External"/><Relationship Id="rId36" Type="http://schemas.openxmlformats.org/officeDocument/2006/relationships/hyperlink" Target="https://www.nature.com/articles/ncomms8462" TargetMode="External"/><Relationship Id="rId37" Type="http://schemas.openxmlformats.org/officeDocument/2006/relationships/hyperlink" Target="https://pubmed.ncbi.nlm.nih.gov/42214337/" TargetMode="External"/><Relationship Id="rId38" Type="http://schemas.openxmlformats.org/officeDocument/2006/relationships/hyperlink" Target="https://www.nature.com/articles/415073a" TargetMode="External"/><Relationship Id="rId39" Type="http://schemas.openxmlformats.org/officeDocument/2006/relationships/hyperlink" Target="https://www.nature.com/articles/s41593-019-0392-5" TargetMode="External"/><Relationship Id="rId40" Type="http://schemas.openxmlformats.org/officeDocument/2006/relationships/hyperlink" Target="https://doi.org/10.1016/j.neuron.2015.03.024" TargetMode="External"/><Relationship Id="rId41" Type="http://schemas.openxmlformats.org/officeDocument/2006/relationships/hyperlink" Target="https://www.nature.com/articles/nature03132" TargetMode="External"/><Relationship Id="rId42" Type="http://schemas.openxmlformats.org/officeDocument/2006/relationships/hyperlink" Target="https://pubmed.ncbi.nlm.nih.gov/19423820/" TargetMode="External"/><Relationship Id="rId43" Type="http://schemas.openxmlformats.org/officeDocument/2006/relationships/hyperlink" Target="https://doi.org/10.1126/science.aam6808" TargetMode="External"/><Relationship Id="rId44" Type="http://schemas.openxmlformats.org/officeDocument/2006/relationships/hyperlink" Target="https://www.nature.com/articles/nn.3614" TargetMode="External"/><Relationship Id="rId45" Type="http://schemas.openxmlformats.org/officeDocument/2006/relationships/hyperlink" Target="https://pubmed.ncbi.nlm.nih.gov/12861072/" TargetMode="External"/><Relationship Id="rId46" Type="http://schemas.openxmlformats.org/officeDocument/2006/relationships/hyperlink" Target="https://pubmed.ncbi.nlm.nih.gov/20558721/" TargetMode="External"/><Relationship Id="rId47" Type="http://schemas.openxmlformats.org/officeDocument/2006/relationships/hyperlink" Target="https://doi.org/10.1126/science.1160028" TargetMode="External"/><Relationship Id="rId48" Type="http://schemas.openxmlformats.org/officeDocument/2006/relationships/hyperlink" Target="https://doi.org/10.1016/j.neuron.2010.08.029" TargetMode="External"/><Relationship Id="rId49" Type="http://schemas.openxmlformats.org/officeDocument/2006/relationships/hyperlink" Target="https://www.nature.com/articles/nature01002" TargetMode="External"/><Relationship Id="rId50" Type="http://schemas.openxmlformats.org/officeDocument/2006/relationships/hyperlink" Target="https://www.nature.com/articles/nature22375" TargetMode="External"/><Relationship Id="rId51" Type="http://schemas.openxmlformats.org/officeDocument/2006/relationships/hyperlink" Target="https://www.nature.com/articles/36846" TargetMode="External"/><Relationship Id="rId52" Type="http://schemas.openxmlformats.org/officeDocument/2006/relationships/hyperlink" Target="https://www.nature.com/articles/nature05860" TargetMode="External"/><Relationship Id="rId53" Type="http://schemas.openxmlformats.org/officeDocument/2006/relationships/hyperlink" Target="https://arxiv.org/abs/2312.04318" TargetMode="External"/><Relationship Id="rId54" Type="http://schemas.openxmlformats.org/officeDocument/2006/relationships/hyperlink" Target="https://pubmed.ncbi.nlm.nih.gov/25155504/" TargetMode="External"/><Relationship Id="rId55" Type="http://schemas.openxmlformats.org/officeDocument/2006/relationships/hyperlink" Target="https://www.nature.com/articles/nature01341" TargetMode="External"/><Relationship Id="rId56" Type="http://schemas.openxmlformats.org/officeDocument/2006/relationships/hyperlink" Target="https://journals.sagepub.com/doi/abs/10.1089/neu.2010.1708" TargetMode="External"/><Relationship Id="rId57" Type="http://schemas.openxmlformats.org/officeDocument/2006/relationships/hyperlink" Target="https://mujoco.readthedocs.io/en/latest/XMLreference.html" TargetMode="External"/><Relationship Id="rId58" Type="http://schemas.openxmlformats.org/officeDocument/2006/relationships/hyperlink" Target="https://pubmed.ncbi.nlm.nih.gov/12040087/" TargetMode="External"/><Relationship Id="rId59" Type="http://schemas.openxmlformats.org/officeDocument/2006/relationships/hyperlink" Target="https://www.nature.com/articles/381607a0" TargetMode="External"/><Relationship Id="rId60" Type="http://schemas.openxmlformats.org/officeDocument/2006/relationships/hyperlink" Target="https://www.nature.com/articles/s41467-024-51391-w" TargetMode="External"/><Relationship Id="rId61" Type="http://schemas.openxmlformats.org/officeDocument/2006/relationships/hyperlink" Target="https://arxiv.org/abs/2606.17456" TargetMode="External"/><Relationship Id="rId62" Type="http://schemas.openxmlformats.org/officeDocument/2006/relationships/hyperlink" Target="https://www.nature.com/articles/nn.3552" TargetMode="External"/><Relationship Id="rId63" Type="http://schemas.openxmlformats.org/officeDocument/2006/relationships/hyperlink" Target="https://www.nature.com/articles/s41586-022-05139-5" TargetMode="External"/><Relationship Id="rId64" Type="http://schemas.openxmlformats.org/officeDocument/2006/relationships/hyperlink" Target="https://pubmed.ncbi.nlm.nih.gov/32053769/" TargetMode="External"/><Relationship Id="rId65" Type="http://schemas.openxmlformats.org/officeDocument/2006/relationships/hyperlink" Target="https://pubmed.ncbi.nlm.nih.gov/19369568/" TargetMode="External"/><Relationship Id="rId66" Type="http://schemas.openxmlformats.org/officeDocument/2006/relationships/hyperlink" Target="https://www.nature.com/articles/nn1786" TargetMode="External"/><Relationship Id="rId67" Type="http://schemas.openxmlformats.org/officeDocument/2006/relationships/hyperlink" Target="https://pubmed.ncbi.nlm.nih.gov/22879517/" TargetMode="External"/><Relationship Id="rId68" Type="http://schemas.openxmlformats.org/officeDocument/2006/relationships/hyperlink" Target="https://pubmed.ncbi.nlm.nih.gov/8943209/" TargetMode="External"/><Relationship Id="rId69" Type="http://schemas.openxmlformats.org/officeDocument/2006/relationships/hyperlink" Target="https://journals.physiology.org/doi/full/10.1152/jn.00342.2006" TargetMode="External"/><Relationship Id="rId70" Type="http://schemas.openxmlformats.org/officeDocument/2006/relationships/hyperlink" Target="https://www.nature.com/articles/nature22073" TargetMode="External"/><Relationship Id="rId71" Type="http://schemas.openxmlformats.org/officeDocument/2006/relationships/hyperlink" Target="https://pubmed.ncbi.nlm.nih.gov/27657452/" TargetMode="External"/><Relationship Id="rId72" Type="http://schemas.openxmlformats.org/officeDocument/2006/relationships/hyperlink" Target="https://www.nature.com/articles/nature05279" TargetMode="External"/><Relationship Id="rId73" Type="http://schemas.openxmlformats.org/officeDocument/2006/relationships/hyperlink" Target="https://www.nature.com/articles/nn.3413" TargetMode="External"/><Relationship Id="rId74" Type="http://schemas.openxmlformats.org/officeDocument/2006/relationships/hyperlink" Target="https://www.nature.com/articles/nature12286" TargetMode="External"/><Relationship Id="rId75" Type="http://schemas.openxmlformats.org/officeDocument/2006/relationships/hyperlink" Target="https://www.nature.com/articles/36103" TargetMode="External"/><Relationship Id="rId76" Type="http://schemas.openxmlformats.org/officeDocument/2006/relationships/hyperlink" Target="https://www.nature.com/articles/nn.4642" TargetMode="External"/><Relationship Id="rId77" Type="http://schemas.openxmlformats.org/officeDocument/2006/relationships/hyperlink" Target="https://www.nature.com/articles/s41593-025-01874-w" TargetMode="External"/><Relationship Id="rId78" Type="http://schemas.openxmlformats.org/officeDocument/2006/relationships/hyperlink" Target="https://doi.org/10.1152/jn.2000.83.6.3578" TargetMode="External"/><Relationship Id="rId79" Type="http://schemas.openxmlformats.org/officeDocument/2006/relationships/hyperlink" Target="https://pubmed.ncbi.nlm.nih.gov/31647251/" TargetMode="External"/><Relationship Id="rId80" Type="http://schemas.openxmlformats.org/officeDocument/2006/relationships/hyperlink" Target="https://pubmed.ncbi.nlm.nih.gov/25258080/" TargetMode="External"/><Relationship Id="rId81" Type="http://schemas.openxmlformats.org/officeDocument/2006/relationships/hyperlink" Target="https://elifesciences.org/articles/82952" TargetMode="External"/><Relationship Id="rIdFootnotes" Type="http://schemas.openxmlformats.org/officeDocument/2006/relationships/footnotes" Target="footnotes.xml"/></Relationships>
</file>

<file path=word/_rels/footnotes.xml.rels><?xml version='1.0' encoding='UTF-8' standalone='yes'?>
<Relationships xmlns="http://schemas.openxmlformats.org/package/2006/relationships"><Relationship Id="rIdD1" Type="http://schemas.openxmlformats.org/officeDocument/2006/relationships/hyperlink" Target="https://www.nature.com/articles/nature11529" TargetMode="External"/><Relationship Id="rIdD3" Type="http://schemas.openxmlformats.org/officeDocument/2006/relationships/hyperlink" Target="https://www.nature.com/articles/nature03132" TargetMode="External"/><Relationship Id="rIdD4" Type="http://schemas.openxmlformats.org/officeDocument/2006/relationships/hyperlink" Target="https://pubmed.ncbi.nlm.nih.gov/28602353/" TargetMode="External"/><Relationship Id="rIdM1" Type="http://schemas.openxmlformats.org/officeDocument/2006/relationships/hyperlink" Target="https://pubmed.ncbi.nlm.nih.gov/19369568/" TargetMode="External"/><Relationship Id="rIdM2" Type="http://schemas.openxmlformats.org/officeDocument/2006/relationships/hyperlink" Target="https://journals.physiology.org/doi/full/10.1152/jn.00342.2006" TargetMode="External"/><Relationship Id="rIdM4" Type="http://schemas.openxmlformats.org/officeDocument/2006/relationships/hyperlink" Target="https://journals.sagepub.com/doi/abs/10.1089/neu.2010.1708" TargetMode="External"/><Relationship Id="rIdN5" Type="http://schemas.openxmlformats.org/officeDocument/2006/relationships/hyperlink" Target="https://www.nature.com/articles/nn.4058" TargetMode="External"/><Relationship Id="rIdS2" Type="http://schemas.openxmlformats.org/officeDocument/2006/relationships/hyperlink" Target="https://www.nature.com/articles/nn1786" TargetMode="External"/><Relationship Id="rIdD5" Type="http://schemas.openxmlformats.org/officeDocument/2006/relationships/hyperlink" Target="https://doi.org/10.1016/j.neuron.2015.03.024" TargetMode="External"/><Relationship Id="rIdT1" Type="http://schemas.openxmlformats.org/officeDocument/2006/relationships/hyperlink" Target="https://www.nature.com/articles/nature22324" TargetMode="External"/><Relationship Id="rIdT2" Type="http://schemas.openxmlformats.org/officeDocument/2006/relationships/hyperlink" Target="https://www.nature.com/articles/nature22073" TargetMode="External"/><Relationship Id="rIdT3" Type="http://schemas.openxmlformats.org/officeDocument/2006/relationships/hyperlink" Target="https://www.nature.com/articles/nn.4568" TargetMode="External"/><Relationship Id="rIdL2" Type="http://schemas.openxmlformats.org/officeDocument/2006/relationships/hyperlink" Target="https://doi.org/10.1126/science.1160028" TargetMode="External"/><Relationship Id="rIdL3" Type="http://schemas.openxmlformats.org/officeDocument/2006/relationships/hyperlink" Target="https://doi.org/10.1016/j.neuron.2010.08.029" TargetMode="External"/><Relationship Id="rIdN1" Type="http://schemas.openxmlformats.org/officeDocument/2006/relationships/hyperlink" Target="https://pubmed.ncbi.nlm.nih.gov/20558721/" TargetMode="External"/><Relationship Id="rIdT4" Type="http://schemas.openxmlformats.org/officeDocument/2006/relationships/hyperlink" Target="https://pubmed.ncbi.nlm.nih.gov/42214337/" TargetMode="External"/><Relationship Id="rIdD6" Type="http://schemas.openxmlformats.org/officeDocument/2006/relationships/hyperlink" Target="https://doi.org/10.1152/jn.2000.83.6.3578" TargetMode="External"/><Relationship Id="rIdD7" Type="http://schemas.openxmlformats.org/officeDocument/2006/relationships/hyperlink" Target="https://www.nature.com/articles/415073a" TargetMode="External"/><Relationship Id="rIdS5" Type="http://schemas.openxmlformats.org/officeDocument/2006/relationships/hyperlink" Target="https://www.nature.com/articles/416632a" TargetMode="External"/><Relationship Id="rIdE1" Type="http://schemas.openxmlformats.org/officeDocument/2006/relationships/hyperlink" Target="https://mujoco.readthedocs.io/en/latest/XMLreference.html" TargetMode="External"/><Relationship Id="rIdE2" Type="http://schemas.openxmlformats.org/officeDocument/2006/relationships/hyperlink" Target="https://arxiv.org/abs/2312.04318" TargetMode="External"/><Relationship Id="rIdD2" Type="http://schemas.openxmlformats.org/officeDocument/2006/relationships/hyperlink" Target="https://pubmed.ncbi.nlm.nih.gov/34437090/" TargetMode="External"/><Relationship Id="rIdL7" Type="http://schemas.openxmlformats.org/officeDocument/2006/relationships/hyperlink" Target="https://www.nature.com/articles/36103" TargetMode="External"/><Relationship Id="rIdE3" Type="http://schemas.openxmlformats.org/officeDocument/2006/relationships/hyperlink" Target="https://arxiv.org/abs/2606.17456" TargetMode="External"/><Relationship Id="rIdL1" Type="http://schemas.openxmlformats.org/officeDocument/2006/relationships/hyperlink" Target="https://www.nature.com/articles/381607a0" TargetMode="External"/><Relationship Id="rIdG1" Type="http://schemas.openxmlformats.org/officeDocument/2006/relationships/hyperlink" Target="https://pubmed.ncbi.nlm.nih.gov/8943209/" TargetMode="External"/><Relationship Id="rIdM7" Type="http://schemas.openxmlformats.org/officeDocument/2006/relationships/hyperlink" Target="https://www.nature.com/articles/nature12286" TargetMode="External"/><Relationship Id="rIdV5" Type="http://schemas.openxmlformats.org/officeDocument/2006/relationships/hyperlink" Target="https://www.nature.com/articles/s41586-022-05139-5" TargetMode="External"/><Relationship Id="rIdV10" Type="http://schemas.openxmlformats.org/officeDocument/2006/relationships/hyperlink" Target="https://www.nature.com/articles/nature25511" TargetMode="External"/><Relationship Id="rIdV6" Type="http://schemas.openxmlformats.org/officeDocument/2006/relationships/hyperlink" Target="https://www.nature.com/articles/nature06310" TargetMode="External"/><Relationship Id="rIdM3" Type="http://schemas.openxmlformats.org/officeDocument/2006/relationships/hyperlink" Target="https://www.nature.com/articles/nature25448" TargetMode="External"/><Relationship Id="rIdM5" Type="http://schemas.openxmlformats.org/officeDocument/2006/relationships/hyperlink" Target="https://www.nature.com/articles/nature13021" TargetMode="External"/><Relationship Id="rIdM6" Type="http://schemas.openxmlformats.org/officeDocument/2006/relationships/hyperlink" Target="https://www.nature.com/articles/s41593-018-0136-y" TargetMode="External"/><Relationship Id="rIdS4" Type="http://schemas.openxmlformats.org/officeDocument/2006/relationships/hyperlink" Target="https://www.nature.com/articles/nature05279" TargetMode="External"/><Relationship Id="rIdV1" Type="http://schemas.openxmlformats.org/officeDocument/2006/relationships/hyperlink" Target="https://www.nature.com/articles/nn.3413" TargetMode="External"/><Relationship Id="rIdL4" Type="http://schemas.openxmlformats.org/officeDocument/2006/relationships/hyperlink" Target="https://pubmed.ncbi.nlm.nih.gov/25258080/" TargetMode="External"/><Relationship Id="rIdM8" Type="http://schemas.openxmlformats.org/officeDocument/2006/relationships/hyperlink" Target="https://elifesciences.org/articles/27689" TargetMode="External"/><Relationship Id="rIdN4" Type="http://schemas.openxmlformats.org/officeDocument/2006/relationships/hyperlink" Target="https://pubmed.ncbi.nlm.nih.gov/31647251/" TargetMode="External"/><Relationship Id="rIdS3" Type="http://schemas.openxmlformats.org/officeDocument/2006/relationships/hyperlink" Target="https://www.nature.com/articles/s41593-019-0392-5" TargetMode="External"/><Relationship Id="rIdT6" Type="http://schemas.openxmlformats.org/officeDocument/2006/relationships/hyperlink" Target="https://www.nature.com/articles/36846" TargetMode="External"/><Relationship Id="rIdH1" Type="http://schemas.openxmlformats.org/officeDocument/2006/relationships/hyperlink" Target="https://pubmed.ncbi.nlm.nih.gov/12040087/" TargetMode="External"/><Relationship Id="rIdH4" Type="http://schemas.openxmlformats.org/officeDocument/2006/relationships/hyperlink" Target="https://www.nature.com/articles/nn.2384" TargetMode="External"/><Relationship Id="rIdH5" Type="http://schemas.openxmlformats.org/officeDocument/2006/relationships/hyperlink" Target="https://doi.org/10.1126/science.aam6808" TargetMode="External"/><Relationship Id="rIdA1" Type="http://schemas.openxmlformats.org/officeDocument/2006/relationships/hyperlink" Target="https://www.nature.com/articles/nature01341" TargetMode="External"/><Relationship Id="rIdA3" Type="http://schemas.openxmlformats.org/officeDocument/2006/relationships/hyperlink" Target="https://pubmed.ncbi.nlm.nih.gov/26526392/" TargetMode="External"/><Relationship Id="rIdM9" Type="http://schemas.openxmlformats.org/officeDocument/2006/relationships/hyperlink" Target="https://academic.oup.com/brain/article/124/3/571/334371" TargetMode="External"/><Relationship Id="rIdS6" Type="http://schemas.openxmlformats.org/officeDocument/2006/relationships/hyperlink" Target="https://www.nature.com/articles/349154a0" TargetMode="External"/><Relationship Id="rIdN2" Type="http://schemas.openxmlformats.org/officeDocument/2006/relationships/hyperlink" Target="https://elifesciences.org/articles/82952" TargetMode="External"/><Relationship Id="rIdN3" Type="http://schemas.openxmlformats.org/officeDocument/2006/relationships/hyperlink" Target="https://www.nature.com/articles/s41467-024-51391-w" TargetMode="External"/><Relationship Id="rIdS1" Type="http://schemas.openxmlformats.org/officeDocument/2006/relationships/hyperlink" Target="https://www.nature.com/articles/s41593-025-01874-w" TargetMode="External"/><Relationship Id="rIdH3" Type="http://schemas.openxmlformats.org/officeDocument/2006/relationships/hyperlink" Target="https://www.nature.com/articles/ncomms8462" TargetMode="External"/><Relationship Id="rIdL5" Type="http://schemas.openxmlformats.org/officeDocument/2006/relationships/hyperlink" Target="https://pubmed.ncbi.nlm.nih.gov/28883072/" TargetMode="External"/><Relationship Id="rIdH2" Type="http://schemas.openxmlformats.org/officeDocument/2006/relationships/hyperlink" Target="https://www.nature.com/articles/nn.3614" TargetMode="External"/><Relationship Id="rIdH6" Type="http://schemas.openxmlformats.org/officeDocument/2006/relationships/hyperlink" Target="https://www.nature.com/articles/nature13028" TargetMode="External"/><Relationship Id="rIdT5" Type="http://schemas.openxmlformats.org/officeDocument/2006/relationships/hyperlink" Target="https://pubmed.ncbi.nlm.nih.gov/41082527/" TargetMode="External"/><Relationship Id="rIdA4" Type="http://schemas.openxmlformats.org/officeDocument/2006/relationships/hyperlink" Target="https://pubmed.ncbi.nlm.nih.gov/22879517/" TargetMode="External"/><Relationship Id="rIdV2" Type="http://schemas.openxmlformats.org/officeDocument/2006/relationships/hyperlink" Target="https://www.nature.com/articles/nature22375" TargetMode="External"/><Relationship Id="rIdV3" Type="http://schemas.openxmlformats.org/officeDocument/2006/relationships/hyperlink" Target="https://www.nature.com/articles/nature05860" TargetMode="External"/><Relationship Id="rIdV7" Type="http://schemas.openxmlformats.org/officeDocument/2006/relationships/hyperlink" Target="https://www.nature.com/articles/nn.4642" TargetMode="External"/><Relationship Id="rIdV8" Type="http://schemas.openxmlformats.org/officeDocument/2006/relationships/hyperlink" Target="https://www.nature.com/articles/nn.3552" TargetMode="External"/><Relationship Id="rIdV9" Type="http://schemas.openxmlformats.org/officeDocument/2006/relationships/hyperlink" Target="https://pubmed.ncbi.nlm.nih.gov/25155504/" TargetMode="External"/><Relationship Id="rIdG2" Type="http://schemas.openxmlformats.org/officeDocument/2006/relationships/hyperlink" Target="https://doi.org/10.1016/j.neuron.2017.06.041" TargetMode="External"/><Relationship Id="rIdG3" Type="http://schemas.openxmlformats.org/officeDocument/2006/relationships/hyperlink" Target="https://doi.org/10.1152/jn.00529.2019" TargetMode="External"/><Relationship Id="rIdV4" Type="http://schemas.openxmlformats.org/officeDocument/2006/relationships/hyperlink" Target="https://pubmed.ncbi.nlm.nih.gov/27657452/" TargetMode="External"/><Relationship Id="rIdC4" Type="http://schemas.openxmlformats.org/officeDocument/2006/relationships/hyperlink" Target="https://pubmed.ncbi.nlm.nih.gov/19423820/" TargetMode="External"/><Relationship Id="rIdC3" Type="http://schemas.openxmlformats.org/officeDocument/2006/relationships/hyperlink" Target="https://pubmed.ncbi.nlm.nih.gov/25100039/" TargetMode="External"/><Relationship Id="rIdA2" Type="http://schemas.openxmlformats.org/officeDocument/2006/relationships/hyperlink" Target="https://www.sciencedirect.com/science/article/pii/S0960982218308595" TargetMode="External"/><Relationship Id="rIdG4" Type="http://schemas.openxmlformats.org/officeDocument/2006/relationships/hyperlink" Target="https://pubmed.ncbi.nlm.nih.gov/12861072/" TargetMode="External"/><Relationship Id="rIdC1" Type="http://schemas.openxmlformats.org/officeDocument/2006/relationships/hyperlink" Target="https://pubmed.ncbi.nlm.nih.gov/32053769/" TargetMode="External"/><Relationship Id="rIdC2" Type="http://schemas.openxmlformats.org/officeDocument/2006/relationships/hyperlink" Target="https://www.nature.com/articles/s41586-025-08888-1" TargetMode="External"/><Relationship Id="rIdD8" Type="http://schemas.openxmlformats.org/officeDocument/2006/relationships/hyperlink" Target="https://www.nature.com/articles/nature01002" TargetMode="External"/><Relationship Id="rIdL6" Type="http://schemas.openxmlformats.org/officeDocument/2006/relationships/hyperlink" Target="https://www.nature.com/articles/s41467-020-17236-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and Assembling a Biologically Constrained Perceptual System</dc:title>
  <dc:subject>Modular neural-network training dependencies, biological evidence, and assembly tests</dc:subject>
  <dc:creator/>
  <cp:keywords>computational neuroscience, modular learning, perception, embodied cognition</cp:keywords>
  <dc:description>generated by python-docx</dc:description>
  <cp:lastModifiedBy/>
  <cp:revision>1</cp:revision>
  <dcterms:created xsi:type="dcterms:W3CDTF">2013-12-23T23:15:00Z</dcterms:created>
  <dcterms:modified xsi:type="dcterms:W3CDTF">2013-12-23T23:15:00Z</dcterms:modified>
  <cp:category/>
</cp:coreProperties>
</file>