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Computational Circuit Account of Perception and Action</w:t>
      </w:r>
    </w:p>
    <w:p>
      <w:pPr>
        <w:pStyle w:val="Heading1"/>
      </w:pPr>
      <w:r>
        <w:t>1. The system being explained</w:t>
      </w:r>
    </w:p>
    <w:p>
      <w:r>
        <w:t>During a search for a watch, the nervous system must maintain several different quantities: the watch's appearance, possible locations, the current positions of the eyes and hand, which places have been inspected, the intention to leave for a meeting, and the movements currently available. These quantities have different update rules. Eye position changes with each eye movement; the target description should survive those movements; a remembered location can remain available after attention moves elsewhere; the current reach requires continuous correction.</w:t>
      </w:r>
    </w:p>
    <w:p>
      <w:r>
        <w:t xml:space="preserve">A useful systems architecture therefore separates </w:t>
      </w:r>
      <w:r>
        <w:rPr>
          <w:b/>
        </w:rPr>
        <w:t>sensory evidence, body/world geometry, object and event knowledge, currently prioritized task state, outcome significance, and action control</w:t>
      </w:r>
      <w:r>
        <w:t xml:space="preserve">. The anatomical substrate consists of recurrent cortical pathways coupled to hippocampal, thalamic, basal-ganglia, cerebellar, and brainstem circuits. The evidence below specifies these transformations and connections. The proposed modeling boundaries and whole-task traces are a synthesis of that evidence, rather than a claim that one experiment has measured this entire architecture. </w:t>
      </w:r>
      <w:r>
        <w:rPr>
          <w:rStyle w:val="FootnoteReference"/>
        </w:rPr>
        <w:footnoteReference w:id="1"/>
      </w:r>
    </w:p>
    <w:p>
      <w:r>
        <w:t>The main functional flow is:</w:t>
      </w:r>
    </w:p>
    <w:p>
      <w:pPr>
        <w:pStyle w:val="CodeBlock"/>
        <w:keepLines/>
        <w:spacing w:before="80" w:after="180"/>
      </w:pPr>
      <w:r>
        <w:rPr>
          <w:rFonts w:ascii="DejaVu Sans Mono" w:hAnsi="DejaVu Sans Mono"/>
          <w:sz w:val="18"/>
        </w:rPr>
        <w:t>Sensory transduction -&gt; modality-specific representations</w:t>
        <w:br/>
        <w:t xml:space="preserve">                              |             ^</w:t>
        <w:br/>
        <w:t xml:space="preserve">                              v             | selective feedback</w:t>
        <w:br/>
        <w:t xml:space="preserve">                    object / spatial / body estimates</w:t>
        <w:br/>
        <w:t xml:space="preserve">                       |                  |</w:t>
        <w:br/>
        <w:t xml:space="preserve">                       v                  v</w:t>
        <w:br/>
        <w:t xml:space="preserve">             memory and event context &lt;-&gt; current task state</w:t>
        <w:br/>
        <w:t xml:space="preserve">                       |                  |</w:t>
        <w:br/>
        <w:t xml:space="preserve">                       +----&gt; action candidates &lt;---- bodily value</w:t>
        <w:br/>
        <w:t xml:space="preserve">                                      |</w:t>
        <w:br/>
        <w:t xml:space="preserve">                        motor preparation and regulation</w:t>
        <w:br/>
        <w:t xml:space="preserve">                                      |</w:t>
        <w:br/>
        <w:t xml:space="preserve">                           descending motor commands</w:t>
        <w:br/>
        <w:t xml:space="preserve">                                      |</w:t>
        <w:br/>
        <w:t xml:space="preserve">                              body and environment</w:t>
        <w:br/>
        <w:t xml:space="preserve">                                      |</w:t>
        <w:br/>
        <w:t xml:space="preserve">                            new sensory consequences</w:t>
      </w:r>
    </w:p>
    <w:p>
      <w:r>
        <w:t>This diagram describes functional routes, often involving multiple anatomical connections. Detailed circuit diagrams below identify the constituent pathways. Learning changes the transformations; attention changes the influence of particular inputs; memory allows selected information to survive changes in the input.</w:t>
      </w:r>
    </w:p>
    <w:p>
      <w:pPr>
        <w:pStyle w:val="Heading1"/>
      </w:pPr>
      <w:r>
        <w:t>2. What a cortical circuit contributes</w:t>
      </w:r>
    </w:p>
    <w:p>
      <w:pPr>
        <w:pStyle w:val="Heading2"/>
      </w:pPr>
      <w:r>
        <w:t>Representation, recurrent processing, and selective influence</w:t>
      </w:r>
    </w:p>
    <w:p>
      <w:r>
        <w:t xml:space="preserve">A population's output is an activity pattern from which downstream neurons can extract particular distinctions: edge orientation, movement direction, object identity, hand-relative position, or a task rule. Long-range excitatory inputs recruit both local excitation and local inhibition. Consequently, an input from another area can strengthen one representation and reduce competitors without changing the anatomical wiring during that task. Frontal-eye-field stimulation, for example, changes responses in spatially corresponding visual cortical populations. </w:t>
      </w:r>
      <w:r>
        <w:rPr>
          <w:rStyle w:val="FootnoteReference"/>
        </w:rPr>
        <w:footnoteReference w:id="2"/>
      </w:r>
    </w:p>
    <w:p>
      <w:r>
        <w:t xml:space="preserve">The anatomy constrains the direction and character of communication. In visual cortex, feedforward and feedback pathways have different laminar origins and terminations, with graded rather than uniform relationships across the hierarchy. Feedforward connections deliver transformed sensory evidence; feedback can provide selection and contextual constraints. Recurrent activity then combines those inputs with the circuit's preceding state. In macaque V1, initial visual responses and later figure-ground modulation have experimentally separable receptor dependencies. </w:t>
      </w:r>
      <w:r>
        <w:rPr>
          <w:rStyle w:val="FootnoteReference"/>
        </w:rPr>
        <w:footnoteReference w:id="3"/>
      </w:r>
    </w:p>
    <w:p>
      <w:r>
        <w:t xml:space="preserve">For a computational implementation, distinguish three effects of an incoming signal. </w:t>
      </w:r>
      <w:r>
        <w:rPr>
          <w:b/>
        </w:rPr>
        <w:t>Content</w:t>
      </w:r>
      <w:r>
        <w:t xml:space="preserve"> changes the represented feature or state. </w:t>
      </w:r>
      <w:r>
        <w:rPr>
          <w:b/>
        </w:rPr>
        <w:t>Control</w:t>
      </w:r>
      <w:r>
        <w:t xml:space="preserve"> changes which content is amplified, protected, updated, or read out. </w:t>
      </w:r>
      <w:r>
        <w:rPr>
          <w:b/>
        </w:rPr>
        <w:t>Teaching</w:t>
      </w:r>
      <w:r>
        <w:t xml:space="preserve"> changes future responses through plasticity. These are interface categories for modeling, not three exclusively separated biological neuron classes. Their practical value is that a desired target, a currently seen target, and an error after reaching for the target should not all be treated as interchangeable observations.</w:t>
      </w:r>
    </w:p>
    <w:p>
      <w:pPr>
        <w:pStyle w:val="Heading1"/>
      </w:pPr>
      <w:r>
        <w:t>3. Transforming sensory signals into usable descriptions</w:t>
      </w:r>
    </w:p>
    <w:p>
      <w:pPr>
        <w:pStyle w:val="Heading2"/>
      </w:pPr>
      <w:r>
        <w:t>Vision: local evidence, objects, motion, and action geometry</w:t>
      </w:r>
    </w:p>
    <w:p>
      <w:r>
        <w:t xml:space="preserve">Retinal signals pass through the lateral geniculate nucleus (LGN) to primary visual cortex (V1). Magnocellular input contributes strongly to a rapid route through V1 layers 4C-alpha and 4B toward motion-sensitive area MT/V5. Parvocellular and koniocellular information also reaches MT through additional routes. Thus MT receives already-processed spatial and temporal signals, not a video file accompanied by motion labels. </w:t>
      </w:r>
      <w:r>
        <w:rPr>
          <w:rStyle w:val="FootnoteReference"/>
        </w:rPr>
        <w:footnoteReference w:id="4"/>
      </w:r>
    </w:p>
    <w:p>
      <w:r>
        <w:t xml:space="preserve">Direction-selective responses depend on how a neuron's receptive field combines stimulation across space and time. A moving edge drives differently timed inputs at different positions. Appropriate combinations favor one direction over its opposite. MT pools direction-related inputs over larger regions, with nonlinear interactions that allow some cells to represent the motion of a pattern rather than only the motion of individual component edges. The output is a population estimate of motion structure that can inform tracking, self-motion estimation, and prospective action. </w:t>
      </w:r>
      <w:r>
        <w:rPr>
          <w:rStyle w:val="FootnoteReference"/>
        </w:rPr>
        <w:footnoteReference w:id="5"/>
      </w:r>
    </w:p>
    <w:p>
      <w:r>
        <w:t xml:space="preserve">Ventral visual processing, including V2, V4, and inferotemporal cortex (IT), progressively supports distinctions useful for identifying objects across changes in position, background, and appearance. The transformation relevant to finding a watch is from local contrast and boundaries to a representation sensitive to the combination of a dial, rim, strap, and familiar appearance. Recurrent processing is particularly important when the initial sensory evidence is difficult or ambiguous; challenging images can require later IT activity for successful recognition. </w:t>
      </w:r>
      <w:r>
        <w:rPr>
          <w:rStyle w:val="FootnoteReference"/>
        </w:rPr>
        <w:footnoteReference w:id="6"/>
      </w:r>
    </w:p>
    <w:p>
      <w:r>
        <w:t xml:space="preserve">Dorsal visual and posterior parietal processing addresses a different output requirement: the relation between a visible target and the body. A target at a retinal location must be related to gaze and hand position before reaching can be organized. Parietal recordings support combinations of target and hand information appropriate for computing a reach vector. This lets the same object simultaneously supply an identity to recognition circuits and a spatial relation to action circuits. </w:t>
      </w:r>
      <w:r>
        <w:rPr>
          <w:rStyle w:val="FootnoteReference"/>
        </w:rPr>
        <w:footnoteReference w:id="7"/>
      </w:r>
    </w:p>
    <w:p>
      <w:pPr>
        <w:pStyle w:val="Heading2"/>
      </w:pPr>
      <w:r>
        <w:t>How the search target affects vision</w:t>
      </w:r>
    </w:p>
    <w:p>
      <w:r>
        <w:t xml:space="preserve">A remembered target description can bias the representation of incoming objects. In memory-guided search, IT responses reflect which object is being sought, and frontal feature-selection circuitry contributes causally to selecting matching features. A complementary spatial route involves frontal eye fields (FEF) and parietal attention-related populations; feedback can enhance the processing of a candidate location in V4 before a saccade occurs. </w:t>
      </w:r>
      <w:r>
        <w:rPr>
          <w:rStyle w:val="FootnoteReference"/>
        </w:rPr>
        <w:footnoteReference w:id="8"/>
      </w:r>
    </w:p>
    <w:p>
      <w:r>
        <w:t>The resulting sequence is concrete: maintain a target description; bias feature and location processing; compare the currently sampled evidence with that description; inspect a more informative location when the evidence is insufficient. Target identity, target location, and the eye movement toward it are different variables linked by these pathways.</w:t>
      </w:r>
    </w:p>
    <w:p>
      <w:pPr>
        <w:pStyle w:val="Heading2"/>
      </w:pPr>
      <w:r>
        <w:t>Hearing and somatic input</w:t>
      </w:r>
    </w:p>
    <w:p>
      <w:r>
        <w:t xml:space="preserve">Auditory signals undergo frequency and temporal analysis through ascending brainstem and thalamic pathways before and within auditory cortex. Primate auditory association pathways include rostral and caudal streams with different frontal targets, providing anatomical routes for sound identity and spatial/action-related processing. In a mixture of voices, attended-speaker information becomes preferentially represented in nonprimary auditory cortex. Selection therefore alters the acoustic representation available for further interpretation. </w:t>
      </w:r>
      <w:r>
        <w:rPr>
          <w:rStyle w:val="FootnoteReference"/>
        </w:rPr>
        <w:footnoteReference w:id="9"/>
      </w:r>
    </w:p>
    <w:p>
      <w:r>
        <w:t xml:space="preserve">Somatosensory processing provides contact, texture, force-related, and body-position information. Signals in primary somatosensory cortex feed subsequent processing, including secondary somatosensory cortex (S2); cortical lesion evidence supports a serial dependence for important parts of this transformation. For manipulation, these representations supply the occurrence and character of contact, not merely the visual prediction that contact should have happened. Tactile feedback about friction contributes to the adjustment of grip force. </w:t>
      </w:r>
      <w:r>
        <w:rPr>
          <w:rStyle w:val="FootnoteReference"/>
        </w:rPr>
        <w:footnoteReference w:id="10"/>
      </w:r>
    </w:p>
    <w:p>
      <w:r>
        <w:t xml:space="preserve">Vestibular signals describe head motion and orientation-related forces. Their interpretation already depends on the distinction between self-generated and externally imposed motion. Vestibular-nucleus recordings show suppression of expected components of active head movement when motor expectations and proprioceptive consequences agree. This supplies downstream circuits with a more useful signal about unexpected motion and postural disturbance. </w:t>
      </w:r>
      <w:r>
        <w:rPr>
          <w:rStyle w:val="FootnoteReference"/>
        </w:rPr>
        <w:footnoteReference w:id="11"/>
      </w:r>
    </w:p>
    <w:p>
      <w:pPr>
        <w:pStyle w:val="Heading2"/>
      </w:pPr>
      <w:r>
        <w:t>Combining signals and preserving spatial continuity</w:t>
      </w:r>
    </w:p>
    <w:p>
      <w:r>
        <w:t xml:space="preserve">Vision, touch, and vestibular information can constrain the same hidden property: the size of an object or the direction of self-motion. Behavioral experiments show that their influence changes with reliability. In darkness, visual evidence becomes less informative, so tactile, vestibular, proprioceptive, and remembered information become relatively more important to the estimate. That reliability dependence is supported by visual-haptic and visual-vestibular experiments; the specific weights depend on the task. </w:t>
      </w:r>
      <w:r>
        <w:rPr>
          <w:rStyle w:val="FootnoteReference"/>
        </w:rPr>
        <w:footnoteReference w:id="12"/>
      </w:r>
    </w:p>
    <w:p>
      <w:r>
        <w:t xml:space="preserve">An eye movement produces a large retinal displacement even when the room is stationary. A copy of the eye-movement command contributes to interpreting that displacement. A demonstrated route runs from superior colliculus through mediodorsal thalamus to FEF; disrupting it alters predictive visual remapping. This is a concrete mechanism linking action to perceptual continuity. The next sensory input can be interpreted relative to the movement that the system itself initiated. </w:t>
      </w:r>
      <w:r>
        <w:rPr>
          <w:rStyle w:val="FootnoteReference"/>
        </w:rPr>
        <w:footnoteReference w:id="13"/>
      </w:r>
    </w:p>
    <w:p>
      <w:r>
        <w:rPr>
          <w:b/>
        </w:rPr>
        <w:t>The perceptual state available for action therefore contains both estimates and their reference frames:</w:t>
      </w:r>
      <w:r>
        <w:t xml:space="preserve"> object appearance, retinal location, gaze direction, hand-relative geometry, contact state, and self-motion. These need not have equal precision or identical lifetimes.</w:t>
      </w:r>
    </w:p>
    <w:p>
      <w:pPr>
        <w:pStyle w:val="Heading1"/>
      </w:pPr>
      <w:r>
        <w:t>4. The short-term state: what persists, where, and for how long</w:t>
      </w:r>
    </w:p>
    <w:p>
      <w:pPr>
        <w:pStyle w:val="Heading2"/>
      </w:pPr>
      <w:r>
        <w:t>Sensory persistence and working memory have different operating properties</w:t>
      </w:r>
    </w:p>
    <w:p>
      <w:r>
        <w:t>A brief stimulus leaves information that can outlast its physical presence. Selecting some of that information for an ongoing task gives it a different role: it must remain available despite subsequent input. The following approximate scales summarize particular experimental paradigms, not fixed hardware specifications.</w:t>
      </w:r>
    </w:p>
    <w:tbl>
      <w:tblPr>
        <w:tblW w:type="auto" w:w="0"/>
        <w:jc w:val="center"/>
        <w:tblLayout w:type="fixed"/>
        <w:tblLook w:firstColumn="1" w:firstRow="1" w:lastColumn="0" w:lastRow="0" w:noHBand="0" w:noVBand="1" w:val="04A0"/>
        <w:tblBorders>
          <w:top w:val="single" w:sz="3" w:color="C8C8C8"/>
          <w:left w:val="single" w:sz="3" w:color="C8C8C8"/>
          <w:bottom w:val="single" w:sz="3" w:color="C8C8C8"/>
          <w:right w:val="single" w:sz="3" w:color="C8C8C8"/>
          <w:insideH w:val="single" w:sz="3" w:color="C8C8C8"/>
          <w:insideV w:val="single" w:sz="3" w:color="C8C8C8"/>
        </w:tblBorders>
      </w:tblPr>
      <w:tblGrid>
        <w:gridCol w:w="2232"/>
        <w:gridCol w:w="3672"/>
        <w:gridCol w:w="4032"/>
      </w:tblGrid>
      <w:tr>
        <w:trPr>
          <w:tblHeader/>
          <w:cantSplit/>
        </w:trPr>
        <w:tc>
          <w:tcPr>
            <w:tcW w:type="dxa" w:w="2232"/>
            <w:vAlign w:val="center"/>
            <w:tcMar>
              <w:top w:w="95" w:type="dxa"/>
              <w:bottom w:w="95" w:type="dxa"/>
              <w:left w:w="100" w:type="dxa"/>
              <w:right w:w="100" w:type="dxa"/>
            </w:tcMar>
            <w:shd w:fill="E9E9E9"/>
          </w:tcPr>
          <w:p>
            <w:pPr>
              <w:spacing w:after="0" w:line="257" w:lineRule="auto"/>
            </w:pPr>
            <w:r>
              <w:rPr>
                <w:b/>
                <w:sz w:val="20"/>
              </w:rPr>
              <w:t>Representation</w:t>
            </w:r>
          </w:p>
        </w:tc>
        <w:tc>
          <w:tcPr>
            <w:tcW w:type="dxa" w:w="3672"/>
            <w:vAlign w:val="center"/>
            <w:tcMar>
              <w:top w:w="95" w:type="dxa"/>
              <w:bottom w:w="95" w:type="dxa"/>
              <w:left w:w="100" w:type="dxa"/>
              <w:right w:w="100" w:type="dxa"/>
            </w:tcMar>
            <w:shd w:fill="E9E9E9"/>
          </w:tcPr>
          <w:p>
            <w:pPr>
              <w:spacing w:after="0" w:line="257" w:lineRule="auto"/>
            </w:pPr>
            <w:r>
              <w:rPr>
                <w:b/>
                <w:sz w:val="20"/>
              </w:rPr>
              <w:t>Characteristic retention or capacity</w:t>
            </w:r>
          </w:p>
        </w:tc>
        <w:tc>
          <w:tcPr>
            <w:tcW w:type="dxa" w:w="4032"/>
            <w:vAlign w:val="center"/>
            <w:tcMar>
              <w:top w:w="95" w:type="dxa"/>
              <w:bottom w:w="95" w:type="dxa"/>
              <w:left w:w="100" w:type="dxa"/>
              <w:right w:w="100" w:type="dxa"/>
            </w:tcMar>
            <w:shd w:fill="E9E9E9"/>
          </w:tcPr>
          <w:p>
            <w:pPr>
              <w:spacing w:after="0" w:line="257" w:lineRule="auto"/>
            </w:pPr>
            <w:r>
              <w:rPr>
                <w:b/>
                <w:sz w:val="20"/>
              </w:rPr>
              <w:t>Computational use</w:t>
            </w:r>
          </w:p>
        </w:tc>
      </w:tr>
      <w:tr>
        <w:trPr>
          <w:cantSplit/>
        </w:trPr>
        <w:tc>
          <w:tcPr>
            <w:tcW w:type="dxa" w:w="2232"/>
            <w:vAlign w:val="center"/>
            <w:tcMar>
              <w:top w:w="95" w:type="dxa"/>
              <w:bottom w:w="95" w:type="dxa"/>
              <w:left w:w="100" w:type="dxa"/>
              <w:right w:w="100" w:type="dxa"/>
            </w:tcMar>
          </w:tcPr>
          <w:p>
            <w:pPr>
              <w:spacing w:after="0" w:line="257" w:lineRule="auto"/>
            </w:pPr>
            <w:r>
              <w:rPr>
                <w:sz w:val="20"/>
              </w:rPr>
              <w:t>Immediate visual information</w:t>
            </w:r>
          </w:p>
        </w:tc>
        <w:tc>
          <w:tcPr>
            <w:tcW w:type="dxa" w:w="3672"/>
            <w:vAlign w:val="center"/>
            <w:tcMar>
              <w:top w:w="95" w:type="dxa"/>
              <w:bottom w:w="95" w:type="dxa"/>
              <w:left w:w="100" w:type="dxa"/>
              <w:right w:w="100" w:type="dxa"/>
            </w:tcMar>
          </w:tcPr>
          <w:p>
            <w:pPr>
              <w:spacing w:after="0" w:line="257" w:lineRule="auto"/>
            </w:pPr>
            <w:r>
              <w:rPr>
                <w:sz w:val="20"/>
              </w:rPr>
              <w:t>Rich partial-report information declines rapidly over hundreds of milliseconds.</w:t>
            </w:r>
          </w:p>
        </w:tc>
        <w:tc>
          <w:tcPr>
            <w:tcW w:type="dxa" w:w="4032"/>
            <w:vAlign w:val="center"/>
            <w:tcMar>
              <w:top w:w="95" w:type="dxa"/>
              <w:bottom w:w="95" w:type="dxa"/>
              <w:left w:w="100" w:type="dxa"/>
              <w:right w:w="100" w:type="dxa"/>
            </w:tcMar>
          </w:tcPr>
          <w:p>
            <w:pPr>
              <w:spacing w:after="0" w:line="257" w:lineRule="auto"/>
            </w:pPr>
            <w:r>
              <w:rPr>
                <w:sz w:val="20"/>
              </w:rPr>
              <w:t>Allows selection from a recently presented scene.</w:t>
            </w:r>
          </w:p>
        </w:tc>
      </w:tr>
      <w:tr>
        <w:trPr>
          <w:cantSplit/>
        </w:trPr>
        <w:tc>
          <w:tcPr>
            <w:tcW w:type="dxa" w:w="2232"/>
            <w:vAlign w:val="center"/>
            <w:tcMar>
              <w:top w:w="95" w:type="dxa"/>
              <w:bottom w:w="95" w:type="dxa"/>
              <w:left w:w="100" w:type="dxa"/>
              <w:right w:w="100" w:type="dxa"/>
            </w:tcMar>
          </w:tcPr>
          <w:p>
            <w:pPr>
              <w:spacing w:after="0" w:line="257" w:lineRule="auto"/>
            </w:pPr>
            <w:r>
              <w:rPr>
                <w:sz w:val="20"/>
              </w:rPr>
              <w:t>Brief auditory information</w:t>
            </w:r>
          </w:p>
        </w:tc>
        <w:tc>
          <w:tcPr>
            <w:tcW w:type="dxa" w:w="3672"/>
            <w:vAlign w:val="center"/>
            <w:tcMar>
              <w:top w:w="95" w:type="dxa"/>
              <w:bottom w:w="95" w:type="dxa"/>
              <w:left w:w="100" w:type="dxa"/>
              <w:right w:w="100" w:type="dxa"/>
            </w:tcMar>
          </w:tcPr>
          <w:p>
            <w:pPr>
              <w:spacing w:after="0" w:line="257" w:lineRule="auto"/>
            </w:pPr>
            <w:r>
              <w:rPr>
                <w:sz w:val="20"/>
              </w:rPr>
              <w:t>Partial-report advantages can last longer than visual persistence; the useful scale depends on the sound and task, often extending into seconds.</w:t>
            </w:r>
          </w:p>
        </w:tc>
        <w:tc>
          <w:tcPr>
            <w:tcW w:type="dxa" w:w="4032"/>
            <w:vAlign w:val="center"/>
            <w:tcMar>
              <w:top w:w="95" w:type="dxa"/>
              <w:bottom w:w="95" w:type="dxa"/>
              <w:left w:w="100" w:type="dxa"/>
              <w:right w:w="100" w:type="dxa"/>
            </w:tcMar>
          </w:tcPr>
          <w:p>
            <w:pPr>
              <w:spacing w:after="0" w:line="257" w:lineRule="auto"/>
            </w:pPr>
            <w:r>
              <w:rPr>
                <w:sz w:val="20"/>
              </w:rPr>
              <w:t>Supports integration and selection across sequential sounds.</w:t>
            </w:r>
          </w:p>
        </w:tc>
      </w:tr>
      <w:tr>
        <w:trPr>
          <w:cantSplit/>
        </w:trPr>
        <w:tc>
          <w:tcPr>
            <w:tcW w:type="dxa" w:w="2232"/>
            <w:vAlign w:val="center"/>
            <w:tcMar>
              <w:top w:w="95" w:type="dxa"/>
              <w:bottom w:w="95" w:type="dxa"/>
              <w:left w:w="100" w:type="dxa"/>
              <w:right w:w="100" w:type="dxa"/>
            </w:tcMar>
          </w:tcPr>
          <w:p>
            <w:pPr>
              <w:spacing w:after="0" w:line="257" w:lineRule="auto"/>
            </w:pPr>
            <w:r>
              <w:rPr>
                <w:sz w:val="20"/>
              </w:rPr>
              <w:t>Brief tactile information</w:t>
            </w:r>
          </w:p>
        </w:tc>
        <w:tc>
          <w:tcPr>
            <w:tcW w:type="dxa" w:w="3672"/>
            <w:vAlign w:val="center"/>
            <w:tcMar>
              <w:top w:w="95" w:type="dxa"/>
              <w:bottom w:w="95" w:type="dxa"/>
              <w:left w:w="100" w:type="dxa"/>
              <w:right w:w="100" w:type="dxa"/>
            </w:tcMar>
          </w:tcPr>
          <w:p>
            <w:pPr>
              <w:spacing w:after="0" w:line="257" w:lineRule="auto"/>
            </w:pPr>
            <w:r>
              <w:rPr>
                <w:sz w:val="20"/>
              </w:rPr>
              <w:t>A partial-report advantage has been demonstrated over subsecond delays.</w:t>
            </w:r>
          </w:p>
        </w:tc>
        <w:tc>
          <w:tcPr>
            <w:tcW w:type="dxa" w:w="4032"/>
            <w:vAlign w:val="center"/>
            <w:tcMar>
              <w:top w:w="95" w:type="dxa"/>
              <w:bottom w:w="95" w:type="dxa"/>
              <w:left w:w="100" w:type="dxa"/>
              <w:right w:w="100" w:type="dxa"/>
            </w:tcMar>
          </w:tcPr>
          <w:p>
            <w:pPr>
              <w:spacing w:after="0" w:line="257" w:lineRule="auto"/>
            </w:pPr>
            <w:r>
              <w:rPr>
                <w:sz w:val="20"/>
              </w:rPr>
              <w:t>Preserves recently stimulated locations long enough for selective use.</w:t>
            </w:r>
          </w:p>
        </w:tc>
      </w:tr>
      <w:tr>
        <w:trPr>
          <w:cantSplit/>
        </w:trPr>
        <w:tc>
          <w:tcPr>
            <w:tcW w:type="dxa" w:w="2232"/>
            <w:vAlign w:val="center"/>
            <w:tcMar>
              <w:top w:w="95" w:type="dxa"/>
              <w:bottom w:w="95" w:type="dxa"/>
              <w:left w:w="100" w:type="dxa"/>
              <w:right w:w="100" w:type="dxa"/>
            </w:tcMar>
          </w:tcPr>
          <w:p>
            <w:pPr>
              <w:spacing w:after="0" w:line="257" w:lineRule="auto"/>
            </w:pPr>
            <w:r>
              <w:rPr>
                <w:sz w:val="20"/>
              </w:rPr>
              <w:t>Selected visual working memory</w:t>
            </w:r>
          </w:p>
        </w:tc>
        <w:tc>
          <w:tcPr>
            <w:tcW w:type="dxa" w:w="3672"/>
            <w:vAlign w:val="center"/>
            <w:tcMar>
              <w:top w:w="95" w:type="dxa"/>
              <w:bottom w:w="95" w:type="dxa"/>
              <w:left w:w="100" w:type="dxa"/>
              <w:right w:w="100" w:type="dxa"/>
            </w:tcMar>
          </w:tcPr>
          <w:p>
            <w:pPr>
              <w:spacing w:after="0" w:line="257" w:lineRule="auto"/>
            </w:pPr>
            <w:r>
              <w:rPr>
                <w:sz w:val="20"/>
              </w:rPr>
              <w:t>Around three to four simple objects in classic change-detection tasks; precision and binding accuracy depend on load and stimulus demands.</w:t>
            </w:r>
          </w:p>
        </w:tc>
        <w:tc>
          <w:tcPr>
            <w:tcW w:type="dxa" w:w="4032"/>
            <w:vAlign w:val="center"/>
            <w:tcMar>
              <w:top w:w="95" w:type="dxa"/>
              <w:bottom w:w="95" w:type="dxa"/>
              <w:left w:w="100" w:type="dxa"/>
              <w:right w:w="100" w:type="dxa"/>
            </w:tcMar>
          </w:tcPr>
          <w:p>
            <w:pPr>
              <w:spacing w:after="0" w:line="257" w:lineRule="auto"/>
            </w:pPr>
            <w:r>
              <w:rPr>
                <w:sz w:val="20"/>
              </w:rPr>
              <w:t>Maintains target appearance, selected positions, or other task-relevant features.</w:t>
            </w:r>
          </w:p>
        </w:tc>
      </w:tr>
      <w:tr>
        <w:trPr>
          <w:cantSplit/>
        </w:trPr>
        <w:tc>
          <w:tcPr>
            <w:tcW w:type="dxa" w:w="2232"/>
            <w:vAlign w:val="center"/>
            <w:tcMar>
              <w:top w:w="95" w:type="dxa"/>
              <w:bottom w:w="95" w:type="dxa"/>
              <w:left w:w="100" w:type="dxa"/>
              <w:right w:w="100" w:type="dxa"/>
            </w:tcMar>
          </w:tcPr>
          <w:p>
            <w:pPr>
              <w:spacing w:after="0" w:line="257" w:lineRule="auto"/>
            </w:pPr>
            <w:r>
              <w:rPr>
                <w:sz w:val="20"/>
              </w:rPr>
              <w:t>Selected verbal information</w:t>
            </w:r>
          </w:p>
        </w:tc>
        <w:tc>
          <w:tcPr>
            <w:tcW w:type="dxa" w:w="3672"/>
            <w:vAlign w:val="center"/>
            <w:tcMar>
              <w:top w:w="95" w:type="dxa"/>
              <w:bottom w:w="95" w:type="dxa"/>
              <w:left w:w="100" w:type="dxa"/>
              <w:right w:w="100" w:type="dxa"/>
            </w:tcMar>
          </w:tcPr>
          <w:p>
            <w:pPr>
              <w:spacing w:after="0" w:line="257" w:lineRule="auto"/>
            </w:pPr>
            <w:r>
              <w:rPr>
                <w:sz w:val="20"/>
              </w:rPr>
              <w:t>Depends on phonological similarity, rehearsal, sequence length, and language knowledge.</w:t>
            </w:r>
          </w:p>
        </w:tc>
        <w:tc>
          <w:tcPr>
            <w:tcW w:type="dxa" w:w="4032"/>
            <w:vAlign w:val="center"/>
            <w:tcMar>
              <w:top w:w="95" w:type="dxa"/>
              <w:bottom w:w="95" w:type="dxa"/>
              <w:left w:w="100" w:type="dxa"/>
              <w:right w:w="100" w:type="dxa"/>
            </w:tcMar>
          </w:tcPr>
          <w:p>
            <w:pPr>
              <w:spacing w:after="0" w:line="257" w:lineRule="auto"/>
            </w:pPr>
            <w:r>
              <w:rPr>
                <w:sz w:val="20"/>
              </w:rPr>
              <w:t>Maintains an instruction or ordered verbal sequence after the sound disappears.</w:t>
            </w:r>
          </w:p>
        </w:tc>
      </w:tr>
      <w:tr>
        <w:trPr>
          <w:cantSplit/>
        </w:trPr>
        <w:tc>
          <w:tcPr>
            <w:tcW w:type="dxa" w:w="2232"/>
            <w:vAlign w:val="center"/>
            <w:tcMar>
              <w:top w:w="95" w:type="dxa"/>
              <w:bottom w:w="95" w:type="dxa"/>
              <w:left w:w="100" w:type="dxa"/>
              <w:right w:w="100" w:type="dxa"/>
            </w:tcMar>
          </w:tcPr>
          <w:p>
            <w:pPr>
              <w:spacing w:after="0" w:line="257" w:lineRule="auto"/>
            </w:pPr>
            <w:r>
              <w:rPr>
                <w:sz w:val="20"/>
              </w:rPr>
              <w:t>Selected tactile information</w:t>
            </w:r>
          </w:p>
        </w:tc>
        <w:tc>
          <w:tcPr>
            <w:tcW w:type="dxa" w:w="3672"/>
            <w:vAlign w:val="center"/>
            <w:tcMar>
              <w:top w:w="95" w:type="dxa"/>
              <w:bottom w:w="95" w:type="dxa"/>
              <w:left w:w="100" w:type="dxa"/>
              <w:right w:w="100" w:type="dxa"/>
            </w:tcMar>
          </w:tcPr>
          <w:p>
            <w:pPr>
              <w:spacing w:after="0" w:line="257" w:lineRule="auto"/>
            </w:pPr>
            <w:r>
              <w:rPr>
                <w:sz w:val="20"/>
              </w:rPr>
              <w:t>Task-relevant attributes such as vibration frequency can be maintained across a delay and represented in prefrontal activity.</w:t>
            </w:r>
          </w:p>
        </w:tc>
        <w:tc>
          <w:tcPr>
            <w:tcW w:type="dxa" w:w="4032"/>
            <w:vAlign w:val="center"/>
            <w:tcMar>
              <w:top w:w="95" w:type="dxa"/>
              <w:bottom w:w="95" w:type="dxa"/>
              <w:left w:w="100" w:type="dxa"/>
              <w:right w:w="100" w:type="dxa"/>
            </w:tcMar>
          </w:tcPr>
          <w:p>
            <w:pPr>
              <w:spacing w:after="0" w:line="257" w:lineRule="auto"/>
            </w:pPr>
            <w:r>
              <w:rPr>
                <w:sz w:val="20"/>
              </w:rPr>
              <w:t>Allows comparison of successive contacts rather than simultaneous sensations.</w:t>
            </w:r>
          </w:p>
        </w:tc>
      </w:tr>
    </w:tbl>
    <w:p>
      <w:pPr>
        <w:spacing w:after="0" w:before="0" w:line="60" w:lineRule="exact"/>
      </w:pPr>
    </w:p>
    <w:p>
      <w:r>
        <w:t xml:space="preserve">The visual, auditory, tactile, and working-memory findings come from different procedures. The three-to-four-object result should therefore not be transferred directly to sounds, fingers, complex scenes, or learned verbal chunks. </w:t>
      </w:r>
      <w:r>
        <w:rPr>
          <w:rStyle w:val="FootnoteReference"/>
        </w:rPr>
        <w:footnoteReference w:id="14"/>
      </w:r>
    </w:p>
    <w:p>
      <w:pPr>
        <w:pStyle w:val="Heading2"/>
      </w:pPr>
      <w:r>
        <w:t>Where the retained information is represented</w:t>
      </w:r>
    </w:p>
    <w:p>
      <w:r>
        <w:t xml:space="preserve">Selected visual features can remain decodable in early visual areas during a delay. Frontal circuits contribute task demands and selection, while the content itself can remain distributed across circuits that also process that type of information. Verbal maintenance adds a partially specialized arrangement: left supramarginal-region activity is associated with phonological storage, and frontal/premotor processes contribute rehearsal. Rehearsal regenerates an internal sequence; it extends availability beyond a passive acoustic trace. </w:t>
      </w:r>
      <w:r>
        <w:rPr>
          <w:rStyle w:val="FootnoteReference"/>
        </w:rPr>
        <w:footnoteReference w:id="15"/>
      </w:r>
    </w:p>
    <w:p>
      <w:r>
        <w:t xml:space="preserve">A currently unattended item can also remain recoverable after its representation becomes difficult to decode from ongoing activity. Perturbation experiments demonstrate later reactivation of such latent working memories. For modeling, distinguish </w:t>
      </w:r>
      <w:r>
        <w:rPr>
          <w:b/>
        </w:rPr>
        <w:t>currently expressed state</w:t>
      </w:r>
      <w:r>
        <w:t xml:space="preserve"> from </w:t>
      </w:r>
      <w:r>
        <w:rPr>
          <w:b/>
        </w:rPr>
        <w:t>available but latent state</w:t>
      </w:r>
      <w:r>
        <w:t xml:space="preserve">. The experiments establish recoverability; they do not uniquely determine whether every latent item is implemented by short-term synaptic plasticity, residual activity, or another mechanism. </w:t>
      </w:r>
      <w:r>
        <w:rPr>
          <w:rStyle w:val="FootnoteReference"/>
        </w:rPr>
        <w:footnoteReference w:id="16"/>
      </w:r>
    </w:p>
    <w:p>
      <w:r>
        <w:t xml:space="preserve">Modality-specific retention provides some parallel capacity, but simultaneous tasks also compete. In visual-auditory experiments, controlling sensory persistence exposed a shared postperceptual capacity limit. An architecture with wholly independent visual, auditory, and tactile buffers would therefore miss task-level interference. A useful implementation would combine modality-specific traces with a limited mechanism for selecting, refreshing, or using their contents. </w:t>
      </w:r>
      <w:r>
        <w:rPr>
          <w:rStyle w:val="FootnoteReference"/>
        </w:rPr>
        <w:footnoteReference w:id="17"/>
      </w:r>
    </w:p>
    <w:p>
      <w:pPr>
        <w:pStyle w:val="Heading2"/>
      </w:pPr>
      <w:r>
        <w:t>Stabilizing a representation versus replacing it</w:t>
      </w:r>
    </w:p>
    <w:p>
      <w:r>
        <w:t xml:space="preserve">Sustained task information depends partly on reciprocal thalamocortical interactions. In mice, frontal and motor-thalamic activity supports persistent preparatory state. Mediodorsal-thalamic projections help sustain prefrontal activity during a memory delay, and different directions of communication can make different contributions during maintenance and subsequent choice. Another study showed MD amplification of cortical interactions supporting task-rule representations. </w:t>
      </w:r>
      <w:r>
        <w:rPr>
          <w:rStyle w:val="FootnoteReference"/>
        </w:rPr>
        <w:footnoteReference w:id="18"/>
      </w:r>
    </w:p>
    <w:p>
      <w:r>
        <w:t xml:space="preserve">These findings specify a functional requirement: preserve the relevant state when new input is distracting, but permit revision when new evidence matters. A 2026 mouse study provides a particularly direct example. A posterior-parietal/pulvinar-homolog circuit stabilized sensory-history representations; inhibitory thalamic-reticular input to that thalamic pathway enabled updating. The demonstrated computation concerned history-based decisions, not a universal storage gate, but it shows how stability and replacement can be controlled through identified circuits. </w:t>
      </w:r>
      <w:r>
        <w:rPr>
          <w:rStyle w:val="FootnoteReference"/>
        </w:rPr>
        <w:footnoteReference w:id="19"/>
      </w:r>
    </w:p>
    <w:p>
      <w:r>
        <w:t>During watch search, the target appearance should remain stable while the record of inspected places changes. Treating both as an undifferentiated recurrent vector with the same update rule makes these two requirements unnecessarily conflict. This is an engineering consequence of the distinction, rather than a claim that the brain literally stores two named variables.</w:t>
      </w:r>
    </w:p>
    <w:p>
      <w:pPr>
        <w:pStyle w:val="Heading1"/>
      </w:pPr>
      <w:r>
        <w:t>5. Episodic memory: binding and recovering a situation</w:t>
      </w:r>
    </w:p>
    <w:p>
      <w:pPr>
        <w:pStyle w:val="Heading2"/>
      </w:pPr>
      <w:r>
        <w:t>The principal hippocampal routes</w:t>
      </w:r>
    </w:p>
    <w:p>
      <w:r>
        <w:t xml:space="preserve">Cortical representations of items and contexts reach the medial temporal lobe through pathways involving perirhinal and parahippocampal cortices and entorhinal cortex (EC). The former cortical regions show different preferences for item- and scene-related details, providing partly differentiated inputs for binding an event. </w:t>
      </w:r>
      <w:r>
        <w:rPr>
          <w:rStyle w:val="FootnoteReference"/>
        </w:rPr>
        <w:footnoteReference w:id="20"/>
      </w:r>
    </w:p>
    <w:p>
      <w:r>
        <w:t>A simplified circuit scaffold is:</w:t>
      </w:r>
    </w:p>
    <w:p>
      <w:pPr>
        <w:pStyle w:val="CodeBlock"/>
        <w:keepLines/>
        <w:spacing w:before="80" w:after="180"/>
      </w:pPr>
      <w:r>
        <w:rPr>
          <w:rFonts w:ascii="DejaVu Sans Mono" w:hAnsi="DejaVu Sans Mono"/>
          <w:sz w:val="18"/>
        </w:rPr>
        <w:t>Association cortex -&gt; perirhinal / parahippocampal cortex -&gt; EC</w:t>
        <w:br/>
        <w:br/>
        <w:t>EC layer II -&gt; dentate gyrus (DG) -&gt; CA3 -&gt; CA1</w:t>
        <w:br/>
        <w:t>EC layer II ---------------------&gt; CA3</w:t>
        <w:br/>
        <w:t xml:space="preserve">                                   CA3 &lt;-&gt; CA3 (recurrence)</w:t>
        <w:br/>
        <w:br/>
        <w:t>EC layer III ----------------------------&gt; CA1</w:t>
        <w:br/>
        <w:t>EC -&gt; CA2 -------------------------------&gt; CA1</w:t>
        <w:br/>
        <w:br/>
        <w:t>CA1 / subiculum -&gt; deep EC and other targets -&gt; cortical networks</w:t>
      </w:r>
    </w:p>
    <w:p>
      <w:r>
        <w:t xml:space="preserve">The principal serial route uses perforant-path input, DG mossy fibers to CA3, and CA3 Schaffer collaterals to CA1. Direct EC input reaches CA3 as well as DG; a separate EC-to-CA1 route allows current cortical input to interact with information arriving through CA3. CA2 contributes an additional EC-to-hippocampal route with strong output to CA1. The diagram omits many local and long-axis connections while preserving the major computationally relevant alternatives. </w:t>
      </w:r>
      <w:r>
        <w:rPr>
          <w:rStyle w:val="FootnoteReference"/>
        </w:rPr>
        <w:footnoteReference w:id="21"/>
      </w:r>
    </w:p>
    <w:p>
      <w:pPr>
        <w:pStyle w:val="Heading2"/>
      </w:pPr>
      <w:r>
        <w:t>What the transformations accomplish</w:t>
      </w:r>
    </w:p>
    <w:p>
      <w:r>
        <w:rPr>
          <w:b/>
        </w:rPr>
        <w:t>Dentate gyrus: reduce interference between similar episodes.</w:t>
      </w:r>
      <w:r>
        <w:t xml:space="preserve"> Sparse, differentiated population responses help distinguish overlapping inputs. Two visits to the same desk can share most objects and spatial features but differ in where the watch was placed. Separating their event codes makes the relevant association easier to retrieve without merging them. </w:t>
      </w:r>
      <w:r>
        <w:rPr>
          <w:b/>
        </w:rPr>
        <w:t>CA3: recover an associated state from partial evidence.</w:t>
      </w:r>
      <w:r>
        <w:t xml:space="preserve"> Its recurrent organization supports completion, and both recordings and selective NMDA-receptor manipulations support a role in coherent recall from degraded cues. </w:t>
      </w:r>
      <w:r>
        <w:rPr>
          <w:rStyle w:val="FootnoteReference"/>
        </w:rPr>
        <w:footnoteReference w:id="22"/>
      </w:r>
    </w:p>
    <w:p>
      <w:r>
        <w:rPr>
          <w:b/>
        </w:rPr>
        <w:t>CA1: integrate the retrieved state with direct cortical input and provide an output representation.</w:t>
      </w:r>
      <w:r>
        <w:t xml:space="preserve"> CA1 receives both CA3-derived information and direct entorhinal input. Human high-resolution imaging supports sensitivity to matches and mismatches between learned relations and current input. A useful computational interpretation is that CA1 helps express the retrieved event in relation to the present situation; the precise comparison operation is less settled than the input anatomy. </w:t>
      </w:r>
      <w:r>
        <w:rPr>
          <w:rStyle w:val="FootnoteReference"/>
        </w:rPr>
        <w:footnoteReference w:id="23"/>
      </w:r>
    </w:p>
    <w:p>
      <w:r>
        <w:rPr>
          <w:b/>
        </w:rPr>
        <w:t>CA2: add a distinct associative route with particular evidence for social memory.</w:t>
      </w:r>
      <w:r>
        <w:t xml:space="preserve"> Selective CA2 silencing in mice impairs recognition of a previously encountered conspecific. Its strong connections to CA1 make it relevant to which event information reaches hippocampal output. This evidence justifies preserving the route in a detailed hippocampal model; it does not require assigning CA2 a necessary step in every nonsocial object search. </w:t>
      </w:r>
      <w:r>
        <w:rPr>
          <w:rStyle w:val="FootnoteReference"/>
        </w:rPr>
        <w:footnoteReference w:id="24"/>
      </w:r>
    </w:p>
    <w:p>
      <w:r>
        <w:rPr>
          <w:b/>
        </w:rPr>
        <w:t>CA1 and subicular outputs: reinstate information outside the hippocampus.</w:t>
      </w:r>
      <w:r>
        <w:t xml:space="preserve"> Recollection becomes useful when associated cortical content is reactivated: the place, object, person, or relation needed by the current task. Human studies support linked retrieval of event elements and cortical reinstatement following a partial cue. This return path is how episodic memory can change visual search, planning, and interpretation. </w:t>
      </w:r>
      <w:r>
        <w:rPr>
          <w:rStyle w:val="FootnoteReference"/>
        </w:rPr>
        <w:footnoteReference w:id="25"/>
      </w:r>
    </w:p>
    <w:p>
      <w:pPr>
        <w:pStyle w:val="Heading2"/>
      </w:pPr>
      <w:r>
        <w:t>Encoding and retrieval during a task</w:t>
      </w:r>
    </w:p>
    <w:p>
      <w:r>
        <w:t xml:space="preserve">When the watch is placed on a bedside table, concurrently active item, place, and contextual representations can be bound into an episode. Later, a room cue or the intention to find the watch can recover the relation between that object and location. The retrieved location then becomes a candidate for attention and action. The practical output is a relation such as watch-near-lamp, not a compulsory replay of all intervening sensations. This task description applies the separation, completion, and reinstatement evidence to an everyday example. </w:t>
      </w:r>
      <w:r>
        <w:rPr>
          <w:rStyle w:val="FootnoteReference"/>
        </w:rPr>
        <w:footnoteReference w:id="26"/>
      </w:r>
    </w:p>
    <w:p>
      <w:r>
        <w:t>Episodic retrieval and working memory solve different demands. Retrieval can make a previously inactive relationship available; working memory keeps a selected result usable for the current comparison or action. A retrieved episode need not remain continuously active while the hand moves toward its candidate location.</w:t>
      </w:r>
    </w:p>
    <w:p>
      <w:r>
        <w:t xml:space="preserve">Cortical memory also changes over time. In a mouse contextual-memory study, cortical engram populations were established early and matured across consolidation. A useful architecture therefore allows rapid event-specific learning and slower changes in cortical representations, with interaction between them. The detailed timescale and dependence on hippocampus vary with the kind of memory. </w:t>
      </w:r>
      <w:r>
        <w:rPr>
          <w:rStyle w:val="FootnoteReference"/>
        </w:rPr>
        <w:footnoteReference w:id="27"/>
      </w:r>
    </w:p>
    <w:p>
      <w:pPr>
        <w:pStyle w:val="Heading1"/>
      </w:pPr>
      <w:r>
        <w:t>6. Semantic knowledge, event context, and large-scale cortical networks</w:t>
      </w:r>
    </w:p>
    <w:p>
      <w:pPr>
        <w:pStyle w:val="Heading2"/>
      </w:pPr>
      <w:r>
        <w:t>From object identity to meaning</w:t>
      </w:r>
    </w:p>
    <w:p>
      <w:r>
        <w:t xml:space="preserve">Recognizing an appearance and knowing what can be done with the object require related but different information. Temporal association systems connect perceptual features to learned conceptual relations: watches are worn, tell time, and have characteristic parts and uses. Causal interference with anterior temporal cortex disrupts semantic performance, supporting its contribution to accessing conceptual knowledge. That knowledge can help identify an unfamiliar-looking example and interpret an instruction referring to it. </w:t>
      </w:r>
      <w:r>
        <w:rPr>
          <w:rStyle w:val="FootnoteReference"/>
        </w:rPr>
        <w:footnoteReference w:id="28"/>
      </w:r>
    </w:p>
    <w:p>
      <w:pPr>
        <w:pStyle w:val="Heading2"/>
      </w:pPr>
      <w:r>
        <w:t>Maintaining the situation across changing input</w:t>
      </w:r>
    </w:p>
    <w:p>
      <w:r>
        <w:t xml:space="preserve">Posterior medial, lateral parietal, medial prefrontal, and medial-temporal-associated networks operate over longer contextual spans than the momentary sensory signal. Naturalistic studies find relatively rapid event changes in sensory regions and longer-lasting event representations in higher-order regions; boundaries between higher-level events relate to hippocampal processing and later recollection. This supplies a mechanism for preserving the situation while its individual views and words change. </w:t>
      </w:r>
      <w:r>
        <w:rPr>
          <w:rStyle w:val="FootnoteReference"/>
        </w:rPr>
        <w:footnoteReference w:id="29"/>
      </w:r>
    </w:p>
    <w:p>
      <w:r>
        <w:t xml:space="preserve">The relevant default-network territories include posterior cingulate/retrosplenial and angular-region components, medial prefrontal regions, and medial-temporal-linked components. Their functional contributions include reconstructing an event, relating it to personal knowledge, and representing other people's perspectives. Precision mapping distinguishes preferentially episodic and social components within this broad arrangement. These are useful divisions when the task requires either recalling where an object was put or inferring what another person knows about it. </w:t>
      </w:r>
      <w:r>
        <w:rPr>
          <w:rStyle w:val="FootnoteReference"/>
        </w:rPr>
        <w:footnoteReference w:id="30"/>
      </w:r>
    </w:p>
    <w:p>
      <w:r>
        <w:t xml:space="preserve">For computation, an </w:t>
      </w:r>
      <w:r>
        <w:rPr>
          <w:b/>
        </w:rPr>
        <w:t>event-context representation</w:t>
      </w:r>
      <w:r>
        <w:t xml:space="preserve"> maintains relations such as searching-in-bedroom-before-meeting. It outlasts individual fixations, constrains likely objects and actions, and can be revised at an event boundary. This is a modeling description motivated by the event-timescale and recollection findings, not a claim that those words occupy one neural register.</w:t>
      </w:r>
    </w:p>
    <w:p>
      <w:pPr>
        <w:pStyle w:val="Heading2"/>
      </w:pPr>
      <w:r>
        <w:t>Control networks make context effective</w:t>
      </w:r>
    </w:p>
    <w:p>
      <w:r>
        <w:t xml:space="preserve">Lateral frontoparietal control circuits contribute to maintaining rules, using selected information, and adapting the current plan. Their interaction partners depend on the task. During autobiographical planning, control-network activity can couple with default-network systems; during visuospatial planning it can couple with dorsal-attention systems. The same goal can therefore be pursued through internally reconstructed possibilities or externally sampled evidence. </w:t>
      </w:r>
      <w:r>
        <w:rPr>
          <w:rStyle w:val="FootnoteReference"/>
        </w:rPr>
        <w:footnoteReference w:id="31"/>
      </w:r>
    </w:p>
    <w:p>
      <w:r>
        <w:t xml:space="preserve">The operational effects should be explicit: retain the target; retrieve a candidate location; amplify matching sensory features; inspect the candidate; revise the candidate set after informative failure. FEF/parietal spatial selection and frontal feature selection supply mechanisms for the sensory part of this cycle. Prefrontal-thalamic interactions supply mechanisms for maintaining the relevant task state. </w:t>
      </w:r>
      <w:r>
        <w:rPr>
          <w:rStyle w:val="FootnoteReference"/>
        </w:rPr>
        <w:footnoteReference w:id="32"/>
      </w:r>
    </w:p>
    <w:p>
      <w:r>
        <w:t>In this architecture, network names summarize interacting anatomical populations. They become useful for implementation only after specifying which state is retained and which downstream computation changes because of their activity.</w:t>
      </w:r>
    </w:p>
    <w:p>
      <w:pPr>
        <w:pStyle w:val="Heading1"/>
      </w:pPr>
      <w:r>
        <w:t>7. Value, bodily state, stress, and changes in priority</w:t>
      </w:r>
    </w:p>
    <w:p>
      <w:r>
        <w:t xml:space="preserve">Bodily regulation affects what is worth sampling and acting on. Hypothalamic circuits encode physiological needs; insular and related systems represent bodily signals and their behavioral significance. In human interoception experiments, insular activity relates to bodily-signal awareness. In mice, a mapped pathway from hypothalamic AgRP neurons through paraventricular thalamus and basolateral amygdala changes food-cue responses in insular cortex. This demonstrates how a need can alter the effective sensory representation of an opportunity. </w:t>
      </w:r>
      <w:r>
        <w:rPr>
          <w:rStyle w:val="FootnoteReference"/>
        </w:rPr>
        <w:footnoteReference w:id="33"/>
      </w:r>
    </w:p>
    <w:p>
      <w:r>
        <w:t xml:space="preserve">Learned cue significance and outcome structure further constrain choice. Amygdala populations update representations of positive and negative learned value. Orbitofrontal representations can distinguish hidden task states that determine what an observation or choice means. Anterior cingulate damage can impair using action-outcome history to guide subsequent choices. Taken together, these systems supply information needed to judge whether to continue an action, switch strategy, or invest more effort. </w:t>
      </w:r>
      <w:r>
        <w:rPr>
          <w:rStyle w:val="FootnoteReference"/>
        </w:rPr>
        <w:footnoteReference w:id="34"/>
      </w:r>
    </w:p>
    <w:p>
      <w:r>
        <w:t xml:space="preserve">Neuromodulatory input changes the operating conditions of the circuits implementing these computations. Basal-forebrain cholinergic manipulation can rapidly alter visual performance and cortical responses. In prefrontal circuits, alpha2A-adrenoceptor signaling can strengthen working-memory-related network interactions through cAMP-HCN mechanisms. These are physical changes in responsiveness and recurrent effectiveness, allowing a task or state to alter processing without rewriting all synapses. </w:t>
      </w:r>
      <w:r>
        <w:rPr>
          <w:rStyle w:val="FootnoteReference"/>
        </w:rPr>
        <w:footnoteReference w:id="35"/>
      </w:r>
    </w:p>
    <w:p>
      <w:r>
        <w:t xml:space="preserve">Stress matters here because maintaining the target and the search history depends on stable task representations. Human experiments demonstrate reduced working-memory-related dorsolateral prefrontal activity under acute psychological stress. Applying that evidence to the watch example predicts a possible failure mode: repeated checking and loss of place in the search despite intact recognition of the watch. The exact behavioral effect depends on the stressor and task; the study does not establish that every stressed person will show this pattern. </w:t>
      </w:r>
      <w:r>
        <w:rPr>
          <w:rStyle w:val="FootnoteReference"/>
        </w:rPr>
        <w:footnoteReference w:id="36"/>
      </w:r>
    </w:p>
    <w:p>
      <w:r>
        <w:t xml:space="preserve">Wakeful operating state is a further prerequisite. Central-lateral thalamic stimulation can restore arousal-related behavior and wake-like cortical dynamics in anesthetized macaques. This state-setting function supports the recurrent processing described above; its variable is the circuit's capacity for effective ongoing interaction, rather than the identity of the currently selected object. </w:t>
      </w:r>
      <w:r>
        <w:rPr>
          <w:rStyle w:val="FootnoteReference"/>
        </w:rPr>
        <w:footnoteReference w:id="37"/>
      </w:r>
    </w:p>
    <w:p>
      <w:pPr>
        <w:pStyle w:val="Heading1"/>
      </w:pPr>
      <w:r>
        <w:t>8. From a selected object to a controlled movement</w:t>
      </w:r>
    </w:p>
    <w:p>
      <w:pPr>
        <w:pStyle w:val="Heading2"/>
      </w:pPr>
      <w:r>
        <w:t>Specifying candidate actions</w:t>
      </w:r>
    </w:p>
    <w:p>
      <w:r>
        <w:t xml:space="preserve">Posterior parietal and premotor circuits transform object/body relations into possible actions. Dorsal premotor populations can represent multiple potential reach directions before selection favors one. The relevant state therefore evolves from several candidate movements toward a prepared movement under current sensory, goal, and outcome constraints. </w:t>
      </w:r>
      <w:r>
        <w:rPr>
          <w:rStyle w:val="FootnoteReference"/>
        </w:rPr>
        <w:footnoteReference w:id="38"/>
      </w:r>
    </w:p>
    <w:p>
      <w:r>
        <w:t xml:space="preserve">Reaching and grasping impose different geometric requirements. Reach-related parietal/premotor computations use target and hand position; anterior intraparietal and ventral premotor circuits are especially relevant to shaping the hand for the object's geometry. Inactivating a grasp-related F5 sector in macaques disrupts visually guided hand shaping. Inactivating the M1 hand field has a different consequence, including severe impairment of finger movement. These results distinguish specifying the grasp from producing the required descending drive. </w:t>
      </w:r>
      <w:r>
        <w:rPr>
          <w:rStyle w:val="FootnoteReference"/>
        </w:rPr>
        <w:footnoteReference w:id="39"/>
      </w:r>
    </w:p>
    <w:p>
      <w:pPr>
        <w:pStyle w:val="Heading2"/>
      </w:pPr>
      <w:r>
        <w:t>What basal-ganglia output changes</w:t>
      </w:r>
    </w:p>
    <w:p>
      <w:r>
        <w:t>Cortical state reaches striatal populations and influences basal-ganglia output nuclei, particularly internal globus pallidus (GPi) and substantia nigra pars reticulata (SNr). Those output nuclei inhibit thalamic and brainstem targets. Reducing their activity in a relevant pathway releases that target from inhibition; increasing output constrains it. The sign structure of an important route is:</w:t>
      </w:r>
    </w:p>
    <w:p>
      <w:pPr>
        <w:pStyle w:val="CodeBlock"/>
        <w:keepLines/>
        <w:spacing w:before="80" w:after="180"/>
      </w:pPr>
      <w:r>
        <w:rPr>
          <w:rFonts w:ascii="DejaVu Sans Mono" w:hAnsi="DejaVu Sans Mono"/>
          <w:sz w:val="18"/>
        </w:rPr>
        <w:t>Cortex --excites--&gt; striatum --inhibits--&gt; GPi/SNr</w:t>
        <w:br/>
        <w:t>GPi/SNr --inhibits--&gt; thalamic or brainstem target</w:t>
        <w:br/>
        <w:br/>
        <w:t>More inhibition of an inhibitory output can release its target.</w:t>
      </w:r>
    </w:p>
    <w:p>
      <w:r>
        <w:t xml:space="preserve">In the eye-movement system, SNr control of superior-colliculus targets provides a concrete example of this regulation. In the arm system, pallidal output contributes to movement strength and scaling: reversible posterior-GPi inactivation can slow and shorten reaching and reduce muscle activation while leaving other aspects of movement organization and online correction comparatively intact. The practical role is regulation of the expression of a prepared action, not supplying all of its geometric details. </w:t>
      </w:r>
      <w:r>
        <w:rPr>
          <w:rStyle w:val="FootnoteReference"/>
        </w:rPr>
        <w:footnoteReference w:id="40"/>
      </w:r>
    </w:p>
    <w:p>
      <w:r>
        <w:t xml:space="preserve">Additional routes through external pallidum and subthalamic nucleus (STN), together with direct cortical input to STN, can alter this output rapidly. STN excitation raises excitatory drive to basal-ganglia output nuclei; causal experiments show that brief STN activation can interrupt ongoing behavior. This supplies one mechanism for stopping or pausing an action when the situation changes. </w:t>
      </w:r>
      <w:r>
        <w:rPr>
          <w:rStyle w:val="FootnoteReference"/>
        </w:rPr>
        <w:footnoteReference w:id="41"/>
      </w:r>
    </w:p>
    <w:p>
      <w:r>
        <w:t>For picking up a pencil, the operational division is: parietal/premotor circuitry specifies a reachable target and appropriate hand shape; basal-ganglia loops help regulate the expression and vigor of the action; motor cortex and descending pathways recruit muscles. These are cooperating control processes, not separate decisions performed in a compulsory one-pass order.</w:t>
      </w:r>
    </w:p>
    <w:p>
      <w:pPr>
        <w:pStyle w:val="Heading2"/>
      </w:pPr>
      <w:r>
        <w:t>Execution and feedback</w:t>
      </w:r>
    </w:p>
    <w:p>
      <w:r>
        <w:t xml:space="preserve">Motor output continuously encounters the mechanics of the arm and object. Touch reports whether contact occurred and whether the pencil is slipping; proprioception reports the resulting limb state. Fast feedback is distributed across spinal, brainstem, cortical, and cerebellar routes. Primary motor cortex can integrate multi-joint feedback rapidly enough to contribute to corrective responses. Tactile friction signals and previous sensorimotor experience adjust grip force. </w:t>
      </w:r>
      <w:r>
        <w:rPr>
          <w:rStyle w:val="FootnoteReference"/>
        </w:rPr>
        <w:footnoteReference w:id="42"/>
      </w:r>
    </w:p>
    <w:p>
      <w:r>
        <w:t xml:space="preserve">The cerebellum contributes predictive calibration. Cortical and sensory information reaches cerebellar circuits through mossy-fiber pathways; granule-cell/parallel-fiber activity interacts with Purkinje cells, which inhibit deep cerebellar output nuclei. Climbing-fiber input supplies powerful instructive signals. Purkinje-cell recordings relate error signals to subsequent learning, and cerebellar-patient experiments support adaptation driven by sensory prediction errors. </w:t>
      </w:r>
      <w:r>
        <w:rPr>
          <w:rStyle w:val="FootnoteReference"/>
        </w:rPr>
        <w:footnoteReference w:id="43"/>
      </w:r>
    </w:p>
    <w:p>
      <w:r>
        <w:t>The distinction for implementation is between correcting the present reach and changing the prediction used for the next reach. An unexpectedly slippery pencil triggers immediate adjustment; repeated experience also changes anticipatory force and movement calibration. These timescales require linked but distinguishable state updates.</w:t>
      </w:r>
    </w:p>
    <w:p>
      <w:pPr>
        <w:pStyle w:val="Heading1"/>
      </w:pPr>
      <w:r>
        <w:t>9. Learning and the integration of perception</w:t>
      </w:r>
    </w:p>
    <w:p>
      <w:r>
        <w:t xml:space="preserve">Different parts of the architecture learn different relationships. Hippocampal circuits bind particular event elements rapidly. Cortical representations acquire reusable regularities and knowledge. Sensorimotor circuits adapt predictions and control parameters. Dopaminergic signals can instruct learning when an outcome differs from what was expected; causal stimulation experiments show that such signals can change cue-outcome learning. </w:t>
      </w:r>
      <w:r>
        <w:rPr>
          <w:rStyle w:val="FootnoteReference"/>
        </w:rPr>
        <w:footnoteReference w:id="44"/>
      </w:r>
    </w:p>
    <w:p>
      <w:r>
        <w:t>These mechanisms connect present perception to past consequences. A remembered location influences the next fixation; a predicted contact changes the expected tactile input; successful grasping updates future force; a disappointing search changes the attractiveness of checking that location again. An implementation can model these as distinct learning problems. Equating them all with one scalar prediction error would be an additional engineering assumption.</w:t>
      </w:r>
    </w:p>
    <w:p>
      <w:pPr>
        <w:pStyle w:val="Heading2"/>
      </w:pPr>
      <w:r>
        <w:t>What makes the resulting perception coherent</w:t>
      </w:r>
    </w:p>
    <w:p>
      <w:r>
        <w:t xml:space="preserve">Coherence has several computational components. Coordinate transformations relate signals to a moving body. Crossmodal constraints make independently obtained evidence agree or reveal disagreement. Recurrent sensory processing resolves ambiguous structure. Working state preserves selected information across interruptions. Event representations preserve context across longer intervals. Episodic retrieval supplies relations missing from the current input. Action tests the resulting interpretation by generating new evidence. </w:t>
      </w:r>
      <w:r>
        <w:rPr>
          <w:rStyle w:val="FootnoteReference"/>
        </w:rPr>
        <w:footnoteReference w:id="45"/>
      </w:r>
    </w:p>
    <w:p>
      <w:r>
        <w:t xml:space="preserve">The integrated result is a temporally extended, action-usable representation of the situation: the same object can be recognized, remembered, localized, discussed, approached, and tested by touch. Which of these properties are sufficient for subjective experience remains unresolved. The architecture is therefore a reference for building and testing </w:t>
      </w:r>
      <w:r>
        <w:rPr>
          <w:b/>
        </w:rPr>
        <w:t>perception-like functions and flexible access</w:t>
      </w:r>
      <w:r>
        <w:t>, not a validated recipe for subjective consciousness.</w:t>
      </w:r>
    </w:p>
    <w:p>
      <w:pPr>
        <w:pStyle w:val="Heading1"/>
      </w:pPr>
      <w:r>
        <w:t>10. Proposed module contracts for an embodied neural system</w:t>
      </w:r>
    </w:p>
    <w:p>
      <w:r>
        <w:t>The following partition is an engineering proposal constrained by the preceding findings. It groups circuits by the state they maintain and the interfaces needed to connect them; it does not require reproducing every named anatomical area as a separate network.</w:t>
      </w:r>
    </w:p>
    <w:tbl>
      <w:tblPr>
        <w:tblW w:type="auto" w:w="0"/>
        <w:jc w:val="center"/>
        <w:tblLayout w:type="fixed"/>
        <w:tblLook w:firstColumn="1" w:firstRow="1" w:lastColumn="0" w:lastRow="0" w:noHBand="0" w:noVBand="1" w:val="04A0"/>
        <w:tblBorders>
          <w:top w:val="single" w:sz="3" w:color="C8C8C8"/>
          <w:left w:val="single" w:sz="3" w:color="C8C8C8"/>
          <w:bottom w:val="single" w:sz="3" w:color="C8C8C8"/>
          <w:right w:val="single" w:sz="3" w:color="C8C8C8"/>
          <w:insideH w:val="single" w:sz="3" w:color="C8C8C8"/>
          <w:insideV w:val="single" w:sz="3" w:color="C8C8C8"/>
        </w:tblBorders>
      </w:tblPr>
      <w:tblGrid>
        <w:gridCol w:w="2232"/>
        <w:gridCol w:w="3672"/>
        <w:gridCol w:w="4032"/>
      </w:tblGrid>
      <w:tr>
        <w:trPr>
          <w:tblHeader/>
          <w:cantSplit/>
        </w:trPr>
        <w:tc>
          <w:tcPr>
            <w:tcW w:type="dxa" w:w="2232"/>
            <w:vAlign w:val="center"/>
            <w:tcMar>
              <w:top w:w="95" w:type="dxa"/>
              <w:bottom w:w="95" w:type="dxa"/>
              <w:left w:w="100" w:type="dxa"/>
              <w:right w:w="100" w:type="dxa"/>
            </w:tcMar>
            <w:shd w:fill="E9E9E9"/>
          </w:tcPr>
          <w:p>
            <w:pPr>
              <w:spacing w:after="0" w:line="257" w:lineRule="auto"/>
            </w:pPr>
            <w:r>
              <w:rPr>
                <w:b/>
                <w:sz w:val="20"/>
              </w:rPr>
              <w:t>Module</w:t>
            </w:r>
          </w:p>
        </w:tc>
        <w:tc>
          <w:tcPr>
            <w:tcW w:type="dxa" w:w="3672"/>
            <w:vAlign w:val="center"/>
            <w:tcMar>
              <w:top w:w="95" w:type="dxa"/>
              <w:bottom w:w="95" w:type="dxa"/>
              <w:left w:w="100" w:type="dxa"/>
              <w:right w:w="100" w:type="dxa"/>
            </w:tcMar>
            <w:shd w:fill="E9E9E9"/>
          </w:tcPr>
          <w:p>
            <w:pPr>
              <w:spacing w:after="0" w:line="257" w:lineRule="auto"/>
            </w:pPr>
            <w:r>
              <w:rPr>
                <w:b/>
                <w:sz w:val="20"/>
              </w:rPr>
              <w:t>Retained state</w:t>
            </w:r>
          </w:p>
        </w:tc>
        <w:tc>
          <w:tcPr>
            <w:tcW w:type="dxa" w:w="4032"/>
            <w:vAlign w:val="center"/>
            <w:tcMar>
              <w:top w:w="95" w:type="dxa"/>
              <w:bottom w:w="95" w:type="dxa"/>
              <w:left w:w="100" w:type="dxa"/>
              <w:right w:w="100" w:type="dxa"/>
            </w:tcMar>
            <w:shd w:fill="E9E9E9"/>
          </w:tcPr>
          <w:p>
            <w:pPr>
              <w:spacing w:after="0" w:line="257" w:lineRule="auto"/>
            </w:pPr>
            <w:r>
              <w:rPr>
                <w:b/>
                <w:sz w:val="20"/>
              </w:rPr>
              <w:t>Required outputs and control interfaces</w:t>
            </w:r>
          </w:p>
        </w:tc>
      </w:tr>
      <w:tr>
        <w:trPr>
          <w:cantSplit/>
        </w:trPr>
        <w:tc>
          <w:tcPr>
            <w:tcW w:type="dxa" w:w="2232"/>
            <w:vAlign w:val="center"/>
            <w:tcMar>
              <w:top w:w="95" w:type="dxa"/>
              <w:bottom w:w="95" w:type="dxa"/>
              <w:left w:w="100" w:type="dxa"/>
              <w:right w:w="100" w:type="dxa"/>
            </w:tcMar>
          </w:tcPr>
          <w:p>
            <w:pPr>
              <w:spacing w:after="0" w:line="257" w:lineRule="auto"/>
            </w:pPr>
            <w:r>
              <w:rPr>
                <w:sz w:val="20"/>
              </w:rPr>
              <w:t>Modality-specific perceptual circuits</w:t>
            </w:r>
          </w:p>
        </w:tc>
        <w:tc>
          <w:tcPr>
            <w:tcW w:type="dxa" w:w="3672"/>
            <w:vAlign w:val="center"/>
            <w:tcMar>
              <w:top w:w="95" w:type="dxa"/>
              <w:bottom w:w="95" w:type="dxa"/>
              <w:left w:w="100" w:type="dxa"/>
              <w:right w:w="100" w:type="dxa"/>
            </w:tcMar>
          </w:tcPr>
          <w:p>
            <w:pPr>
              <w:spacing w:after="0" w:line="257" w:lineRule="auto"/>
            </w:pPr>
            <w:r>
              <w:rPr>
                <w:sz w:val="20"/>
              </w:rPr>
              <w:t>Recent sensory history; feature and identity-related estimates.</w:t>
            </w:r>
          </w:p>
        </w:tc>
        <w:tc>
          <w:tcPr>
            <w:tcW w:type="dxa" w:w="4032"/>
            <w:vAlign w:val="center"/>
            <w:tcMar>
              <w:top w:w="95" w:type="dxa"/>
              <w:bottom w:w="95" w:type="dxa"/>
              <w:left w:w="100" w:type="dxa"/>
              <w:right w:w="100" w:type="dxa"/>
            </w:tcMar>
          </w:tcPr>
          <w:p>
            <w:pPr>
              <w:spacing w:after="0" w:line="257" w:lineRule="auto"/>
            </w:pPr>
            <w:r>
              <w:rPr>
                <w:sz w:val="20"/>
              </w:rPr>
              <w:t>Features with uncertainty and reference frame; top-down feature/location bias; separate recurrent sensory state.</w:t>
            </w:r>
          </w:p>
        </w:tc>
      </w:tr>
      <w:tr>
        <w:trPr>
          <w:cantSplit/>
        </w:trPr>
        <w:tc>
          <w:tcPr>
            <w:tcW w:type="dxa" w:w="2232"/>
            <w:vAlign w:val="center"/>
            <w:tcMar>
              <w:top w:w="95" w:type="dxa"/>
              <w:bottom w:w="95" w:type="dxa"/>
              <w:left w:w="100" w:type="dxa"/>
              <w:right w:w="100" w:type="dxa"/>
            </w:tcMar>
          </w:tcPr>
          <w:p>
            <w:pPr>
              <w:spacing w:after="0" w:line="257" w:lineRule="auto"/>
            </w:pPr>
            <w:r>
              <w:rPr>
                <w:sz w:val="20"/>
              </w:rPr>
              <w:t>Body and spatial estimation</w:t>
            </w:r>
          </w:p>
        </w:tc>
        <w:tc>
          <w:tcPr>
            <w:tcW w:type="dxa" w:w="3672"/>
            <w:vAlign w:val="center"/>
            <w:tcMar>
              <w:top w:w="95" w:type="dxa"/>
              <w:bottom w:w="95" w:type="dxa"/>
              <w:left w:w="100" w:type="dxa"/>
              <w:right w:w="100" w:type="dxa"/>
            </w:tcMar>
          </w:tcPr>
          <w:p>
            <w:pPr>
              <w:spacing w:after="0" w:line="257" w:lineRule="auto"/>
            </w:pPr>
            <w:r>
              <w:rPr>
                <w:sz w:val="20"/>
              </w:rPr>
              <w:t>Estimated eye, head, limb, and target relations; self-motion.</w:t>
            </w:r>
          </w:p>
        </w:tc>
        <w:tc>
          <w:tcPr>
            <w:tcW w:type="dxa" w:w="4032"/>
            <w:vAlign w:val="center"/>
            <w:tcMar>
              <w:top w:w="95" w:type="dxa"/>
              <w:bottom w:w="95" w:type="dxa"/>
              <w:left w:w="100" w:type="dxa"/>
              <w:right w:w="100" w:type="dxa"/>
            </w:tcMar>
          </w:tcPr>
          <w:p>
            <w:pPr>
              <w:spacing w:after="0" w:line="257" w:lineRule="auto"/>
            </w:pPr>
            <w:r>
              <w:rPr>
                <w:sz w:val="20"/>
              </w:rPr>
              <w:t>Coordinate transformations, predicted sensory consequences, disagreement signals; access to motor-command copies.</w:t>
            </w:r>
          </w:p>
        </w:tc>
      </w:tr>
      <w:tr>
        <w:trPr>
          <w:cantSplit/>
        </w:trPr>
        <w:tc>
          <w:tcPr>
            <w:tcW w:type="dxa" w:w="2232"/>
            <w:vAlign w:val="center"/>
            <w:tcMar>
              <w:top w:w="95" w:type="dxa"/>
              <w:bottom w:w="95" w:type="dxa"/>
              <w:left w:w="100" w:type="dxa"/>
              <w:right w:w="100" w:type="dxa"/>
            </w:tcMar>
          </w:tcPr>
          <w:p>
            <w:pPr>
              <w:spacing w:after="0" w:line="257" w:lineRule="auto"/>
            </w:pPr>
            <w:r>
              <w:rPr>
                <w:sz w:val="20"/>
              </w:rPr>
              <w:t>Working-state and task control</w:t>
            </w:r>
          </w:p>
        </w:tc>
        <w:tc>
          <w:tcPr>
            <w:tcW w:type="dxa" w:w="3672"/>
            <w:vAlign w:val="center"/>
            <w:tcMar>
              <w:top w:w="95" w:type="dxa"/>
              <w:bottom w:w="95" w:type="dxa"/>
              <w:left w:w="100" w:type="dxa"/>
              <w:right w:w="100" w:type="dxa"/>
            </w:tcMar>
          </w:tcPr>
          <w:p>
            <w:pPr>
              <w:spacing w:after="0" w:line="257" w:lineRule="auto"/>
            </w:pPr>
            <w:r>
              <w:rPr>
                <w:sz w:val="20"/>
              </w:rPr>
              <w:t>Selected target, rule, subgoal, and recent task-relevant information.</w:t>
            </w:r>
          </w:p>
        </w:tc>
        <w:tc>
          <w:tcPr>
            <w:tcW w:type="dxa" w:w="4032"/>
            <w:vAlign w:val="center"/>
            <w:tcMar>
              <w:top w:w="95" w:type="dxa"/>
              <w:bottom w:w="95" w:type="dxa"/>
              <w:left w:w="100" w:type="dxa"/>
              <w:right w:w="100" w:type="dxa"/>
            </w:tcMar>
          </w:tcPr>
          <w:p>
            <w:pPr>
              <w:spacing w:after="0" w:line="257" w:lineRule="auto"/>
            </w:pPr>
            <w:r>
              <w:rPr>
                <w:sz w:val="20"/>
              </w:rPr>
              <w:t>Select, maintain, update, reactivate, and read out contents; influence sensory sampling and action preparation.</w:t>
            </w:r>
          </w:p>
        </w:tc>
      </w:tr>
      <w:tr>
        <w:trPr>
          <w:cantSplit/>
        </w:trPr>
        <w:tc>
          <w:tcPr>
            <w:tcW w:type="dxa" w:w="2232"/>
            <w:vAlign w:val="center"/>
            <w:tcMar>
              <w:top w:w="95" w:type="dxa"/>
              <w:bottom w:w="95" w:type="dxa"/>
              <w:left w:w="100" w:type="dxa"/>
              <w:right w:w="100" w:type="dxa"/>
            </w:tcMar>
          </w:tcPr>
          <w:p>
            <w:pPr>
              <w:spacing w:after="0" w:line="257" w:lineRule="auto"/>
            </w:pPr>
            <w:r>
              <w:rPr>
                <w:sz w:val="20"/>
              </w:rPr>
              <w:t>Episodic associative memory</w:t>
            </w:r>
          </w:p>
        </w:tc>
        <w:tc>
          <w:tcPr>
            <w:tcW w:type="dxa" w:w="3672"/>
            <w:vAlign w:val="center"/>
            <w:tcMar>
              <w:top w:w="95" w:type="dxa"/>
              <w:bottom w:w="95" w:type="dxa"/>
              <w:left w:w="100" w:type="dxa"/>
              <w:right w:w="100" w:type="dxa"/>
            </w:tcMar>
          </w:tcPr>
          <w:p>
            <w:pPr>
              <w:spacing w:after="0" w:line="257" w:lineRule="auto"/>
            </w:pPr>
            <w:r>
              <w:rPr>
                <w:sz w:val="20"/>
              </w:rPr>
              <w:t>Rapidly learned bindings among item, place, time/context, and outcome.</w:t>
            </w:r>
          </w:p>
        </w:tc>
        <w:tc>
          <w:tcPr>
            <w:tcW w:type="dxa" w:w="4032"/>
            <w:vAlign w:val="center"/>
            <w:tcMar>
              <w:top w:w="95" w:type="dxa"/>
              <w:bottom w:w="95" w:type="dxa"/>
              <w:left w:w="100" w:type="dxa"/>
              <w:right w:w="100" w:type="dxa"/>
            </w:tcMar>
          </w:tcPr>
          <w:p>
            <w:pPr>
              <w:spacing w:after="0" w:line="257" w:lineRule="auto"/>
            </w:pPr>
            <w:r>
              <w:rPr>
                <w:sz w:val="20"/>
              </w:rPr>
              <w:t>Partial-cue retrieval, separation of similar episodes, cortical-content reinstatement.</w:t>
            </w:r>
          </w:p>
        </w:tc>
      </w:tr>
      <w:tr>
        <w:trPr>
          <w:cantSplit/>
        </w:trPr>
        <w:tc>
          <w:tcPr>
            <w:tcW w:type="dxa" w:w="2232"/>
            <w:vAlign w:val="center"/>
            <w:tcMar>
              <w:top w:w="95" w:type="dxa"/>
              <w:bottom w:w="95" w:type="dxa"/>
              <w:left w:w="100" w:type="dxa"/>
              <w:right w:w="100" w:type="dxa"/>
            </w:tcMar>
          </w:tcPr>
          <w:p>
            <w:pPr>
              <w:spacing w:after="0" w:line="257" w:lineRule="auto"/>
            </w:pPr>
            <w:r>
              <w:rPr>
                <w:sz w:val="20"/>
              </w:rPr>
              <w:t>Semantic and event-context systems</w:t>
            </w:r>
          </w:p>
        </w:tc>
        <w:tc>
          <w:tcPr>
            <w:tcW w:type="dxa" w:w="3672"/>
            <w:vAlign w:val="center"/>
            <w:tcMar>
              <w:top w:w="95" w:type="dxa"/>
              <w:bottom w:w="95" w:type="dxa"/>
              <w:left w:w="100" w:type="dxa"/>
              <w:right w:w="100" w:type="dxa"/>
            </w:tcMar>
          </w:tcPr>
          <w:p>
            <w:pPr>
              <w:spacing w:after="0" w:line="257" w:lineRule="auto"/>
            </w:pPr>
            <w:r>
              <w:rPr>
                <w:sz w:val="20"/>
              </w:rPr>
              <w:t>Learned concepts and relations; current event interpretation.</w:t>
            </w:r>
          </w:p>
        </w:tc>
        <w:tc>
          <w:tcPr>
            <w:tcW w:type="dxa" w:w="4032"/>
            <w:vAlign w:val="center"/>
            <w:tcMar>
              <w:top w:w="95" w:type="dxa"/>
              <w:bottom w:w="95" w:type="dxa"/>
              <w:left w:w="100" w:type="dxa"/>
              <w:right w:w="100" w:type="dxa"/>
            </w:tcMar>
          </w:tcPr>
          <w:p>
            <w:pPr>
              <w:spacing w:after="0" w:line="257" w:lineRule="auto"/>
            </w:pPr>
            <w:r>
              <w:rPr>
                <w:sz w:val="20"/>
              </w:rPr>
              <w:t>Candidate meanings, likely context, retrieved or imagined situations; interaction with task control.</w:t>
            </w:r>
          </w:p>
        </w:tc>
      </w:tr>
      <w:tr>
        <w:trPr>
          <w:cantSplit/>
        </w:trPr>
        <w:tc>
          <w:tcPr>
            <w:tcW w:type="dxa" w:w="2232"/>
            <w:vAlign w:val="center"/>
            <w:tcMar>
              <w:top w:w="95" w:type="dxa"/>
              <w:bottom w:w="95" w:type="dxa"/>
              <w:left w:w="100" w:type="dxa"/>
              <w:right w:w="100" w:type="dxa"/>
            </w:tcMar>
          </w:tcPr>
          <w:p>
            <w:pPr>
              <w:spacing w:after="0" w:line="257" w:lineRule="auto"/>
            </w:pPr>
            <w:r>
              <w:rPr>
                <w:sz w:val="20"/>
              </w:rPr>
              <w:t>Bodily significance and outcome evaluation</w:t>
            </w:r>
          </w:p>
        </w:tc>
        <w:tc>
          <w:tcPr>
            <w:tcW w:type="dxa" w:w="3672"/>
            <w:vAlign w:val="center"/>
            <w:tcMar>
              <w:top w:w="95" w:type="dxa"/>
              <w:bottom w:w="95" w:type="dxa"/>
              <w:left w:w="100" w:type="dxa"/>
              <w:right w:w="100" w:type="dxa"/>
            </w:tcMar>
          </w:tcPr>
          <w:p>
            <w:pPr>
              <w:spacing w:after="0" w:line="257" w:lineRule="auto"/>
            </w:pPr>
            <w:r>
              <w:rPr>
                <w:sz w:val="20"/>
              </w:rPr>
              <w:t>Needs, learned cue values, current outcome expectations, recent success/failure.</w:t>
            </w:r>
          </w:p>
        </w:tc>
        <w:tc>
          <w:tcPr>
            <w:tcW w:type="dxa" w:w="4032"/>
            <w:vAlign w:val="center"/>
            <w:tcMar>
              <w:top w:w="95" w:type="dxa"/>
              <w:bottom w:w="95" w:type="dxa"/>
              <w:left w:w="100" w:type="dxa"/>
              <w:right w:w="100" w:type="dxa"/>
            </w:tcMar>
          </w:tcPr>
          <w:p>
            <w:pPr>
              <w:spacing w:after="0" w:line="257" w:lineRule="auto"/>
            </w:pPr>
            <w:r>
              <w:rPr>
                <w:sz w:val="20"/>
              </w:rPr>
              <w:t>Relative action priorities; modulation of sensory processing, effort, and learning.</w:t>
            </w:r>
          </w:p>
        </w:tc>
      </w:tr>
      <w:tr>
        <w:trPr>
          <w:cantSplit/>
        </w:trPr>
        <w:tc>
          <w:tcPr>
            <w:tcW w:type="dxa" w:w="2232"/>
            <w:vAlign w:val="center"/>
            <w:tcMar>
              <w:top w:w="95" w:type="dxa"/>
              <w:bottom w:w="95" w:type="dxa"/>
              <w:left w:w="100" w:type="dxa"/>
              <w:right w:w="100" w:type="dxa"/>
            </w:tcMar>
          </w:tcPr>
          <w:p>
            <w:pPr>
              <w:spacing w:after="0" w:line="257" w:lineRule="auto"/>
            </w:pPr>
            <w:r>
              <w:rPr>
                <w:sz w:val="20"/>
              </w:rPr>
              <w:t>Action preparation and regulation</w:t>
            </w:r>
          </w:p>
        </w:tc>
        <w:tc>
          <w:tcPr>
            <w:tcW w:type="dxa" w:w="3672"/>
            <w:vAlign w:val="center"/>
            <w:tcMar>
              <w:top w:w="95" w:type="dxa"/>
              <w:bottom w:w="95" w:type="dxa"/>
              <w:left w:w="100" w:type="dxa"/>
              <w:right w:w="100" w:type="dxa"/>
            </w:tcMar>
          </w:tcPr>
          <w:p>
            <w:pPr>
              <w:spacing w:after="0" w:line="257" w:lineRule="auto"/>
            </w:pPr>
            <w:r>
              <w:rPr>
                <w:sz w:val="20"/>
              </w:rPr>
              <w:t>Candidate trajectories and grasps; selected action and vigor.</w:t>
            </w:r>
          </w:p>
        </w:tc>
        <w:tc>
          <w:tcPr>
            <w:tcW w:type="dxa" w:w="4032"/>
            <w:vAlign w:val="center"/>
            <w:tcMar>
              <w:top w:w="95" w:type="dxa"/>
              <w:bottom w:w="95" w:type="dxa"/>
              <w:left w:w="100" w:type="dxa"/>
              <w:right w:w="100" w:type="dxa"/>
            </w:tcMar>
          </w:tcPr>
          <w:p>
            <w:pPr>
              <w:spacing w:after="0" w:line="257" w:lineRule="auto"/>
            </w:pPr>
            <w:r>
              <w:rPr>
                <w:sz w:val="20"/>
              </w:rPr>
              <w:t>Descending action command, interruption, sequencing, and an efference copy; body-state feedback.</w:t>
            </w:r>
          </w:p>
        </w:tc>
      </w:tr>
      <w:tr>
        <w:trPr>
          <w:cantSplit/>
        </w:trPr>
        <w:tc>
          <w:tcPr>
            <w:tcW w:type="dxa" w:w="2232"/>
            <w:vAlign w:val="center"/>
            <w:tcMar>
              <w:top w:w="95" w:type="dxa"/>
              <w:bottom w:w="95" w:type="dxa"/>
              <w:left w:w="100" w:type="dxa"/>
              <w:right w:w="100" w:type="dxa"/>
            </w:tcMar>
          </w:tcPr>
          <w:p>
            <w:pPr>
              <w:spacing w:after="0" w:line="257" w:lineRule="auto"/>
            </w:pPr>
            <w:r>
              <w:rPr>
                <w:sz w:val="20"/>
              </w:rPr>
              <w:t>Predictive calibration and learning</w:t>
            </w:r>
          </w:p>
        </w:tc>
        <w:tc>
          <w:tcPr>
            <w:tcW w:type="dxa" w:w="3672"/>
            <w:vAlign w:val="center"/>
            <w:tcMar>
              <w:top w:w="95" w:type="dxa"/>
              <w:bottom w:w="95" w:type="dxa"/>
              <w:left w:w="100" w:type="dxa"/>
              <w:right w:w="100" w:type="dxa"/>
            </w:tcMar>
          </w:tcPr>
          <w:p>
            <w:pPr>
              <w:spacing w:after="0" w:line="257" w:lineRule="auto"/>
            </w:pPr>
            <w:r>
              <w:rPr>
                <w:sz w:val="20"/>
              </w:rPr>
              <w:t>Learned mappings between commands, body state, and sensory consequences.</w:t>
            </w:r>
          </w:p>
        </w:tc>
        <w:tc>
          <w:tcPr>
            <w:tcW w:type="dxa" w:w="4032"/>
            <w:vAlign w:val="center"/>
            <w:tcMar>
              <w:top w:w="95" w:type="dxa"/>
              <w:bottom w:w="95" w:type="dxa"/>
              <w:left w:w="100" w:type="dxa"/>
              <w:right w:w="100" w:type="dxa"/>
            </w:tcMar>
          </w:tcPr>
          <w:p>
            <w:pPr>
              <w:spacing w:after="0" w:line="257" w:lineRule="auto"/>
            </w:pPr>
            <w:r>
              <w:rPr>
                <w:sz w:val="20"/>
              </w:rPr>
              <w:t>Online predictive support and teaching signals that update future control.</w:t>
            </w:r>
          </w:p>
        </w:tc>
      </w:tr>
    </w:tbl>
    <w:p>
      <w:pPr>
        <w:spacing w:after="0" w:before="0" w:line="60" w:lineRule="exact"/>
      </w:pPr>
    </w:p>
    <w:p>
      <w:r>
        <w:t xml:space="preserve">A useful connection contract specifies the </w:t>
      </w:r>
      <w:r>
        <w:rPr>
          <w:b/>
        </w:rPr>
        <w:t>quantity</w:t>
      </w:r>
      <w:r>
        <w:t xml:space="preserve">, its </w:t>
      </w:r>
      <w:r>
        <w:rPr>
          <w:b/>
        </w:rPr>
        <w:t>reference frame</w:t>
      </w:r>
      <w:r>
        <w:t xml:space="preserve">, its </w:t>
      </w:r>
      <w:r>
        <w:rPr>
          <w:b/>
        </w:rPr>
        <w:t>time</w:t>
      </w:r>
      <w:r>
        <w:t xml:space="preserve">, its </w:t>
      </w:r>
      <w:r>
        <w:rPr>
          <w:b/>
        </w:rPr>
        <w:t>uncertainty</w:t>
      </w:r>
      <w:r>
        <w:t>, and whether the message should modify current content, current routing, or future parameters. This is especially important for stereo images, binaural audio, proprioception, touch, and vestibular input arriving at different rates and delays. A motor-command copy must be distinguished from a sensed movement: the body may fail to execute the command as predicted.</w:t>
      </w:r>
    </w:p>
    <w:p>
      <w:r>
        <w:t>Several design consequences follow. Preserve read-back paths from memory and control into perception. Give target identity and search history different update policies. Permit crossmodal evidence to change a shared estimate rather than simply concatenating embeddings. Distinguish action geometry from initiation, vigor, and stopping. Separate rapid episode storage from the learning of general sensory and motor regularities.</w:t>
      </w:r>
    </w:p>
    <w:p>
      <w:r>
        <w:t>Proposed tests should probe the interfaces, not only isolated classification accuracy. Can the system maintain a target while its view changes? Can a partial cue retrieve a useful location? Does uncertainty rise appropriately in darkness? Can touching an object resolve a visual ambiguity? Does a motor-command copy improve self-motion interpretation? Can the system retain an instruction while using vision, and does a second demanding task cause a meaningful tradeoff? Can it correct a current grasp and also improve the next one? These are engineering acceptance tests derived from the preceding functional requirements.</w:t>
      </w:r>
    </w:p>
    <w:p>
      <w:pPr>
        <w:pStyle w:val="Heading1"/>
      </w:pPr>
      <w:r>
        <w:t>11. Complete task trace: finding a watch in a dark room while late</w:t>
      </w:r>
    </w:p>
    <w:p>
      <w:r>
        <w:t>The sequence below is a synthesis applying the cited circuits to a hypothetical activity. The exact division of activity in an individual would depend on familiarity, lighting, strategy, and current bodily state.</w:t>
      </w:r>
    </w:p>
    <w:p>
      <w:pPr>
        <w:pStyle w:val="Heading2"/>
      </w:pPr>
      <w:r>
        <w:t>1. Establish the task and recover candidate locations</w:t>
      </w:r>
    </w:p>
    <w:p>
      <w:r>
        <w:t xml:space="preserve">Semantic knowledge provides the target's characteristic features and use. Episodic retrieval can recover where it was recently placed. Event-context systems preserve the relation between the search and the impending meeting, while working-state/control circuits prioritize the current subgoal. The output needed next is a target template and one or more candidate locations, not the whole autobiography surrounding the meeting. </w:t>
      </w:r>
      <w:r>
        <w:rPr>
          <w:rStyle w:val="FootnoteReference"/>
        </w:rPr>
        <w:footnoteReference w:id="46"/>
      </w:r>
    </w:p>
    <w:p>
      <w:pPr>
        <w:pStyle w:val="Heading2"/>
      </w:pPr>
      <w:r>
        <w:t>2. Estimate what the current evidence can establish</w:t>
      </w:r>
    </w:p>
    <w:p>
      <w:r>
        <w:t xml:space="preserve">Dim retinal input produces less reliable visual discrimination. Body-state and remembered spatial information still support orientation, and tactile exploration may provide more useful evidence than another fixation. In complete darkness, a visually correct identification cannot be obtained from absent light; the system must obtain evidence through another modality or an action such as turning on a light. Reliability-dependent multisensory integration motivates this change in strategy. </w:t>
      </w:r>
      <w:r>
        <w:rPr>
          <w:rStyle w:val="FootnoteReference"/>
        </w:rPr>
        <w:footnoteReference w:id="47"/>
      </w:r>
    </w:p>
    <w:p>
      <w:pPr>
        <w:pStyle w:val="Heading2"/>
      </w:pPr>
      <w:r>
        <w:t>3. Sample a candidate location</w:t>
      </w:r>
    </w:p>
    <w:p>
      <w:r>
        <w:t xml:space="preserve">The target template biases feature processing; the candidate location biases spatial selection. FEF/parietal and superior-colliculus circuits help organize an eye movement. An efference copy allows the following retinal displacement to be interpreted relative to the self-generated saccade. Thus a new view can be compared against the same retained target rather than resetting the search. </w:t>
      </w:r>
      <w:r>
        <w:rPr>
          <w:rStyle w:val="FootnoteReference"/>
        </w:rPr>
        <w:footnoteReference w:id="48"/>
      </w:r>
    </w:p>
    <w:p>
      <w:pPr>
        <w:pStyle w:val="Heading2"/>
      </w:pPr>
      <w:r>
        <w:t>4. Use the result without erasing the goal</w:t>
      </w:r>
    </w:p>
    <w:p>
      <w:r>
        <w:t xml:space="preserve">If the inspection is informative and the watch is absent, the current candidate set and search history should change while the target description remains stable. If visibility is poor, failure to recognize the watch is weak evidence of absence. This difference is a computational consequence of uncertain observations, not a separate brain module. State-maintenance and updating circuits provide a plausible biological basis for protecting one representation while revising another. </w:t>
      </w:r>
      <w:r>
        <w:rPr>
          <w:rStyle w:val="FootnoteReference"/>
        </w:rPr>
        <w:footnoteReference w:id="49"/>
      </w:r>
    </w:p>
    <w:p>
      <w:pPr>
        <w:pStyle w:val="Heading2"/>
      </w:pPr>
      <w:r>
        <w:t>5. Reach or explore by touch</w:t>
      </w:r>
    </w:p>
    <w:p>
      <w:r>
        <w:t xml:space="preserve">Parietal circuits relate the candidate location to the hand. Premotor circuits prepare the exploratory movement; basal-ganglia output contributes to its regulation; descending pathways drive it. Somatic feedback and predictive calibration support the movement as the fingers encounter the table. The sampled tactile structure can then constrain object recognition and the next movement. </w:t>
      </w:r>
      <w:r>
        <w:rPr>
          <w:rStyle w:val="FootnoteReference"/>
        </w:rPr>
        <w:footnoteReference w:id="50"/>
      </w:r>
    </w:p>
    <w:p>
      <w:pPr>
        <w:pStyle w:val="Heading2"/>
      </w:pPr>
      <w:r>
        <w:t>6. Confirm the target and complete the subgoal</w:t>
      </w:r>
    </w:p>
    <w:p>
      <w:r>
        <w:t xml:space="preserve">A rim, strap, and characteristic shape provide convergent evidence. The current task state changes from searching to retrieving/wearing. Grip and limb feedback organize pickup and fastening; the meeting-related plan can again guide the next action. A new episode can retain where the object was found, improving future retrieval. This step combines object knowledge, sensorimotor control, task-state revision, and event learning. </w:t>
      </w:r>
      <w:r>
        <w:rPr>
          <w:rStyle w:val="FootnoteReference"/>
        </w:rPr>
        <w:footnoteReference w:id="51"/>
      </w:r>
    </w:p>
    <w:p>
      <w:r>
        <w:t xml:space="preserve">Stress can affect this sequence by disrupting task maintenance or changing the relative urgency of actions. A plausible failure is revisiting the same poorly inspected surface without retaining that it was just checked. The relevant impairment is in coordinating search state and control, even though sensory recognition and the motor ability to pick up the watch may remain adequate. </w:t>
      </w:r>
      <w:r>
        <w:rPr>
          <w:rStyle w:val="FootnoteReference"/>
        </w:rPr>
        <w:footnoteReference w:id="52"/>
      </w:r>
    </w:p>
    <w:p>
      <w:pPr>
        <w:pStyle w:val="Heading1"/>
      </w:pPr>
      <w:r>
        <w:t>12. Complete task trace: picking up a pencil</w:t>
      </w:r>
    </w:p>
    <w:p>
      <w:r>
        <w:rPr>
          <w:b/>
        </w:rPr>
        <w:t>Identify and locate.</w:t>
      </w:r>
      <w:r>
        <w:t xml:space="preserve"> Visual processing supplies pencil identity and geometry; posterior parietal processing relates its position to the hand. </w:t>
      </w:r>
      <w:r>
        <w:rPr>
          <w:b/>
        </w:rPr>
        <w:t>Prepare.</w:t>
      </w:r>
      <w:r>
        <w:t xml:space="preserve"> Reach-related premotor activity specifies a transport movement, while anterior-intraparietal/ventral-premotor processing helps specify finger configuration. </w:t>
      </w:r>
      <w:r>
        <w:rPr>
          <w:b/>
        </w:rPr>
        <w:t>Regulate and execute.</w:t>
      </w:r>
      <w:r>
        <w:t xml:space="preserve"> Basal-ganglia output contributes to the expression and vigor of the prepared movement, and motor cortical/descending activity drives the joints and fingers. </w:t>
      </w:r>
      <w:r>
        <w:rPr>
          <w:rStyle w:val="FootnoteReference"/>
        </w:rPr>
        <w:footnoteReference w:id="53"/>
      </w:r>
    </w:p>
    <w:p>
      <w:r>
        <w:rPr>
          <w:b/>
        </w:rPr>
        <w:t>Contact and correct.</w:t>
      </w:r>
      <w:r>
        <w:t xml:space="preserve"> Tactile feedback reports contact and friction; proprioception reports the resulting limb state. Fast corrective pathways adjust the movement and grip. </w:t>
      </w:r>
      <w:r>
        <w:rPr>
          <w:b/>
        </w:rPr>
        <w:t>Calibrate.</w:t>
      </w:r>
      <w:r>
        <w:t xml:space="preserve"> A difference between predicted and actual consequences changes subsequent predictive control and anticipatory grip. The grasp can succeed without reconstructing a detailed autobiographical episode; episodic retrieval becomes relevant when the pencil's location or a prior event is needed. </w:t>
      </w:r>
      <w:r>
        <w:rPr>
          <w:rStyle w:val="FootnoteReference"/>
        </w:rPr>
        <w:footnoteReference w:id="54"/>
      </w:r>
    </w:p>
    <w:p>
      <w:r>
        <w:t>The important interface is that object geometry becomes a motor-relevant state, rather than a class label alone. A network that recognizes 'pencil' but cannot relate its axis, width, and location to the current hand configuration has completed recognition but not the perceptual transformation needed for grasping.</w:t>
      </w:r>
    </w:p>
    <w:p>
      <w:pPr>
        <w:pStyle w:val="Heading1"/>
      </w:pPr>
      <w:r>
        <w:t>13. Complete task trace: following a spoken instruction</w:t>
      </w:r>
    </w:p>
    <w:p>
      <w:r>
        <w:t xml:space="preserve">Suppose someone says, 'Take the blue folder from the second drawer and bring it here.' Auditory selection emphasizes the speaker. Linguistic processing extracts object, location, and requested action. Phonological retention can preserve the utterance temporarily, while semantic interpretation recodes its useful relationships into the current task. The sound itself can fade while the instruction remains available in another form. </w:t>
      </w:r>
      <w:r>
        <w:rPr>
          <w:rStyle w:val="FootnoteReference"/>
        </w:rPr>
        <w:footnoteReference w:id="55"/>
      </w:r>
    </w:p>
    <w:p>
      <w:r>
        <w:t xml:space="preserve">The object template biases visual search for the folder; the location relation guides inspection of the drawer. Remembered room layout can supply candidate routes, while current visual, vestibular, and somatic evidence updates position during movement. The hand-control pathway then opens the drawer and retrieves the folder. A completion check compares the selected object and completed action with the retained instruction. </w:t>
      </w:r>
      <w:r>
        <w:rPr>
          <w:rStyle w:val="FootnoteReference"/>
        </w:rPr>
        <w:footnoteReference w:id="56"/>
      </w:r>
    </w:p>
    <w:p>
      <w:r>
        <w:t xml:space="preserve">If the person adds another instruction while the drawer is being searched, auditory traces and visual traces can coexist, but protecting, ordering, and using both sets of task information creates interference. Rehearsal, chunking, or completing one subgoal before taking up the next can reduce this burden. This is where modality-specific retention and shared task-level capacity produce different behavioral predictions. </w:t>
      </w:r>
      <w:r>
        <w:rPr>
          <w:rStyle w:val="FootnoteReference"/>
        </w:rPr>
        <w:footnoteReference w:id="57"/>
      </w:r>
    </w:p>
    <w:p>
      <w:r>
        <w:t xml:space="preserve">Across the three examples, the same architecture solves different problems by changing what is retained, which evidence is sampled, which remembered relation is reinstated, and which prepared action gains influence. </w:t>
      </w:r>
      <w:r>
        <w:rPr>
          <w:b/>
        </w:rPr>
        <w:t>Perception is the maintained and continually tested interpretation that results from those coupled operations.</w:t>
      </w:r>
    </w:p>
    <w:p>
      <w:pPr>
        <w:pStyle w:val="Heading1"/>
      </w:pPr>
      <w:r>
        <w:t>Sources</w:t>
      </w:r>
    </w:p>
    <w:p>
      <w:pPr>
        <w:spacing w:after="200"/>
      </w:pPr>
      <w:r>
        <w:t>Primary sources cited in the circuit account. Footnotes link directly to the original records. The separate evidence record describes the supporting observation and interpretation boundary for each source.</w:t>
      </w:r>
    </w:p>
    <w:p>
      <w:pPr>
        <w:pStyle w:val="SourceEntry"/>
        <w:keepLines/>
      </w:pPr>
      <w:r>
        <w:rPr>
          <w:b/>
        </w:rPr>
        <w:t xml:space="preserve">Baldassano et al. (2017). </w:t>
      </w:r>
      <w:hyperlink r:id="rId10">
        <w:r>
          <w:rPr>
            <w:color w:val="174B6A"/>
            <w:sz w:val="19"/>
          </w:rPr>
          <w:t>Discovering Event Structure in Continuous Narrative Perception and Memory</w:t>
        </w:r>
      </w:hyperlink>
      <w:r>
        <w:t>. Neuron.</w:t>
      </w:r>
    </w:p>
    <w:p>
      <w:pPr>
        <w:pStyle w:val="SourceEntry"/>
        <w:keepLines/>
      </w:pPr>
      <w:r>
        <w:rPr>
          <w:b/>
        </w:rPr>
        <w:t xml:space="preserve">Bays et al. (2009). </w:t>
      </w:r>
      <w:hyperlink r:id="rId11">
        <w:r>
          <w:rPr>
            <w:color w:val="174B6A"/>
            <w:sz w:val="19"/>
          </w:rPr>
          <w:t>The precision of visual working memory is set by allocation of a shared resource</w:t>
        </w:r>
      </w:hyperlink>
      <w:r>
        <w:t>. Journal of Vision.</w:t>
      </w:r>
    </w:p>
    <w:p>
      <w:pPr>
        <w:pStyle w:val="SourceEntry"/>
        <w:keepLines/>
      </w:pPr>
      <w:r>
        <w:rPr>
          <w:b/>
        </w:rPr>
        <w:t xml:space="preserve">Bichot et al. (2015). </w:t>
      </w:r>
      <w:hyperlink r:id="rId12">
        <w:r>
          <w:rPr>
            <w:color w:val="174B6A"/>
            <w:sz w:val="19"/>
          </w:rPr>
          <w:t>A Source for Feature-Based Attention in the Prefrontal Cortex</w:t>
        </w:r>
      </w:hyperlink>
      <w:r>
        <w:t>. Neuron.</w:t>
      </w:r>
    </w:p>
    <w:p>
      <w:pPr>
        <w:pStyle w:val="SourceEntry"/>
        <w:keepLines/>
      </w:pPr>
      <w:r>
        <w:rPr>
          <w:b/>
        </w:rPr>
        <w:t xml:space="preserve">Bliss et al. (1966). </w:t>
      </w:r>
      <w:hyperlink r:id="rId13">
        <w:r>
          <w:rPr>
            <w:color w:val="174B6A"/>
            <w:sz w:val="19"/>
          </w:rPr>
          <w:t>Information available in brief tactile presentations</w:t>
        </w:r>
      </w:hyperlink>
      <w:r>
        <w:t>. Perception and Psychophysics.</w:t>
      </w:r>
    </w:p>
    <w:p>
      <w:pPr>
        <w:pStyle w:val="SourceEntry"/>
        <w:keepLines/>
      </w:pPr>
      <w:r>
        <w:rPr>
          <w:b/>
        </w:rPr>
        <w:t xml:space="preserve">Bolkan et al. (2017). </w:t>
      </w:r>
      <w:hyperlink r:id="rId14">
        <w:r>
          <w:rPr>
            <w:color w:val="174B6A"/>
            <w:sz w:val="19"/>
          </w:rPr>
          <w:t>Thalamic projections sustain prefrontal activity during working memory maintenance</w:t>
        </w:r>
      </w:hyperlink>
      <w:r>
        <w:t>. Nature Neuroscience.</w:t>
      </w:r>
    </w:p>
    <w:p>
      <w:pPr>
        <w:pStyle w:val="SourceEntry"/>
        <w:keepLines/>
      </w:pPr>
      <w:r>
        <w:rPr>
          <w:b/>
        </w:rPr>
        <w:t xml:space="preserve">Buneo et al. (2002). </w:t>
      </w:r>
      <w:hyperlink r:id="rId15">
        <w:r>
          <w:rPr>
            <w:color w:val="174B6A"/>
            <w:sz w:val="19"/>
          </w:rPr>
          <w:t>Direct visuomotor transformations for reaching</w:t>
        </w:r>
      </w:hyperlink>
      <w:r>
        <w:t>. Nature.</w:t>
      </w:r>
    </w:p>
    <w:p>
      <w:pPr>
        <w:pStyle w:val="SourceEntry"/>
        <w:keepLines/>
      </w:pPr>
      <w:r>
        <w:rPr>
          <w:b/>
        </w:rPr>
        <w:t xml:space="preserve">Chelazzi et al. (1998). </w:t>
      </w:r>
      <w:hyperlink r:id="rId16">
        <w:r>
          <w:rPr>
            <w:color w:val="174B6A"/>
            <w:sz w:val="19"/>
          </w:rPr>
          <w:t>Responses of Neurons in Inferior Temporal Cortex During Memory-Guided Visual Search</w:t>
        </w:r>
      </w:hyperlink>
      <w:r>
        <w:t>. Journal of Neurophysiology.</w:t>
      </w:r>
    </w:p>
    <w:p>
      <w:pPr>
        <w:pStyle w:val="SourceEntry"/>
        <w:keepLines/>
      </w:pPr>
      <w:r>
        <w:rPr>
          <w:b/>
        </w:rPr>
        <w:t xml:space="preserve">Chevaleyre and Siegelbaum (2010). </w:t>
      </w:r>
      <w:hyperlink r:id="rId17">
        <w:r>
          <w:rPr>
            <w:color w:val="174B6A"/>
            <w:sz w:val="19"/>
          </w:rPr>
          <w:t>Strong CA2 Pyramidal Neuron Synapses Define a Powerful Disynaptic Cortico-Hippocampal Loop</w:t>
        </w:r>
      </w:hyperlink>
      <w:r>
        <w:t>. Neuron.</w:t>
      </w:r>
    </w:p>
    <w:p>
      <w:pPr>
        <w:pStyle w:val="SourceEntry"/>
        <w:keepLines/>
      </w:pPr>
      <w:r>
        <w:rPr>
          <w:b/>
        </w:rPr>
        <w:t xml:space="preserve">Cisek and Kalaska (2005). </w:t>
      </w:r>
      <w:hyperlink r:id="rId18">
        <w:r>
          <w:rPr>
            <w:color w:val="174B6A"/>
            <w:sz w:val="19"/>
          </w:rPr>
          <w:t>Neural Correlates of Reaching Decisions in Dorsal Premotor Cortex: Specification of Multiple Direction Choices and Final Selection of Action</w:t>
        </w:r>
      </w:hyperlink>
      <w:r>
        <w:t>. Neuron.</w:t>
      </w:r>
    </w:p>
    <w:p>
      <w:pPr>
        <w:pStyle w:val="SourceEntry"/>
        <w:keepLines/>
      </w:pPr>
      <w:r>
        <w:rPr>
          <w:b/>
        </w:rPr>
        <w:t xml:space="preserve">Critchley et al. (2004). </w:t>
      </w:r>
      <w:hyperlink r:id="rId19">
        <w:r>
          <w:rPr>
            <w:color w:val="174B6A"/>
            <w:sz w:val="19"/>
          </w:rPr>
          <w:t>Neural systems supporting interoceptive awareness</w:t>
        </w:r>
      </w:hyperlink>
      <w:r>
        <w:t>. Nature Neuroscience.</w:t>
      </w:r>
    </w:p>
    <w:p>
      <w:pPr>
        <w:pStyle w:val="SourceEntry"/>
        <w:keepLines/>
      </w:pPr>
      <w:r>
        <w:rPr>
          <w:b/>
        </w:rPr>
        <w:t xml:space="preserve">Desmurget and Turner (2008). </w:t>
      </w:r>
      <w:hyperlink r:id="rId20">
        <w:r>
          <w:rPr>
            <w:color w:val="174B6A"/>
            <w:sz w:val="19"/>
          </w:rPr>
          <w:t>Testing Basal Ganglia Motor Functions Through Reversible Inactivations in the Posterior Internal Globus Pallidus</w:t>
        </w:r>
      </w:hyperlink>
      <w:r>
        <w:t>. Journal of Neurophysiology.</w:t>
      </w:r>
    </w:p>
    <w:p>
      <w:pPr>
        <w:pStyle w:val="SourceEntry"/>
        <w:keepLines/>
      </w:pPr>
      <w:r>
        <w:rPr>
          <w:b/>
        </w:rPr>
        <w:t xml:space="preserve">DiNicola et al. (2020). </w:t>
      </w:r>
      <w:hyperlink r:id="rId21">
        <w:r>
          <w:rPr>
            <w:color w:val="174B6A"/>
            <w:sz w:val="19"/>
          </w:rPr>
          <w:t>Parallel distributed networks dissociate episodic and social functions within the individual</w:t>
        </w:r>
      </w:hyperlink>
      <w:r>
        <w:t>. Journal of Neurophysiology.</w:t>
      </w:r>
    </w:p>
    <w:p>
      <w:pPr>
        <w:pStyle w:val="SourceEntry"/>
        <w:keepLines/>
      </w:pPr>
      <w:r>
        <w:rPr>
          <w:b/>
        </w:rPr>
        <w:t xml:space="preserve">Duncan et al. (2012). </w:t>
      </w:r>
      <w:hyperlink r:id="rId22">
        <w:r>
          <w:rPr>
            <w:color w:val="174B6A"/>
            <w:sz w:val="19"/>
          </w:rPr>
          <w:t>Evidence for area CA1 as a match/mismatch detector: a high-resolution fMRI study of the human hippocampus</w:t>
        </w:r>
      </w:hyperlink>
      <w:r>
        <w:t>. Hippocampus.</w:t>
      </w:r>
    </w:p>
    <w:p>
      <w:pPr>
        <w:pStyle w:val="SourceEntry"/>
        <w:keepLines/>
      </w:pPr>
      <w:r>
        <w:rPr>
          <w:b/>
        </w:rPr>
        <w:t xml:space="preserve">Ernst and Banks (2002). </w:t>
      </w:r>
      <w:hyperlink r:id="rId23">
        <w:r>
          <w:rPr>
            <w:color w:val="174B6A"/>
            <w:sz w:val="19"/>
          </w:rPr>
          <w:t>Humans integrate visual and haptic information in a statistically optimal fashion</w:t>
        </w:r>
      </w:hyperlink>
      <w:r>
        <w:t>. Nature.</w:t>
      </w:r>
    </w:p>
    <w:p>
      <w:pPr>
        <w:pStyle w:val="SourceEntry"/>
        <w:keepLines/>
      </w:pPr>
      <w:r>
        <w:rPr>
          <w:b/>
        </w:rPr>
        <w:t xml:space="preserve">Fetsch et al. (2009). </w:t>
      </w:r>
      <w:hyperlink r:id="rId24">
        <w:r>
          <w:rPr>
            <w:color w:val="174B6A"/>
            <w:sz w:val="19"/>
          </w:rPr>
          <w:t>Dynamic reweighting of visual and vestibular cues during self-motion perception</w:t>
        </w:r>
      </w:hyperlink>
      <w:r>
        <w:t>. Journal of Neuroscience.</w:t>
      </w:r>
    </w:p>
    <w:p>
      <w:pPr>
        <w:pStyle w:val="SourceEntry"/>
        <w:keepLines/>
      </w:pPr>
      <w:r>
        <w:rPr>
          <w:b/>
        </w:rPr>
        <w:t xml:space="preserve">Fife et al. (2017). </w:t>
      </w:r>
      <w:hyperlink r:id="rId25">
        <w:r>
          <w:rPr>
            <w:color w:val="174B6A"/>
            <w:sz w:val="19"/>
          </w:rPr>
          <w:t>Causal role for the subthalamic nucleus in interrupting behavior</w:t>
        </w:r>
      </w:hyperlink>
      <w:r>
        <w:t>. eLife.</w:t>
      </w:r>
    </w:p>
    <w:p>
      <w:pPr>
        <w:pStyle w:val="SourceEntry"/>
        <w:keepLines/>
      </w:pPr>
      <w:r>
        <w:rPr>
          <w:b/>
        </w:rPr>
        <w:t xml:space="preserve">Fogassi et al. (2001). </w:t>
      </w:r>
      <w:hyperlink r:id="rId26">
        <w:r>
          <w:rPr>
            <w:color w:val="174B6A"/>
            <w:sz w:val="19"/>
          </w:rPr>
          <w:t>Cortical mechanism for the visual guidance of hand grasping movements in the monkey</w:t>
        </w:r>
      </w:hyperlink>
      <w:r>
        <w:t>. Brain.</w:t>
      </w:r>
    </w:p>
    <w:p>
      <w:pPr>
        <w:pStyle w:val="SourceEntry"/>
        <w:keepLines/>
      </w:pPr>
      <w:r>
        <w:rPr>
          <w:b/>
        </w:rPr>
        <w:t xml:space="preserve">Guo et al. (2017). </w:t>
      </w:r>
      <w:hyperlink r:id="rId27">
        <w:r>
          <w:rPr>
            <w:color w:val="174B6A"/>
            <w:sz w:val="19"/>
          </w:rPr>
          <w:t>Maintenance of persistent activity in a frontal thalamocortical loop</w:t>
        </w:r>
      </w:hyperlink>
      <w:r>
        <w:t>. Nature.</w:t>
      </w:r>
    </w:p>
    <w:p>
      <w:pPr>
        <w:pStyle w:val="SourceEntry"/>
        <w:keepLines/>
      </w:pPr>
      <w:r>
        <w:rPr>
          <w:b/>
        </w:rPr>
        <w:t xml:space="preserve">Harrison and Tong (2009). </w:t>
      </w:r>
      <w:hyperlink r:id="rId28">
        <w:r>
          <w:rPr>
            <w:color w:val="174B6A"/>
            <w:sz w:val="19"/>
          </w:rPr>
          <w:t>Decoding reveals the contents of visual working memory in early visual areas</w:t>
        </w:r>
      </w:hyperlink>
      <w:r>
        <w:t>. Nature.</w:t>
      </w:r>
    </w:p>
    <w:p>
      <w:pPr>
        <w:pStyle w:val="SourceEntry"/>
        <w:keepLines/>
      </w:pPr>
      <w:r>
        <w:rPr>
          <w:b/>
        </w:rPr>
        <w:t xml:space="preserve">Herzfeld et al. (2018). </w:t>
      </w:r>
      <w:hyperlink r:id="rId29">
        <w:r>
          <w:rPr>
            <w:color w:val="174B6A"/>
            <w:sz w:val="19"/>
          </w:rPr>
          <w:t>Encoding of error and learning to correct that error by the Purkinje cells of the cerebellum</w:t>
        </w:r>
      </w:hyperlink>
      <w:r>
        <w:t>. Nature Neuroscience.</w:t>
      </w:r>
    </w:p>
    <w:p>
      <w:pPr>
        <w:pStyle w:val="SourceEntry"/>
        <w:keepLines/>
      </w:pPr>
      <w:r>
        <w:rPr>
          <w:b/>
        </w:rPr>
        <w:t xml:space="preserve">Hikosaka and Wurtz (1985). </w:t>
      </w:r>
      <w:hyperlink r:id="rId30">
        <w:r>
          <w:rPr>
            <w:color w:val="174B6A"/>
            <w:sz w:val="19"/>
          </w:rPr>
          <w:t>Modification of saccadic eye movements by GABA-related substances. II. Effects of muscimol in monkey substantia nigra pars reticulata</w:t>
        </w:r>
      </w:hyperlink>
      <w:r>
        <w:t>. Journal of Neurophysiology.</w:t>
      </w:r>
    </w:p>
    <w:p>
      <w:pPr>
        <w:pStyle w:val="SourceEntry"/>
        <w:keepLines/>
      </w:pPr>
      <w:r>
        <w:rPr>
          <w:b/>
        </w:rPr>
        <w:t xml:space="preserve">Hitti and Siegelbaum (2014). </w:t>
      </w:r>
      <w:hyperlink r:id="rId31">
        <w:r>
          <w:rPr>
            <w:color w:val="174B6A"/>
            <w:sz w:val="19"/>
          </w:rPr>
          <w:t>The hippocampal CA2 region is essential for social memory</w:t>
        </w:r>
      </w:hyperlink>
      <w:r>
        <w:t>. Nature.</w:t>
      </w:r>
    </w:p>
    <w:p>
      <w:pPr>
        <w:pStyle w:val="SourceEntry"/>
        <w:keepLines/>
      </w:pPr>
      <w:r>
        <w:rPr>
          <w:b/>
        </w:rPr>
        <w:t xml:space="preserve">Horner et al. (2015). </w:t>
      </w:r>
      <w:hyperlink r:id="rId32">
        <w:r>
          <w:rPr>
            <w:color w:val="174B6A"/>
            <w:sz w:val="19"/>
          </w:rPr>
          <w:t>Evidence for holistic episodic recollection via hippocampal pattern completion</w:t>
        </w:r>
      </w:hyperlink>
      <w:r>
        <w:t>. Nature Communications.</w:t>
      </w:r>
    </w:p>
    <w:p>
      <w:pPr>
        <w:pStyle w:val="SourceEntry"/>
        <w:keepLines/>
      </w:pPr>
      <w:r>
        <w:rPr>
          <w:b/>
        </w:rPr>
        <w:t xml:space="preserve">Hosford et al. (2026). </w:t>
      </w:r>
      <w:hyperlink r:id="rId33">
        <w:r>
          <w:rPr>
            <w:color w:val="174B6A"/>
            <w:sz w:val="19"/>
          </w:rPr>
          <w:t>Control of representation updating by higher-order thalamus enables history-based decision-making</w:t>
        </w:r>
      </w:hyperlink>
      <w:r>
        <w:t>. Neuron.</w:t>
      </w:r>
    </w:p>
    <w:p>
      <w:pPr>
        <w:pStyle w:val="SourceEntry"/>
        <w:keepLines/>
      </w:pPr>
      <w:r>
        <w:rPr>
          <w:b/>
        </w:rPr>
        <w:t xml:space="preserve">Johansson and Westling (1984). </w:t>
      </w:r>
      <w:hyperlink r:id="rId34">
        <w:r>
          <w:rPr>
            <w:color w:val="174B6A"/>
            <w:sz w:val="19"/>
          </w:rPr>
          <w:t>Roles of glabrous skin receptors and sensorimotor memory in automatic control of precision grip when lifting rougher or more slippery objects</w:t>
        </w:r>
      </w:hyperlink>
      <w:r>
        <w:t>. Experimental Brain Research.</w:t>
      </w:r>
    </w:p>
    <w:p>
      <w:pPr>
        <w:pStyle w:val="SourceEntry"/>
        <w:keepLines/>
      </w:pPr>
      <w:r>
        <w:rPr>
          <w:b/>
        </w:rPr>
        <w:t xml:space="preserve">Kar et al. (2019). </w:t>
      </w:r>
      <w:hyperlink r:id="rId35">
        <w:r>
          <w:rPr>
            <w:color w:val="174B6A"/>
            <w:sz w:val="19"/>
          </w:rPr>
          <w:t>Evidence that recurrent circuits are critical to the ventral stream's execution of core object recognition behavior</w:t>
        </w:r>
      </w:hyperlink>
      <w:r>
        <w:t>. Nature Neuroscience.</w:t>
      </w:r>
    </w:p>
    <w:p>
      <w:pPr>
        <w:pStyle w:val="SourceEntry"/>
        <w:keepLines/>
      </w:pPr>
      <w:r>
        <w:rPr>
          <w:b/>
        </w:rPr>
        <w:t xml:space="preserve">Kennerley et al. (2006). </w:t>
      </w:r>
      <w:hyperlink r:id="rId36">
        <w:r>
          <w:rPr>
            <w:color w:val="174B6A"/>
            <w:sz w:val="19"/>
          </w:rPr>
          <w:t>Optimal decision making and the anterior cingulate cortex</w:t>
        </w:r>
      </w:hyperlink>
      <w:r>
        <w:t>. Nature Neuroscience.</w:t>
      </w:r>
    </w:p>
    <w:p>
      <w:pPr>
        <w:pStyle w:val="SourceEntry"/>
        <w:keepLines/>
      </w:pPr>
      <w:r>
        <w:rPr>
          <w:b/>
        </w:rPr>
        <w:t xml:space="preserve">Kitamura et al. (2017). </w:t>
      </w:r>
      <w:hyperlink r:id="rId37">
        <w:r>
          <w:rPr>
            <w:color w:val="174B6A"/>
            <w:sz w:val="19"/>
          </w:rPr>
          <w:t>Engrams and circuits crucial for systems consolidation of a memory</w:t>
        </w:r>
      </w:hyperlink>
      <w:r>
        <w:t>. Science.</w:t>
      </w:r>
    </w:p>
    <w:p>
      <w:pPr>
        <w:pStyle w:val="SourceEntry"/>
        <w:keepLines/>
      </w:pPr>
      <w:r>
        <w:rPr>
          <w:b/>
        </w:rPr>
        <w:t xml:space="preserve">Livneh et al. (2017). </w:t>
      </w:r>
      <w:hyperlink r:id="rId38">
        <w:r>
          <w:rPr>
            <w:color w:val="174B6A"/>
            <w:sz w:val="19"/>
          </w:rPr>
          <w:t>Homeostatic circuits selectively gate food cue responses in insular cortex</w:t>
        </w:r>
      </w:hyperlink>
      <w:r>
        <w:t>. Nature.</w:t>
      </w:r>
    </w:p>
    <w:p>
      <w:pPr>
        <w:pStyle w:val="SourceEntry"/>
        <w:keepLines/>
      </w:pPr>
      <w:r>
        <w:rPr>
          <w:b/>
        </w:rPr>
        <w:t xml:space="preserve">Luck and Vogel (1997). </w:t>
      </w:r>
      <w:hyperlink r:id="rId39">
        <w:r>
          <w:rPr>
            <w:color w:val="174B6A"/>
            <w:sz w:val="19"/>
          </w:rPr>
          <w:t>The capacity of visual working memory for features and conjunctions</w:t>
        </w:r>
      </w:hyperlink>
      <w:r>
        <w:t>. Nature.</w:t>
      </w:r>
    </w:p>
    <w:p>
      <w:pPr>
        <w:pStyle w:val="SourceEntry"/>
        <w:keepLines/>
      </w:pPr>
      <w:r>
        <w:rPr>
          <w:b/>
        </w:rPr>
        <w:t xml:space="preserve">Markov et al. (2014). </w:t>
      </w:r>
      <w:hyperlink r:id="rId40">
        <w:r>
          <w:rPr>
            <w:color w:val="174B6A"/>
            <w:sz w:val="19"/>
          </w:rPr>
          <w:t>Anatomy of hierarchy: Feedforward and feedback pathways in macaque visual cortex</w:t>
        </w:r>
      </w:hyperlink>
      <w:r>
        <w:t>. Journal of Comparative Neurology.</w:t>
      </w:r>
    </w:p>
    <w:p>
      <w:pPr>
        <w:pStyle w:val="SourceEntry"/>
        <w:keepLines/>
      </w:pPr>
      <w:r>
        <w:rPr>
          <w:b/>
        </w:rPr>
        <w:t xml:space="preserve">Mesgarani and Chang (2012). </w:t>
      </w:r>
      <w:hyperlink r:id="rId41">
        <w:r>
          <w:rPr>
            <w:color w:val="174B6A"/>
            <w:sz w:val="19"/>
          </w:rPr>
          <w:t>Selective cortical representation of attended speaker in multi-talker speech perception</w:t>
        </w:r>
      </w:hyperlink>
      <w:r>
        <w:t>. Nature.</w:t>
      </w:r>
    </w:p>
    <w:p>
      <w:pPr>
        <w:pStyle w:val="SourceEntry"/>
        <w:keepLines/>
      </w:pPr>
      <w:r>
        <w:rPr>
          <w:b/>
        </w:rPr>
        <w:t xml:space="preserve">Moore and Armstrong (2003). </w:t>
      </w:r>
      <w:hyperlink r:id="rId42">
        <w:r>
          <w:rPr>
            <w:color w:val="174B6A"/>
            <w:sz w:val="19"/>
          </w:rPr>
          <w:t>Selective gating of visual signals by microstimulation of frontal cortex</w:t>
        </w:r>
      </w:hyperlink>
      <w:r>
        <w:t>. Nature.</w:t>
      </w:r>
    </w:p>
    <w:p>
      <w:pPr>
        <w:pStyle w:val="SourceEntry"/>
        <w:keepLines/>
      </w:pPr>
      <w:r>
        <w:rPr>
          <w:b/>
        </w:rPr>
        <w:t xml:space="preserve">Nakazawa et al. (2002). </w:t>
      </w:r>
      <w:hyperlink r:id="rId43">
        <w:r>
          <w:rPr>
            <w:color w:val="174B6A"/>
            <w:sz w:val="19"/>
          </w:rPr>
          <w:t>Requirement for hippocampal CA3 NMDA receptors in associative memory recall</w:t>
        </w:r>
      </w:hyperlink>
      <w:r>
        <w:t>. Science.</w:t>
      </w:r>
    </w:p>
    <w:p>
      <w:pPr>
        <w:pStyle w:val="SourceEntry"/>
        <w:keepLines/>
      </w:pPr>
      <w:r>
        <w:rPr>
          <w:b/>
        </w:rPr>
        <w:t xml:space="preserve">Nassi and Callaway (2006). </w:t>
      </w:r>
      <w:hyperlink r:id="rId44">
        <w:r>
          <w:rPr>
            <w:color w:val="174B6A"/>
            <w:sz w:val="19"/>
          </w:rPr>
          <w:t>Multiple circuits relaying primate parallel visual pathways to the middle temporal area</w:t>
        </w:r>
      </w:hyperlink>
      <w:r>
        <w:t>. Journal of Neuroscience.</w:t>
      </w:r>
    </w:p>
    <w:p>
      <w:pPr>
        <w:pStyle w:val="SourceEntry"/>
        <w:keepLines/>
      </w:pPr>
      <w:r>
        <w:rPr>
          <w:b/>
        </w:rPr>
        <w:t xml:space="preserve">Neunuebel and Knierim (2014). </w:t>
      </w:r>
      <w:hyperlink r:id="rId45">
        <w:r>
          <w:rPr>
            <w:color w:val="174B6A"/>
            <w:sz w:val="19"/>
          </w:rPr>
          <w:t>CA3 Retrieves Coherent Representations from Degraded Input: Direct Evidence for CA3 Pattern Completion and Dentate Gyrus Pattern Separation</w:t>
        </w:r>
      </w:hyperlink>
      <w:r>
        <w:t>. Neuron.</w:t>
      </w:r>
    </w:p>
    <w:p>
      <w:pPr>
        <w:pStyle w:val="SourceEntry"/>
        <w:keepLines/>
      </w:pPr>
      <w:r>
        <w:rPr>
          <w:b/>
        </w:rPr>
        <w:t xml:space="preserve">Paton et al. (2006). </w:t>
      </w:r>
      <w:hyperlink r:id="rId46">
        <w:r>
          <w:rPr>
            <w:color w:val="174B6A"/>
            <w:sz w:val="19"/>
          </w:rPr>
          <w:t>The primate amygdala represents the positive and negative value of visual stimuli during learning</w:t>
        </w:r>
      </w:hyperlink>
      <w:r>
        <w:t>. Nature.</w:t>
      </w:r>
    </w:p>
    <w:p>
      <w:pPr>
        <w:pStyle w:val="SourceEntry"/>
        <w:keepLines/>
      </w:pPr>
      <w:r>
        <w:rPr>
          <w:b/>
        </w:rPr>
        <w:t xml:space="preserve">Paulesu et al. (1993). </w:t>
      </w:r>
      <w:hyperlink r:id="rId47">
        <w:r>
          <w:rPr>
            <w:color w:val="174B6A"/>
            <w:sz w:val="19"/>
          </w:rPr>
          <w:t>The neural correlates of the verbal component of working memory</w:t>
        </w:r>
      </w:hyperlink>
      <w:r>
        <w:t>. Nature.</w:t>
      </w:r>
    </w:p>
    <w:p>
      <w:pPr>
        <w:pStyle w:val="SourceEntry"/>
        <w:keepLines/>
      </w:pPr>
      <w:r>
        <w:rPr>
          <w:b/>
        </w:rPr>
        <w:t xml:space="preserve">Pinto et al. (2013). </w:t>
      </w:r>
      <w:hyperlink r:id="rId48">
        <w:r>
          <w:rPr>
            <w:color w:val="174B6A"/>
            <w:sz w:val="19"/>
          </w:rPr>
          <w:t>Fast modulation of visual perception by basal forebrain cholinergic neurons</w:t>
        </w:r>
      </w:hyperlink>
      <w:r>
        <w:t>. Nature Neuroscience.</w:t>
      </w:r>
    </w:p>
    <w:p>
      <w:pPr>
        <w:pStyle w:val="SourceEntry"/>
        <w:keepLines/>
      </w:pPr>
      <w:r>
        <w:rPr>
          <w:b/>
        </w:rPr>
        <w:t xml:space="preserve">Pobric et al. (2007). </w:t>
      </w:r>
      <w:hyperlink r:id="rId49">
        <w:r>
          <w:rPr>
            <w:color w:val="174B6A"/>
            <w:sz w:val="19"/>
          </w:rPr>
          <w:t>Anterior temporal lobes mediate semantic representation: mimicking semantic dementia by using rTMS in normal participants</w:t>
        </w:r>
      </w:hyperlink>
      <w:r>
        <w:t>. PNAS.</w:t>
      </w:r>
    </w:p>
    <w:p>
      <w:pPr>
        <w:pStyle w:val="SourceEntry"/>
        <w:keepLines/>
      </w:pPr>
      <w:r>
        <w:rPr>
          <w:b/>
        </w:rPr>
        <w:t xml:space="preserve">Pons et al. (1987). </w:t>
      </w:r>
      <w:hyperlink r:id="rId50">
        <w:r>
          <w:rPr>
            <w:color w:val="174B6A"/>
            <w:sz w:val="19"/>
          </w:rPr>
          <w:t>Physiological evidence for serial processing in somatosensory cortex</w:t>
        </w:r>
      </w:hyperlink>
      <w:r>
        <w:t>. Science.</w:t>
      </w:r>
    </w:p>
    <w:p>
      <w:pPr>
        <w:pStyle w:val="SourceEntry"/>
        <w:keepLines/>
      </w:pPr>
      <w:r>
        <w:rPr>
          <w:b/>
        </w:rPr>
        <w:t xml:space="preserve">Pruszynski et al. (2011). </w:t>
      </w:r>
      <w:hyperlink r:id="rId51">
        <w:r>
          <w:rPr>
            <w:color w:val="174B6A"/>
            <w:sz w:val="19"/>
          </w:rPr>
          <w:t>Primary motor cortex underlies multi-joint integration for fast feedback control</w:t>
        </w:r>
      </w:hyperlink>
      <w:r>
        <w:t>. Nature.</w:t>
      </w:r>
    </w:p>
    <w:p>
      <w:pPr>
        <w:pStyle w:val="SourceEntry"/>
        <w:keepLines/>
      </w:pPr>
      <w:r>
        <w:rPr>
          <w:b/>
        </w:rPr>
        <w:t xml:space="preserve">Qin et al. (2009). </w:t>
      </w:r>
      <w:hyperlink r:id="rId52">
        <w:r>
          <w:rPr>
            <w:color w:val="174B6A"/>
            <w:sz w:val="19"/>
          </w:rPr>
          <w:t>Acute psychological stress reduces working memory-related activity in the dorsolateral prefrontal cortex</w:t>
        </w:r>
      </w:hyperlink>
      <w:r>
        <w:t>. Biological Psychiatry.</w:t>
      </w:r>
    </w:p>
    <w:p>
      <w:pPr>
        <w:pStyle w:val="SourceEntry"/>
        <w:keepLines/>
      </w:pPr>
      <w:r>
        <w:rPr>
          <w:b/>
        </w:rPr>
        <w:t xml:space="preserve">Redinbaugh et al. (2020). </w:t>
      </w:r>
      <w:hyperlink r:id="rId53">
        <w:r>
          <w:rPr>
            <w:color w:val="174B6A"/>
            <w:sz w:val="19"/>
          </w:rPr>
          <w:t>Thalamus Modulates Consciousness via Layer-Specific Control of Cortex</w:t>
        </w:r>
      </w:hyperlink>
      <w:r>
        <w:t>. Neuron.</w:t>
      </w:r>
    </w:p>
    <w:p>
      <w:pPr>
        <w:pStyle w:val="SourceEntry"/>
        <w:keepLines/>
      </w:pPr>
      <w:r>
        <w:rPr>
          <w:b/>
        </w:rPr>
        <w:t xml:space="preserve">Romanski et al. (1999). </w:t>
      </w:r>
      <w:hyperlink r:id="rId54">
        <w:r>
          <w:rPr>
            <w:color w:val="174B6A"/>
            <w:sz w:val="19"/>
          </w:rPr>
          <w:t>Dual streams of auditory afferents target multiple domains in the primate prefrontal cortex</w:t>
        </w:r>
      </w:hyperlink>
      <w:r>
        <w:t>. Nature Neuroscience.</w:t>
      </w:r>
    </w:p>
    <w:p>
      <w:pPr>
        <w:pStyle w:val="SourceEntry"/>
        <w:keepLines/>
      </w:pPr>
      <w:r>
        <w:rPr>
          <w:b/>
        </w:rPr>
        <w:t xml:space="preserve">Romo et al. (1999). </w:t>
      </w:r>
      <w:hyperlink r:id="rId55">
        <w:r>
          <w:rPr>
            <w:color w:val="174B6A"/>
            <w:sz w:val="19"/>
          </w:rPr>
          <w:t>Neuronal correlates of parametric working memory in the prefrontal cortex</w:t>
        </w:r>
      </w:hyperlink>
      <w:r>
        <w:t>. Nature.</w:t>
      </w:r>
    </w:p>
    <w:p>
      <w:pPr>
        <w:pStyle w:val="SourceEntry"/>
        <w:keepLines/>
      </w:pPr>
      <w:r>
        <w:rPr>
          <w:b/>
        </w:rPr>
        <w:t xml:space="preserve">Rose et al. (2016). </w:t>
      </w:r>
      <w:hyperlink r:id="rId56">
        <w:r>
          <w:rPr>
            <w:color w:val="174B6A"/>
            <w:sz w:val="19"/>
          </w:rPr>
          <w:t>Reactivation of latent working memories with transcranial magnetic stimulation</w:t>
        </w:r>
      </w:hyperlink>
      <w:r>
        <w:t>. Science.</w:t>
      </w:r>
    </w:p>
    <w:p>
      <w:pPr>
        <w:pStyle w:val="SourceEntry"/>
        <w:keepLines/>
      </w:pPr>
      <w:r>
        <w:rPr>
          <w:b/>
        </w:rPr>
        <w:t xml:space="preserve">Roy and Cullen (2004). </w:t>
      </w:r>
      <w:hyperlink r:id="rId57">
        <w:r>
          <w:rPr>
            <w:color w:val="174B6A"/>
            <w:sz w:val="19"/>
          </w:rPr>
          <w:t>Dissociating self-generated from passively applied head motion: neural mechanisms in the vestibular nuclei</w:t>
        </w:r>
      </w:hyperlink>
      <w:r>
        <w:t>. Journal of Neuroscience.</w:t>
      </w:r>
    </w:p>
    <w:p>
      <w:pPr>
        <w:pStyle w:val="SourceEntry"/>
        <w:keepLines/>
      </w:pPr>
      <w:r>
        <w:rPr>
          <w:b/>
        </w:rPr>
        <w:t xml:space="preserve">Rust et al. (2006). </w:t>
      </w:r>
      <w:hyperlink r:id="rId58">
        <w:r>
          <w:rPr>
            <w:color w:val="174B6A"/>
            <w:sz w:val="19"/>
          </w:rPr>
          <w:t>How MT cells analyze the motion of visual patterns</w:t>
        </w:r>
      </w:hyperlink>
      <w:r>
        <w:t>. Nature Neuroscience.</w:t>
      </w:r>
    </w:p>
    <w:p>
      <w:pPr>
        <w:pStyle w:val="SourceEntry"/>
        <w:keepLines/>
      </w:pPr>
      <w:r>
        <w:rPr>
          <w:b/>
        </w:rPr>
        <w:t xml:space="preserve">Saults and Cowan (2007). </w:t>
      </w:r>
      <w:hyperlink r:id="rId59">
        <w:r>
          <w:rPr>
            <w:color w:val="174B6A"/>
            <w:sz w:val="19"/>
          </w:rPr>
          <w:t>A central capacity limit to the simultaneous storage of visual and auditory arrays in working memory</w:t>
        </w:r>
      </w:hyperlink>
      <w:r>
        <w:t>. Journal of Experimental Psychology: General.</w:t>
      </w:r>
    </w:p>
    <w:p>
      <w:pPr>
        <w:pStyle w:val="SourceEntry"/>
        <w:keepLines/>
      </w:pPr>
      <w:r>
        <w:rPr>
          <w:b/>
        </w:rPr>
        <w:t xml:space="preserve">Schmitt et al. (2017). </w:t>
      </w:r>
      <w:hyperlink r:id="rId60">
        <w:r>
          <w:rPr>
            <w:color w:val="174B6A"/>
            <w:sz w:val="19"/>
          </w:rPr>
          <w:t>Thalamic amplification of cortical connectivity sustains attentional control</w:t>
        </w:r>
      </w:hyperlink>
      <w:r>
        <w:t>. Nature.</w:t>
      </w:r>
    </w:p>
    <w:p>
      <w:pPr>
        <w:pStyle w:val="SourceEntry"/>
        <w:keepLines/>
      </w:pPr>
      <w:r>
        <w:rPr>
          <w:b/>
        </w:rPr>
        <w:t xml:space="preserve">Schuck et al. (2016). </w:t>
      </w:r>
      <w:hyperlink r:id="rId61">
        <w:r>
          <w:rPr>
            <w:color w:val="174B6A"/>
            <w:sz w:val="19"/>
          </w:rPr>
          <w:t>Human Orbitofrontal Cortex Represents a Cognitive Map of State Space</w:t>
        </w:r>
      </w:hyperlink>
      <w:r>
        <w:t>. Neuron.</w:t>
      </w:r>
    </w:p>
    <w:p>
      <w:pPr>
        <w:pStyle w:val="SourceEntry"/>
        <w:keepLines/>
      </w:pPr>
      <w:r>
        <w:rPr>
          <w:b/>
        </w:rPr>
        <w:t xml:space="preserve">Self et al. (2012). </w:t>
      </w:r>
      <w:hyperlink r:id="rId62">
        <w:r>
          <w:rPr>
            <w:color w:val="174B6A"/>
            <w:sz w:val="19"/>
          </w:rPr>
          <w:t>Different glutamate receptors convey feedforward and recurrent processing in macaque V1</w:t>
        </w:r>
      </w:hyperlink>
      <w:r>
        <w:t>. PNAS.</w:t>
      </w:r>
    </w:p>
    <w:p>
      <w:pPr>
        <w:pStyle w:val="SourceEntry"/>
        <w:keepLines/>
      </w:pPr>
      <w:r>
        <w:rPr>
          <w:b/>
        </w:rPr>
        <w:t xml:space="preserve">Sommer and Wurtz (2006). </w:t>
      </w:r>
      <w:hyperlink r:id="rId63">
        <w:r>
          <w:rPr>
            <w:color w:val="174B6A"/>
            <w:sz w:val="19"/>
          </w:rPr>
          <w:t>Influence of the thalamus on spatial visual processing in frontal cortex</w:t>
        </w:r>
      </w:hyperlink>
      <w:r>
        <w:t>. Nature.</w:t>
      </w:r>
    </w:p>
    <w:p>
      <w:pPr>
        <w:pStyle w:val="SourceEntry"/>
        <w:keepLines/>
      </w:pPr>
      <w:r>
        <w:rPr>
          <w:b/>
        </w:rPr>
        <w:t xml:space="preserve">Sperling (1960). </w:t>
      </w:r>
      <w:hyperlink r:id="rId64">
        <w:r>
          <w:rPr>
            <w:color w:val="174B6A"/>
            <w:sz w:val="19"/>
          </w:rPr>
          <w:t>The information available in brief visual presentations</w:t>
        </w:r>
      </w:hyperlink>
      <w:r>
        <w:t>. Psychological Monographs: General and Applied.</w:t>
      </w:r>
    </w:p>
    <w:p>
      <w:pPr>
        <w:pStyle w:val="SourceEntry"/>
        <w:keepLines/>
      </w:pPr>
      <w:r>
        <w:rPr>
          <w:b/>
        </w:rPr>
        <w:t xml:space="preserve">Spreng et al. (2010). </w:t>
      </w:r>
      <w:hyperlink r:id="rId65">
        <w:r>
          <w:rPr>
            <w:color w:val="174B6A"/>
            <w:sz w:val="19"/>
          </w:rPr>
          <w:t>Default network activity, coupled with the frontoparietal control network, supports goal-directed cognition</w:t>
        </w:r>
      </w:hyperlink>
      <w:r>
        <w:t>. NeuroImage.</w:t>
      </w:r>
    </w:p>
    <w:p>
      <w:pPr>
        <w:pStyle w:val="SourceEntry"/>
        <w:keepLines/>
      </w:pPr>
      <w:r>
        <w:rPr>
          <w:b/>
        </w:rPr>
        <w:t xml:space="preserve">Staresina et al. (2011). </w:t>
      </w:r>
      <w:hyperlink r:id="rId66">
        <w:r>
          <w:rPr>
            <w:color w:val="174B6A"/>
            <w:sz w:val="19"/>
          </w:rPr>
          <w:t>Perirhinal and parahippocampal cortices differentially contribute to later recollection of object- and scene-related event details</w:t>
        </w:r>
      </w:hyperlink>
      <w:r>
        <w:t>. Journal of Neuroscience.</w:t>
      </w:r>
    </w:p>
    <w:p>
      <w:pPr>
        <w:pStyle w:val="SourceEntry"/>
        <w:keepLines/>
      </w:pPr>
      <w:r>
        <w:rPr>
          <w:b/>
        </w:rPr>
        <w:t xml:space="preserve">Steinberg et al. (2013). </w:t>
      </w:r>
      <w:hyperlink r:id="rId67">
        <w:r>
          <w:rPr>
            <w:color w:val="174B6A"/>
            <w:sz w:val="19"/>
          </w:rPr>
          <w:t>A causal link between prediction errors, dopamine neurons and learning</w:t>
        </w:r>
      </w:hyperlink>
      <w:r>
        <w:t>. Nature Neuroscience.</w:t>
      </w:r>
    </w:p>
    <w:p>
      <w:pPr>
        <w:pStyle w:val="SourceEntry"/>
        <w:keepLines/>
      </w:pPr>
      <w:r>
        <w:rPr>
          <w:b/>
        </w:rPr>
        <w:t xml:space="preserve">Treisman and Rostron (1972). </w:t>
      </w:r>
      <w:hyperlink r:id="rId68">
        <w:r>
          <w:rPr>
            <w:color w:val="174B6A"/>
            <w:sz w:val="19"/>
          </w:rPr>
          <w:t>Brief auditory storage: A modification of Sperling's paradigm applied to audition</w:t>
        </w:r>
      </w:hyperlink>
      <w:r>
        <w:t>. Acta Psychologica.</w:t>
      </w:r>
    </w:p>
    <w:p>
      <w:pPr>
        <w:pStyle w:val="SourceEntry"/>
        <w:keepLines/>
      </w:pPr>
      <w:r>
        <w:rPr>
          <w:b/>
        </w:rPr>
        <w:t xml:space="preserve">Tseng et al. (2007). </w:t>
      </w:r>
      <w:hyperlink r:id="rId69">
        <w:r>
          <w:rPr>
            <w:color w:val="174B6A"/>
            <w:sz w:val="19"/>
          </w:rPr>
          <w:t>Sensory Prediction Errors Drive Cerebellum-Dependent Adaptation of Reaching</w:t>
        </w:r>
      </w:hyperlink>
      <w:r>
        <w:t>. Journal of Neurophysiology.</w:t>
      </w:r>
    </w:p>
    <w:p>
      <w:pPr>
        <w:pStyle w:val="SourceEntry"/>
        <w:keepLines/>
      </w:pPr>
      <w:r>
        <w:rPr>
          <w:b/>
        </w:rPr>
        <w:t xml:space="preserve">Wang et al. (2007). </w:t>
      </w:r>
      <w:hyperlink r:id="rId70">
        <w:r>
          <w:rPr>
            <w:color w:val="174B6A"/>
            <w:sz w:val="19"/>
          </w:rPr>
          <w:t>Alpha2A-adrenoceptors strengthen working memory networks by inhibiting cAMP-HCN channel signaling in prefrontal cortex</w:t>
        </w:r>
      </w:hyperlink>
      <w:r>
        <w:t>. Cell.</w:t>
      </w:r>
    </w:p>
    <w:sectPr w:rsidR="00FC693F" w:rsidRPr="0006063C" w:rsidSect="00034616">
      <w:footerReference w:type="default" r:id="rId9"/>
      <w:pgSz w:w="12240" w:h="15840"/>
      <w:pgMar w:top="1094" w:right="1152" w:bottom="1037"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footnotes.xml><?xml version="1.0" encoding="utf-8"?>
<w:footnotes xmlns:w="http://schemas.openxmlformats.org/wordprocessingml/2006/main" xmlns:r="http://schemas.openxmlformats.org/officeDocument/2006/relationships">
  <w:footnote w:id="-1" w:type="separator">
    <w:p>
      <w:r>
        <w:separator/>
      </w:r>
    </w:p>
  </w:footnote>
  <w:footnote w:id="0" w:type="continuationSeparator">
    <w:p>
      <w:r>
        <w:continuationSeparator/>
      </w:r>
    </w:p>
  </w:footnote>
  <w:footnote w:id="1">
    <w:p>
      <w:pPr>
        <w:pStyle w:val="FootnoteText"/>
      </w:pPr>
      <w:r>
        <w:rPr>
          <w:rStyle w:val="FootnoteReference"/>
        </w:rPr>
        <w:footnoteRef/>
      </w:r>
      <w:r>
        <w:rPr>
          <w:rFonts w:ascii="Calibri" w:hAnsi="Calibri"/>
          <w:color w:val="444444"/>
          <w:u w:val="none"/>
          <w:sz w:val="18"/>
        </w:rPr>
        <w:t xml:space="preserve"> </w:t>
      </w:r>
      <w:hyperlink r:id="rId1">
        <w:r>
          <w:rPr>
            <w:rFonts w:ascii="Calibri" w:hAnsi="Calibri"/>
            <w:color w:val="444444"/>
            <w:u w:val="none"/>
            <w:sz w:val="18"/>
          </w:rPr>
          <w:t xml:space="preserve">Markov et al. (2014): Anatomy of hierarchy: Feedforward and feedback pathways in macaque visual cortex</w:t>
        </w:r>
      </w:hyperlink>
      <w:r>
        <w:rPr>
          <w:rFonts w:ascii="Calibri" w:hAnsi="Calibri"/>
          <w:color w:val="444444"/>
          <w:u w:val="none"/>
          <w:sz w:val="18"/>
        </w:rPr>
        <w:t xml:space="preserve">; </w:t>
      </w:r>
      <w:hyperlink r:id="rId2">
        <w:r>
          <w:rPr>
            <w:rFonts w:ascii="Calibri" w:hAnsi="Calibri"/>
            <w:color w:val="444444"/>
            <w:u w:val="none"/>
            <w:sz w:val="18"/>
          </w:rPr>
          <w:t xml:space="preserve">Buneo et al. (2002): Direct visuomotor transformations for reaching</w:t>
        </w:r>
      </w:hyperlink>
      <w:r>
        <w:rPr>
          <w:rFonts w:ascii="Calibri" w:hAnsi="Calibri"/>
          <w:color w:val="444444"/>
          <w:u w:val="none"/>
          <w:sz w:val="18"/>
        </w:rPr>
        <w:t xml:space="preserve">; </w:t>
      </w:r>
      <w:hyperlink r:id="rId3">
        <w:r>
          <w:rPr>
            <w:rFonts w:ascii="Calibri" w:hAnsi="Calibri"/>
            <w:color w:val="444444"/>
            <w:u w:val="none"/>
            <w:sz w:val="18"/>
          </w:rPr>
          <w:t xml:space="preserve">Guo et al. (2017): Maintenance of persistent activity in a frontal thalamocortical loop</w:t>
        </w:r>
      </w:hyperlink>
      <w:r>
        <w:rPr>
          <w:rFonts w:ascii="Calibri" w:hAnsi="Calibri"/>
          <w:color w:val="444444"/>
          <w:u w:val="none"/>
          <w:sz w:val="18"/>
        </w:rPr>
        <w:t xml:space="preserve">.</w:t>
      </w:r>
    </w:p>
  </w:footnote>
  <w:footnote w:id="2">
    <w:p>
      <w:pPr>
        <w:pStyle w:val="FootnoteText"/>
      </w:pPr>
      <w:r>
        <w:rPr>
          <w:rStyle w:val="FootnoteReference"/>
        </w:rPr>
        <w:footnoteRef/>
      </w:r>
      <w:r>
        <w:rPr>
          <w:rFonts w:ascii="Calibri" w:hAnsi="Calibri"/>
          <w:color w:val="444444"/>
          <w:u w:val="none"/>
          <w:sz w:val="18"/>
        </w:rPr>
        <w:t xml:space="preserve"> </w:t>
      </w:r>
      <w:hyperlink r:id="rId4">
        <w:r>
          <w:rPr>
            <w:rFonts w:ascii="Calibri" w:hAnsi="Calibri"/>
            <w:color w:val="444444"/>
            <w:u w:val="none"/>
            <w:sz w:val="18"/>
          </w:rPr>
          <w:t xml:space="preserve">Moore and Armstrong (2003): Selective gating of visual signals by microstimulation of frontal cortex</w:t>
        </w:r>
      </w:hyperlink>
      <w:r>
        <w:rPr>
          <w:rFonts w:ascii="Calibri" w:hAnsi="Calibri"/>
          <w:color w:val="444444"/>
          <w:u w:val="none"/>
          <w:sz w:val="18"/>
        </w:rPr>
        <w:t xml:space="preserve">.</w:t>
      </w:r>
    </w:p>
  </w:footnote>
  <w:footnote w:id="3">
    <w:p>
      <w:pPr>
        <w:pStyle w:val="FootnoteText"/>
      </w:pPr>
      <w:r>
        <w:rPr>
          <w:rStyle w:val="FootnoteReference"/>
        </w:rPr>
        <w:footnoteRef/>
      </w:r>
      <w:r>
        <w:rPr>
          <w:rFonts w:ascii="Calibri" w:hAnsi="Calibri"/>
          <w:color w:val="444444"/>
          <w:u w:val="none"/>
          <w:sz w:val="18"/>
        </w:rPr>
        <w:t xml:space="preserve"> </w:t>
      </w:r>
      <w:hyperlink r:id="rId5">
        <w:r>
          <w:rPr>
            <w:rFonts w:ascii="Calibri" w:hAnsi="Calibri"/>
            <w:color w:val="444444"/>
            <w:u w:val="none"/>
            <w:sz w:val="18"/>
          </w:rPr>
          <w:t xml:space="preserve">Markov et al. (2014)</w:t>
        </w:r>
      </w:hyperlink>
      <w:r>
        <w:rPr>
          <w:rFonts w:ascii="Calibri" w:hAnsi="Calibri"/>
          <w:color w:val="444444"/>
          <w:u w:val="none"/>
          <w:sz w:val="18"/>
        </w:rPr>
        <w:t xml:space="preserve">; </w:t>
      </w:r>
      <w:hyperlink r:id="rId6">
        <w:r>
          <w:rPr>
            <w:rFonts w:ascii="Calibri" w:hAnsi="Calibri"/>
            <w:color w:val="444444"/>
            <w:u w:val="none"/>
            <w:sz w:val="18"/>
          </w:rPr>
          <w:t xml:space="preserve">Self et al. (2012): Different glutamate receptors convey feedforward and recurrent processing in macaque V1</w:t>
        </w:r>
      </w:hyperlink>
      <w:r>
        <w:rPr>
          <w:rFonts w:ascii="Calibri" w:hAnsi="Calibri"/>
          <w:color w:val="444444"/>
          <w:u w:val="none"/>
          <w:sz w:val="18"/>
        </w:rPr>
        <w:t xml:space="preserve">.</w:t>
      </w:r>
    </w:p>
  </w:footnote>
  <w:footnote w:id="4">
    <w:p>
      <w:pPr>
        <w:pStyle w:val="FootnoteText"/>
      </w:pPr>
      <w:r>
        <w:rPr>
          <w:rStyle w:val="FootnoteReference"/>
        </w:rPr>
        <w:footnoteRef/>
      </w:r>
      <w:r>
        <w:rPr>
          <w:rFonts w:ascii="Calibri" w:hAnsi="Calibri"/>
          <w:color w:val="444444"/>
          <w:u w:val="none"/>
          <w:sz w:val="18"/>
        </w:rPr>
        <w:t xml:space="preserve"> </w:t>
      </w:r>
      <w:hyperlink r:id="rId7">
        <w:r>
          <w:rPr>
            <w:rFonts w:ascii="Calibri" w:hAnsi="Calibri"/>
            <w:color w:val="444444"/>
            <w:u w:val="none"/>
            <w:sz w:val="18"/>
          </w:rPr>
          <w:t xml:space="preserve">Nassi and Callaway (2006): Multiple circuits relaying primate parallel visual pathways to the middle temporal area</w:t>
        </w:r>
      </w:hyperlink>
      <w:r>
        <w:rPr>
          <w:rFonts w:ascii="Calibri" w:hAnsi="Calibri"/>
          <w:color w:val="444444"/>
          <w:u w:val="none"/>
          <w:sz w:val="18"/>
        </w:rPr>
        <w:t xml:space="preserve">.</w:t>
      </w:r>
    </w:p>
  </w:footnote>
  <w:footnote w:id="5">
    <w:p>
      <w:pPr>
        <w:pStyle w:val="FootnoteText"/>
      </w:pPr>
      <w:r>
        <w:rPr>
          <w:rStyle w:val="FootnoteReference"/>
        </w:rPr>
        <w:footnoteRef/>
      </w:r>
      <w:r>
        <w:rPr>
          <w:rFonts w:ascii="Calibri" w:hAnsi="Calibri"/>
          <w:color w:val="444444"/>
          <w:u w:val="none"/>
          <w:sz w:val="18"/>
        </w:rPr>
        <w:t xml:space="preserve"> </w:t>
      </w:r>
      <w:hyperlink r:id="rId8">
        <w:r>
          <w:rPr>
            <w:rFonts w:ascii="Calibri" w:hAnsi="Calibri"/>
            <w:color w:val="444444"/>
            <w:u w:val="none"/>
            <w:sz w:val="18"/>
          </w:rPr>
          <w:t xml:space="preserve">Rust et al. (2006): How MT cells analyze the motion of visual patterns</w:t>
        </w:r>
      </w:hyperlink>
      <w:r>
        <w:rPr>
          <w:rFonts w:ascii="Calibri" w:hAnsi="Calibri"/>
          <w:color w:val="444444"/>
          <w:u w:val="none"/>
          <w:sz w:val="18"/>
        </w:rPr>
        <w:t xml:space="preserve">.</w:t>
      </w:r>
    </w:p>
  </w:footnote>
  <w:footnote w:id="6">
    <w:p>
      <w:pPr>
        <w:pStyle w:val="FootnoteText"/>
      </w:pPr>
      <w:r>
        <w:rPr>
          <w:rStyle w:val="FootnoteReference"/>
        </w:rPr>
        <w:footnoteRef/>
      </w:r>
      <w:r>
        <w:rPr>
          <w:rFonts w:ascii="Calibri" w:hAnsi="Calibri"/>
          <w:color w:val="444444"/>
          <w:u w:val="none"/>
          <w:sz w:val="18"/>
        </w:rPr>
        <w:t xml:space="preserve"> </w:t>
      </w:r>
      <w:hyperlink r:id="rId9">
        <w:r>
          <w:rPr>
            <w:rFonts w:ascii="Calibri" w:hAnsi="Calibri"/>
            <w:color w:val="444444"/>
            <w:u w:val="none"/>
            <w:sz w:val="18"/>
          </w:rPr>
          <w:t xml:space="preserve">Kar et al. (2019): Evidence that recurrent circuits are critical to the ventral stream's execution of core object recognition behavior</w:t>
        </w:r>
      </w:hyperlink>
      <w:r>
        <w:rPr>
          <w:rFonts w:ascii="Calibri" w:hAnsi="Calibri"/>
          <w:color w:val="444444"/>
          <w:u w:val="none"/>
          <w:sz w:val="18"/>
        </w:rPr>
        <w:t xml:space="preserve">.</w:t>
      </w:r>
    </w:p>
  </w:footnote>
  <w:footnote w:id="7">
    <w:p>
      <w:pPr>
        <w:pStyle w:val="FootnoteText"/>
      </w:pPr>
      <w:r>
        <w:rPr>
          <w:rStyle w:val="FootnoteReference"/>
        </w:rPr>
        <w:footnoteRef/>
      </w:r>
      <w:r>
        <w:rPr>
          <w:rFonts w:ascii="Calibri" w:hAnsi="Calibri"/>
          <w:color w:val="444444"/>
          <w:u w:val="none"/>
          <w:sz w:val="18"/>
        </w:rPr>
        <w:t xml:space="preserve"> </w:t>
      </w:r>
      <w:hyperlink r:id="rId10">
        <w:r>
          <w:rPr>
            <w:rFonts w:ascii="Calibri" w:hAnsi="Calibri"/>
            <w:color w:val="444444"/>
            <w:u w:val="none"/>
            <w:sz w:val="18"/>
          </w:rPr>
          <w:t xml:space="preserve">Buneo et al. (2002)</w:t>
        </w:r>
      </w:hyperlink>
      <w:r>
        <w:rPr>
          <w:rFonts w:ascii="Calibri" w:hAnsi="Calibri"/>
          <w:color w:val="444444"/>
          <w:u w:val="none"/>
          <w:sz w:val="18"/>
        </w:rPr>
        <w:t xml:space="preserve">.</w:t>
      </w:r>
    </w:p>
  </w:footnote>
  <w:footnote w:id="8">
    <w:p>
      <w:pPr>
        <w:pStyle w:val="FootnoteText"/>
      </w:pPr>
      <w:r>
        <w:rPr>
          <w:rStyle w:val="FootnoteReference"/>
        </w:rPr>
        <w:footnoteRef/>
      </w:r>
      <w:r>
        <w:rPr>
          <w:rFonts w:ascii="Calibri" w:hAnsi="Calibri"/>
          <w:color w:val="444444"/>
          <w:u w:val="none"/>
          <w:sz w:val="18"/>
        </w:rPr>
        <w:t xml:space="preserve"> </w:t>
      </w:r>
      <w:hyperlink r:id="rId11">
        <w:r>
          <w:rPr>
            <w:rFonts w:ascii="Calibri" w:hAnsi="Calibri"/>
            <w:color w:val="444444"/>
            <w:u w:val="none"/>
            <w:sz w:val="18"/>
          </w:rPr>
          <w:t xml:space="preserve">Chelazzi et al. (1998): Responses of Neurons in Inferior Temporal Cortex During Memory-Guided Visual Search</w:t>
        </w:r>
      </w:hyperlink>
      <w:r>
        <w:rPr>
          <w:rFonts w:ascii="Calibri" w:hAnsi="Calibri"/>
          <w:color w:val="444444"/>
          <w:u w:val="none"/>
          <w:sz w:val="18"/>
        </w:rPr>
        <w:t xml:space="preserve">; </w:t>
      </w:r>
      <w:hyperlink r:id="rId12">
        <w:r>
          <w:rPr>
            <w:rFonts w:ascii="Calibri" w:hAnsi="Calibri"/>
            <w:color w:val="444444"/>
            <w:u w:val="none"/>
            <w:sz w:val="18"/>
          </w:rPr>
          <w:t xml:space="preserve">Bichot et al. (2015): A Source for Feature-Based Attention in the Prefrontal Cortex</w:t>
        </w:r>
      </w:hyperlink>
      <w:r>
        <w:rPr>
          <w:rFonts w:ascii="Calibri" w:hAnsi="Calibri"/>
          <w:color w:val="444444"/>
          <w:u w:val="none"/>
          <w:sz w:val="18"/>
        </w:rPr>
        <w:t xml:space="preserve">; </w:t>
      </w:r>
      <w:hyperlink r:id="rId13">
        <w:r>
          <w:rPr>
            <w:rFonts w:ascii="Calibri" w:hAnsi="Calibri"/>
            <w:color w:val="444444"/>
            <w:u w:val="none"/>
            <w:sz w:val="18"/>
          </w:rPr>
          <w:t xml:space="preserve">Moore and Armstrong (2003)</w:t>
        </w:r>
      </w:hyperlink>
      <w:r>
        <w:rPr>
          <w:rFonts w:ascii="Calibri" w:hAnsi="Calibri"/>
          <w:color w:val="444444"/>
          <w:u w:val="none"/>
          <w:sz w:val="18"/>
        </w:rPr>
        <w:t xml:space="preserve">.</w:t>
      </w:r>
    </w:p>
  </w:footnote>
  <w:footnote w:id="9">
    <w:p>
      <w:pPr>
        <w:pStyle w:val="FootnoteText"/>
      </w:pPr>
      <w:r>
        <w:rPr>
          <w:rStyle w:val="FootnoteReference"/>
        </w:rPr>
        <w:footnoteRef/>
      </w:r>
      <w:r>
        <w:rPr>
          <w:rFonts w:ascii="Calibri" w:hAnsi="Calibri"/>
          <w:color w:val="444444"/>
          <w:u w:val="none"/>
          <w:sz w:val="18"/>
        </w:rPr>
        <w:t xml:space="preserve"> </w:t>
      </w:r>
      <w:hyperlink r:id="rId14">
        <w:r>
          <w:rPr>
            <w:rFonts w:ascii="Calibri" w:hAnsi="Calibri"/>
            <w:color w:val="444444"/>
            <w:u w:val="none"/>
            <w:sz w:val="18"/>
          </w:rPr>
          <w:t xml:space="preserve">Romanski et al. (1999): Dual streams of auditory afferents target multiple domains in the primate prefrontal cortex</w:t>
        </w:r>
      </w:hyperlink>
      <w:r>
        <w:rPr>
          <w:rFonts w:ascii="Calibri" w:hAnsi="Calibri"/>
          <w:color w:val="444444"/>
          <w:u w:val="none"/>
          <w:sz w:val="18"/>
        </w:rPr>
        <w:t xml:space="preserve">; </w:t>
      </w:r>
      <w:hyperlink r:id="rId15">
        <w:r>
          <w:rPr>
            <w:rFonts w:ascii="Calibri" w:hAnsi="Calibri"/>
            <w:color w:val="444444"/>
            <w:u w:val="none"/>
            <w:sz w:val="18"/>
          </w:rPr>
          <w:t xml:space="preserve">Mesgarani and Chang (2012): Selective cortical representation of attended speaker in multi-talker speech perception</w:t>
        </w:r>
      </w:hyperlink>
      <w:r>
        <w:rPr>
          <w:rFonts w:ascii="Calibri" w:hAnsi="Calibri"/>
          <w:color w:val="444444"/>
          <w:u w:val="none"/>
          <w:sz w:val="18"/>
        </w:rPr>
        <w:t xml:space="preserve">.</w:t>
      </w:r>
    </w:p>
  </w:footnote>
  <w:footnote w:id="10">
    <w:p>
      <w:pPr>
        <w:pStyle w:val="FootnoteText"/>
      </w:pPr>
      <w:r>
        <w:rPr>
          <w:rStyle w:val="FootnoteReference"/>
        </w:rPr>
        <w:footnoteRef/>
      </w:r>
      <w:r>
        <w:rPr>
          <w:rFonts w:ascii="Calibri" w:hAnsi="Calibri"/>
          <w:color w:val="444444"/>
          <w:u w:val="none"/>
          <w:sz w:val="18"/>
        </w:rPr>
        <w:t xml:space="preserve"> </w:t>
      </w:r>
      <w:hyperlink r:id="rId16">
        <w:r>
          <w:rPr>
            <w:rFonts w:ascii="Calibri" w:hAnsi="Calibri"/>
            <w:color w:val="444444"/>
            <w:u w:val="none"/>
            <w:sz w:val="18"/>
          </w:rPr>
          <w:t xml:space="preserve">Pons et al. (1987): Physiological evidence for serial processing in somatosensory cortex</w:t>
        </w:r>
      </w:hyperlink>
      <w:r>
        <w:rPr>
          <w:rFonts w:ascii="Calibri" w:hAnsi="Calibri"/>
          <w:color w:val="444444"/>
          <w:u w:val="none"/>
          <w:sz w:val="18"/>
        </w:rPr>
        <w:t xml:space="preserve">; </w:t>
      </w:r>
      <w:hyperlink r:id="rId17">
        <w:r>
          <w:rPr>
            <w:rFonts w:ascii="Calibri" w:hAnsi="Calibri"/>
            <w:color w:val="444444"/>
            <w:u w:val="none"/>
            <w:sz w:val="18"/>
          </w:rPr>
          <w:t xml:space="preserve">Johansson and Westling (1984): Roles of glabrous skin receptors and sensorimotor memory in automatic control of precision grip when lifting rougher or more slippery objects</w:t>
        </w:r>
      </w:hyperlink>
      <w:r>
        <w:rPr>
          <w:rFonts w:ascii="Calibri" w:hAnsi="Calibri"/>
          <w:color w:val="444444"/>
          <w:u w:val="none"/>
          <w:sz w:val="18"/>
        </w:rPr>
        <w:t xml:space="preserve">.</w:t>
      </w:r>
    </w:p>
  </w:footnote>
  <w:footnote w:id="11">
    <w:p>
      <w:pPr>
        <w:pStyle w:val="FootnoteText"/>
      </w:pPr>
      <w:r>
        <w:rPr>
          <w:rStyle w:val="FootnoteReference"/>
        </w:rPr>
        <w:footnoteRef/>
      </w:r>
      <w:r>
        <w:rPr>
          <w:rFonts w:ascii="Calibri" w:hAnsi="Calibri"/>
          <w:color w:val="444444"/>
          <w:u w:val="none"/>
          <w:sz w:val="18"/>
        </w:rPr>
        <w:t xml:space="preserve"> </w:t>
      </w:r>
      <w:hyperlink r:id="rId18">
        <w:r>
          <w:rPr>
            <w:rFonts w:ascii="Calibri" w:hAnsi="Calibri"/>
            <w:color w:val="444444"/>
            <w:u w:val="none"/>
            <w:sz w:val="18"/>
          </w:rPr>
          <w:t xml:space="preserve">Roy and Cullen (2004): Dissociating self-generated from passively applied head motion: neural mechanisms in the vestibular nuclei</w:t>
        </w:r>
      </w:hyperlink>
      <w:r>
        <w:rPr>
          <w:rFonts w:ascii="Calibri" w:hAnsi="Calibri"/>
          <w:color w:val="444444"/>
          <w:u w:val="none"/>
          <w:sz w:val="18"/>
        </w:rPr>
        <w:t xml:space="preserve">.</w:t>
      </w:r>
    </w:p>
  </w:footnote>
  <w:footnote w:id="12">
    <w:p>
      <w:pPr>
        <w:pStyle w:val="FootnoteText"/>
      </w:pPr>
      <w:r>
        <w:rPr>
          <w:rStyle w:val="FootnoteReference"/>
        </w:rPr>
        <w:footnoteRef/>
      </w:r>
      <w:r>
        <w:rPr>
          <w:rFonts w:ascii="Calibri" w:hAnsi="Calibri"/>
          <w:color w:val="444444"/>
          <w:u w:val="none"/>
          <w:sz w:val="18"/>
        </w:rPr>
        <w:t xml:space="preserve"> </w:t>
      </w:r>
      <w:hyperlink r:id="rId19">
        <w:r>
          <w:rPr>
            <w:rFonts w:ascii="Calibri" w:hAnsi="Calibri"/>
            <w:color w:val="444444"/>
            <w:u w:val="none"/>
            <w:sz w:val="18"/>
          </w:rPr>
          <w:t xml:space="preserve">Ernst and Banks (2002): Humans integrate visual and haptic information in a statistically optimal fashion</w:t>
        </w:r>
      </w:hyperlink>
      <w:r>
        <w:rPr>
          <w:rFonts w:ascii="Calibri" w:hAnsi="Calibri"/>
          <w:color w:val="444444"/>
          <w:u w:val="none"/>
          <w:sz w:val="18"/>
        </w:rPr>
        <w:t xml:space="preserve">; </w:t>
      </w:r>
      <w:hyperlink r:id="rId20">
        <w:r>
          <w:rPr>
            <w:rFonts w:ascii="Calibri" w:hAnsi="Calibri"/>
            <w:color w:val="444444"/>
            <w:u w:val="none"/>
            <w:sz w:val="18"/>
          </w:rPr>
          <w:t xml:space="preserve">Fetsch et al. (2009): Dynamic reweighting of visual and vestibular cues during self-motion perception</w:t>
        </w:r>
      </w:hyperlink>
      <w:r>
        <w:rPr>
          <w:rFonts w:ascii="Calibri" w:hAnsi="Calibri"/>
          <w:color w:val="444444"/>
          <w:u w:val="none"/>
          <w:sz w:val="18"/>
        </w:rPr>
        <w:t xml:space="preserve">.</w:t>
      </w:r>
    </w:p>
  </w:footnote>
  <w:footnote w:id="13">
    <w:p>
      <w:pPr>
        <w:pStyle w:val="FootnoteText"/>
      </w:pPr>
      <w:r>
        <w:rPr>
          <w:rStyle w:val="FootnoteReference"/>
        </w:rPr>
        <w:footnoteRef/>
      </w:r>
      <w:r>
        <w:rPr>
          <w:rFonts w:ascii="Calibri" w:hAnsi="Calibri"/>
          <w:color w:val="444444"/>
          <w:u w:val="none"/>
          <w:sz w:val="18"/>
        </w:rPr>
        <w:t xml:space="preserve"> </w:t>
      </w:r>
      <w:hyperlink r:id="rId21">
        <w:r>
          <w:rPr>
            <w:rFonts w:ascii="Calibri" w:hAnsi="Calibri"/>
            <w:color w:val="444444"/>
            <w:u w:val="none"/>
            <w:sz w:val="18"/>
          </w:rPr>
          <w:t xml:space="preserve">Sommer and Wurtz (2006): Influence of the thalamus on spatial visual processing in frontal cortex</w:t>
        </w:r>
      </w:hyperlink>
      <w:r>
        <w:rPr>
          <w:rFonts w:ascii="Calibri" w:hAnsi="Calibri"/>
          <w:color w:val="444444"/>
          <w:u w:val="none"/>
          <w:sz w:val="18"/>
        </w:rPr>
        <w:t xml:space="preserve">.</w:t>
      </w:r>
    </w:p>
  </w:footnote>
  <w:footnote w:id="14">
    <w:p>
      <w:pPr>
        <w:pStyle w:val="FootnoteText"/>
      </w:pPr>
      <w:r>
        <w:rPr>
          <w:rStyle w:val="FootnoteReference"/>
        </w:rPr>
        <w:footnoteRef/>
      </w:r>
      <w:r>
        <w:rPr>
          <w:rFonts w:ascii="Calibri" w:hAnsi="Calibri"/>
          <w:color w:val="444444"/>
          <w:u w:val="none"/>
          <w:sz w:val="18"/>
        </w:rPr>
        <w:t xml:space="preserve"> </w:t>
      </w:r>
      <w:hyperlink r:id="rId22">
        <w:r>
          <w:rPr>
            <w:rFonts w:ascii="Calibri" w:hAnsi="Calibri"/>
            <w:color w:val="444444"/>
            <w:u w:val="none"/>
            <w:sz w:val="18"/>
          </w:rPr>
          <w:t xml:space="preserve">Sperling (1960): The information available in brief visual presentations</w:t>
        </w:r>
      </w:hyperlink>
      <w:r>
        <w:rPr>
          <w:rFonts w:ascii="Calibri" w:hAnsi="Calibri"/>
          <w:color w:val="444444"/>
          <w:u w:val="none"/>
          <w:sz w:val="18"/>
        </w:rPr>
        <w:t xml:space="preserve">; </w:t>
      </w:r>
      <w:hyperlink r:id="rId23">
        <w:r>
          <w:rPr>
            <w:rFonts w:ascii="Calibri" w:hAnsi="Calibri"/>
            <w:color w:val="444444"/>
            <w:u w:val="none"/>
            <w:sz w:val="18"/>
          </w:rPr>
          <w:t xml:space="preserve">Treisman and Rostron (1972): Brief auditory storage: A modification of Sperling's paradigm applied to audition</w:t>
        </w:r>
      </w:hyperlink>
      <w:r>
        <w:rPr>
          <w:rFonts w:ascii="Calibri" w:hAnsi="Calibri"/>
          <w:color w:val="444444"/>
          <w:u w:val="none"/>
          <w:sz w:val="18"/>
        </w:rPr>
        <w:t xml:space="preserve">; </w:t>
      </w:r>
      <w:hyperlink r:id="rId24">
        <w:r>
          <w:rPr>
            <w:rFonts w:ascii="Calibri" w:hAnsi="Calibri"/>
            <w:color w:val="444444"/>
            <w:u w:val="none"/>
            <w:sz w:val="18"/>
          </w:rPr>
          <w:t xml:space="preserve">Bliss et al. (1966): Information available in brief tactile presentations</w:t>
        </w:r>
      </w:hyperlink>
      <w:r>
        <w:rPr>
          <w:rFonts w:ascii="Calibri" w:hAnsi="Calibri"/>
          <w:color w:val="444444"/>
          <w:u w:val="none"/>
          <w:sz w:val="18"/>
        </w:rPr>
        <w:t xml:space="preserve">; </w:t>
      </w:r>
      <w:hyperlink r:id="rId25">
        <w:r>
          <w:rPr>
            <w:rFonts w:ascii="Calibri" w:hAnsi="Calibri"/>
            <w:color w:val="444444"/>
            <w:u w:val="none"/>
            <w:sz w:val="18"/>
          </w:rPr>
          <w:t xml:space="preserve">Luck and Vogel (1997): The capacity of visual working memory for features and conjunctions</w:t>
        </w:r>
      </w:hyperlink>
      <w:r>
        <w:rPr>
          <w:rFonts w:ascii="Calibri" w:hAnsi="Calibri"/>
          <w:color w:val="444444"/>
          <w:u w:val="none"/>
          <w:sz w:val="18"/>
        </w:rPr>
        <w:t xml:space="preserve">; </w:t>
      </w:r>
      <w:hyperlink r:id="rId26">
        <w:r>
          <w:rPr>
            <w:rFonts w:ascii="Calibri" w:hAnsi="Calibri"/>
            <w:color w:val="444444"/>
            <w:u w:val="none"/>
            <w:sz w:val="18"/>
          </w:rPr>
          <w:t xml:space="preserve">Bays et al. (2009): The precision of visual working memory is set by allocation of a shared resource</w:t>
        </w:r>
      </w:hyperlink>
      <w:r>
        <w:rPr>
          <w:rFonts w:ascii="Calibri" w:hAnsi="Calibri"/>
          <w:color w:val="444444"/>
          <w:u w:val="none"/>
          <w:sz w:val="18"/>
        </w:rPr>
        <w:t xml:space="preserve">; </w:t>
      </w:r>
      <w:hyperlink r:id="rId27">
        <w:r>
          <w:rPr>
            <w:rFonts w:ascii="Calibri" w:hAnsi="Calibri"/>
            <w:color w:val="444444"/>
            <w:u w:val="none"/>
            <w:sz w:val="18"/>
          </w:rPr>
          <w:t xml:space="preserve">Romo et al. (1999): Neuronal correlates of parametric working memory in the prefrontal cortex</w:t>
        </w:r>
      </w:hyperlink>
      <w:r>
        <w:rPr>
          <w:rFonts w:ascii="Calibri" w:hAnsi="Calibri"/>
          <w:color w:val="444444"/>
          <w:u w:val="none"/>
          <w:sz w:val="18"/>
        </w:rPr>
        <w:t xml:space="preserve">.</w:t>
      </w:r>
    </w:p>
  </w:footnote>
  <w:footnote w:id="15">
    <w:p>
      <w:pPr>
        <w:pStyle w:val="FootnoteText"/>
      </w:pPr>
      <w:r>
        <w:rPr>
          <w:rStyle w:val="FootnoteReference"/>
        </w:rPr>
        <w:footnoteRef/>
      </w:r>
      <w:r>
        <w:rPr>
          <w:rFonts w:ascii="Calibri" w:hAnsi="Calibri"/>
          <w:color w:val="444444"/>
          <w:u w:val="none"/>
          <w:sz w:val="18"/>
        </w:rPr>
        <w:t xml:space="preserve"> </w:t>
      </w:r>
      <w:hyperlink r:id="rId28">
        <w:r>
          <w:rPr>
            <w:rFonts w:ascii="Calibri" w:hAnsi="Calibri"/>
            <w:color w:val="444444"/>
            <w:u w:val="none"/>
            <w:sz w:val="18"/>
          </w:rPr>
          <w:t xml:space="preserve">Harrison and Tong (2009): Decoding reveals the contents of visual working memory in early visual areas</w:t>
        </w:r>
      </w:hyperlink>
      <w:r>
        <w:rPr>
          <w:rFonts w:ascii="Calibri" w:hAnsi="Calibri"/>
          <w:color w:val="444444"/>
          <w:u w:val="none"/>
          <w:sz w:val="18"/>
        </w:rPr>
        <w:t xml:space="preserve">; </w:t>
      </w:r>
      <w:hyperlink r:id="rId29">
        <w:r>
          <w:rPr>
            <w:rFonts w:ascii="Calibri" w:hAnsi="Calibri"/>
            <w:color w:val="444444"/>
            <w:u w:val="none"/>
            <w:sz w:val="18"/>
          </w:rPr>
          <w:t xml:space="preserve">Paulesu et al. (1993): The neural correlates of the verbal component of working memory</w:t>
        </w:r>
      </w:hyperlink>
      <w:r>
        <w:rPr>
          <w:rFonts w:ascii="Calibri" w:hAnsi="Calibri"/>
          <w:color w:val="444444"/>
          <w:u w:val="none"/>
          <w:sz w:val="18"/>
        </w:rPr>
        <w:t xml:space="preserve">.</w:t>
      </w:r>
    </w:p>
  </w:footnote>
  <w:footnote w:id="16">
    <w:p>
      <w:pPr>
        <w:pStyle w:val="FootnoteText"/>
      </w:pPr>
      <w:r>
        <w:rPr>
          <w:rStyle w:val="FootnoteReference"/>
        </w:rPr>
        <w:footnoteRef/>
      </w:r>
      <w:r>
        <w:rPr>
          <w:rFonts w:ascii="Calibri" w:hAnsi="Calibri"/>
          <w:color w:val="444444"/>
          <w:u w:val="none"/>
          <w:sz w:val="18"/>
        </w:rPr>
        <w:t xml:space="preserve"> </w:t>
      </w:r>
      <w:hyperlink r:id="rId30">
        <w:r>
          <w:rPr>
            <w:rFonts w:ascii="Calibri" w:hAnsi="Calibri"/>
            <w:color w:val="444444"/>
            <w:u w:val="none"/>
            <w:sz w:val="18"/>
          </w:rPr>
          <w:t xml:space="preserve">Rose et al. (2016): Reactivation of latent working memories with transcranial magnetic stimulation</w:t>
        </w:r>
      </w:hyperlink>
      <w:r>
        <w:rPr>
          <w:rFonts w:ascii="Calibri" w:hAnsi="Calibri"/>
          <w:color w:val="444444"/>
          <w:u w:val="none"/>
          <w:sz w:val="18"/>
        </w:rPr>
        <w:t xml:space="preserve">.</w:t>
      </w:r>
    </w:p>
  </w:footnote>
  <w:footnote w:id="17">
    <w:p>
      <w:pPr>
        <w:pStyle w:val="FootnoteText"/>
      </w:pPr>
      <w:r>
        <w:rPr>
          <w:rStyle w:val="FootnoteReference"/>
        </w:rPr>
        <w:footnoteRef/>
      </w:r>
      <w:r>
        <w:rPr>
          <w:rFonts w:ascii="Calibri" w:hAnsi="Calibri"/>
          <w:color w:val="444444"/>
          <w:u w:val="none"/>
          <w:sz w:val="18"/>
        </w:rPr>
        <w:t xml:space="preserve"> </w:t>
      </w:r>
      <w:hyperlink r:id="rId31">
        <w:r>
          <w:rPr>
            <w:rFonts w:ascii="Calibri" w:hAnsi="Calibri"/>
            <w:color w:val="444444"/>
            <w:u w:val="none"/>
            <w:sz w:val="18"/>
          </w:rPr>
          <w:t xml:space="preserve">Saults and Cowan (2007): A central capacity limit to the simultaneous storage of visual and auditory arrays in working memory</w:t>
        </w:r>
      </w:hyperlink>
      <w:r>
        <w:rPr>
          <w:rFonts w:ascii="Calibri" w:hAnsi="Calibri"/>
          <w:color w:val="444444"/>
          <w:u w:val="none"/>
          <w:sz w:val="18"/>
        </w:rPr>
        <w:t xml:space="preserve">.</w:t>
      </w:r>
    </w:p>
  </w:footnote>
  <w:footnote w:id="18">
    <w:p>
      <w:pPr>
        <w:pStyle w:val="FootnoteText"/>
      </w:pPr>
      <w:r>
        <w:rPr>
          <w:rStyle w:val="FootnoteReference"/>
        </w:rPr>
        <w:footnoteRef/>
      </w:r>
      <w:r>
        <w:rPr>
          <w:rFonts w:ascii="Calibri" w:hAnsi="Calibri"/>
          <w:color w:val="444444"/>
          <w:u w:val="none"/>
          <w:sz w:val="18"/>
        </w:rPr>
        <w:t xml:space="preserve"> </w:t>
      </w:r>
      <w:hyperlink r:id="rId32">
        <w:r>
          <w:rPr>
            <w:rFonts w:ascii="Calibri" w:hAnsi="Calibri"/>
            <w:color w:val="444444"/>
            <w:u w:val="none"/>
            <w:sz w:val="18"/>
          </w:rPr>
          <w:t xml:space="preserve">Guo et al. (2017)</w:t>
        </w:r>
      </w:hyperlink>
      <w:r>
        <w:rPr>
          <w:rFonts w:ascii="Calibri" w:hAnsi="Calibri"/>
          <w:color w:val="444444"/>
          <w:u w:val="none"/>
          <w:sz w:val="18"/>
        </w:rPr>
        <w:t xml:space="preserve">; </w:t>
      </w:r>
      <w:hyperlink r:id="rId33">
        <w:r>
          <w:rPr>
            <w:rFonts w:ascii="Calibri" w:hAnsi="Calibri"/>
            <w:color w:val="444444"/>
            <w:u w:val="none"/>
            <w:sz w:val="18"/>
          </w:rPr>
          <w:t xml:space="preserve">Bolkan et al. (2017): Thalamic projections sustain prefrontal activity during working memory maintenance</w:t>
        </w:r>
      </w:hyperlink>
      <w:r>
        <w:rPr>
          <w:rFonts w:ascii="Calibri" w:hAnsi="Calibri"/>
          <w:color w:val="444444"/>
          <w:u w:val="none"/>
          <w:sz w:val="18"/>
        </w:rPr>
        <w:t xml:space="preserve">; </w:t>
      </w:r>
      <w:hyperlink r:id="rId34">
        <w:r>
          <w:rPr>
            <w:rFonts w:ascii="Calibri" w:hAnsi="Calibri"/>
            <w:color w:val="444444"/>
            <w:u w:val="none"/>
            <w:sz w:val="18"/>
          </w:rPr>
          <w:t xml:space="preserve">Schmitt et al. (2017): Thalamic amplification of cortical connectivity sustains attentional control</w:t>
        </w:r>
      </w:hyperlink>
      <w:r>
        <w:rPr>
          <w:rFonts w:ascii="Calibri" w:hAnsi="Calibri"/>
          <w:color w:val="444444"/>
          <w:u w:val="none"/>
          <w:sz w:val="18"/>
        </w:rPr>
        <w:t xml:space="preserve">.</w:t>
      </w:r>
    </w:p>
  </w:footnote>
  <w:footnote w:id="19">
    <w:p>
      <w:pPr>
        <w:pStyle w:val="FootnoteText"/>
      </w:pPr>
      <w:r>
        <w:rPr>
          <w:rStyle w:val="FootnoteReference"/>
        </w:rPr>
        <w:footnoteRef/>
      </w:r>
      <w:r>
        <w:rPr>
          <w:rFonts w:ascii="Calibri" w:hAnsi="Calibri"/>
          <w:color w:val="444444"/>
          <w:u w:val="none"/>
          <w:sz w:val="18"/>
        </w:rPr>
        <w:t xml:space="preserve"> </w:t>
      </w:r>
      <w:hyperlink r:id="rId35">
        <w:r>
          <w:rPr>
            <w:rFonts w:ascii="Calibri" w:hAnsi="Calibri"/>
            <w:color w:val="444444"/>
            <w:u w:val="none"/>
            <w:sz w:val="18"/>
          </w:rPr>
          <w:t xml:space="preserve">Hosford et al. (2026): Control of representation updating by higher-order thalamus enables history-based decision-making</w:t>
        </w:r>
      </w:hyperlink>
      <w:r>
        <w:rPr>
          <w:rFonts w:ascii="Calibri" w:hAnsi="Calibri"/>
          <w:color w:val="444444"/>
          <w:u w:val="none"/>
          <w:sz w:val="18"/>
        </w:rPr>
        <w:t xml:space="preserve">.</w:t>
      </w:r>
    </w:p>
  </w:footnote>
  <w:footnote w:id="20">
    <w:p>
      <w:pPr>
        <w:pStyle w:val="FootnoteText"/>
      </w:pPr>
      <w:r>
        <w:rPr>
          <w:rStyle w:val="FootnoteReference"/>
        </w:rPr>
        <w:footnoteRef/>
      </w:r>
      <w:r>
        <w:rPr>
          <w:rFonts w:ascii="Calibri" w:hAnsi="Calibri"/>
          <w:color w:val="444444"/>
          <w:u w:val="none"/>
          <w:sz w:val="18"/>
        </w:rPr>
        <w:t xml:space="preserve"> </w:t>
      </w:r>
      <w:hyperlink r:id="rId36">
        <w:r>
          <w:rPr>
            <w:rFonts w:ascii="Calibri" w:hAnsi="Calibri"/>
            <w:color w:val="444444"/>
            <w:u w:val="none"/>
            <w:sz w:val="18"/>
          </w:rPr>
          <w:t xml:space="preserve">Staresina et al. (2011): Perirhinal and parahippocampal cortices differentially contribute to later recollection of object- and scene-related event details</w:t>
        </w:r>
      </w:hyperlink>
      <w:r>
        <w:rPr>
          <w:rFonts w:ascii="Calibri" w:hAnsi="Calibri"/>
          <w:color w:val="444444"/>
          <w:u w:val="none"/>
          <w:sz w:val="18"/>
        </w:rPr>
        <w:t xml:space="preserve">.</w:t>
      </w:r>
    </w:p>
  </w:footnote>
  <w:footnote w:id="21">
    <w:p>
      <w:pPr>
        <w:pStyle w:val="FootnoteText"/>
      </w:pPr>
      <w:r>
        <w:rPr>
          <w:rStyle w:val="FootnoteReference"/>
        </w:rPr>
        <w:footnoteRef/>
      </w:r>
      <w:r>
        <w:rPr>
          <w:rFonts w:ascii="Calibri" w:hAnsi="Calibri"/>
          <w:color w:val="444444"/>
          <w:u w:val="none"/>
          <w:sz w:val="18"/>
        </w:rPr>
        <w:t xml:space="preserve"> </w:t>
      </w:r>
      <w:hyperlink r:id="rId37">
        <w:r>
          <w:rPr>
            <w:rFonts w:ascii="Calibri" w:hAnsi="Calibri"/>
            <w:color w:val="444444"/>
            <w:u w:val="none"/>
            <w:sz w:val="18"/>
          </w:rPr>
          <w:t xml:space="preserve">Nakazawa et al. (2002): Requirement for hippocampal CA3 NMDA receptors in associative memory recall</w:t>
        </w:r>
      </w:hyperlink>
      <w:r>
        <w:rPr>
          <w:rFonts w:ascii="Calibri" w:hAnsi="Calibri"/>
          <w:color w:val="444444"/>
          <w:u w:val="none"/>
          <w:sz w:val="18"/>
        </w:rPr>
        <w:t xml:space="preserve">; </w:t>
      </w:r>
      <w:hyperlink r:id="rId38">
        <w:r>
          <w:rPr>
            <w:rFonts w:ascii="Calibri" w:hAnsi="Calibri"/>
            <w:color w:val="444444"/>
            <w:u w:val="none"/>
            <w:sz w:val="18"/>
          </w:rPr>
          <w:t xml:space="preserve">Neunuebel and Knierim (2014): CA3 Retrieves Coherent Representations from Degraded Input: Direct Evidence for CA3 Pattern Completion and Dentate Gyrus Pattern Separation</w:t>
        </w:r>
      </w:hyperlink>
      <w:r>
        <w:rPr>
          <w:rFonts w:ascii="Calibri" w:hAnsi="Calibri"/>
          <w:color w:val="444444"/>
          <w:u w:val="none"/>
          <w:sz w:val="18"/>
        </w:rPr>
        <w:t xml:space="preserve">; </w:t>
      </w:r>
      <w:hyperlink r:id="rId39">
        <w:r>
          <w:rPr>
            <w:rFonts w:ascii="Calibri" w:hAnsi="Calibri"/>
            <w:color w:val="444444"/>
            <w:u w:val="none"/>
            <w:sz w:val="18"/>
          </w:rPr>
          <w:t xml:space="preserve">Chevaleyre and Siegelbaum (2010): Strong CA2 Pyramidal Neuron Synapses Define a Powerful Disynaptic Cortico-Hippocampal Loop</w:t>
        </w:r>
      </w:hyperlink>
      <w:r>
        <w:rPr>
          <w:rFonts w:ascii="Calibri" w:hAnsi="Calibri"/>
          <w:color w:val="444444"/>
          <w:u w:val="none"/>
          <w:sz w:val="18"/>
        </w:rPr>
        <w:t xml:space="preserve">.</w:t>
      </w:r>
    </w:p>
  </w:footnote>
  <w:footnote w:id="22">
    <w:p>
      <w:pPr>
        <w:pStyle w:val="FootnoteText"/>
      </w:pPr>
      <w:r>
        <w:rPr>
          <w:rStyle w:val="FootnoteReference"/>
        </w:rPr>
        <w:footnoteRef/>
      </w:r>
      <w:r>
        <w:rPr>
          <w:rFonts w:ascii="Calibri" w:hAnsi="Calibri"/>
          <w:color w:val="444444"/>
          <w:u w:val="none"/>
          <w:sz w:val="18"/>
        </w:rPr>
        <w:t xml:space="preserve"> </w:t>
      </w:r>
      <w:hyperlink r:id="rId40">
        <w:r>
          <w:rPr>
            <w:rFonts w:ascii="Calibri" w:hAnsi="Calibri"/>
            <w:color w:val="444444"/>
            <w:u w:val="none"/>
            <w:sz w:val="18"/>
          </w:rPr>
          <w:t xml:space="preserve">Neunuebel and Knierim (2014)</w:t>
        </w:r>
      </w:hyperlink>
      <w:r>
        <w:rPr>
          <w:rFonts w:ascii="Calibri" w:hAnsi="Calibri"/>
          <w:color w:val="444444"/>
          <w:u w:val="none"/>
          <w:sz w:val="18"/>
        </w:rPr>
        <w:t xml:space="preserve">; </w:t>
      </w:r>
      <w:hyperlink r:id="rId41">
        <w:r>
          <w:rPr>
            <w:rFonts w:ascii="Calibri" w:hAnsi="Calibri"/>
            <w:color w:val="444444"/>
            <w:u w:val="none"/>
            <w:sz w:val="18"/>
          </w:rPr>
          <w:t xml:space="preserve">Nakazawa et al. (2002)</w:t>
        </w:r>
      </w:hyperlink>
      <w:r>
        <w:rPr>
          <w:rFonts w:ascii="Calibri" w:hAnsi="Calibri"/>
          <w:color w:val="444444"/>
          <w:u w:val="none"/>
          <w:sz w:val="18"/>
        </w:rPr>
        <w:t xml:space="preserve">.</w:t>
      </w:r>
    </w:p>
  </w:footnote>
  <w:footnote w:id="23">
    <w:p>
      <w:pPr>
        <w:pStyle w:val="FootnoteText"/>
      </w:pPr>
      <w:r>
        <w:rPr>
          <w:rStyle w:val="FootnoteReference"/>
        </w:rPr>
        <w:footnoteRef/>
      </w:r>
      <w:r>
        <w:rPr>
          <w:rFonts w:ascii="Calibri" w:hAnsi="Calibri"/>
          <w:color w:val="444444"/>
          <w:u w:val="none"/>
          <w:sz w:val="18"/>
        </w:rPr>
        <w:t xml:space="preserve"> </w:t>
      </w:r>
      <w:hyperlink r:id="rId42">
        <w:r>
          <w:rPr>
            <w:rFonts w:ascii="Calibri" w:hAnsi="Calibri"/>
            <w:color w:val="444444"/>
            <w:u w:val="none"/>
            <w:sz w:val="18"/>
          </w:rPr>
          <w:t xml:space="preserve">Duncan et al. (2012): Evidence for area CA1 as a match/mismatch detector: a high-resolution fMRI study of the human hippocampus</w:t>
        </w:r>
      </w:hyperlink>
      <w:r>
        <w:rPr>
          <w:rFonts w:ascii="Calibri" w:hAnsi="Calibri"/>
          <w:color w:val="444444"/>
          <w:u w:val="none"/>
          <w:sz w:val="18"/>
        </w:rPr>
        <w:t xml:space="preserve">.</w:t>
      </w:r>
    </w:p>
  </w:footnote>
  <w:footnote w:id="24">
    <w:p>
      <w:pPr>
        <w:pStyle w:val="FootnoteText"/>
      </w:pPr>
      <w:r>
        <w:rPr>
          <w:rStyle w:val="FootnoteReference"/>
        </w:rPr>
        <w:footnoteRef/>
      </w:r>
      <w:r>
        <w:rPr>
          <w:rFonts w:ascii="Calibri" w:hAnsi="Calibri"/>
          <w:color w:val="444444"/>
          <w:u w:val="none"/>
          <w:sz w:val="18"/>
        </w:rPr>
        <w:t xml:space="preserve"> </w:t>
      </w:r>
      <w:hyperlink r:id="rId43">
        <w:r>
          <w:rPr>
            <w:rFonts w:ascii="Calibri" w:hAnsi="Calibri"/>
            <w:color w:val="444444"/>
            <w:u w:val="none"/>
            <w:sz w:val="18"/>
          </w:rPr>
          <w:t xml:space="preserve">Chevaleyre and Siegelbaum (2010)</w:t>
        </w:r>
      </w:hyperlink>
      <w:r>
        <w:rPr>
          <w:rFonts w:ascii="Calibri" w:hAnsi="Calibri"/>
          <w:color w:val="444444"/>
          <w:u w:val="none"/>
          <w:sz w:val="18"/>
        </w:rPr>
        <w:t xml:space="preserve">; </w:t>
      </w:r>
      <w:hyperlink r:id="rId44">
        <w:r>
          <w:rPr>
            <w:rFonts w:ascii="Calibri" w:hAnsi="Calibri"/>
            <w:color w:val="444444"/>
            <w:u w:val="none"/>
            <w:sz w:val="18"/>
          </w:rPr>
          <w:t xml:space="preserve">Hitti and Siegelbaum (2014): The hippocampal CA2 region is essential for social memory</w:t>
        </w:r>
      </w:hyperlink>
      <w:r>
        <w:rPr>
          <w:rFonts w:ascii="Calibri" w:hAnsi="Calibri"/>
          <w:color w:val="444444"/>
          <w:u w:val="none"/>
          <w:sz w:val="18"/>
        </w:rPr>
        <w:t xml:space="preserve">.</w:t>
      </w:r>
    </w:p>
  </w:footnote>
  <w:footnote w:id="25">
    <w:p>
      <w:pPr>
        <w:pStyle w:val="FootnoteText"/>
      </w:pPr>
      <w:r>
        <w:rPr>
          <w:rStyle w:val="FootnoteReference"/>
        </w:rPr>
        <w:footnoteRef/>
      </w:r>
      <w:r>
        <w:rPr>
          <w:rFonts w:ascii="Calibri" w:hAnsi="Calibri"/>
          <w:color w:val="444444"/>
          <w:u w:val="none"/>
          <w:sz w:val="18"/>
        </w:rPr>
        <w:t xml:space="preserve"> </w:t>
      </w:r>
      <w:hyperlink r:id="rId45">
        <w:r>
          <w:rPr>
            <w:rFonts w:ascii="Calibri" w:hAnsi="Calibri"/>
            <w:color w:val="444444"/>
            <w:u w:val="none"/>
            <w:sz w:val="18"/>
          </w:rPr>
          <w:t xml:space="preserve">Horner et al. (2015): Evidence for holistic episodic recollection via hippocampal pattern completion</w:t>
        </w:r>
      </w:hyperlink>
      <w:r>
        <w:rPr>
          <w:rFonts w:ascii="Calibri" w:hAnsi="Calibri"/>
          <w:color w:val="444444"/>
          <w:u w:val="none"/>
          <w:sz w:val="18"/>
        </w:rPr>
        <w:t xml:space="preserve">.</w:t>
      </w:r>
    </w:p>
  </w:footnote>
  <w:footnote w:id="26">
    <w:p>
      <w:pPr>
        <w:pStyle w:val="FootnoteText"/>
      </w:pPr>
      <w:r>
        <w:rPr>
          <w:rStyle w:val="FootnoteReference"/>
        </w:rPr>
        <w:footnoteRef/>
      </w:r>
      <w:r>
        <w:rPr>
          <w:rFonts w:ascii="Calibri" w:hAnsi="Calibri"/>
          <w:color w:val="444444"/>
          <w:u w:val="none"/>
          <w:sz w:val="18"/>
        </w:rPr>
        <w:t xml:space="preserve"> </w:t>
      </w:r>
      <w:hyperlink r:id="rId46">
        <w:r>
          <w:rPr>
            <w:rFonts w:ascii="Calibri" w:hAnsi="Calibri"/>
            <w:color w:val="444444"/>
            <w:u w:val="none"/>
            <w:sz w:val="18"/>
          </w:rPr>
          <w:t xml:space="preserve">Staresina et al. (2011)</w:t>
        </w:r>
      </w:hyperlink>
      <w:r>
        <w:rPr>
          <w:rFonts w:ascii="Calibri" w:hAnsi="Calibri"/>
          <w:color w:val="444444"/>
          <w:u w:val="none"/>
          <w:sz w:val="18"/>
        </w:rPr>
        <w:t xml:space="preserve">; </w:t>
      </w:r>
      <w:hyperlink r:id="rId47">
        <w:r>
          <w:rPr>
            <w:rFonts w:ascii="Calibri" w:hAnsi="Calibri"/>
            <w:color w:val="444444"/>
            <w:u w:val="none"/>
            <w:sz w:val="18"/>
          </w:rPr>
          <w:t xml:space="preserve">Nakazawa et al. (2002)</w:t>
        </w:r>
      </w:hyperlink>
      <w:r>
        <w:rPr>
          <w:rFonts w:ascii="Calibri" w:hAnsi="Calibri"/>
          <w:color w:val="444444"/>
          <w:u w:val="none"/>
          <w:sz w:val="18"/>
        </w:rPr>
        <w:t xml:space="preserve">; </w:t>
      </w:r>
      <w:hyperlink r:id="rId48">
        <w:r>
          <w:rPr>
            <w:rFonts w:ascii="Calibri" w:hAnsi="Calibri"/>
            <w:color w:val="444444"/>
            <w:u w:val="none"/>
            <w:sz w:val="18"/>
          </w:rPr>
          <w:t xml:space="preserve">Horner et al. (2015)</w:t>
        </w:r>
      </w:hyperlink>
      <w:r>
        <w:rPr>
          <w:rFonts w:ascii="Calibri" w:hAnsi="Calibri"/>
          <w:color w:val="444444"/>
          <w:u w:val="none"/>
          <w:sz w:val="18"/>
        </w:rPr>
        <w:t xml:space="preserve">.</w:t>
      </w:r>
    </w:p>
  </w:footnote>
  <w:footnote w:id="27">
    <w:p>
      <w:pPr>
        <w:pStyle w:val="FootnoteText"/>
      </w:pPr>
      <w:r>
        <w:rPr>
          <w:rStyle w:val="FootnoteReference"/>
        </w:rPr>
        <w:footnoteRef/>
      </w:r>
      <w:r>
        <w:rPr>
          <w:rFonts w:ascii="Calibri" w:hAnsi="Calibri"/>
          <w:color w:val="444444"/>
          <w:u w:val="none"/>
          <w:sz w:val="18"/>
        </w:rPr>
        <w:t xml:space="preserve"> </w:t>
      </w:r>
      <w:hyperlink r:id="rId49">
        <w:r>
          <w:rPr>
            <w:rFonts w:ascii="Calibri" w:hAnsi="Calibri"/>
            <w:color w:val="444444"/>
            <w:u w:val="none"/>
            <w:sz w:val="18"/>
          </w:rPr>
          <w:t xml:space="preserve">Kitamura et al. (2017): Engrams and circuits crucial for systems consolidation of a memory</w:t>
        </w:r>
      </w:hyperlink>
      <w:r>
        <w:rPr>
          <w:rFonts w:ascii="Calibri" w:hAnsi="Calibri"/>
          <w:color w:val="444444"/>
          <w:u w:val="none"/>
          <w:sz w:val="18"/>
        </w:rPr>
        <w:t xml:space="preserve">.</w:t>
      </w:r>
    </w:p>
  </w:footnote>
  <w:footnote w:id="28">
    <w:p>
      <w:pPr>
        <w:pStyle w:val="FootnoteText"/>
      </w:pPr>
      <w:r>
        <w:rPr>
          <w:rStyle w:val="FootnoteReference"/>
        </w:rPr>
        <w:footnoteRef/>
      </w:r>
      <w:r>
        <w:rPr>
          <w:rFonts w:ascii="Calibri" w:hAnsi="Calibri"/>
          <w:color w:val="444444"/>
          <w:u w:val="none"/>
          <w:sz w:val="18"/>
        </w:rPr>
        <w:t xml:space="preserve"> </w:t>
      </w:r>
      <w:hyperlink r:id="rId50">
        <w:r>
          <w:rPr>
            <w:rFonts w:ascii="Calibri" w:hAnsi="Calibri"/>
            <w:color w:val="444444"/>
            <w:u w:val="none"/>
            <w:sz w:val="18"/>
          </w:rPr>
          <w:t xml:space="preserve">Pobric et al. (2007): Anterior temporal lobes mediate semantic representation: mimicking semantic dementia by using rTMS in normal participants</w:t>
        </w:r>
      </w:hyperlink>
      <w:r>
        <w:rPr>
          <w:rFonts w:ascii="Calibri" w:hAnsi="Calibri"/>
          <w:color w:val="444444"/>
          <w:u w:val="none"/>
          <w:sz w:val="18"/>
        </w:rPr>
        <w:t xml:space="preserve">.</w:t>
      </w:r>
    </w:p>
  </w:footnote>
  <w:footnote w:id="29">
    <w:p>
      <w:pPr>
        <w:pStyle w:val="FootnoteText"/>
      </w:pPr>
      <w:r>
        <w:rPr>
          <w:rStyle w:val="FootnoteReference"/>
        </w:rPr>
        <w:footnoteRef/>
      </w:r>
      <w:r>
        <w:rPr>
          <w:rFonts w:ascii="Calibri" w:hAnsi="Calibri"/>
          <w:color w:val="444444"/>
          <w:u w:val="none"/>
          <w:sz w:val="18"/>
        </w:rPr>
        <w:t xml:space="preserve"> </w:t>
      </w:r>
      <w:hyperlink r:id="rId51">
        <w:r>
          <w:rPr>
            <w:rFonts w:ascii="Calibri" w:hAnsi="Calibri"/>
            <w:color w:val="444444"/>
            <w:u w:val="none"/>
            <w:sz w:val="18"/>
          </w:rPr>
          <w:t xml:space="preserve">Baldassano et al. (2017): Discovering Event Structure in Continuous Narrative Perception and Memory</w:t>
        </w:r>
      </w:hyperlink>
      <w:r>
        <w:rPr>
          <w:rFonts w:ascii="Calibri" w:hAnsi="Calibri"/>
          <w:color w:val="444444"/>
          <w:u w:val="none"/>
          <w:sz w:val="18"/>
        </w:rPr>
        <w:t xml:space="preserve">.</w:t>
      </w:r>
    </w:p>
  </w:footnote>
  <w:footnote w:id="30">
    <w:p>
      <w:pPr>
        <w:pStyle w:val="FootnoteText"/>
      </w:pPr>
      <w:r>
        <w:rPr>
          <w:rStyle w:val="FootnoteReference"/>
        </w:rPr>
        <w:footnoteRef/>
      </w:r>
      <w:r>
        <w:rPr>
          <w:rFonts w:ascii="Calibri" w:hAnsi="Calibri"/>
          <w:color w:val="444444"/>
          <w:u w:val="none"/>
          <w:sz w:val="18"/>
        </w:rPr>
        <w:t xml:space="preserve"> </w:t>
      </w:r>
      <w:hyperlink r:id="rId52">
        <w:r>
          <w:rPr>
            <w:rFonts w:ascii="Calibri" w:hAnsi="Calibri"/>
            <w:color w:val="444444"/>
            <w:u w:val="none"/>
            <w:sz w:val="18"/>
          </w:rPr>
          <w:t xml:space="preserve">DiNicola et al. (2020): Parallel distributed networks dissociate episodic and social functions within the individual</w:t>
        </w:r>
      </w:hyperlink>
      <w:r>
        <w:rPr>
          <w:rFonts w:ascii="Calibri" w:hAnsi="Calibri"/>
          <w:color w:val="444444"/>
          <w:u w:val="none"/>
          <w:sz w:val="18"/>
        </w:rPr>
        <w:t xml:space="preserve">.</w:t>
      </w:r>
    </w:p>
  </w:footnote>
  <w:footnote w:id="31">
    <w:p>
      <w:pPr>
        <w:pStyle w:val="FootnoteText"/>
      </w:pPr>
      <w:r>
        <w:rPr>
          <w:rStyle w:val="FootnoteReference"/>
        </w:rPr>
        <w:footnoteRef/>
      </w:r>
      <w:r>
        <w:rPr>
          <w:rFonts w:ascii="Calibri" w:hAnsi="Calibri"/>
          <w:color w:val="444444"/>
          <w:u w:val="none"/>
          <w:sz w:val="18"/>
        </w:rPr>
        <w:t xml:space="preserve"> </w:t>
      </w:r>
      <w:hyperlink r:id="rId53">
        <w:r>
          <w:rPr>
            <w:rFonts w:ascii="Calibri" w:hAnsi="Calibri"/>
            <w:color w:val="444444"/>
            <w:u w:val="none"/>
            <w:sz w:val="18"/>
          </w:rPr>
          <w:t xml:space="preserve">Spreng et al. (2010): Default network activity, coupled with the frontoparietal control network, supports goal-directed cognition</w:t>
        </w:r>
      </w:hyperlink>
      <w:r>
        <w:rPr>
          <w:rFonts w:ascii="Calibri" w:hAnsi="Calibri"/>
          <w:color w:val="444444"/>
          <w:u w:val="none"/>
          <w:sz w:val="18"/>
        </w:rPr>
        <w:t xml:space="preserve">.</w:t>
      </w:r>
    </w:p>
  </w:footnote>
  <w:footnote w:id="32">
    <w:p>
      <w:pPr>
        <w:pStyle w:val="FootnoteText"/>
      </w:pPr>
      <w:r>
        <w:rPr>
          <w:rStyle w:val="FootnoteReference"/>
        </w:rPr>
        <w:footnoteRef/>
      </w:r>
      <w:r>
        <w:rPr>
          <w:rFonts w:ascii="Calibri" w:hAnsi="Calibri"/>
          <w:color w:val="444444"/>
          <w:u w:val="none"/>
          <w:sz w:val="18"/>
        </w:rPr>
        <w:t xml:space="preserve"> </w:t>
      </w:r>
      <w:hyperlink r:id="rId54">
        <w:r>
          <w:rPr>
            <w:rFonts w:ascii="Calibri" w:hAnsi="Calibri"/>
            <w:color w:val="444444"/>
            <w:u w:val="none"/>
            <w:sz w:val="18"/>
          </w:rPr>
          <w:t xml:space="preserve">Bichot et al. (2015)</w:t>
        </w:r>
      </w:hyperlink>
      <w:r>
        <w:rPr>
          <w:rFonts w:ascii="Calibri" w:hAnsi="Calibri"/>
          <w:color w:val="444444"/>
          <w:u w:val="none"/>
          <w:sz w:val="18"/>
        </w:rPr>
        <w:t xml:space="preserve">; </w:t>
      </w:r>
      <w:hyperlink r:id="rId55">
        <w:r>
          <w:rPr>
            <w:rFonts w:ascii="Calibri" w:hAnsi="Calibri"/>
            <w:color w:val="444444"/>
            <w:u w:val="none"/>
            <w:sz w:val="18"/>
          </w:rPr>
          <w:t xml:space="preserve">Moore and Armstrong (2003)</w:t>
        </w:r>
      </w:hyperlink>
      <w:r>
        <w:rPr>
          <w:rFonts w:ascii="Calibri" w:hAnsi="Calibri"/>
          <w:color w:val="444444"/>
          <w:u w:val="none"/>
          <w:sz w:val="18"/>
        </w:rPr>
        <w:t xml:space="preserve">; </w:t>
      </w:r>
      <w:hyperlink r:id="rId56">
        <w:r>
          <w:rPr>
            <w:rFonts w:ascii="Calibri" w:hAnsi="Calibri"/>
            <w:color w:val="444444"/>
            <w:u w:val="none"/>
            <w:sz w:val="18"/>
          </w:rPr>
          <w:t xml:space="preserve">Bolkan et al. (2017)</w:t>
        </w:r>
      </w:hyperlink>
      <w:r>
        <w:rPr>
          <w:rFonts w:ascii="Calibri" w:hAnsi="Calibri"/>
          <w:color w:val="444444"/>
          <w:u w:val="none"/>
          <w:sz w:val="18"/>
        </w:rPr>
        <w:t xml:space="preserve">.</w:t>
      </w:r>
    </w:p>
  </w:footnote>
  <w:footnote w:id="33">
    <w:p>
      <w:pPr>
        <w:pStyle w:val="FootnoteText"/>
      </w:pPr>
      <w:r>
        <w:rPr>
          <w:rStyle w:val="FootnoteReference"/>
        </w:rPr>
        <w:footnoteRef/>
      </w:r>
      <w:r>
        <w:rPr>
          <w:rFonts w:ascii="Calibri" w:hAnsi="Calibri"/>
          <w:color w:val="444444"/>
          <w:u w:val="none"/>
          <w:sz w:val="18"/>
        </w:rPr>
        <w:t xml:space="preserve"> </w:t>
      </w:r>
      <w:hyperlink r:id="rId57">
        <w:r>
          <w:rPr>
            <w:rFonts w:ascii="Calibri" w:hAnsi="Calibri"/>
            <w:color w:val="444444"/>
            <w:u w:val="none"/>
            <w:sz w:val="18"/>
          </w:rPr>
          <w:t xml:space="preserve">Critchley et al. (2004): Neural systems supporting interoceptive awareness</w:t>
        </w:r>
      </w:hyperlink>
      <w:r>
        <w:rPr>
          <w:rFonts w:ascii="Calibri" w:hAnsi="Calibri"/>
          <w:color w:val="444444"/>
          <w:u w:val="none"/>
          <w:sz w:val="18"/>
        </w:rPr>
        <w:t xml:space="preserve">; </w:t>
      </w:r>
      <w:hyperlink r:id="rId58">
        <w:r>
          <w:rPr>
            <w:rFonts w:ascii="Calibri" w:hAnsi="Calibri"/>
            <w:color w:val="444444"/>
            <w:u w:val="none"/>
            <w:sz w:val="18"/>
          </w:rPr>
          <w:t xml:space="preserve">Livneh et al. (2017): Homeostatic circuits selectively gate food cue responses in insular cortex</w:t>
        </w:r>
      </w:hyperlink>
      <w:r>
        <w:rPr>
          <w:rFonts w:ascii="Calibri" w:hAnsi="Calibri"/>
          <w:color w:val="444444"/>
          <w:u w:val="none"/>
          <w:sz w:val="18"/>
        </w:rPr>
        <w:t xml:space="preserve">.</w:t>
      </w:r>
    </w:p>
  </w:footnote>
  <w:footnote w:id="34">
    <w:p>
      <w:pPr>
        <w:pStyle w:val="FootnoteText"/>
      </w:pPr>
      <w:r>
        <w:rPr>
          <w:rStyle w:val="FootnoteReference"/>
        </w:rPr>
        <w:footnoteRef/>
      </w:r>
      <w:r>
        <w:rPr>
          <w:rFonts w:ascii="Calibri" w:hAnsi="Calibri"/>
          <w:color w:val="444444"/>
          <w:u w:val="none"/>
          <w:sz w:val="18"/>
        </w:rPr>
        <w:t xml:space="preserve"> </w:t>
      </w:r>
      <w:hyperlink r:id="rId59">
        <w:r>
          <w:rPr>
            <w:rFonts w:ascii="Calibri" w:hAnsi="Calibri"/>
            <w:color w:val="444444"/>
            <w:u w:val="none"/>
            <w:sz w:val="18"/>
          </w:rPr>
          <w:t xml:space="preserve">Paton et al. (2006): The primate amygdala represents the positive and negative value of visual stimuli during learning</w:t>
        </w:r>
      </w:hyperlink>
      <w:r>
        <w:rPr>
          <w:rFonts w:ascii="Calibri" w:hAnsi="Calibri"/>
          <w:color w:val="444444"/>
          <w:u w:val="none"/>
          <w:sz w:val="18"/>
        </w:rPr>
        <w:t xml:space="preserve">; </w:t>
      </w:r>
      <w:hyperlink r:id="rId60">
        <w:r>
          <w:rPr>
            <w:rFonts w:ascii="Calibri" w:hAnsi="Calibri"/>
            <w:color w:val="444444"/>
            <w:u w:val="none"/>
            <w:sz w:val="18"/>
          </w:rPr>
          <w:t xml:space="preserve">Schuck et al. (2016): Human Orbitofrontal Cortex Represents a Cognitive Map of State Space</w:t>
        </w:r>
      </w:hyperlink>
      <w:r>
        <w:rPr>
          <w:rFonts w:ascii="Calibri" w:hAnsi="Calibri"/>
          <w:color w:val="444444"/>
          <w:u w:val="none"/>
          <w:sz w:val="18"/>
        </w:rPr>
        <w:t xml:space="preserve">; </w:t>
      </w:r>
      <w:hyperlink r:id="rId61">
        <w:r>
          <w:rPr>
            <w:rFonts w:ascii="Calibri" w:hAnsi="Calibri"/>
            <w:color w:val="444444"/>
            <w:u w:val="none"/>
            <w:sz w:val="18"/>
          </w:rPr>
          <w:t xml:space="preserve">Kennerley et al. (2006): Optimal decision making and the anterior cingulate cortex</w:t>
        </w:r>
      </w:hyperlink>
      <w:r>
        <w:rPr>
          <w:rFonts w:ascii="Calibri" w:hAnsi="Calibri"/>
          <w:color w:val="444444"/>
          <w:u w:val="none"/>
          <w:sz w:val="18"/>
        </w:rPr>
        <w:t xml:space="preserve">.</w:t>
      </w:r>
    </w:p>
  </w:footnote>
  <w:footnote w:id="35">
    <w:p>
      <w:pPr>
        <w:pStyle w:val="FootnoteText"/>
      </w:pPr>
      <w:r>
        <w:rPr>
          <w:rStyle w:val="FootnoteReference"/>
        </w:rPr>
        <w:footnoteRef/>
      </w:r>
      <w:r>
        <w:rPr>
          <w:rFonts w:ascii="Calibri" w:hAnsi="Calibri"/>
          <w:color w:val="444444"/>
          <w:u w:val="none"/>
          <w:sz w:val="18"/>
        </w:rPr>
        <w:t xml:space="preserve"> </w:t>
      </w:r>
      <w:hyperlink r:id="rId62">
        <w:r>
          <w:rPr>
            <w:rFonts w:ascii="Calibri" w:hAnsi="Calibri"/>
            <w:color w:val="444444"/>
            <w:u w:val="none"/>
            <w:sz w:val="18"/>
          </w:rPr>
          <w:t xml:space="preserve">Pinto et al. (2013): Fast modulation of visual perception by basal forebrain cholinergic neurons</w:t>
        </w:r>
      </w:hyperlink>
      <w:r>
        <w:rPr>
          <w:rFonts w:ascii="Calibri" w:hAnsi="Calibri"/>
          <w:color w:val="444444"/>
          <w:u w:val="none"/>
          <w:sz w:val="18"/>
        </w:rPr>
        <w:t xml:space="preserve">; </w:t>
      </w:r>
      <w:hyperlink r:id="rId63">
        <w:r>
          <w:rPr>
            <w:rFonts w:ascii="Calibri" w:hAnsi="Calibri"/>
            <w:color w:val="444444"/>
            <w:u w:val="none"/>
            <w:sz w:val="18"/>
          </w:rPr>
          <w:t xml:space="preserve">Wang et al. (2007): Alpha2A-adrenoceptors strengthen working memory networks by inhibiting cAMP-HCN channel signaling in prefrontal cortex</w:t>
        </w:r>
      </w:hyperlink>
      <w:r>
        <w:rPr>
          <w:rFonts w:ascii="Calibri" w:hAnsi="Calibri"/>
          <w:color w:val="444444"/>
          <w:u w:val="none"/>
          <w:sz w:val="18"/>
        </w:rPr>
        <w:t xml:space="preserve">.</w:t>
      </w:r>
    </w:p>
  </w:footnote>
  <w:footnote w:id="36">
    <w:p>
      <w:pPr>
        <w:pStyle w:val="FootnoteText"/>
      </w:pPr>
      <w:r>
        <w:rPr>
          <w:rStyle w:val="FootnoteReference"/>
        </w:rPr>
        <w:footnoteRef/>
      </w:r>
      <w:r>
        <w:rPr>
          <w:rFonts w:ascii="Calibri" w:hAnsi="Calibri"/>
          <w:color w:val="444444"/>
          <w:u w:val="none"/>
          <w:sz w:val="18"/>
        </w:rPr>
        <w:t xml:space="preserve"> </w:t>
      </w:r>
      <w:hyperlink r:id="rId64">
        <w:r>
          <w:rPr>
            <w:rFonts w:ascii="Calibri" w:hAnsi="Calibri"/>
            <w:color w:val="444444"/>
            <w:u w:val="none"/>
            <w:sz w:val="18"/>
          </w:rPr>
          <w:t xml:space="preserve">Qin et al. (2009): Acute psychological stress reduces working memory-related activity in the dorsolateral prefrontal cortex</w:t>
        </w:r>
      </w:hyperlink>
      <w:r>
        <w:rPr>
          <w:rFonts w:ascii="Calibri" w:hAnsi="Calibri"/>
          <w:color w:val="444444"/>
          <w:u w:val="none"/>
          <w:sz w:val="18"/>
        </w:rPr>
        <w:t xml:space="preserve">.</w:t>
      </w:r>
    </w:p>
  </w:footnote>
  <w:footnote w:id="37">
    <w:p>
      <w:pPr>
        <w:pStyle w:val="FootnoteText"/>
      </w:pPr>
      <w:r>
        <w:rPr>
          <w:rStyle w:val="FootnoteReference"/>
        </w:rPr>
        <w:footnoteRef/>
      </w:r>
      <w:r>
        <w:rPr>
          <w:rFonts w:ascii="Calibri" w:hAnsi="Calibri"/>
          <w:color w:val="444444"/>
          <w:u w:val="none"/>
          <w:sz w:val="18"/>
        </w:rPr>
        <w:t xml:space="preserve"> </w:t>
      </w:r>
      <w:hyperlink r:id="rId65">
        <w:r>
          <w:rPr>
            <w:rFonts w:ascii="Calibri" w:hAnsi="Calibri"/>
            <w:color w:val="444444"/>
            <w:u w:val="none"/>
            <w:sz w:val="18"/>
          </w:rPr>
          <w:t xml:space="preserve">Redinbaugh et al. (2020): Thalamus Modulates Consciousness via Layer-Specific Control of Cortex</w:t>
        </w:r>
      </w:hyperlink>
      <w:r>
        <w:rPr>
          <w:rFonts w:ascii="Calibri" w:hAnsi="Calibri"/>
          <w:color w:val="444444"/>
          <w:u w:val="none"/>
          <w:sz w:val="18"/>
        </w:rPr>
        <w:t xml:space="preserve">.</w:t>
      </w:r>
    </w:p>
  </w:footnote>
  <w:footnote w:id="38">
    <w:p>
      <w:pPr>
        <w:pStyle w:val="FootnoteText"/>
      </w:pPr>
      <w:r>
        <w:rPr>
          <w:rStyle w:val="FootnoteReference"/>
        </w:rPr>
        <w:footnoteRef/>
      </w:r>
      <w:r>
        <w:rPr>
          <w:rFonts w:ascii="Calibri" w:hAnsi="Calibri"/>
          <w:color w:val="444444"/>
          <w:u w:val="none"/>
          <w:sz w:val="18"/>
        </w:rPr>
        <w:t xml:space="preserve"> </w:t>
      </w:r>
      <w:hyperlink r:id="rId66">
        <w:r>
          <w:rPr>
            <w:rFonts w:ascii="Calibri" w:hAnsi="Calibri"/>
            <w:color w:val="444444"/>
            <w:u w:val="none"/>
            <w:sz w:val="18"/>
          </w:rPr>
          <w:t xml:space="preserve">Cisek and Kalaska (2005): Neural Correlates of Reaching Decisions in Dorsal Premotor Cortex: Specification of Multiple Direction Choices and Final Selection of Action</w:t>
        </w:r>
      </w:hyperlink>
      <w:r>
        <w:rPr>
          <w:rFonts w:ascii="Calibri" w:hAnsi="Calibri"/>
          <w:color w:val="444444"/>
          <w:u w:val="none"/>
          <w:sz w:val="18"/>
        </w:rPr>
        <w:t xml:space="preserve">.</w:t>
      </w:r>
    </w:p>
  </w:footnote>
  <w:footnote w:id="39">
    <w:p>
      <w:pPr>
        <w:pStyle w:val="FootnoteText"/>
      </w:pPr>
      <w:r>
        <w:rPr>
          <w:rStyle w:val="FootnoteReference"/>
        </w:rPr>
        <w:footnoteRef/>
      </w:r>
      <w:r>
        <w:rPr>
          <w:rFonts w:ascii="Calibri" w:hAnsi="Calibri"/>
          <w:color w:val="444444"/>
          <w:u w:val="none"/>
          <w:sz w:val="18"/>
        </w:rPr>
        <w:t xml:space="preserve"> </w:t>
      </w:r>
      <w:hyperlink r:id="rId67">
        <w:r>
          <w:rPr>
            <w:rFonts w:ascii="Calibri" w:hAnsi="Calibri"/>
            <w:color w:val="444444"/>
            <w:u w:val="none"/>
            <w:sz w:val="18"/>
          </w:rPr>
          <w:t xml:space="preserve">Buneo et al. (2002)</w:t>
        </w:r>
      </w:hyperlink>
      <w:r>
        <w:rPr>
          <w:rFonts w:ascii="Calibri" w:hAnsi="Calibri"/>
          <w:color w:val="444444"/>
          <w:u w:val="none"/>
          <w:sz w:val="18"/>
        </w:rPr>
        <w:t xml:space="preserve">; </w:t>
      </w:r>
      <w:hyperlink r:id="rId68">
        <w:r>
          <w:rPr>
            <w:rFonts w:ascii="Calibri" w:hAnsi="Calibri"/>
            <w:color w:val="444444"/>
            <w:u w:val="none"/>
            <w:sz w:val="18"/>
          </w:rPr>
          <w:t xml:space="preserve">Fogassi et al. (2001): Cortical mechanism for the visual guidance of hand grasping movements in the monkey</w:t>
        </w:r>
      </w:hyperlink>
      <w:r>
        <w:rPr>
          <w:rFonts w:ascii="Calibri" w:hAnsi="Calibri"/>
          <w:color w:val="444444"/>
          <w:u w:val="none"/>
          <w:sz w:val="18"/>
        </w:rPr>
        <w:t xml:space="preserve">.</w:t>
      </w:r>
    </w:p>
  </w:footnote>
  <w:footnote w:id="40">
    <w:p>
      <w:pPr>
        <w:pStyle w:val="FootnoteText"/>
      </w:pPr>
      <w:r>
        <w:rPr>
          <w:rStyle w:val="FootnoteReference"/>
        </w:rPr>
        <w:footnoteRef/>
      </w:r>
      <w:r>
        <w:rPr>
          <w:rFonts w:ascii="Calibri" w:hAnsi="Calibri"/>
          <w:color w:val="444444"/>
          <w:u w:val="none"/>
          <w:sz w:val="18"/>
        </w:rPr>
        <w:t xml:space="preserve"> </w:t>
      </w:r>
      <w:hyperlink r:id="rId69">
        <w:r>
          <w:rPr>
            <w:rFonts w:ascii="Calibri" w:hAnsi="Calibri"/>
            <w:color w:val="444444"/>
            <w:u w:val="none"/>
            <w:sz w:val="18"/>
          </w:rPr>
          <w:t xml:space="preserve">Hikosaka and Wurtz (1985): Modification of saccadic eye movements by GABA-related substances. II. Effects of muscimol in monkey substantia nigra pars reticulata</w:t>
        </w:r>
      </w:hyperlink>
      <w:r>
        <w:rPr>
          <w:rFonts w:ascii="Calibri" w:hAnsi="Calibri"/>
          <w:color w:val="444444"/>
          <w:u w:val="none"/>
          <w:sz w:val="18"/>
        </w:rPr>
        <w:t xml:space="preserve">; </w:t>
      </w:r>
      <w:hyperlink r:id="rId70">
        <w:r>
          <w:rPr>
            <w:rFonts w:ascii="Calibri" w:hAnsi="Calibri"/>
            <w:color w:val="444444"/>
            <w:u w:val="none"/>
            <w:sz w:val="18"/>
          </w:rPr>
          <w:t xml:space="preserve">Desmurget and Turner (2008): Testing Basal Ganglia Motor Functions Through Reversible Inactivations in the Posterior Internal Globus Pallidus</w:t>
        </w:r>
      </w:hyperlink>
      <w:r>
        <w:rPr>
          <w:rFonts w:ascii="Calibri" w:hAnsi="Calibri"/>
          <w:color w:val="444444"/>
          <w:u w:val="none"/>
          <w:sz w:val="18"/>
        </w:rPr>
        <w:t xml:space="preserve">.</w:t>
      </w:r>
    </w:p>
  </w:footnote>
  <w:footnote w:id="41">
    <w:p>
      <w:pPr>
        <w:pStyle w:val="FootnoteText"/>
      </w:pPr>
      <w:r>
        <w:rPr>
          <w:rStyle w:val="FootnoteReference"/>
        </w:rPr>
        <w:footnoteRef/>
      </w:r>
      <w:r>
        <w:rPr>
          <w:rFonts w:ascii="Calibri" w:hAnsi="Calibri"/>
          <w:color w:val="444444"/>
          <w:u w:val="none"/>
          <w:sz w:val="18"/>
        </w:rPr>
        <w:t xml:space="preserve"> </w:t>
      </w:r>
      <w:hyperlink r:id="rId71">
        <w:r>
          <w:rPr>
            <w:rFonts w:ascii="Calibri" w:hAnsi="Calibri"/>
            <w:color w:val="444444"/>
            <w:u w:val="none"/>
            <w:sz w:val="18"/>
          </w:rPr>
          <w:t xml:space="preserve">Fife et al. (2017): Causal role for the subthalamic nucleus in interrupting behavior</w:t>
        </w:r>
      </w:hyperlink>
      <w:r>
        <w:rPr>
          <w:rFonts w:ascii="Calibri" w:hAnsi="Calibri"/>
          <w:color w:val="444444"/>
          <w:u w:val="none"/>
          <w:sz w:val="18"/>
        </w:rPr>
        <w:t xml:space="preserve">.</w:t>
      </w:r>
    </w:p>
  </w:footnote>
  <w:footnote w:id="42">
    <w:p>
      <w:pPr>
        <w:pStyle w:val="FootnoteText"/>
      </w:pPr>
      <w:r>
        <w:rPr>
          <w:rStyle w:val="FootnoteReference"/>
        </w:rPr>
        <w:footnoteRef/>
      </w:r>
      <w:r>
        <w:rPr>
          <w:rFonts w:ascii="Calibri" w:hAnsi="Calibri"/>
          <w:color w:val="444444"/>
          <w:u w:val="none"/>
          <w:sz w:val="18"/>
        </w:rPr>
        <w:t xml:space="preserve"> </w:t>
      </w:r>
      <w:hyperlink r:id="rId72">
        <w:r>
          <w:rPr>
            <w:rFonts w:ascii="Calibri" w:hAnsi="Calibri"/>
            <w:color w:val="444444"/>
            <w:u w:val="none"/>
            <w:sz w:val="18"/>
          </w:rPr>
          <w:t xml:space="preserve">Pruszynski et al. (2011): Primary motor cortex underlies multi-joint integration for fast feedback control</w:t>
        </w:r>
      </w:hyperlink>
      <w:r>
        <w:rPr>
          <w:rFonts w:ascii="Calibri" w:hAnsi="Calibri"/>
          <w:color w:val="444444"/>
          <w:u w:val="none"/>
          <w:sz w:val="18"/>
        </w:rPr>
        <w:t xml:space="preserve">; </w:t>
      </w:r>
      <w:hyperlink r:id="rId73">
        <w:r>
          <w:rPr>
            <w:rFonts w:ascii="Calibri" w:hAnsi="Calibri"/>
            <w:color w:val="444444"/>
            <w:u w:val="none"/>
            <w:sz w:val="18"/>
          </w:rPr>
          <w:t xml:space="preserve">Johansson and Westling (1984)</w:t>
        </w:r>
      </w:hyperlink>
      <w:r>
        <w:rPr>
          <w:rFonts w:ascii="Calibri" w:hAnsi="Calibri"/>
          <w:color w:val="444444"/>
          <w:u w:val="none"/>
          <w:sz w:val="18"/>
        </w:rPr>
        <w:t xml:space="preserve">.</w:t>
      </w:r>
    </w:p>
  </w:footnote>
  <w:footnote w:id="43">
    <w:p>
      <w:pPr>
        <w:pStyle w:val="FootnoteText"/>
      </w:pPr>
      <w:r>
        <w:rPr>
          <w:rStyle w:val="FootnoteReference"/>
        </w:rPr>
        <w:footnoteRef/>
      </w:r>
      <w:r>
        <w:rPr>
          <w:rFonts w:ascii="Calibri" w:hAnsi="Calibri"/>
          <w:color w:val="444444"/>
          <w:u w:val="none"/>
          <w:sz w:val="18"/>
        </w:rPr>
        <w:t xml:space="preserve"> </w:t>
      </w:r>
      <w:hyperlink r:id="rId74">
        <w:r>
          <w:rPr>
            <w:rFonts w:ascii="Calibri" w:hAnsi="Calibri"/>
            <w:color w:val="444444"/>
            <w:u w:val="none"/>
            <w:sz w:val="18"/>
          </w:rPr>
          <w:t xml:space="preserve">Herzfeld et al. (2018): Encoding of error and learning to correct that error by the Purkinje cells of the cerebellum</w:t>
        </w:r>
      </w:hyperlink>
      <w:r>
        <w:rPr>
          <w:rFonts w:ascii="Calibri" w:hAnsi="Calibri"/>
          <w:color w:val="444444"/>
          <w:u w:val="none"/>
          <w:sz w:val="18"/>
        </w:rPr>
        <w:t xml:space="preserve">; </w:t>
      </w:r>
      <w:hyperlink r:id="rId75">
        <w:r>
          <w:rPr>
            <w:rFonts w:ascii="Calibri" w:hAnsi="Calibri"/>
            <w:color w:val="444444"/>
            <w:u w:val="none"/>
            <w:sz w:val="18"/>
          </w:rPr>
          <w:t xml:space="preserve">Tseng et al. (2007): Sensory Prediction Errors Drive Cerebellum-Dependent Adaptation of Reaching</w:t>
        </w:r>
      </w:hyperlink>
      <w:r>
        <w:rPr>
          <w:rFonts w:ascii="Calibri" w:hAnsi="Calibri"/>
          <w:color w:val="444444"/>
          <w:u w:val="none"/>
          <w:sz w:val="18"/>
        </w:rPr>
        <w:t xml:space="preserve">.</w:t>
      </w:r>
    </w:p>
  </w:footnote>
  <w:footnote w:id="44">
    <w:p>
      <w:pPr>
        <w:pStyle w:val="FootnoteText"/>
      </w:pPr>
      <w:r>
        <w:rPr>
          <w:rStyle w:val="FootnoteReference"/>
        </w:rPr>
        <w:footnoteRef/>
      </w:r>
      <w:r>
        <w:rPr>
          <w:rFonts w:ascii="Calibri" w:hAnsi="Calibri"/>
          <w:color w:val="444444"/>
          <w:u w:val="none"/>
          <w:sz w:val="18"/>
        </w:rPr>
        <w:t xml:space="preserve"> </w:t>
      </w:r>
      <w:hyperlink r:id="rId76">
        <w:r>
          <w:rPr>
            <w:rFonts w:ascii="Calibri" w:hAnsi="Calibri"/>
            <w:color w:val="444444"/>
            <w:u w:val="none"/>
            <w:sz w:val="18"/>
          </w:rPr>
          <w:t xml:space="preserve">Nakazawa et al. (2002)</w:t>
        </w:r>
      </w:hyperlink>
      <w:r>
        <w:rPr>
          <w:rFonts w:ascii="Calibri" w:hAnsi="Calibri"/>
          <w:color w:val="444444"/>
          <w:u w:val="none"/>
          <w:sz w:val="18"/>
        </w:rPr>
        <w:t xml:space="preserve">; </w:t>
      </w:r>
      <w:hyperlink r:id="rId77">
        <w:r>
          <w:rPr>
            <w:rFonts w:ascii="Calibri" w:hAnsi="Calibri"/>
            <w:color w:val="444444"/>
            <w:u w:val="none"/>
            <w:sz w:val="18"/>
          </w:rPr>
          <w:t xml:space="preserve">Kitamura et al. (2017)</w:t>
        </w:r>
      </w:hyperlink>
      <w:r>
        <w:rPr>
          <w:rFonts w:ascii="Calibri" w:hAnsi="Calibri"/>
          <w:color w:val="444444"/>
          <w:u w:val="none"/>
          <w:sz w:val="18"/>
        </w:rPr>
        <w:t xml:space="preserve">; </w:t>
      </w:r>
      <w:hyperlink r:id="rId78">
        <w:r>
          <w:rPr>
            <w:rFonts w:ascii="Calibri" w:hAnsi="Calibri"/>
            <w:color w:val="444444"/>
            <w:u w:val="none"/>
            <w:sz w:val="18"/>
          </w:rPr>
          <w:t xml:space="preserve">Tseng et al. (2007)</w:t>
        </w:r>
      </w:hyperlink>
      <w:r>
        <w:rPr>
          <w:rFonts w:ascii="Calibri" w:hAnsi="Calibri"/>
          <w:color w:val="444444"/>
          <w:u w:val="none"/>
          <w:sz w:val="18"/>
        </w:rPr>
        <w:t xml:space="preserve">; </w:t>
      </w:r>
      <w:hyperlink r:id="rId79">
        <w:r>
          <w:rPr>
            <w:rFonts w:ascii="Calibri" w:hAnsi="Calibri"/>
            <w:color w:val="444444"/>
            <w:u w:val="none"/>
            <w:sz w:val="18"/>
          </w:rPr>
          <w:t xml:space="preserve">Steinberg et al. (2013): A causal link between prediction errors, dopamine neurons and learning</w:t>
        </w:r>
      </w:hyperlink>
      <w:r>
        <w:rPr>
          <w:rFonts w:ascii="Calibri" w:hAnsi="Calibri"/>
          <w:color w:val="444444"/>
          <w:u w:val="none"/>
          <w:sz w:val="18"/>
        </w:rPr>
        <w:t xml:space="preserve">.</w:t>
      </w:r>
    </w:p>
  </w:footnote>
  <w:footnote w:id="45">
    <w:p>
      <w:pPr>
        <w:pStyle w:val="FootnoteText"/>
      </w:pPr>
      <w:r>
        <w:rPr>
          <w:rStyle w:val="FootnoteReference"/>
        </w:rPr>
        <w:footnoteRef/>
      </w:r>
      <w:r>
        <w:rPr>
          <w:rFonts w:ascii="Calibri" w:hAnsi="Calibri"/>
          <w:color w:val="444444"/>
          <w:u w:val="none"/>
          <w:sz w:val="18"/>
        </w:rPr>
        <w:t xml:space="preserve"> </w:t>
      </w:r>
      <w:hyperlink r:id="rId80">
        <w:r>
          <w:rPr>
            <w:rFonts w:ascii="Calibri" w:hAnsi="Calibri"/>
            <w:color w:val="444444"/>
            <w:u w:val="none"/>
            <w:sz w:val="18"/>
          </w:rPr>
          <w:t xml:space="preserve">Buneo et al. (2002)</w:t>
        </w:r>
      </w:hyperlink>
      <w:r>
        <w:rPr>
          <w:rFonts w:ascii="Calibri" w:hAnsi="Calibri"/>
          <w:color w:val="444444"/>
          <w:u w:val="none"/>
          <w:sz w:val="18"/>
        </w:rPr>
        <w:t xml:space="preserve">; </w:t>
      </w:r>
      <w:hyperlink r:id="rId81">
        <w:r>
          <w:rPr>
            <w:rFonts w:ascii="Calibri" w:hAnsi="Calibri"/>
            <w:color w:val="444444"/>
            <w:u w:val="none"/>
            <w:sz w:val="18"/>
          </w:rPr>
          <w:t xml:space="preserve">Ernst and Banks (2002)</w:t>
        </w:r>
      </w:hyperlink>
      <w:r>
        <w:rPr>
          <w:rFonts w:ascii="Calibri" w:hAnsi="Calibri"/>
          <w:color w:val="444444"/>
          <w:u w:val="none"/>
          <w:sz w:val="18"/>
        </w:rPr>
        <w:t xml:space="preserve">; </w:t>
      </w:r>
      <w:hyperlink r:id="rId82">
        <w:r>
          <w:rPr>
            <w:rFonts w:ascii="Calibri" w:hAnsi="Calibri"/>
            <w:color w:val="444444"/>
            <w:u w:val="none"/>
            <w:sz w:val="18"/>
          </w:rPr>
          <w:t xml:space="preserve">Self et al. (2012)</w:t>
        </w:r>
      </w:hyperlink>
      <w:r>
        <w:rPr>
          <w:rFonts w:ascii="Calibri" w:hAnsi="Calibri"/>
          <w:color w:val="444444"/>
          <w:u w:val="none"/>
          <w:sz w:val="18"/>
        </w:rPr>
        <w:t xml:space="preserve">; </w:t>
      </w:r>
      <w:hyperlink r:id="rId83">
        <w:r>
          <w:rPr>
            <w:rFonts w:ascii="Calibri" w:hAnsi="Calibri"/>
            <w:color w:val="444444"/>
            <w:u w:val="none"/>
            <w:sz w:val="18"/>
          </w:rPr>
          <w:t xml:space="preserve">Rose et al. (2016)</w:t>
        </w:r>
      </w:hyperlink>
      <w:r>
        <w:rPr>
          <w:rFonts w:ascii="Calibri" w:hAnsi="Calibri"/>
          <w:color w:val="444444"/>
          <w:u w:val="none"/>
          <w:sz w:val="18"/>
        </w:rPr>
        <w:t xml:space="preserve">; </w:t>
      </w:r>
      <w:hyperlink r:id="rId84">
        <w:r>
          <w:rPr>
            <w:rFonts w:ascii="Calibri" w:hAnsi="Calibri"/>
            <w:color w:val="444444"/>
            <w:u w:val="none"/>
            <w:sz w:val="18"/>
          </w:rPr>
          <w:t xml:space="preserve">Baldassano et al. (2017)</w:t>
        </w:r>
      </w:hyperlink>
      <w:r>
        <w:rPr>
          <w:rFonts w:ascii="Calibri" w:hAnsi="Calibri"/>
          <w:color w:val="444444"/>
          <w:u w:val="none"/>
          <w:sz w:val="18"/>
        </w:rPr>
        <w:t xml:space="preserve">; </w:t>
      </w:r>
      <w:hyperlink r:id="rId85">
        <w:r>
          <w:rPr>
            <w:rFonts w:ascii="Calibri" w:hAnsi="Calibri"/>
            <w:color w:val="444444"/>
            <w:u w:val="none"/>
            <w:sz w:val="18"/>
          </w:rPr>
          <w:t xml:space="preserve">Horner et al. (2015)</w:t>
        </w:r>
      </w:hyperlink>
      <w:r>
        <w:rPr>
          <w:rFonts w:ascii="Calibri" w:hAnsi="Calibri"/>
          <w:color w:val="444444"/>
          <w:u w:val="none"/>
          <w:sz w:val="18"/>
        </w:rPr>
        <w:t xml:space="preserve">.</w:t>
      </w:r>
    </w:p>
  </w:footnote>
  <w:footnote w:id="46">
    <w:p>
      <w:pPr>
        <w:pStyle w:val="FootnoteText"/>
      </w:pPr>
      <w:r>
        <w:rPr>
          <w:rStyle w:val="FootnoteReference"/>
        </w:rPr>
        <w:footnoteRef/>
      </w:r>
      <w:r>
        <w:rPr>
          <w:rFonts w:ascii="Calibri" w:hAnsi="Calibri"/>
          <w:color w:val="444444"/>
          <w:u w:val="none"/>
          <w:sz w:val="18"/>
        </w:rPr>
        <w:t xml:space="preserve"> </w:t>
      </w:r>
      <w:hyperlink r:id="rId86">
        <w:r>
          <w:rPr>
            <w:rFonts w:ascii="Calibri" w:hAnsi="Calibri"/>
            <w:color w:val="444444"/>
            <w:u w:val="none"/>
            <w:sz w:val="18"/>
          </w:rPr>
          <w:t xml:space="preserve">Pobric et al. (2007)</w:t>
        </w:r>
      </w:hyperlink>
      <w:r>
        <w:rPr>
          <w:rFonts w:ascii="Calibri" w:hAnsi="Calibri"/>
          <w:color w:val="444444"/>
          <w:u w:val="none"/>
          <w:sz w:val="18"/>
        </w:rPr>
        <w:t xml:space="preserve">; </w:t>
      </w:r>
      <w:hyperlink r:id="rId87">
        <w:r>
          <w:rPr>
            <w:rFonts w:ascii="Calibri" w:hAnsi="Calibri"/>
            <w:color w:val="444444"/>
            <w:u w:val="none"/>
            <w:sz w:val="18"/>
          </w:rPr>
          <w:t xml:space="preserve">Horner et al. (2015)</w:t>
        </w:r>
      </w:hyperlink>
      <w:r>
        <w:rPr>
          <w:rFonts w:ascii="Calibri" w:hAnsi="Calibri"/>
          <w:color w:val="444444"/>
          <w:u w:val="none"/>
          <w:sz w:val="18"/>
        </w:rPr>
        <w:t xml:space="preserve">; </w:t>
      </w:r>
      <w:hyperlink r:id="rId88">
        <w:r>
          <w:rPr>
            <w:rFonts w:ascii="Calibri" w:hAnsi="Calibri"/>
            <w:color w:val="444444"/>
            <w:u w:val="none"/>
            <w:sz w:val="18"/>
          </w:rPr>
          <w:t xml:space="preserve">Baldassano et al. (2017)</w:t>
        </w:r>
      </w:hyperlink>
      <w:r>
        <w:rPr>
          <w:rFonts w:ascii="Calibri" w:hAnsi="Calibri"/>
          <w:color w:val="444444"/>
          <w:u w:val="none"/>
          <w:sz w:val="18"/>
        </w:rPr>
        <w:t xml:space="preserve">.</w:t>
      </w:r>
    </w:p>
  </w:footnote>
  <w:footnote w:id="47">
    <w:p>
      <w:pPr>
        <w:pStyle w:val="FootnoteText"/>
      </w:pPr>
      <w:r>
        <w:rPr>
          <w:rStyle w:val="FootnoteReference"/>
        </w:rPr>
        <w:footnoteRef/>
      </w:r>
      <w:r>
        <w:rPr>
          <w:rFonts w:ascii="Calibri" w:hAnsi="Calibri"/>
          <w:color w:val="444444"/>
          <w:u w:val="none"/>
          <w:sz w:val="18"/>
        </w:rPr>
        <w:t xml:space="preserve"> </w:t>
      </w:r>
      <w:hyperlink r:id="rId89">
        <w:r>
          <w:rPr>
            <w:rFonts w:ascii="Calibri" w:hAnsi="Calibri"/>
            <w:color w:val="444444"/>
            <w:u w:val="none"/>
            <w:sz w:val="18"/>
          </w:rPr>
          <w:t xml:space="preserve">Ernst and Banks (2002)</w:t>
        </w:r>
      </w:hyperlink>
      <w:r>
        <w:rPr>
          <w:rFonts w:ascii="Calibri" w:hAnsi="Calibri"/>
          <w:color w:val="444444"/>
          <w:u w:val="none"/>
          <w:sz w:val="18"/>
        </w:rPr>
        <w:t xml:space="preserve">; </w:t>
      </w:r>
      <w:hyperlink r:id="rId90">
        <w:r>
          <w:rPr>
            <w:rFonts w:ascii="Calibri" w:hAnsi="Calibri"/>
            <w:color w:val="444444"/>
            <w:u w:val="none"/>
            <w:sz w:val="18"/>
          </w:rPr>
          <w:t xml:space="preserve">Fetsch et al. (2009)</w:t>
        </w:r>
      </w:hyperlink>
      <w:r>
        <w:rPr>
          <w:rFonts w:ascii="Calibri" w:hAnsi="Calibri"/>
          <w:color w:val="444444"/>
          <w:u w:val="none"/>
          <w:sz w:val="18"/>
        </w:rPr>
        <w:t xml:space="preserve">.</w:t>
      </w:r>
    </w:p>
  </w:footnote>
  <w:footnote w:id="48">
    <w:p>
      <w:pPr>
        <w:pStyle w:val="FootnoteText"/>
      </w:pPr>
      <w:r>
        <w:rPr>
          <w:rStyle w:val="FootnoteReference"/>
        </w:rPr>
        <w:footnoteRef/>
      </w:r>
      <w:r>
        <w:rPr>
          <w:rFonts w:ascii="Calibri" w:hAnsi="Calibri"/>
          <w:color w:val="444444"/>
          <w:u w:val="none"/>
          <w:sz w:val="18"/>
        </w:rPr>
        <w:t xml:space="preserve"> </w:t>
      </w:r>
      <w:hyperlink r:id="rId91">
        <w:r>
          <w:rPr>
            <w:rFonts w:ascii="Calibri" w:hAnsi="Calibri"/>
            <w:color w:val="444444"/>
            <w:u w:val="none"/>
            <w:sz w:val="18"/>
          </w:rPr>
          <w:t xml:space="preserve">Chelazzi et al. (1998)</w:t>
        </w:r>
      </w:hyperlink>
      <w:r>
        <w:rPr>
          <w:rFonts w:ascii="Calibri" w:hAnsi="Calibri"/>
          <w:color w:val="444444"/>
          <w:u w:val="none"/>
          <w:sz w:val="18"/>
        </w:rPr>
        <w:t xml:space="preserve">; </w:t>
      </w:r>
      <w:hyperlink r:id="rId92">
        <w:r>
          <w:rPr>
            <w:rFonts w:ascii="Calibri" w:hAnsi="Calibri"/>
            <w:color w:val="444444"/>
            <w:u w:val="none"/>
            <w:sz w:val="18"/>
          </w:rPr>
          <w:t xml:space="preserve">Moore and Armstrong (2003)</w:t>
        </w:r>
      </w:hyperlink>
      <w:r>
        <w:rPr>
          <w:rFonts w:ascii="Calibri" w:hAnsi="Calibri"/>
          <w:color w:val="444444"/>
          <w:u w:val="none"/>
          <w:sz w:val="18"/>
        </w:rPr>
        <w:t xml:space="preserve">; </w:t>
      </w:r>
      <w:hyperlink r:id="rId93">
        <w:r>
          <w:rPr>
            <w:rFonts w:ascii="Calibri" w:hAnsi="Calibri"/>
            <w:color w:val="444444"/>
            <w:u w:val="none"/>
            <w:sz w:val="18"/>
          </w:rPr>
          <w:t xml:space="preserve">Sommer and Wurtz (2006)</w:t>
        </w:r>
      </w:hyperlink>
      <w:r>
        <w:rPr>
          <w:rFonts w:ascii="Calibri" w:hAnsi="Calibri"/>
          <w:color w:val="444444"/>
          <w:u w:val="none"/>
          <w:sz w:val="18"/>
        </w:rPr>
        <w:t xml:space="preserve">.</w:t>
      </w:r>
    </w:p>
  </w:footnote>
  <w:footnote w:id="49">
    <w:p>
      <w:pPr>
        <w:pStyle w:val="FootnoteText"/>
      </w:pPr>
      <w:r>
        <w:rPr>
          <w:rStyle w:val="FootnoteReference"/>
        </w:rPr>
        <w:footnoteRef/>
      </w:r>
      <w:r>
        <w:rPr>
          <w:rFonts w:ascii="Calibri" w:hAnsi="Calibri"/>
          <w:color w:val="444444"/>
          <w:u w:val="none"/>
          <w:sz w:val="18"/>
        </w:rPr>
        <w:t xml:space="preserve"> </w:t>
      </w:r>
      <w:hyperlink r:id="rId94">
        <w:r>
          <w:rPr>
            <w:rFonts w:ascii="Calibri" w:hAnsi="Calibri"/>
            <w:color w:val="444444"/>
            <w:u w:val="none"/>
            <w:sz w:val="18"/>
          </w:rPr>
          <w:t xml:space="preserve">Bolkan et al. (2017)</w:t>
        </w:r>
      </w:hyperlink>
      <w:r>
        <w:rPr>
          <w:rFonts w:ascii="Calibri" w:hAnsi="Calibri"/>
          <w:color w:val="444444"/>
          <w:u w:val="none"/>
          <w:sz w:val="18"/>
        </w:rPr>
        <w:t xml:space="preserve">; </w:t>
      </w:r>
      <w:hyperlink r:id="rId95">
        <w:r>
          <w:rPr>
            <w:rFonts w:ascii="Calibri" w:hAnsi="Calibri"/>
            <w:color w:val="444444"/>
            <w:u w:val="none"/>
            <w:sz w:val="18"/>
          </w:rPr>
          <w:t xml:space="preserve">Hosford et al. (2026)</w:t>
        </w:r>
      </w:hyperlink>
      <w:r>
        <w:rPr>
          <w:rFonts w:ascii="Calibri" w:hAnsi="Calibri"/>
          <w:color w:val="444444"/>
          <w:u w:val="none"/>
          <w:sz w:val="18"/>
        </w:rPr>
        <w:t xml:space="preserve">.</w:t>
      </w:r>
    </w:p>
  </w:footnote>
  <w:footnote w:id="50">
    <w:p>
      <w:pPr>
        <w:pStyle w:val="FootnoteText"/>
      </w:pPr>
      <w:r>
        <w:rPr>
          <w:rStyle w:val="FootnoteReference"/>
        </w:rPr>
        <w:footnoteRef/>
      </w:r>
      <w:r>
        <w:rPr>
          <w:rFonts w:ascii="Calibri" w:hAnsi="Calibri"/>
          <w:color w:val="444444"/>
          <w:u w:val="none"/>
          <w:sz w:val="18"/>
        </w:rPr>
        <w:t xml:space="preserve"> </w:t>
      </w:r>
      <w:hyperlink r:id="rId96">
        <w:r>
          <w:rPr>
            <w:rFonts w:ascii="Calibri" w:hAnsi="Calibri"/>
            <w:color w:val="444444"/>
            <w:u w:val="none"/>
            <w:sz w:val="18"/>
          </w:rPr>
          <w:t xml:space="preserve">Buneo et al. (2002)</w:t>
        </w:r>
      </w:hyperlink>
      <w:r>
        <w:rPr>
          <w:rFonts w:ascii="Calibri" w:hAnsi="Calibri"/>
          <w:color w:val="444444"/>
          <w:u w:val="none"/>
          <w:sz w:val="18"/>
        </w:rPr>
        <w:t xml:space="preserve">; </w:t>
      </w:r>
      <w:hyperlink r:id="rId97">
        <w:r>
          <w:rPr>
            <w:rFonts w:ascii="Calibri" w:hAnsi="Calibri"/>
            <w:color w:val="444444"/>
            <w:u w:val="none"/>
            <w:sz w:val="18"/>
          </w:rPr>
          <w:t xml:space="preserve">Cisek and Kalaska (2005)</w:t>
        </w:r>
      </w:hyperlink>
      <w:r>
        <w:rPr>
          <w:rFonts w:ascii="Calibri" w:hAnsi="Calibri"/>
          <w:color w:val="444444"/>
          <w:u w:val="none"/>
          <w:sz w:val="18"/>
        </w:rPr>
        <w:t xml:space="preserve">; </w:t>
      </w:r>
      <w:hyperlink r:id="rId98">
        <w:r>
          <w:rPr>
            <w:rFonts w:ascii="Calibri" w:hAnsi="Calibri"/>
            <w:color w:val="444444"/>
            <w:u w:val="none"/>
            <w:sz w:val="18"/>
          </w:rPr>
          <w:t xml:space="preserve">Desmurget and Turner (2008)</w:t>
        </w:r>
      </w:hyperlink>
      <w:r>
        <w:rPr>
          <w:rFonts w:ascii="Calibri" w:hAnsi="Calibri"/>
          <w:color w:val="444444"/>
          <w:u w:val="none"/>
          <w:sz w:val="18"/>
        </w:rPr>
        <w:t xml:space="preserve">; </w:t>
      </w:r>
      <w:hyperlink r:id="rId99">
        <w:r>
          <w:rPr>
            <w:rFonts w:ascii="Calibri" w:hAnsi="Calibri"/>
            <w:color w:val="444444"/>
            <w:u w:val="none"/>
            <w:sz w:val="18"/>
          </w:rPr>
          <w:t xml:space="preserve">Johansson and Westling (1984)</w:t>
        </w:r>
      </w:hyperlink>
      <w:r>
        <w:rPr>
          <w:rFonts w:ascii="Calibri" w:hAnsi="Calibri"/>
          <w:color w:val="444444"/>
          <w:u w:val="none"/>
          <w:sz w:val="18"/>
        </w:rPr>
        <w:t xml:space="preserve">.</w:t>
      </w:r>
    </w:p>
  </w:footnote>
  <w:footnote w:id="51">
    <w:p>
      <w:pPr>
        <w:pStyle w:val="FootnoteText"/>
      </w:pPr>
      <w:r>
        <w:rPr>
          <w:rStyle w:val="FootnoteReference"/>
        </w:rPr>
        <w:footnoteRef/>
      </w:r>
      <w:r>
        <w:rPr>
          <w:rFonts w:ascii="Calibri" w:hAnsi="Calibri"/>
          <w:color w:val="444444"/>
          <w:u w:val="none"/>
          <w:sz w:val="18"/>
        </w:rPr>
        <w:t xml:space="preserve"> </w:t>
      </w:r>
      <w:hyperlink r:id="rId100">
        <w:r>
          <w:rPr>
            <w:rFonts w:ascii="Calibri" w:hAnsi="Calibri"/>
            <w:color w:val="444444"/>
            <w:u w:val="none"/>
            <w:sz w:val="18"/>
          </w:rPr>
          <w:t xml:space="preserve">Pobric et al. (2007)</w:t>
        </w:r>
      </w:hyperlink>
      <w:r>
        <w:rPr>
          <w:rFonts w:ascii="Calibri" w:hAnsi="Calibri"/>
          <w:color w:val="444444"/>
          <w:u w:val="none"/>
          <w:sz w:val="18"/>
        </w:rPr>
        <w:t xml:space="preserve">; </w:t>
      </w:r>
      <w:hyperlink r:id="rId101">
        <w:r>
          <w:rPr>
            <w:rFonts w:ascii="Calibri" w:hAnsi="Calibri"/>
            <w:color w:val="444444"/>
            <w:u w:val="none"/>
            <w:sz w:val="18"/>
          </w:rPr>
          <w:t xml:space="preserve">Fogassi et al. (2001)</w:t>
        </w:r>
      </w:hyperlink>
      <w:r>
        <w:rPr>
          <w:rFonts w:ascii="Calibri" w:hAnsi="Calibri"/>
          <w:color w:val="444444"/>
          <w:u w:val="none"/>
          <w:sz w:val="18"/>
        </w:rPr>
        <w:t xml:space="preserve">; </w:t>
      </w:r>
      <w:hyperlink r:id="rId102">
        <w:r>
          <w:rPr>
            <w:rFonts w:ascii="Calibri" w:hAnsi="Calibri"/>
            <w:color w:val="444444"/>
            <w:u w:val="none"/>
            <w:sz w:val="18"/>
          </w:rPr>
          <w:t xml:space="preserve">Horner et al. (2015)</w:t>
        </w:r>
      </w:hyperlink>
      <w:r>
        <w:rPr>
          <w:rFonts w:ascii="Calibri" w:hAnsi="Calibri"/>
          <w:color w:val="444444"/>
          <w:u w:val="none"/>
          <w:sz w:val="18"/>
        </w:rPr>
        <w:t xml:space="preserve">.</w:t>
      </w:r>
    </w:p>
  </w:footnote>
  <w:footnote w:id="52">
    <w:p>
      <w:pPr>
        <w:pStyle w:val="FootnoteText"/>
      </w:pPr>
      <w:r>
        <w:rPr>
          <w:rStyle w:val="FootnoteReference"/>
        </w:rPr>
        <w:footnoteRef/>
      </w:r>
      <w:r>
        <w:rPr>
          <w:rFonts w:ascii="Calibri" w:hAnsi="Calibri"/>
          <w:color w:val="444444"/>
          <w:u w:val="none"/>
          <w:sz w:val="18"/>
        </w:rPr>
        <w:t xml:space="preserve"> </w:t>
      </w:r>
      <w:hyperlink r:id="rId103">
        <w:r>
          <w:rPr>
            <w:rFonts w:ascii="Calibri" w:hAnsi="Calibri"/>
            <w:color w:val="444444"/>
            <w:u w:val="none"/>
            <w:sz w:val="18"/>
          </w:rPr>
          <w:t xml:space="preserve">Qin et al. (2009)</w:t>
        </w:r>
      </w:hyperlink>
      <w:r>
        <w:rPr>
          <w:rFonts w:ascii="Calibri" w:hAnsi="Calibri"/>
          <w:color w:val="444444"/>
          <w:u w:val="none"/>
          <w:sz w:val="18"/>
        </w:rPr>
        <w:t xml:space="preserve">.</w:t>
      </w:r>
    </w:p>
  </w:footnote>
  <w:footnote w:id="53">
    <w:p>
      <w:pPr>
        <w:pStyle w:val="FootnoteText"/>
      </w:pPr>
      <w:r>
        <w:rPr>
          <w:rStyle w:val="FootnoteReference"/>
        </w:rPr>
        <w:footnoteRef/>
      </w:r>
      <w:r>
        <w:rPr>
          <w:rFonts w:ascii="Calibri" w:hAnsi="Calibri"/>
          <w:color w:val="444444"/>
          <w:u w:val="none"/>
          <w:sz w:val="18"/>
        </w:rPr>
        <w:t xml:space="preserve"> </w:t>
      </w:r>
      <w:hyperlink r:id="rId104">
        <w:r>
          <w:rPr>
            <w:rFonts w:ascii="Calibri" w:hAnsi="Calibri"/>
            <w:color w:val="444444"/>
            <w:u w:val="none"/>
            <w:sz w:val="18"/>
          </w:rPr>
          <w:t xml:space="preserve">Kar et al. (2019)</w:t>
        </w:r>
      </w:hyperlink>
      <w:r>
        <w:rPr>
          <w:rFonts w:ascii="Calibri" w:hAnsi="Calibri"/>
          <w:color w:val="444444"/>
          <w:u w:val="none"/>
          <w:sz w:val="18"/>
        </w:rPr>
        <w:t xml:space="preserve">; </w:t>
      </w:r>
      <w:hyperlink r:id="rId105">
        <w:r>
          <w:rPr>
            <w:rFonts w:ascii="Calibri" w:hAnsi="Calibri"/>
            <w:color w:val="444444"/>
            <w:u w:val="none"/>
            <w:sz w:val="18"/>
          </w:rPr>
          <w:t xml:space="preserve">Buneo et al. (2002)</w:t>
        </w:r>
      </w:hyperlink>
      <w:r>
        <w:rPr>
          <w:rFonts w:ascii="Calibri" w:hAnsi="Calibri"/>
          <w:color w:val="444444"/>
          <w:u w:val="none"/>
          <w:sz w:val="18"/>
        </w:rPr>
        <w:t xml:space="preserve">; </w:t>
      </w:r>
      <w:hyperlink r:id="rId106">
        <w:r>
          <w:rPr>
            <w:rFonts w:ascii="Calibri" w:hAnsi="Calibri"/>
            <w:color w:val="444444"/>
            <w:u w:val="none"/>
            <w:sz w:val="18"/>
          </w:rPr>
          <w:t xml:space="preserve">Fogassi et al. (2001)</w:t>
        </w:r>
      </w:hyperlink>
      <w:r>
        <w:rPr>
          <w:rFonts w:ascii="Calibri" w:hAnsi="Calibri"/>
          <w:color w:val="444444"/>
          <w:u w:val="none"/>
          <w:sz w:val="18"/>
        </w:rPr>
        <w:t xml:space="preserve">; </w:t>
      </w:r>
      <w:hyperlink r:id="rId107">
        <w:r>
          <w:rPr>
            <w:rFonts w:ascii="Calibri" w:hAnsi="Calibri"/>
            <w:color w:val="444444"/>
            <w:u w:val="none"/>
            <w:sz w:val="18"/>
          </w:rPr>
          <w:t xml:space="preserve">Desmurget and Turner (2008)</w:t>
        </w:r>
      </w:hyperlink>
      <w:r>
        <w:rPr>
          <w:rFonts w:ascii="Calibri" w:hAnsi="Calibri"/>
          <w:color w:val="444444"/>
          <w:u w:val="none"/>
          <w:sz w:val="18"/>
        </w:rPr>
        <w:t xml:space="preserve">.</w:t>
      </w:r>
    </w:p>
  </w:footnote>
  <w:footnote w:id="54">
    <w:p>
      <w:pPr>
        <w:pStyle w:val="FootnoteText"/>
      </w:pPr>
      <w:r>
        <w:rPr>
          <w:rStyle w:val="FootnoteReference"/>
        </w:rPr>
        <w:footnoteRef/>
      </w:r>
      <w:r>
        <w:rPr>
          <w:rFonts w:ascii="Calibri" w:hAnsi="Calibri"/>
          <w:color w:val="444444"/>
          <w:u w:val="none"/>
          <w:sz w:val="18"/>
        </w:rPr>
        <w:t xml:space="preserve"> </w:t>
      </w:r>
      <w:hyperlink r:id="rId108">
        <w:r>
          <w:rPr>
            <w:rFonts w:ascii="Calibri" w:hAnsi="Calibri"/>
            <w:color w:val="444444"/>
            <w:u w:val="none"/>
            <w:sz w:val="18"/>
          </w:rPr>
          <w:t xml:space="preserve">Pruszynski et al. (2011)</w:t>
        </w:r>
      </w:hyperlink>
      <w:r>
        <w:rPr>
          <w:rFonts w:ascii="Calibri" w:hAnsi="Calibri"/>
          <w:color w:val="444444"/>
          <w:u w:val="none"/>
          <w:sz w:val="18"/>
        </w:rPr>
        <w:t xml:space="preserve">; </w:t>
      </w:r>
      <w:hyperlink r:id="rId109">
        <w:r>
          <w:rPr>
            <w:rFonts w:ascii="Calibri" w:hAnsi="Calibri"/>
            <w:color w:val="444444"/>
            <w:u w:val="none"/>
            <w:sz w:val="18"/>
          </w:rPr>
          <w:t xml:space="preserve">Johansson and Westling (1984)</w:t>
        </w:r>
      </w:hyperlink>
      <w:r>
        <w:rPr>
          <w:rFonts w:ascii="Calibri" w:hAnsi="Calibri"/>
          <w:color w:val="444444"/>
          <w:u w:val="none"/>
          <w:sz w:val="18"/>
        </w:rPr>
        <w:t xml:space="preserve">; </w:t>
      </w:r>
      <w:hyperlink r:id="rId110">
        <w:r>
          <w:rPr>
            <w:rFonts w:ascii="Calibri" w:hAnsi="Calibri"/>
            <w:color w:val="444444"/>
            <w:u w:val="none"/>
            <w:sz w:val="18"/>
          </w:rPr>
          <w:t xml:space="preserve">Tseng et al. (2007)</w:t>
        </w:r>
      </w:hyperlink>
      <w:r>
        <w:rPr>
          <w:rFonts w:ascii="Calibri" w:hAnsi="Calibri"/>
          <w:color w:val="444444"/>
          <w:u w:val="none"/>
          <w:sz w:val="18"/>
        </w:rPr>
        <w:t xml:space="preserve">.</w:t>
      </w:r>
    </w:p>
  </w:footnote>
  <w:footnote w:id="55">
    <w:p>
      <w:pPr>
        <w:pStyle w:val="FootnoteText"/>
      </w:pPr>
      <w:r>
        <w:rPr>
          <w:rStyle w:val="FootnoteReference"/>
        </w:rPr>
        <w:footnoteRef/>
      </w:r>
      <w:r>
        <w:rPr>
          <w:rFonts w:ascii="Calibri" w:hAnsi="Calibri"/>
          <w:color w:val="444444"/>
          <w:u w:val="none"/>
          <w:sz w:val="18"/>
        </w:rPr>
        <w:t xml:space="preserve"> </w:t>
      </w:r>
      <w:hyperlink r:id="rId111">
        <w:r>
          <w:rPr>
            <w:rFonts w:ascii="Calibri" w:hAnsi="Calibri"/>
            <w:color w:val="444444"/>
            <w:u w:val="none"/>
            <w:sz w:val="18"/>
          </w:rPr>
          <w:t xml:space="preserve">Mesgarani and Chang (2012)</w:t>
        </w:r>
      </w:hyperlink>
      <w:r>
        <w:rPr>
          <w:rFonts w:ascii="Calibri" w:hAnsi="Calibri"/>
          <w:color w:val="444444"/>
          <w:u w:val="none"/>
          <w:sz w:val="18"/>
        </w:rPr>
        <w:t xml:space="preserve">; </w:t>
      </w:r>
      <w:hyperlink r:id="rId112">
        <w:r>
          <w:rPr>
            <w:rFonts w:ascii="Calibri" w:hAnsi="Calibri"/>
            <w:color w:val="444444"/>
            <w:u w:val="none"/>
            <w:sz w:val="18"/>
          </w:rPr>
          <w:t xml:space="preserve">Paulesu et al. (1993)</w:t>
        </w:r>
      </w:hyperlink>
      <w:r>
        <w:rPr>
          <w:rFonts w:ascii="Calibri" w:hAnsi="Calibri"/>
          <w:color w:val="444444"/>
          <w:u w:val="none"/>
          <w:sz w:val="18"/>
        </w:rPr>
        <w:t xml:space="preserve">; </w:t>
      </w:r>
      <w:hyperlink r:id="rId113">
        <w:r>
          <w:rPr>
            <w:rFonts w:ascii="Calibri" w:hAnsi="Calibri"/>
            <w:color w:val="444444"/>
            <w:u w:val="none"/>
            <w:sz w:val="18"/>
          </w:rPr>
          <w:t xml:space="preserve">Pobric et al. (2007)</w:t>
        </w:r>
      </w:hyperlink>
      <w:r>
        <w:rPr>
          <w:rFonts w:ascii="Calibri" w:hAnsi="Calibri"/>
          <w:color w:val="444444"/>
          <w:u w:val="none"/>
          <w:sz w:val="18"/>
        </w:rPr>
        <w:t xml:space="preserve">.</w:t>
      </w:r>
    </w:p>
  </w:footnote>
  <w:footnote w:id="56">
    <w:p>
      <w:pPr>
        <w:pStyle w:val="FootnoteText"/>
      </w:pPr>
      <w:r>
        <w:rPr>
          <w:rStyle w:val="FootnoteReference"/>
        </w:rPr>
        <w:footnoteRef/>
      </w:r>
      <w:r>
        <w:rPr>
          <w:rFonts w:ascii="Calibri" w:hAnsi="Calibri"/>
          <w:color w:val="444444"/>
          <w:u w:val="none"/>
          <w:sz w:val="18"/>
        </w:rPr>
        <w:t xml:space="preserve"> </w:t>
      </w:r>
      <w:hyperlink r:id="rId114">
        <w:r>
          <w:rPr>
            <w:rFonts w:ascii="Calibri" w:hAnsi="Calibri"/>
            <w:color w:val="444444"/>
            <w:u w:val="none"/>
            <w:sz w:val="18"/>
          </w:rPr>
          <w:t xml:space="preserve">Bichot et al. (2015)</w:t>
        </w:r>
      </w:hyperlink>
      <w:r>
        <w:rPr>
          <w:rFonts w:ascii="Calibri" w:hAnsi="Calibri"/>
          <w:color w:val="444444"/>
          <w:u w:val="none"/>
          <w:sz w:val="18"/>
        </w:rPr>
        <w:t xml:space="preserve">; </w:t>
      </w:r>
      <w:hyperlink r:id="rId115">
        <w:r>
          <w:rPr>
            <w:rFonts w:ascii="Calibri" w:hAnsi="Calibri"/>
            <w:color w:val="444444"/>
            <w:u w:val="none"/>
            <w:sz w:val="18"/>
          </w:rPr>
          <w:t xml:space="preserve">Buneo et al. (2002)</w:t>
        </w:r>
      </w:hyperlink>
      <w:r>
        <w:rPr>
          <w:rFonts w:ascii="Calibri" w:hAnsi="Calibri"/>
          <w:color w:val="444444"/>
          <w:u w:val="none"/>
          <w:sz w:val="18"/>
        </w:rPr>
        <w:t xml:space="preserve">; </w:t>
      </w:r>
      <w:hyperlink r:id="rId116">
        <w:r>
          <w:rPr>
            <w:rFonts w:ascii="Calibri" w:hAnsi="Calibri"/>
            <w:color w:val="444444"/>
            <w:u w:val="none"/>
            <w:sz w:val="18"/>
          </w:rPr>
          <w:t xml:space="preserve">Fetsch et al. (2009)</w:t>
        </w:r>
      </w:hyperlink>
      <w:r>
        <w:rPr>
          <w:rFonts w:ascii="Calibri" w:hAnsi="Calibri"/>
          <w:color w:val="444444"/>
          <w:u w:val="none"/>
          <w:sz w:val="18"/>
        </w:rPr>
        <w:t xml:space="preserve">; </w:t>
      </w:r>
      <w:hyperlink r:id="rId117">
        <w:r>
          <w:rPr>
            <w:rFonts w:ascii="Calibri" w:hAnsi="Calibri"/>
            <w:color w:val="444444"/>
            <w:u w:val="none"/>
            <w:sz w:val="18"/>
          </w:rPr>
          <w:t xml:space="preserve">Fogassi et al. (2001)</w:t>
        </w:r>
      </w:hyperlink>
      <w:r>
        <w:rPr>
          <w:rFonts w:ascii="Calibri" w:hAnsi="Calibri"/>
          <w:color w:val="444444"/>
          <w:u w:val="none"/>
          <w:sz w:val="18"/>
        </w:rPr>
        <w:t xml:space="preserve">.</w:t>
      </w:r>
    </w:p>
  </w:footnote>
  <w:footnote w:id="57">
    <w:p>
      <w:pPr>
        <w:pStyle w:val="FootnoteText"/>
      </w:pPr>
      <w:r>
        <w:rPr>
          <w:rStyle w:val="FootnoteReference"/>
        </w:rPr>
        <w:footnoteRef/>
      </w:r>
      <w:r>
        <w:rPr>
          <w:rFonts w:ascii="Calibri" w:hAnsi="Calibri"/>
          <w:color w:val="444444"/>
          <w:u w:val="none"/>
          <w:sz w:val="18"/>
        </w:rPr>
        <w:t xml:space="preserve"> </w:t>
      </w:r>
      <w:hyperlink r:id="rId118">
        <w:r>
          <w:rPr>
            <w:rFonts w:ascii="Calibri" w:hAnsi="Calibri"/>
            <w:color w:val="444444"/>
            <w:u w:val="none"/>
            <w:sz w:val="18"/>
          </w:rPr>
          <w:t xml:space="preserve">Saults and Cowan (2007)</w:t>
        </w:r>
      </w:hyperlink>
      <w:r>
        <w:rPr>
          <w:rFonts w:ascii="Calibri" w:hAnsi="Calibri"/>
          <w:color w:val="444444"/>
          <w:u w:val="none"/>
          <w:sz w:val="18"/>
        </w:rPr>
        <w:t xml:space="preserve">; </w:t>
      </w:r>
      <w:hyperlink r:id="rId119">
        <w:r>
          <w:rPr>
            <w:rFonts w:ascii="Calibri" w:hAnsi="Calibri"/>
            <w:color w:val="444444"/>
            <w:u w:val="none"/>
            <w:sz w:val="18"/>
          </w:rPr>
          <w:t xml:space="preserve">Paulesu et al. (1993)</w:t>
        </w:r>
      </w:hyperlink>
      <w:r>
        <w:rPr>
          <w:rFonts w:ascii="Calibri" w:hAnsi="Calibri"/>
          <w:color w:val="444444"/>
          <w:u w:val="none"/>
          <w:sz w:val="18"/>
        </w:rPr>
        <w:t xml:space="preserve">.</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20"/>
    </w:pPr>
    <w:rPr>
      <w:rFonts w:ascii="Calibri" w:hAnsi="Calibri"/>
      <w:color w:val="16161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Calibri" w:hAnsi="Calibri"/>
      <w:b/>
      <w:bCs/>
      <w:color w:val="161616"/>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61616"/>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6161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b/>
      <w:color w:val="16161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color w:val="16161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otnoteText">
    <w:name w:val="Footnote Text"/>
    <w:pPr>
      <w:spacing w:line="254" w:lineRule="auto" w:after="60"/>
    </w:pPr>
    <w:rPr>
      <w:rFonts w:ascii="Calibri" w:hAnsi="Calibri"/>
      <w:sz w:val="18"/>
    </w:rPr>
  </w:style>
  <w:style w:type="character" w:customStyle="1" w:styleId="FootnoteReference">
    <w:name w:val="Footnote Reference"/>
    <w:rPr>
      <w:rFonts w:ascii="Calibri" w:hAnsi="Calibri"/>
      <w:sz w:val="18"/>
      <w:vertAlign w:val="superscript"/>
    </w:rPr>
  </w:style>
  <w:style w:type="paragraph" w:customStyle="1" w:styleId="SourceEntry">
    <w:name w:val="Source Entry"/>
    <w:pPr>
      <w:spacing w:line="254" w:lineRule="auto" w:after="80"/>
    </w:pPr>
    <w:rPr>
      <w:rFonts w:ascii="Calibri" w:hAnsi="Calibri"/>
      <w:sz w:val="19"/>
    </w:rPr>
  </w:style>
  <w:style w:type="paragraph" w:customStyle="1" w:styleId="CodeBlock">
    <w:name w:val="Code Block"/>
    <w:pPr>
      <w:spacing w:line="240" w:lineRule="auto" w:after="60"/>
    </w:pPr>
    <w:rPr>
      <w:rFonts w:ascii="DejaVu Sans Mono" w:hAnsi="DejaVu Sans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1016/j.neuron.2017.06.041" TargetMode="External"/><Relationship Id="rId11" Type="http://schemas.openxmlformats.org/officeDocument/2006/relationships/hyperlink" Target="https://doi.org/10.1167/9.10.7" TargetMode="External"/><Relationship Id="rId12" Type="http://schemas.openxmlformats.org/officeDocument/2006/relationships/hyperlink" Target="https://pubmed.ncbi.nlm.nih.gov/26526392/" TargetMode="External"/><Relationship Id="rId13" Type="http://schemas.openxmlformats.org/officeDocument/2006/relationships/hyperlink" Target="https://doi.org/10.3758/BF03207391" TargetMode="External"/><Relationship Id="rId14" Type="http://schemas.openxmlformats.org/officeDocument/2006/relationships/hyperlink" Target="https://doi.org/10.1038/nn.4568" TargetMode="External"/><Relationship Id="rId15" Type="http://schemas.openxmlformats.org/officeDocument/2006/relationships/hyperlink" Target="https://www.nature.com/articles/416632a" TargetMode="External"/><Relationship Id="rId16" Type="http://schemas.openxmlformats.org/officeDocument/2006/relationships/hyperlink" Target="https://journals.physiology.org/doi/full/10.1152/jn.1998.80.6.2918" TargetMode="External"/><Relationship Id="rId17" Type="http://schemas.openxmlformats.org/officeDocument/2006/relationships/hyperlink" Target="https://doi.org/10.1016/j.neuron.2010.04.013" TargetMode="External"/><Relationship Id="rId18" Type="http://schemas.openxmlformats.org/officeDocument/2006/relationships/hyperlink" Target="https://doi.org/10.1016/j.neuron.2005.01.027" TargetMode="External"/><Relationship Id="rId19" Type="http://schemas.openxmlformats.org/officeDocument/2006/relationships/hyperlink" Target="https://doi.org/10.1038/nn1176" TargetMode="External"/><Relationship Id="rId20" Type="http://schemas.openxmlformats.org/officeDocument/2006/relationships/hyperlink" Target="https://journals.physiology.org/doi/full/10.1152/jn.01010.2007" TargetMode="External"/><Relationship Id="rId21" Type="http://schemas.openxmlformats.org/officeDocument/2006/relationships/hyperlink" Target="https://doi.org/10.1152/jn.00529.2019" TargetMode="External"/><Relationship Id="rId22" Type="http://schemas.openxmlformats.org/officeDocument/2006/relationships/hyperlink" Target="https://doi.org/10.1002/hipo.20933" TargetMode="External"/><Relationship Id="rId23" Type="http://schemas.openxmlformats.org/officeDocument/2006/relationships/hyperlink" Target="https://doi.org/10.1038/415429a" TargetMode="External"/><Relationship Id="rId24" Type="http://schemas.openxmlformats.org/officeDocument/2006/relationships/hyperlink" Target="https://doi.org/10.1523/JNEUROSCI.2574-09.2009" TargetMode="External"/><Relationship Id="rId25" Type="http://schemas.openxmlformats.org/officeDocument/2006/relationships/hyperlink" Target="https://elifesciences.org/articles/27689" TargetMode="External"/><Relationship Id="rId26" Type="http://schemas.openxmlformats.org/officeDocument/2006/relationships/hyperlink" Target="https://doi.org/10.1093/brain/124.3.571" TargetMode="External"/><Relationship Id="rId27" Type="http://schemas.openxmlformats.org/officeDocument/2006/relationships/hyperlink" Target="https://www.nature.com/articles/nature22324" TargetMode="External"/><Relationship Id="rId28" Type="http://schemas.openxmlformats.org/officeDocument/2006/relationships/hyperlink" Target="https://www.nature.com/articles/nature07832" TargetMode="External"/><Relationship Id="rId29" Type="http://schemas.openxmlformats.org/officeDocument/2006/relationships/hyperlink" Target="https://doi.org/10.1038/s41593-018-0136-y" TargetMode="External"/><Relationship Id="rId30" Type="http://schemas.openxmlformats.org/officeDocument/2006/relationships/hyperlink" Target="https://journals.physiology.org/doi/10.1152/jn.1985.53.1.292" TargetMode="External"/><Relationship Id="rId31" Type="http://schemas.openxmlformats.org/officeDocument/2006/relationships/hyperlink" Target="https://doi.org/10.1038/nature13028" TargetMode="External"/><Relationship Id="rId32" Type="http://schemas.openxmlformats.org/officeDocument/2006/relationships/hyperlink" Target="https://doi.org/10.1038/ncomms8462" TargetMode="External"/><Relationship Id="rId33" Type="http://schemas.openxmlformats.org/officeDocument/2006/relationships/hyperlink" Target="https://doi.org/10.1016/j.neuron.2026.04.045" TargetMode="External"/><Relationship Id="rId34" Type="http://schemas.openxmlformats.org/officeDocument/2006/relationships/hyperlink" Target="https://doi.org/10.1007/BF00237997" TargetMode="External"/><Relationship Id="rId35" Type="http://schemas.openxmlformats.org/officeDocument/2006/relationships/hyperlink" Target="https://www.nature.com/articles/s41593-019-0392-5" TargetMode="External"/><Relationship Id="rId36" Type="http://schemas.openxmlformats.org/officeDocument/2006/relationships/hyperlink" Target="https://doi.org/10.1038/nn1724" TargetMode="External"/><Relationship Id="rId37" Type="http://schemas.openxmlformats.org/officeDocument/2006/relationships/hyperlink" Target="https://doi.org/10.1126/science.aam6808" TargetMode="External"/><Relationship Id="rId38" Type="http://schemas.openxmlformats.org/officeDocument/2006/relationships/hyperlink" Target="https://doi.org/10.1038/nature22375" TargetMode="External"/><Relationship Id="rId39" Type="http://schemas.openxmlformats.org/officeDocument/2006/relationships/hyperlink" Target="https://doi.org/10.1038/36846" TargetMode="External"/><Relationship Id="rId40" Type="http://schemas.openxmlformats.org/officeDocument/2006/relationships/hyperlink" Target="https://doi.org/10.1002/cne.23458" TargetMode="External"/><Relationship Id="rId41" Type="http://schemas.openxmlformats.org/officeDocument/2006/relationships/hyperlink" Target="https://doi.org/10.1038/nature11020" TargetMode="External"/><Relationship Id="rId42" Type="http://schemas.openxmlformats.org/officeDocument/2006/relationships/hyperlink" Target="https://doi.org/10.1038/nature01341" TargetMode="External"/><Relationship Id="rId43" Type="http://schemas.openxmlformats.org/officeDocument/2006/relationships/hyperlink" Target="https://pubmed.ncbi.nlm.nih.gov/12040087/" TargetMode="External"/><Relationship Id="rId44" Type="http://schemas.openxmlformats.org/officeDocument/2006/relationships/hyperlink" Target="https://pubmed.ncbi.nlm.nih.gov/17151282/" TargetMode="External"/><Relationship Id="rId45" Type="http://schemas.openxmlformats.org/officeDocument/2006/relationships/hyperlink" Target="https://doi.org/10.1016/j.neuron.2013.11.017" TargetMode="External"/><Relationship Id="rId46" Type="http://schemas.openxmlformats.org/officeDocument/2006/relationships/hyperlink" Target="https://doi.org/10.1038/nature04490" TargetMode="External"/><Relationship Id="rId47" Type="http://schemas.openxmlformats.org/officeDocument/2006/relationships/hyperlink" Target="https://doi.org/10.1038/362342a0" TargetMode="External"/><Relationship Id="rId48" Type="http://schemas.openxmlformats.org/officeDocument/2006/relationships/hyperlink" Target="https://doi.org/10.1038/nn.3552" TargetMode="External"/><Relationship Id="rId49" Type="http://schemas.openxmlformats.org/officeDocument/2006/relationships/hyperlink" Target="https://doi.org/10.1073/pnas.0707383104" TargetMode="External"/><Relationship Id="rId50" Type="http://schemas.openxmlformats.org/officeDocument/2006/relationships/hyperlink" Target="https://doi.org/10.1126/science.3603028" TargetMode="External"/><Relationship Id="rId51" Type="http://schemas.openxmlformats.org/officeDocument/2006/relationships/hyperlink" Target="https://doi.org/10.1038/nature10436" TargetMode="External"/><Relationship Id="rId52" Type="http://schemas.openxmlformats.org/officeDocument/2006/relationships/hyperlink" Target="https://doi.org/10.1016/j.biopsych.2009.03.006" TargetMode="External"/><Relationship Id="rId53" Type="http://schemas.openxmlformats.org/officeDocument/2006/relationships/hyperlink" Target="https://doi.org/10.1016/j.neuron.2020.01.005" TargetMode="External"/><Relationship Id="rId54" Type="http://schemas.openxmlformats.org/officeDocument/2006/relationships/hyperlink" Target="https://doi.org/10.1038/16056" TargetMode="External"/><Relationship Id="rId55" Type="http://schemas.openxmlformats.org/officeDocument/2006/relationships/hyperlink" Target="https://doi.org/10.1038/20939" TargetMode="External"/><Relationship Id="rId56" Type="http://schemas.openxmlformats.org/officeDocument/2006/relationships/hyperlink" Target="https://doi.org/10.1126/science.aah7011" TargetMode="External"/><Relationship Id="rId57" Type="http://schemas.openxmlformats.org/officeDocument/2006/relationships/hyperlink" Target="https://doi.org/10.1523/JNEUROSCI.3988-03.2004" TargetMode="External"/><Relationship Id="rId58" Type="http://schemas.openxmlformats.org/officeDocument/2006/relationships/hyperlink" Target="https://www.nature.com/articles/nn1786" TargetMode="External"/><Relationship Id="rId59" Type="http://schemas.openxmlformats.org/officeDocument/2006/relationships/hyperlink" Target="https://pubmed.ncbi.nlm.nih.gov/17999578/" TargetMode="External"/><Relationship Id="rId60" Type="http://schemas.openxmlformats.org/officeDocument/2006/relationships/hyperlink" Target="https://doi.org/10.1038/nature22073" TargetMode="External"/><Relationship Id="rId61" Type="http://schemas.openxmlformats.org/officeDocument/2006/relationships/hyperlink" Target="https://doi.org/10.1016/j.neuron.2016.08.019" TargetMode="External"/><Relationship Id="rId62" Type="http://schemas.openxmlformats.org/officeDocument/2006/relationships/hyperlink" Target="https://doi.org/10.1073/pnas.1119527109" TargetMode="External"/><Relationship Id="rId63" Type="http://schemas.openxmlformats.org/officeDocument/2006/relationships/hyperlink" Target="https://doi.org/10.1038/nature05279" TargetMode="External"/><Relationship Id="rId64" Type="http://schemas.openxmlformats.org/officeDocument/2006/relationships/hyperlink" Target="https://doi.org/10.1037/h0093759" TargetMode="External"/><Relationship Id="rId65" Type="http://schemas.openxmlformats.org/officeDocument/2006/relationships/hyperlink" Target="https://doi.org/10.1016/j.neuroimage.2010.06.016" TargetMode="External"/><Relationship Id="rId66" Type="http://schemas.openxmlformats.org/officeDocument/2006/relationships/hyperlink" Target="https://doi.org/10.1523/JNEUROSCI.4978-10.2011" TargetMode="External"/><Relationship Id="rId67" Type="http://schemas.openxmlformats.org/officeDocument/2006/relationships/hyperlink" Target="https://doi.org/10.1038/nn.3413" TargetMode="External"/><Relationship Id="rId68" Type="http://schemas.openxmlformats.org/officeDocument/2006/relationships/hyperlink" Target="https://doi.org/10.1016/0001-6918(72)90021-2" TargetMode="External"/><Relationship Id="rId69" Type="http://schemas.openxmlformats.org/officeDocument/2006/relationships/hyperlink" Target="https://doi.org/10.1152/jn.00266.2007" TargetMode="External"/><Relationship Id="rId70" Type="http://schemas.openxmlformats.org/officeDocument/2006/relationships/hyperlink" Target="https://doi.org/10.1016/j.cell.2007.03.015" TargetMode="External"/><Relationship Id="rId71" Type="http://schemas.openxmlformats.org/officeDocument/2006/relationships/footnotes" Target="footnotes.xml"/></Relationships>
</file>

<file path=word/_rels/footnotes.xml.rels><?xml version='1.0' encoding='UTF-8' standalone='yes'?>
<Relationships xmlns="http://schemas.openxmlformats.org/package/2006/relationships"><Relationship Id="rId1" Type="http://schemas.openxmlformats.org/officeDocument/2006/relationships/hyperlink" Target="https://doi.org/10.1002/cne.23458" TargetMode="External"/><Relationship Id="rId2" Type="http://schemas.openxmlformats.org/officeDocument/2006/relationships/hyperlink" Target="https://www.nature.com/articles/416632a" TargetMode="External"/><Relationship Id="rId3" Type="http://schemas.openxmlformats.org/officeDocument/2006/relationships/hyperlink" Target="https://www.nature.com/articles/nature22324" TargetMode="External"/><Relationship Id="rId4" Type="http://schemas.openxmlformats.org/officeDocument/2006/relationships/hyperlink" Target="https://doi.org/10.1038/nature01341" TargetMode="External"/><Relationship Id="rId5" Type="http://schemas.openxmlformats.org/officeDocument/2006/relationships/hyperlink" Target="https://doi.org/10.1002/cne.23458" TargetMode="External"/><Relationship Id="rId6" Type="http://schemas.openxmlformats.org/officeDocument/2006/relationships/hyperlink" Target="https://doi.org/10.1073/pnas.1119527109" TargetMode="External"/><Relationship Id="rId7" Type="http://schemas.openxmlformats.org/officeDocument/2006/relationships/hyperlink" Target="https://pubmed.ncbi.nlm.nih.gov/17151282/" TargetMode="External"/><Relationship Id="rId8" Type="http://schemas.openxmlformats.org/officeDocument/2006/relationships/hyperlink" Target="https://www.nature.com/articles/nn1786" TargetMode="External"/><Relationship Id="rId9" Type="http://schemas.openxmlformats.org/officeDocument/2006/relationships/hyperlink" Target="https://www.nature.com/articles/s41593-019-0392-5" TargetMode="External"/><Relationship Id="rId10" Type="http://schemas.openxmlformats.org/officeDocument/2006/relationships/hyperlink" Target="https://www.nature.com/articles/416632a" TargetMode="External"/><Relationship Id="rId11" Type="http://schemas.openxmlformats.org/officeDocument/2006/relationships/hyperlink" Target="https://journals.physiology.org/doi/full/10.1152/jn.1998.80.6.2918" TargetMode="External"/><Relationship Id="rId12" Type="http://schemas.openxmlformats.org/officeDocument/2006/relationships/hyperlink" Target="https://pubmed.ncbi.nlm.nih.gov/26526392/" TargetMode="External"/><Relationship Id="rId13" Type="http://schemas.openxmlformats.org/officeDocument/2006/relationships/hyperlink" Target="https://doi.org/10.1038/nature01341" TargetMode="External"/><Relationship Id="rId14" Type="http://schemas.openxmlformats.org/officeDocument/2006/relationships/hyperlink" Target="https://doi.org/10.1038/16056" TargetMode="External"/><Relationship Id="rId15" Type="http://schemas.openxmlformats.org/officeDocument/2006/relationships/hyperlink" Target="https://doi.org/10.1038/nature11020" TargetMode="External"/><Relationship Id="rId16" Type="http://schemas.openxmlformats.org/officeDocument/2006/relationships/hyperlink" Target="https://doi.org/10.1126/science.3603028" TargetMode="External"/><Relationship Id="rId17" Type="http://schemas.openxmlformats.org/officeDocument/2006/relationships/hyperlink" Target="https://doi.org/10.1007/BF00237997" TargetMode="External"/><Relationship Id="rId18" Type="http://schemas.openxmlformats.org/officeDocument/2006/relationships/hyperlink" Target="https://doi.org/10.1523/JNEUROSCI.3988-03.2004" TargetMode="External"/><Relationship Id="rId19" Type="http://schemas.openxmlformats.org/officeDocument/2006/relationships/hyperlink" Target="https://doi.org/10.1038/415429a" TargetMode="External"/><Relationship Id="rId20" Type="http://schemas.openxmlformats.org/officeDocument/2006/relationships/hyperlink" Target="https://doi.org/10.1523/JNEUROSCI.2574-09.2009" TargetMode="External"/><Relationship Id="rId21" Type="http://schemas.openxmlformats.org/officeDocument/2006/relationships/hyperlink" Target="https://doi.org/10.1038/nature05279" TargetMode="External"/><Relationship Id="rId22" Type="http://schemas.openxmlformats.org/officeDocument/2006/relationships/hyperlink" Target="https://doi.org/10.1037/h0093759" TargetMode="External"/><Relationship Id="rId23" Type="http://schemas.openxmlformats.org/officeDocument/2006/relationships/hyperlink" Target="https://doi.org/10.1016/0001-6918(72)90021-2" TargetMode="External"/><Relationship Id="rId24" Type="http://schemas.openxmlformats.org/officeDocument/2006/relationships/hyperlink" Target="https://doi.org/10.3758/BF03207391" TargetMode="External"/><Relationship Id="rId25" Type="http://schemas.openxmlformats.org/officeDocument/2006/relationships/hyperlink" Target="https://doi.org/10.1038/36846" TargetMode="External"/><Relationship Id="rId26" Type="http://schemas.openxmlformats.org/officeDocument/2006/relationships/hyperlink" Target="https://doi.org/10.1167/9.10.7" TargetMode="External"/><Relationship Id="rId27" Type="http://schemas.openxmlformats.org/officeDocument/2006/relationships/hyperlink" Target="https://doi.org/10.1038/20939" TargetMode="External"/><Relationship Id="rId28" Type="http://schemas.openxmlformats.org/officeDocument/2006/relationships/hyperlink" Target="https://www.nature.com/articles/nature07832" TargetMode="External"/><Relationship Id="rId29" Type="http://schemas.openxmlformats.org/officeDocument/2006/relationships/hyperlink" Target="https://doi.org/10.1038/362342a0" TargetMode="External"/><Relationship Id="rId30" Type="http://schemas.openxmlformats.org/officeDocument/2006/relationships/hyperlink" Target="https://doi.org/10.1126/science.aah7011" TargetMode="External"/><Relationship Id="rId31" Type="http://schemas.openxmlformats.org/officeDocument/2006/relationships/hyperlink" Target="https://pubmed.ncbi.nlm.nih.gov/17999578/" TargetMode="External"/><Relationship Id="rId32" Type="http://schemas.openxmlformats.org/officeDocument/2006/relationships/hyperlink" Target="https://www.nature.com/articles/nature22324" TargetMode="External"/><Relationship Id="rId33" Type="http://schemas.openxmlformats.org/officeDocument/2006/relationships/hyperlink" Target="https://doi.org/10.1038/nn.4568" TargetMode="External"/><Relationship Id="rId34" Type="http://schemas.openxmlformats.org/officeDocument/2006/relationships/hyperlink" Target="https://doi.org/10.1038/nature22073" TargetMode="External"/><Relationship Id="rId35" Type="http://schemas.openxmlformats.org/officeDocument/2006/relationships/hyperlink" Target="https://doi.org/10.1016/j.neuron.2026.04.045" TargetMode="External"/><Relationship Id="rId36" Type="http://schemas.openxmlformats.org/officeDocument/2006/relationships/hyperlink" Target="https://doi.org/10.1523/JNEUROSCI.4978-10.2011" TargetMode="External"/><Relationship Id="rId37" Type="http://schemas.openxmlformats.org/officeDocument/2006/relationships/hyperlink" Target="https://pubmed.ncbi.nlm.nih.gov/12040087/" TargetMode="External"/><Relationship Id="rId38" Type="http://schemas.openxmlformats.org/officeDocument/2006/relationships/hyperlink" Target="https://doi.org/10.1016/j.neuron.2013.11.017" TargetMode="External"/><Relationship Id="rId39" Type="http://schemas.openxmlformats.org/officeDocument/2006/relationships/hyperlink" Target="https://doi.org/10.1016/j.neuron.2010.04.013" TargetMode="External"/><Relationship Id="rId40" Type="http://schemas.openxmlformats.org/officeDocument/2006/relationships/hyperlink" Target="https://doi.org/10.1016/j.neuron.2013.11.017" TargetMode="External"/><Relationship Id="rId41" Type="http://schemas.openxmlformats.org/officeDocument/2006/relationships/hyperlink" Target="https://pubmed.ncbi.nlm.nih.gov/12040087/" TargetMode="External"/><Relationship Id="rId42" Type="http://schemas.openxmlformats.org/officeDocument/2006/relationships/hyperlink" Target="https://doi.org/10.1002/hipo.20933" TargetMode="External"/><Relationship Id="rId43" Type="http://schemas.openxmlformats.org/officeDocument/2006/relationships/hyperlink" Target="https://doi.org/10.1016/j.neuron.2010.04.013" TargetMode="External"/><Relationship Id="rId44" Type="http://schemas.openxmlformats.org/officeDocument/2006/relationships/hyperlink" Target="https://doi.org/10.1038/nature13028" TargetMode="External"/><Relationship Id="rId45" Type="http://schemas.openxmlformats.org/officeDocument/2006/relationships/hyperlink" Target="https://doi.org/10.1038/ncomms8462" TargetMode="External"/><Relationship Id="rId46" Type="http://schemas.openxmlformats.org/officeDocument/2006/relationships/hyperlink" Target="https://doi.org/10.1523/JNEUROSCI.4978-10.2011" TargetMode="External"/><Relationship Id="rId47" Type="http://schemas.openxmlformats.org/officeDocument/2006/relationships/hyperlink" Target="https://pubmed.ncbi.nlm.nih.gov/12040087/" TargetMode="External"/><Relationship Id="rId48" Type="http://schemas.openxmlformats.org/officeDocument/2006/relationships/hyperlink" Target="https://doi.org/10.1038/ncomms8462" TargetMode="External"/><Relationship Id="rId49" Type="http://schemas.openxmlformats.org/officeDocument/2006/relationships/hyperlink" Target="https://doi.org/10.1126/science.aam6808" TargetMode="External"/><Relationship Id="rId50" Type="http://schemas.openxmlformats.org/officeDocument/2006/relationships/hyperlink" Target="https://doi.org/10.1073/pnas.0707383104" TargetMode="External"/><Relationship Id="rId51" Type="http://schemas.openxmlformats.org/officeDocument/2006/relationships/hyperlink" Target="https://doi.org/10.1016/j.neuron.2017.06.041" TargetMode="External"/><Relationship Id="rId52" Type="http://schemas.openxmlformats.org/officeDocument/2006/relationships/hyperlink" Target="https://doi.org/10.1152/jn.00529.2019" TargetMode="External"/><Relationship Id="rId53" Type="http://schemas.openxmlformats.org/officeDocument/2006/relationships/hyperlink" Target="https://doi.org/10.1016/j.neuroimage.2010.06.016" TargetMode="External"/><Relationship Id="rId54" Type="http://schemas.openxmlformats.org/officeDocument/2006/relationships/hyperlink" Target="https://pubmed.ncbi.nlm.nih.gov/26526392/" TargetMode="External"/><Relationship Id="rId55" Type="http://schemas.openxmlformats.org/officeDocument/2006/relationships/hyperlink" Target="https://doi.org/10.1038/nature01341" TargetMode="External"/><Relationship Id="rId56" Type="http://schemas.openxmlformats.org/officeDocument/2006/relationships/hyperlink" Target="https://doi.org/10.1038/nn.4568" TargetMode="External"/><Relationship Id="rId57" Type="http://schemas.openxmlformats.org/officeDocument/2006/relationships/hyperlink" Target="https://doi.org/10.1038/nn1176" TargetMode="External"/><Relationship Id="rId58" Type="http://schemas.openxmlformats.org/officeDocument/2006/relationships/hyperlink" Target="https://doi.org/10.1038/nature22375" TargetMode="External"/><Relationship Id="rId59" Type="http://schemas.openxmlformats.org/officeDocument/2006/relationships/hyperlink" Target="https://doi.org/10.1038/nature04490" TargetMode="External"/><Relationship Id="rId60" Type="http://schemas.openxmlformats.org/officeDocument/2006/relationships/hyperlink" Target="https://doi.org/10.1016/j.neuron.2016.08.019" TargetMode="External"/><Relationship Id="rId61" Type="http://schemas.openxmlformats.org/officeDocument/2006/relationships/hyperlink" Target="https://doi.org/10.1038/nn1724" TargetMode="External"/><Relationship Id="rId62" Type="http://schemas.openxmlformats.org/officeDocument/2006/relationships/hyperlink" Target="https://doi.org/10.1038/nn.3552" TargetMode="External"/><Relationship Id="rId63" Type="http://schemas.openxmlformats.org/officeDocument/2006/relationships/hyperlink" Target="https://doi.org/10.1016/j.cell.2007.03.015" TargetMode="External"/><Relationship Id="rId64" Type="http://schemas.openxmlformats.org/officeDocument/2006/relationships/hyperlink" Target="https://doi.org/10.1016/j.biopsych.2009.03.006" TargetMode="External"/><Relationship Id="rId65" Type="http://schemas.openxmlformats.org/officeDocument/2006/relationships/hyperlink" Target="https://doi.org/10.1016/j.neuron.2020.01.005" TargetMode="External"/><Relationship Id="rId66" Type="http://schemas.openxmlformats.org/officeDocument/2006/relationships/hyperlink" Target="https://doi.org/10.1016/j.neuron.2005.01.027" TargetMode="External"/><Relationship Id="rId67" Type="http://schemas.openxmlformats.org/officeDocument/2006/relationships/hyperlink" Target="https://www.nature.com/articles/416632a" TargetMode="External"/><Relationship Id="rId68" Type="http://schemas.openxmlformats.org/officeDocument/2006/relationships/hyperlink" Target="https://doi.org/10.1093/brain/124.3.571" TargetMode="External"/><Relationship Id="rId69" Type="http://schemas.openxmlformats.org/officeDocument/2006/relationships/hyperlink" Target="https://journals.physiology.org/doi/10.1152/jn.1985.53.1.292" TargetMode="External"/><Relationship Id="rId70" Type="http://schemas.openxmlformats.org/officeDocument/2006/relationships/hyperlink" Target="https://journals.physiology.org/doi/full/10.1152/jn.01010.2007" TargetMode="External"/><Relationship Id="rId71" Type="http://schemas.openxmlformats.org/officeDocument/2006/relationships/hyperlink" Target="https://elifesciences.org/articles/27689" TargetMode="External"/><Relationship Id="rId72" Type="http://schemas.openxmlformats.org/officeDocument/2006/relationships/hyperlink" Target="https://doi.org/10.1038/nature10436" TargetMode="External"/><Relationship Id="rId73" Type="http://schemas.openxmlformats.org/officeDocument/2006/relationships/hyperlink" Target="https://doi.org/10.1007/BF00237997" TargetMode="External"/><Relationship Id="rId74" Type="http://schemas.openxmlformats.org/officeDocument/2006/relationships/hyperlink" Target="https://doi.org/10.1038/s41593-018-0136-y" TargetMode="External"/><Relationship Id="rId75" Type="http://schemas.openxmlformats.org/officeDocument/2006/relationships/hyperlink" Target="https://doi.org/10.1152/jn.00266.2007" TargetMode="External"/><Relationship Id="rId76" Type="http://schemas.openxmlformats.org/officeDocument/2006/relationships/hyperlink" Target="https://pubmed.ncbi.nlm.nih.gov/12040087/" TargetMode="External"/><Relationship Id="rId77" Type="http://schemas.openxmlformats.org/officeDocument/2006/relationships/hyperlink" Target="https://doi.org/10.1126/science.aam6808" TargetMode="External"/><Relationship Id="rId78" Type="http://schemas.openxmlformats.org/officeDocument/2006/relationships/hyperlink" Target="https://doi.org/10.1152/jn.00266.2007" TargetMode="External"/><Relationship Id="rId79" Type="http://schemas.openxmlformats.org/officeDocument/2006/relationships/hyperlink" Target="https://doi.org/10.1038/nn.3413" TargetMode="External"/><Relationship Id="rId80" Type="http://schemas.openxmlformats.org/officeDocument/2006/relationships/hyperlink" Target="https://www.nature.com/articles/416632a" TargetMode="External"/><Relationship Id="rId81" Type="http://schemas.openxmlformats.org/officeDocument/2006/relationships/hyperlink" Target="https://doi.org/10.1038/415429a" TargetMode="External"/><Relationship Id="rId82" Type="http://schemas.openxmlformats.org/officeDocument/2006/relationships/hyperlink" Target="https://doi.org/10.1073/pnas.1119527109" TargetMode="External"/><Relationship Id="rId83" Type="http://schemas.openxmlformats.org/officeDocument/2006/relationships/hyperlink" Target="https://doi.org/10.1126/science.aah7011" TargetMode="External"/><Relationship Id="rId84" Type="http://schemas.openxmlformats.org/officeDocument/2006/relationships/hyperlink" Target="https://doi.org/10.1016/j.neuron.2017.06.041" TargetMode="External"/><Relationship Id="rId85" Type="http://schemas.openxmlformats.org/officeDocument/2006/relationships/hyperlink" Target="https://doi.org/10.1038/ncomms8462" TargetMode="External"/><Relationship Id="rId86" Type="http://schemas.openxmlformats.org/officeDocument/2006/relationships/hyperlink" Target="https://doi.org/10.1073/pnas.0707383104" TargetMode="External"/><Relationship Id="rId87" Type="http://schemas.openxmlformats.org/officeDocument/2006/relationships/hyperlink" Target="https://doi.org/10.1038/ncomms8462" TargetMode="External"/><Relationship Id="rId88" Type="http://schemas.openxmlformats.org/officeDocument/2006/relationships/hyperlink" Target="https://doi.org/10.1016/j.neuron.2017.06.041" TargetMode="External"/><Relationship Id="rId89" Type="http://schemas.openxmlformats.org/officeDocument/2006/relationships/hyperlink" Target="https://doi.org/10.1038/415429a" TargetMode="External"/><Relationship Id="rId90" Type="http://schemas.openxmlformats.org/officeDocument/2006/relationships/hyperlink" Target="https://doi.org/10.1523/JNEUROSCI.2574-09.2009" TargetMode="External"/><Relationship Id="rId91" Type="http://schemas.openxmlformats.org/officeDocument/2006/relationships/hyperlink" Target="https://journals.physiology.org/doi/full/10.1152/jn.1998.80.6.2918" TargetMode="External"/><Relationship Id="rId92" Type="http://schemas.openxmlformats.org/officeDocument/2006/relationships/hyperlink" Target="https://doi.org/10.1038/nature01341" TargetMode="External"/><Relationship Id="rId93" Type="http://schemas.openxmlformats.org/officeDocument/2006/relationships/hyperlink" Target="https://doi.org/10.1038/nature05279" TargetMode="External"/><Relationship Id="rId94" Type="http://schemas.openxmlformats.org/officeDocument/2006/relationships/hyperlink" Target="https://doi.org/10.1038/nn.4568" TargetMode="External"/><Relationship Id="rId95" Type="http://schemas.openxmlformats.org/officeDocument/2006/relationships/hyperlink" Target="https://doi.org/10.1016/j.neuron.2026.04.045" TargetMode="External"/><Relationship Id="rId96" Type="http://schemas.openxmlformats.org/officeDocument/2006/relationships/hyperlink" Target="https://www.nature.com/articles/416632a" TargetMode="External"/><Relationship Id="rId97" Type="http://schemas.openxmlformats.org/officeDocument/2006/relationships/hyperlink" Target="https://doi.org/10.1016/j.neuron.2005.01.027" TargetMode="External"/><Relationship Id="rId98" Type="http://schemas.openxmlformats.org/officeDocument/2006/relationships/hyperlink" Target="https://journals.physiology.org/doi/full/10.1152/jn.01010.2007" TargetMode="External"/><Relationship Id="rId99" Type="http://schemas.openxmlformats.org/officeDocument/2006/relationships/hyperlink" Target="https://doi.org/10.1007/BF00237997" TargetMode="External"/><Relationship Id="rId100" Type="http://schemas.openxmlformats.org/officeDocument/2006/relationships/hyperlink" Target="https://doi.org/10.1073/pnas.0707383104" TargetMode="External"/><Relationship Id="rId101" Type="http://schemas.openxmlformats.org/officeDocument/2006/relationships/hyperlink" Target="https://doi.org/10.1093/brain/124.3.571" TargetMode="External"/><Relationship Id="rId102" Type="http://schemas.openxmlformats.org/officeDocument/2006/relationships/hyperlink" Target="https://doi.org/10.1038/ncomms8462" TargetMode="External"/><Relationship Id="rId103" Type="http://schemas.openxmlformats.org/officeDocument/2006/relationships/hyperlink" Target="https://doi.org/10.1016/j.biopsych.2009.03.006" TargetMode="External"/><Relationship Id="rId104" Type="http://schemas.openxmlformats.org/officeDocument/2006/relationships/hyperlink" Target="https://www.nature.com/articles/s41593-019-0392-5" TargetMode="External"/><Relationship Id="rId105" Type="http://schemas.openxmlformats.org/officeDocument/2006/relationships/hyperlink" Target="https://www.nature.com/articles/416632a" TargetMode="External"/><Relationship Id="rId106" Type="http://schemas.openxmlformats.org/officeDocument/2006/relationships/hyperlink" Target="https://doi.org/10.1093/brain/124.3.571" TargetMode="External"/><Relationship Id="rId107" Type="http://schemas.openxmlformats.org/officeDocument/2006/relationships/hyperlink" Target="https://journals.physiology.org/doi/full/10.1152/jn.01010.2007" TargetMode="External"/><Relationship Id="rId108" Type="http://schemas.openxmlformats.org/officeDocument/2006/relationships/hyperlink" Target="https://doi.org/10.1038/nature10436" TargetMode="External"/><Relationship Id="rId109" Type="http://schemas.openxmlformats.org/officeDocument/2006/relationships/hyperlink" Target="https://doi.org/10.1007/BF00237997" TargetMode="External"/><Relationship Id="rId110" Type="http://schemas.openxmlformats.org/officeDocument/2006/relationships/hyperlink" Target="https://doi.org/10.1152/jn.00266.2007" TargetMode="External"/><Relationship Id="rId111" Type="http://schemas.openxmlformats.org/officeDocument/2006/relationships/hyperlink" Target="https://doi.org/10.1038/nature11020" TargetMode="External"/><Relationship Id="rId112" Type="http://schemas.openxmlformats.org/officeDocument/2006/relationships/hyperlink" Target="https://doi.org/10.1038/362342a0" TargetMode="External"/><Relationship Id="rId113" Type="http://schemas.openxmlformats.org/officeDocument/2006/relationships/hyperlink" Target="https://doi.org/10.1073/pnas.0707383104" TargetMode="External"/><Relationship Id="rId114" Type="http://schemas.openxmlformats.org/officeDocument/2006/relationships/hyperlink" Target="https://pubmed.ncbi.nlm.nih.gov/26526392/" TargetMode="External"/><Relationship Id="rId115" Type="http://schemas.openxmlformats.org/officeDocument/2006/relationships/hyperlink" Target="https://www.nature.com/articles/416632a" TargetMode="External"/><Relationship Id="rId116" Type="http://schemas.openxmlformats.org/officeDocument/2006/relationships/hyperlink" Target="https://doi.org/10.1523/JNEUROSCI.2574-09.2009" TargetMode="External"/><Relationship Id="rId117" Type="http://schemas.openxmlformats.org/officeDocument/2006/relationships/hyperlink" Target="https://doi.org/10.1093/brain/124.3.571" TargetMode="External"/><Relationship Id="rId118" Type="http://schemas.openxmlformats.org/officeDocument/2006/relationships/hyperlink" Target="https://pubmed.ncbi.nlm.nih.gov/17999578/" TargetMode="External"/><Relationship Id="rId119" Type="http://schemas.openxmlformats.org/officeDocument/2006/relationships/hyperlink" Target="https://doi.org/10.1038/362342a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Computational Circuit Account of Perception and Action</dc:title>
  <dc:subject>Functional architecture, anatomical pathways, retained state, and complete task traces</dc:subject>
  <dc:creator/>
  <cp:keywords>computational neuroscience, perception, memory, thalamus, basal ganglia, embodied systems</cp:keywords>
  <dc:description>generated by python-docx</dc:description>
  <cp:lastModifiedBy/>
  <cp:revision>1</cp:revision>
  <dcterms:created xsi:type="dcterms:W3CDTF">2013-12-23T23:15:00Z</dcterms:created>
  <dcterms:modified xsi:type="dcterms:W3CDTF">2013-12-23T23:15:00Z</dcterms:modified>
  <cp:category/>
</cp:coreProperties>
</file>