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Based on the provided data, we can observe the distribution of major sources of information in manufacturing companies across different regions. The bar graph shows the following data and from them, we infer the following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the UK, orientation programs (40%), small group meetings (70%), and top executives (55%) are the primary sources of information. This strongly emphasizes face-to-face interactions and personal connections in decision-making processes. In contrast, mass media (10%) and grapevine (10%) play less significant roles in this region.</w:t>
      </w:r>
    </w:p>
    <w:p w:rsidR="00000000" w:rsidDel="00000000" w:rsidP="00000000" w:rsidRDefault="00000000" w:rsidRPr="00000000" w14:paraId="00000004">
      <w:pPr>
        <w:rPr/>
      </w:pPr>
      <w:r w:rsidDel="00000000" w:rsidR="00000000" w:rsidRPr="00000000">
        <w:rPr>
          <w:rtl w:val="0"/>
        </w:rPr>
        <w:t xml:space="preserve">In Canada, orientation programs (45%), small group meetings (55%), and top executives (40%) are the primary sources of information, similar to the UK. However, mass media (10%) plays a slightly more important role in Canada than in the UK. The grapevine (10%) also has a moderate impact in this region.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the US, orientation programs (40%), small group meetings (60%), and top executives (45%) are the primary sources of information. This suggests that US companies prioritize more formalized and structured communication channels, particularly for decision-making processes. Mass media (15%) and the grapevine (15%) play relatively minor roles in the US compared to other regions.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Comparing these regions reveals that face-to-face interactions and personal connections are highly valued in manufacturing companies across all three countries. However, there are differences in the relative importance of mass media and the grapevine. While these sources play a significant role in the UK and Canada, they have less impact in the US.</w:t>
      </w:r>
    </w:p>
    <w:p w:rsidR="00000000" w:rsidDel="00000000" w:rsidP="00000000" w:rsidRDefault="00000000" w:rsidRPr="00000000" w14:paraId="00000009">
      <w:pPr>
        <w:rPr/>
      </w:pPr>
      <w:r w:rsidDel="00000000" w:rsidR="00000000" w:rsidRPr="00000000">
        <w:rPr>
          <w:rtl w:val="0"/>
        </w:rPr>
        <w:t xml:space="preserve">In conclusion, this report highlights the diversity of information sources manufacturing companies use across different regions. By analyzing and comparing these sources, we can gain insights into these organizations' communication patterns and priorities.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