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pPr>
      <w:r w:rsidDel="00000000" w:rsidR="00000000" w:rsidRPr="00000000">
        <w:rPr>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b w:val="1"/>
          <w:bCs w:val="1"/>
          <w:sz w:val="24"/>
          <w:szCs w:val="24"/>
          <w:rtl w:val="0"/>
        </w:rPr>
        <w:t xml:space="preserve">ASSESSMENT TOOL 1: Analytical Problem Solving</w:t>
      </w:r>
      <w:r w:rsidDel="00000000" w:rsidR="00000000" w:rsidRPr="00000000">
        <w:rPr>
          <w:rtl w:val="0"/>
        </w:rPr>
      </w:r>
    </w:p>
    <w:p w:rsidR="00000000" w:rsidDel="00000000" w:rsidP="00000000" w:rsidRDefault="00000000" w:rsidRPr="00000000" w14:paraId="00000003">
      <w:pPr>
        <w:spacing w:after="40" w:line="240" w:lineRule="auto"/>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23"/>
                <w:szCs w:val="23"/>
                <w:rtl w:val="0"/>
              </w:rPr>
              <w:t xml:space="preserve">COURSE NAME: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sz w:val="23"/>
                <w:szCs w:val="23"/>
                <w:rtl w:val="0"/>
              </w:rPr>
              <w:t xml:space="preserve">Cloud Computing and Big Data Analytics</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sz w:val="23"/>
                <w:szCs w:val="23"/>
                <w:rtl w:val="0"/>
              </w:rPr>
              <w:t xml:space="preserve">COURSE CODE: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23"/>
                <w:szCs w:val="23"/>
                <w:rtl w:val="0"/>
              </w:rPr>
              <w:t xml:space="preserve">CSA15</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Rule="auto"/>
        <w:rPr/>
      </w:pPr>
      <w:r w:rsidDel="00000000" w:rsidR="00000000" w:rsidRPr="00000000">
        <w:rPr>
          <w:rtl w:val="0"/>
        </w:rPr>
      </w:r>
    </w:p>
    <w:p w:rsidR="00000000" w:rsidDel="00000000" w:rsidP="00000000" w:rsidRDefault="00000000" w:rsidRPr="00000000" w14:paraId="0000000A">
      <w:pPr>
        <w:spacing w:after="40" w:line="240" w:lineRule="auto"/>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CO2: </w:t>
      </w:r>
      <w:r w:rsidDel="00000000" w:rsidR="00000000" w:rsidRPr="00000000">
        <w:rPr>
          <w:i w:val="1"/>
          <w:iCs w:val="1"/>
          <w:rtl w:val="0"/>
        </w:rPr>
        <w:t xml:space="preserve">Analyze virtualization architectures to identify performance and security issues in cloud computing environments.</w:t>
      </w:r>
      <w:r w:rsidDel="00000000" w:rsidR="00000000" w:rsidRPr="00000000">
        <w:rPr>
          <w:rtl w:val="0"/>
        </w:rPr>
        <w:t xml:space="preserve"> (BL3)</w:t>
      </w:r>
    </w:p>
    <w:p w:rsidR="00000000" w:rsidDel="00000000" w:rsidP="00000000" w:rsidRDefault="00000000" w:rsidRPr="00000000" w14:paraId="0000000C">
      <w:pPr>
        <w:spacing w:after="40" w:line="240" w:lineRule="auto"/>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Dave's Taxonomy: Manipulation (Level 2)</w:t>
              <w:br w:type="textWrapping"/>
              <w:t xml:space="preserve">Question Count: 5</w:t>
            </w:r>
          </w:p>
        </w:tc>
        <w:tc>
          <w:tcPr/>
          <w:p w:rsidR="00000000" w:rsidDel="00000000" w:rsidP="00000000" w:rsidRDefault="00000000" w:rsidRPr="00000000" w14:paraId="0000000E">
            <w:pPr>
              <w:jc w:val="right"/>
              <w:rPr/>
            </w:pPr>
            <w:r w:rsidDel="00000000" w:rsidR="00000000" w:rsidRPr="00000000">
              <w:rPr>
                <w:b w:val="1"/>
                <w:bCs w:val="1"/>
                <w:rtl w:val="0"/>
              </w:rPr>
              <w:t xml:space="preserve">Total Marks: 50</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bottom w:color="a6a6a6" w:space="1" w:sz="6" w:val="single"/>
        </w:pBdr>
        <w:rPr/>
      </w:pPr>
      <w:r w:rsidDel="00000000" w:rsidR="00000000" w:rsidRPr="00000000">
        <w:rPr>
          <w:rtl w:val="0"/>
        </w:rPr>
      </w:r>
    </w:p>
    <w:p w:rsidR="00000000" w:rsidDel="00000000" w:rsidP="00000000" w:rsidRDefault="00000000" w:rsidRPr="00000000" w14:paraId="00000011">
      <w:pPr>
        <w:spacing w:after="40" w:line="240" w:lineRule="auto"/>
        <w:rPr/>
      </w:pPr>
      <w:r w:rsidDel="00000000" w:rsidR="00000000" w:rsidRPr="00000000">
        <w:rPr>
          <w:b w:val="1"/>
          <w:bCs w:val="1"/>
          <w:rtl w:val="0"/>
        </w:rPr>
        <w:t xml:space="preserve">Code of Conduct</w:t>
      </w:r>
      <w:r w:rsidDel="00000000" w:rsidR="00000000" w:rsidRPr="00000000">
        <w:rPr>
          <w:rtl w:val="0"/>
        </w:rPr>
      </w:r>
    </w:p>
    <w:p w:rsidR="00000000" w:rsidDel="00000000" w:rsidP="00000000" w:rsidRDefault="00000000" w:rsidRPr="00000000" w14:paraId="00000012">
      <w:pPr>
        <w:spacing w:after="40" w:line="240" w:lineRule="auto"/>
        <w:rPr/>
      </w:pPr>
      <w:r w:rsidDel="00000000" w:rsidR="00000000" w:rsidRPr="00000000">
        <w:rPr>
          <w:rtl w:val="0"/>
        </w:rPr>
        <w:t xml:space="preserve">I, Raja. Vishnuvardhan (192521316) (Name / Reg No) certify that this submission is my original work and that I have adhered to the guidelines specified for this assessment.</w:t>
      </w:r>
    </w:p>
    <w:p w:rsidR="00000000" w:rsidDel="00000000" w:rsidP="00000000" w:rsidRDefault="00000000" w:rsidRPr="00000000" w14:paraId="00000013">
      <w:pPr>
        <w:spacing w:after="40" w:line="240" w:lineRule="auto"/>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14">
      <w:pPr>
        <w:spacing w:after="40" w:line="240" w:lineRule="auto"/>
        <w:rPr>
          <w:b w:val="1"/>
          <w:bCs w:val="1"/>
        </w:rPr>
      </w:pPr>
      <w:r w:rsidDel="00000000" w:rsidR="00000000" w:rsidRPr="00000000">
        <w:rPr>
          <w:rtl w:val="0"/>
        </w:rPr>
        <w:t xml:space="preserve">Signature of the student: </w:t>
      </w:r>
      <w:r w:rsidDel="00000000" w:rsidR="00000000" w:rsidRPr="00000000">
        <w:rPr>
          <w:b w:val="1"/>
          <w:bCs w:val="1"/>
          <w:rtl w:val="0"/>
        </w:rPr>
        <w:t xml:space="preserve">RAJA.VISHNUVARDHAN</w:t>
      </w:r>
    </w:p>
    <w:p w:rsidR="00000000" w:rsidDel="00000000" w:rsidP="00000000" w:rsidRDefault="00000000" w:rsidRPr="00000000" w14:paraId="00000015">
      <w:pPr>
        <w:spacing w:after="40" w:line="240" w:lineRule="auto"/>
        <w:rPr/>
      </w:pPr>
      <w:r w:rsidDel="00000000" w:rsidR="00000000" w:rsidRPr="00000000">
        <w:rPr>
          <w:rtl w:val="0"/>
        </w:rPr>
      </w:r>
    </w:p>
    <w:p w:rsidR="00000000" w:rsidDel="00000000" w:rsidP="00000000" w:rsidRDefault="00000000" w:rsidRPr="00000000" w14:paraId="00000016">
      <w:pPr>
        <w:spacing w:after="40" w:line="240" w:lineRule="auto"/>
        <w:rPr/>
      </w:pPr>
      <w:r w:rsidDel="00000000" w:rsidR="00000000" w:rsidRPr="00000000">
        <w:rPr>
          <w:b w:val="1"/>
          <w:bCs w:val="1"/>
          <w:rtl w:val="0"/>
        </w:rPr>
        <w:t xml:space="preserve">Assessment Tasks</w:t>
      </w:r>
      <w:r w:rsidDel="00000000" w:rsidR="00000000" w:rsidRPr="00000000">
        <w:rPr>
          <w:rtl w:val="0"/>
        </w:rPr>
      </w:r>
    </w:p>
    <w:p w:rsidR="00000000" w:rsidDel="00000000" w:rsidP="00000000" w:rsidRDefault="00000000" w:rsidRPr="00000000" w14:paraId="00000017">
      <w:pPr>
        <w:spacing w:after="40" w:line="240" w:lineRule="auto"/>
        <w:rPr/>
      </w:pPr>
      <w:r w:rsidDel="00000000" w:rsidR="00000000" w:rsidRPr="00000000">
        <w:rPr>
          <w:b w:val="1"/>
          <w:bCs w:val="1"/>
          <w:rtl w:val="0"/>
        </w:rPr>
        <w:t xml:space="preserve">Analytical Problem Solving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Type-1 and Type-2 hypervisors for a cloud datacenter hosting mission-critical applications. Analyze performance, security, and manageability, then justify the better choice.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cloud provider must isolate workloads belonging to finance, healthcare, and student portals on the same hardware. Analyze how virtualization architecture supports isolation and identify two major attack surfaces.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the following VM host utilization snapshot and recommend corrective actions: CPU 92%, memory 88%, storage I/O latency 35 ms, average VM boot time 170 s. Explain the likely bottlenecks.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 how Software Defined Datacenter architecture improves agility compared with a traditional datacenter. Support your answer with compute, storage, and network virtualization considerations.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multi-cloud federation project fails due to identity mismatches between providers. Analyze the issue and propose a secure identity and privacy design using federation concepts.</w:t>
      </w:r>
      <w:r w:rsidDel="00000000" w:rsidR="00000000" w:rsidRPr="00000000">
        <w:rPr>
          <w:rtl w:val="0"/>
        </w:rPr>
      </w:r>
    </w:p>
    <w:p w:rsidR="00000000" w:rsidDel="00000000" w:rsidP="00000000" w:rsidRDefault="00000000" w:rsidRPr="00000000" w14:paraId="0000001D">
      <w:pPr>
        <w:spacing w:after="40" w:line="240" w:lineRule="auto"/>
        <w:rPr/>
      </w:pPr>
      <w:r w:rsidDel="00000000" w:rsidR="00000000" w:rsidRPr="00000000">
        <w:rPr>
          <w:rtl w:val="0"/>
        </w:rPr>
      </w:r>
    </w:p>
    <w:p w:rsidR="00000000" w:rsidDel="00000000" w:rsidP="00000000" w:rsidRDefault="00000000" w:rsidRPr="00000000" w14:paraId="0000001E">
      <w:pPr>
        <w:spacing w:after="40" w:line="240" w:lineRule="auto"/>
        <w:rPr>
          <w:b w:val="1"/>
          <w:bCs w:val="1"/>
        </w:rPr>
      </w:pPr>
      <w:r w:rsidDel="00000000" w:rsidR="00000000" w:rsidRPr="00000000">
        <w:rPr>
          <w:b w:val="1"/>
          <w:bCs w:val="1"/>
          <w:rtl w:val="0"/>
        </w:rPr>
        <w:br w:type="textWrapping"/>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Answers: </w:t>
        <w:br w:type="textWrapping"/>
        <w:t xml:space="preserve">1. Type-1 vs Type-2 Hypervisors for Mission-Critical Cloud Datacenter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Type-1 (Bare Metal): Runs directly on hardware (VMware ESXi, Microsoft Hyper-V, KVM). No host OS layer.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Type-2 (Hosted): Runs on top of a host OS (VMware Workstation, VirtualBox, Parallels).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Performance :</w:t>
      </w:r>
    </w:p>
    <w:p w:rsidR="00000000" w:rsidDel="00000000" w:rsidP="00000000" w:rsidRDefault="00000000" w:rsidRPr="00000000" w14:paraId="0000002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Type-1 has direct hardware access, lower latency, higher throughput since there is no intermediary OS layer</w:t>
      </w:r>
    </w:p>
    <w:p w:rsidR="00000000" w:rsidDel="00000000" w:rsidP="00000000" w:rsidRDefault="00000000" w:rsidRPr="00000000" w14:paraId="0000002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Type-2 suffers from added overhead because every hardware call passes through the host OS first</w:t>
      </w:r>
    </w:p>
    <w:p w:rsidR="00000000" w:rsidDel="00000000" w:rsidP="00000000" w:rsidRDefault="00000000" w:rsidRPr="00000000" w14:paraId="0000002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For mission-critical workloads needing consistent low latency, Type-1 performs significantly better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Security :</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Type-1 has a smaller attack surface since it does not depend on a general purpose host OS with its own vulnerabilities</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Type-2 inherits all risks of the underlying host OS, meaning a compromised host OS can compromise every VM</w:t>
      </w:r>
    </w:p>
    <w:p w:rsidR="00000000" w:rsidDel="00000000" w:rsidP="00000000" w:rsidRDefault="00000000" w:rsidRPr="00000000" w14:paraId="0000002E">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Type-1 supports stronger isolation between VMs, critical for regulated or sensitive workloads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Manageability : </w:t>
      </w:r>
    </w:p>
    <w:p w:rsidR="00000000" w:rsidDel="00000000" w:rsidP="00000000" w:rsidRDefault="00000000" w:rsidRPr="00000000" w14:paraId="0000003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Type-1 offers centralized enterprise management tools (vCenter, SCVMM), better suited for large scale datacenter operations</w:t>
      </w:r>
    </w:p>
    <w:p w:rsidR="00000000" w:rsidDel="00000000" w:rsidP="00000000" w:rsidRDefault="00000000" w:rsidRPr="00000000" w14:paraId="0000003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Type-2 is easier to set up on a personal machine but lacks enterprise grade orchestration and clustering features</w:t>
      </w:r>
    </w:p>
    <w:p w:rsidR="00000000" w:rsidDel="00000000" w:rsidP="00000000" w:rsidRDefault="00000000" w:rsidRPr="00000000" w14:paraId="0000003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Type-1 supports live migration, high availability clustering, and resource pooling, which Type-2 generally lacks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Justification : </w:t>
        <w:br w:type="textWrapping"/>
        <w:t xml:space="preserve"> Type-1 hypervisors are the better choice for mission-critical cloud datacenters. Direct hardware access delivers better performance, the reduced attack surface improves security, and enterprise management tooling supports the scale and reliability such systems demand. Type-2 is more suitable for development, testing, or personal use cases rather than production critical infrastructure.</w:t>
      </w:r>
    </w:p>
    <w:p w:rsidR="00000000" w:rsidDel="00000000" w:rsidP="00000000" w:rsidRDefault="00000000" w:rsidRPr="00000000" w14:paraId="00000034">
      <w:pPr>
        <w:pStyle w:val="Heading2"/>
        <w:keepNext w:val="0"/>
        <w:keepLines w:val="0"/>
        <w:spacing w:after="80" w:before="360" w:lineRule="auto"/>
        <w:rPr>
          <w:rFonts w:ascii="Times New Roman" w:cs="Times New Roman" w:eastAsia="Times New Roman" w:hAnsi="Times New Roman"/>
          <w:b w:val="0"/>
          <w:bCs w:val="0"/>
          <w:color w:val="000000"/>
          <w:sz w:val="24"/>
          <w:szCs w:val="24"/>
        </w:rPr>
      </w:pPr>
      <w:bookmarkStart w:colFirst="0" w:colLast="0" w:name="_heading=h.tert2vg9srww" w:id="0"/>
      <w:bookmarkEnd w:id="0"/>
      <w:r w:rsidDel="00000000" w:rsidR="00000000" w:rsidRPr="00000000">
        <w:rPr>
          <w:rtl w:val="0"/>
        </w:rPr>
      </w:r>
    </w:p>
    <w:p w:rsidR="00000000" w:rsidDel="00000000" w:rsidP="00000000" w:rsidRDefault="00000000" w:rsidRPr="00000000" w14:paraId="00000035">
      <w:pPr>
        <w:pStyle w:val="Heading2"/>
        <w:keepNext w:val="0"/>
        <w:keepLines w:val="0"/>
        <w:spacing w:after="80" w:before="360" w:lineRule="auto"/>
        <w:rPr>
          <w:rFonts w:ascii="Times New Roman" w:cs="Times New Roman" w:eastAsia="Times New Roman" w:hAnsi="Times New Roman"/>
          <w:b w:val="0"/>
          <w:bCs w:val="0"/>
          <w:color w:val="000000"/>
          <w:sz w:val="24"/>
          <w:szCs w:val="24"/>
        </w:rPr>
      </w:pPr>
      <w:bookmarkStart w:colFirst="0" w:colLast="0" w:name="_heading=h.7yx9bjptdf55" w:id="1"/>
      <w:bookmarkEnd w:id="1"/>
      <w:r w:rsidDel="00000000" w:rsidR="00000000" w:rsidRPr="00000000">
        <w:rPr>
          <w:rtl w:val="0"/>
        </w:rPr>
      </w:r>
    </w:p>
    <w:p w:rsidR="00000000" w:rsidDel="00000000" w:rsidP="00000000" w:rsidRDefault="00000000" w:rsidRPr="00000000" w14:paraId="00000036">
      <w:pPr>
        <w:pStyle w:val="Heading2"/>
        <w:keepNext w:val="0"/>
        <w:keepLines w:val="0"/>
        <w:spacing w:after="80" w:before="360" w:lineRule="auto"/>
        <w:rPr>
          <w:rFonts w:ascii="Times New Roman" w:cs="Times New Roman" w:eastAsia="Times New Roman" w:hAnsi="Times New Roman"/>
          <w:b w:val="0"/>
          <w:bCs w:val="0"/>
          <w:color w:val="000000"/>
          <w:sz w:val="24"/>
          <w:szCs w:val="24"/>
        </w:rPr>
      </w:pPr>
      <w:bookmarkStart w:colFirst="0" w:colLast="0" w:name="_heading=h.7nw957bqdve" w:id="2"/>
      <w:bookmarkEnd w:id="2"/>
      <w:r w:rsidDel="00000000" w:rsidR="00000000" w:rsidRPr="00000000">
        <w:rPr>
          <w:rtl w:val="0"/>
        </w:rPr>
      </w:r>
    </w:p>
    <w:p w:rsidR="00000000" w:rsidDel="00000000" w:rsidP="00000000" w:rsidRDefault="00000000" w:rsidRPr="00000000" w14:paraId="00000037">
      <w:pPr>
        <w:pStyle w:val="Heading2"/>
        <w:keepNext w:val="0"/>
        <w:keepLines w:val="0"/>
        <w:spacing w:after="80" w:before="360" w:lineRule="auto"/>
        <w:rPr>
          <w:rFonts w:ascii="Times New Roman" w:cs="Times New Roman" w:eastAsia="Times New Roman" w:hAnsi="Times New Roman"/>
          <w:b w:val="0"/>
          <w:bCs w:val="0"/>
          <w:color w:val="000000"/>
          <w:sz w:val="24"/>
          <w:szCs w:val="24"/>
        </w:rPr>
      </w:pPr>
      <w:bookmarkStart w:colFirst="0" w:colLast="0" w:name="_heading=h.9xqbllum20n6" w:id="3"/>
      <w:bookmarkEnd w:id="3"/>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ksu4b9d5wwxb" w:id="4"/>
      <w:bookmarkEnd w:id="4"/>
      <w:r w:rsidDel="00000000" w:rsidR="00000000" w:rsidRPr="00000000">
        <w:rPr>
          <w:rFonts w:ascii="Times New Roman" w:cs="Times New Roman" w:eastAsia="Times New Roman" w:hAnsi="Times New Roman"/>
          <w:color w:val="000000"/>
          <w:sz w:val="24"/>
          <w:szCs w:val="24"/>
          <w:rtl w:val="0"/>
        </w:rPr>
        <w:t xml:space="preserve">2. Workload Isolation for Finance, Healthcare, and Student Portals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How Virtualization Supports Isolation</w:t>
      </w:r>
    </w:p>
    <w:p w:rsidR="00000000" w:rsidDel="00000000" w:rsidP="00000000" w:rsidRDefault="00000000" w:rsidRPr="00000000" w14:paraId="0000003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Hypervisor level isolation ensures each VM operates in its own memory and CPU space, preventing one tenant's workload from directly accessing another's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Virtual networking (VLANs, virtual switches, software defined networking) segments traffic so finance, healthcare, and student portal traffic remain logically separated even on shared physical network hardware</w:t>
      </w:r>
    </w:p>
    <w:p w:rsidR="00000000" w:rsidDel="00000000" w:rsidP="00000000" w:rsidRDefault="00000000" w:rsidRPr="00000000" w14:paraId="0000003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Resource pools and quotas prevent one tenant from starving others of CPU, memory, or storage IOPS</w:t>
      </w:r>
    </w:p>
    <w:p w:rsidR="00000000" w:rsidDel="00000000" w:rsidP="00000000" w:rsidRDefault="00000000" w:rsidRPr="00000000" w14:paraId="0000003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Separate virtual storage volumes with encryption keys per tenant prevent cross tenant data access</w:t>
      </w:r>
    </w:p>
    <w:p w:rsidR="00000000" w:rsidDel="00000000" w:rsidP="00000000" w:rsidRDefault="00000000" w:rsidRPr="00000000" w14:paraId="0000003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Compliance boundaries can be enforced through dedicated VM clusters or host affinity rules for regulated workloads like healthcare, HIPAA workloads separated from lower compliance tiers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Two Major Attack Surfaces</w:t>
      </w:r>
    </w:p>
    <w:p w:rsidR="00000000" w:rsidDel="00000000" w:rsidP="00000000" w:rsidRDefault="00000000" w:rsidRPr="00000000" w14:paraId="0000004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Hypervisor level attacks (VM escape). If an attacker compromises the hypervisor itself, they could potentially gain access to every VM running on that physical host, breaking isolation between finance, healthcare, and student data simultaneously. This is one of the most severe risks in multi-tenant virtualized environments.</w:t>
      </w:r>
    </w:p>
    <w:p w:rsidR="00000000" w:rsidDel="00000000" w:rsidP="00000000" w:rsidRDefault="00000000" w:rsidRPr="00000000" w14:paraId="00000041">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Shared network infrastructure (virtual switch or SDN misconfiguration). Because tenants share underlying physical network hardware, a misconfigured virtual switch, improper VLAN tagging, or side channel attack through shared network paths could allow traffic leakage or interception between tenants, exposing sensitive healthcare or financial data to unauthorized workloads.</w:t>
      </w:r>
    </w:p>
    <w:p w:rsidR="00000000" w:rsidDel="00000000" w:rsidP="00000000" w:rsidRDefault="00000000" w:rsidRPr="00000000" w14:paraId="0000004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2hn00fpzzkn8" w:id="5"/>
      <w:bookmarkEnd w:id="5"/>
      <w:r w:rsidDel="00000000" w:rsidR="00000000" w:rsidRPr="00000000">
        <w:rPr>
          <w:rFonts w:ascii="Times New Roman" w:cs="Times New Roman" w:eastAsia="Times New Roman" w:hAnsi="Times New Roman"/>
          <w:color w:val="000000"/>
          <w:sz w:val="24"/>
          <w:szCs w:val="24"/>
          <w:rtl w:val="0"/>
        </w:rPr>
        <w:t xml:space="preserve">3. VM Host Utilization Analysis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Snapshot: CPU 92 percent, Memory 88 percent, Storage I/O latency 35 ms, Average VM boot time 170 seconds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Likely Bottlenecks</w:t>
      </w:r>
    </w:p>
    <w:p w:rsidR="00000000" w:rsidDel="00000000" w:rsidP="00000000" w:rsidRDefault="00000000" w:rsidRPr="00000000" w14:paraId="0000004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CPU at 92 percent indicates the host is close to compute saturation, meaning VMs are likely experiencing CPU ready time, where they wait in queue for CPU cycles</w:t>
      </w:r>
    </w:p>
    <w:p w:rsidR="00000000" w:rsidDel="00000000" w:rsidP="00000000" w:rsidRDefault="00000000" w:rsidRPr="00000000" w14:paraId="0000004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Memory at 88 percent suggests the host may be relying on memory ballooning or swapping to disk, which severely degrades performance since disk access is far slower than RAM</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Storage I/O latency of 35 ms is high, typical healthy latency should be under 10 ms, indicating disk contention, possibly from oversubscribed storage or insufficient IOPS provisioning</w:t>
      </w:r>
    </w:p>
    <w:p w:rsidR="00000000" w:rsidDel="00000000" w:rsidP="00000000" w:rsidRDefault="00000000" w:rsidRPr="00000000" w14:paraId="0000004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long boot time of 170 seconds is a direct symptom of combined CPU, memory, and storage pressure, since boot involves heavy disk reads and initial CPU and memory allocation that are all constrained here</w:t>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Corrective Actions</w:t>
      </w:r>
    </w:p>
    <w:p w:rsidR="00000000" w:rsidDel="00000000" w:rsidP="00000000" w:rsidRDefault="00000000" w:rsidRPr="00000000" w14:paraId="0000004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Migrate some VMs to another host using load balancing or vMotion to reduce CPU and memory pressure on the overloaded host</w:t>
      </w:r>
    </w:p>
    <w:p w:rsidR="00000000" w:rsidDel="00000000" w:rsidP="00000000" w:rsidRDefault="00000000" w:rsidRPr="00000000" w14:paraId="0000004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Increase physical RAM or reduce memory overcommitment ratio to eliminate swapping</w:t>
      </w:r>
    </w:p>
    <w:p w:rsidR="00000000" w:rsidDel="00000000" w:rsidP="00000000" w:rsidRDefault="00000000" w:rsidRPr="00000000" w14:paraId="0000004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Upgrade to faster storage tier (SSD or NVMe) or increase provisioned IOPS to reduce I/O latency</w:t>
      </w:r>
    </w:p>
    <w:p w:rsidR="00000000" w:rsidDel="00000000" w:rsidP="00000000" w:rsidRDefault="00000000" w:rsidRPr="00000000" w14:paraId="0000004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Implement resource limits and reservations per VM to prevent noisy neighbor effects</w:t>
      </w:r>
    </w:p>
    <w:p w:rsidR="00000000" w:rsidDel="00000000" w:rsidP="00000000" w:rsidRDefault="00000000" w:rsidRPr="00000000" w14:paraId="0000005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Consider horizontal scaling by adding another host to the cluster rather than continuing to stack VMs on the same hardware</w:t>
      </w:r>
    </w:p>
    <w:p w:rsidR="00000000" w:rsidDel="00000000" w:rsidP="00000000" w:rsidRDefault="00000000" w:rsidRPr="00000000" w14:paraId="0000005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Monitor and right size VMs that may be over allocated compared to their actual usage</w:t>
      </w:r>
    </w:p>
    <w:p w:rsidR="00000000" w:rsidDel="00000000" w:rsidP="00000000" w:rsidRDefault="00000000" w:rsidRPr="00000000" w14:paraId="00000052">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ef9ojkufvb9a" w:id="6"/>
      <w:bookmarkEnd w:id="6"/>
      <w:r w:rsidDel="00000000" w:rsidR="00000000" w:rsidRPr="00000000">
        <w:rPr>
          <w:rFonts w:ascii="Times New Roman" w:cs="Times New Roman" w:eastAsia="Times New Roman" w:hAnsi="Times New Roman"/>
          <w:color w:val="000000"/>
          <w:sz w:val="24"/>
          <w:szCs w:val="24"/>
          <w:rtl w:val="0"/>
        </w:rPr>
        <w:t xml:space="preserve">4. Software Defined Datacenter versus Traditional Datacenter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Compute Virtualization</w:t>
      </w:r>
    </w:p>
    <w:p w:rsidR="00000000" w:rsidDel="00000000" w:rsidP="00000000" w:rsidRDefault="00000000" w:rsidRPr="00000000" w14:paraId="0000005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Traditional datacenters tie applications to physical servers, making scaling slow and dependent on hardware procurement</w:t>
      </w:r>
    </w:p>
    <w:p w:rsidR="00000000" w:rsidDel="00000000" w:rsidP="00000000" w:rsidRDefault="00000000" w:rsidRPr="00000000" w14:paraId="0000005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SDDC abstracts compute into virtual machines or containers that can be provisioned, resized, or migrated in minutes rather than weeks, enabling rapid response to demand changes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Storage Virtualization</w:t>
      </w:r>
    </w:p>
    <w:p w:rsidR="00000000" w:rsidDel="00000000" w:rsidP="00000000" w:rsidRDefault="00000000" w:rsidRPr="00000000" w14:paraId="00000057">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Traditional storage is tied to physical arrays with fixed capacity and manual allocation</w:t>
      </w:r>
    </w:p>
    <w:p w:rsidR="00000000" w:rsidDel="00000000" w:rsidP="00000000" w:rsidRDefault="00000000" w:rsidRPr="00000000" w14:paraId="0000005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Software defined storage pools physical storage into a flexible layer that can be dynamically allocated, replicated, or tiered based on policy, improving agility and reducing waste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Network Virtualization</w:t>
      </w:r>
    </w:p>
    <w:p w:rsidR="00000000" w:rsidDel="00000000" w:rsidP="00000000" w:rsidRDefault="00000000" w:rsidRPr="00000000" w14:paraId="0000005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Traditional networking relies on physical switches and manual VLAN configuration, which is slow to change and error prone</w:t>
      </w:r>
    </w:p>
    <w:p w:rsidR="00000000" w:rsidDel="00000000" w:rsidP="00000000" w:rsidRDefault="00000000" w:rsidRPr="00000000" w14:paraId="0000005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Software defined networking allows network topology, security policies, and load balancing rules to be defined in software and deployed instantly across the datacenter, supporting rapid application deployment and microsegmentation for security</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Overall Agility Improvement</w:t>
        <w:br w:type="textWrapping"/>
        <w:t xml:space="preserve"> Because compute, storage, and network are all abstracted and controlled through software and APIs rather than physical configuration, SDDC enables self service provisioning, faster scaling, automated policy enforcement, and significantly reduced time from request to deployment compared with traditional datacenters that depend on manual hardware level changes.</w:t>
      </w:r>
    </w:p>
    <w:p w:rsidR="00000000" w:rsidDel="00000000" w:rsidP="00000000" w:rsidRDefault="00000000" w:rsidRPr="00000000" w14:paraId="0000005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lotpld17lukw" w:id="7"/>
      <w:bookmarkEnd w:id="7"/>
      <w:r w:rsidDel="00000000" w:rsidR="00000000" w:rsidRPr="00000000">
        <w:rPr>
          <w:rFonts w:ascii="Times New Roman" w:cs="Times New Roman" w:eastAsia="Times New Roman" w:hAnsi="Times New Roman"/>
          <w:color w:val="000000"/>
          <w:sz w:val="24"/>
          <w:szCs w:val="24"/>
          <w:rtl w:val="0"/>
        </w:rPr>
        <w:t xml:space="preserve">5. Multi-Cloud Federation Identity Mismatch</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Analysis of the Issue</w:t>
        <w:br w:type="textWrapping"/>
        <w:t xml:space="preserve"> When providers use different identity formats, attribute schemas, or authentication protocols, a user authenticated in one cloud cannot be reliably recognized or authorized in another. This typically happens because each provider maintains its own identity store without a common trust framework, leading to failed single sign on, duplicate accounts, inconsistent access policies, and potential security gaps where privilege levels do not translate correctly across providers.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Proposed Secure Identity and Privacy Design</w:t>
      </w:r>
    </w:p>
    <w:p w:rsidR="00000000" w:rsidDel="00000000" w:rsidP="00000000" w:rsidRDefault="00000000" w:rsidRPr="00000000" w14:paraId="0000006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Federated Identity Standard: Adopt a common protocol such as SAML or OpenID Connect so all providers can interpret identity tokens consistently regardless of where the user originally authenticated</w:t>
      </w:r>
    </w:p>
    <w:p w:rsidR="00000000" w:rsidDel="00000000" w:rsidP="00000000" w:rsidRDefault="00000000" w:rsidRPr="00000000" w14:paraId="0000006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Central Identity Broker: Deploy an identity federation hub or broker that translates and maps identity attributes between providers, acting as a trusted intermediary rather than relying on direct point to point trust between every cloud</w:t>
      </w:r>
    </w:p>
    <w:p w:rsidR="00000000" w:rsidDel="00000000" w:rsidP="00000000" w:rsidRDefault="00000000" w:rsidRPr="00000000" w14:paraId="0000006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Attribute Mapping and Normalization: Standardize user attributes such as role, department, and clearance level into a common schema so authorization decisions remain consistent across environments</w:t>
      </w:r>
    </w:p>
    <w:p w:rsidR="00000000" w:rsidDel="00000000" w:rsidP="00000000" w:rsidRDefault="00000000" w:rsidRPr="00000000" w14:paraId="0000006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Token Based Authentication: Use short lived, signed tokens (JWT) for cross cloud access, reducing the risk of credential replay and limiting exposure window if a token is intercepted</w:t>
      </w:r>
    </w:p>
    <w:p w:rsidR="00000000" w:rsidDel="00000000" w:rsidP="00000000" w:rsidRDefault="00000000" w:rsidRPr="00000000" w14:paraId="0000006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Privacy Preserving Design: Share only the minimum necessary identity attributes with each provider, following a data minimization principle, rather than exposing full user profiles across all clouds</w:t>
      </w:r>
    </w:p>
    <w:p w:rsidR="00000000" w:rsidDel="00000000" w:rsidP="00000000" w:rsidRDefault="00000000" w:rsidRPr="00000000" w14:paraId="0000006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Continuous Trust Verification: Implement mutual TLS and regular certificate rotation between identity providers to ensure the federation trust relationship itself is not compromised</w:t>
      </w:r>
    </w:p>
    <w:p w:rsidR="00000000" w:rsidDel="00000000" w:rsidP="00000000" w:rsidRDefault="00000000" w:rsidRPr="00000000" w14:paraId="0000006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Auditing and Monitoring: Maintain centralized logging of cross cloud authentication events to detect anomalies such as impossible travel logins or privilege mismatches early</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This design ensures identity consistency, reduces attack surface from mismatched trust boundaries, and preserves user privacy while allowing seamless federated access across the multi-cloud environment.</w:t>
      </w:r>
    </w:p>
    <w:p w:rsidR="00000000" w:rsidDel="00000000" w:rsidP="00000000" w:rsidRDefault="00000000" w:rsidRPr="00000000" w14:paraId="0000006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40" w:line="240" w:lineRule="auto"/>
        <w:rPr>
          <w:b w:val="1"/>
          <w:bCs w:val="1"/>
        </w:rPr>
      </w:pPr>
      <w:r w:rsidDel="00000000" w:rsidR="00000000" w:rsidRPr="00000000">
        <w:rPr>
          <w:b w:val="1"/>
          <w:bCs w:val="1"/>
          <w:rtl w:val="0"/>
        </w:rPr>
        <w:t xml:space="preserve">Analytical Problem Solving Rubric</w:t>
      </w:r>
    </w:p>
    <w:p w:rsidR="00000000" w:rsidDel="00000000" w:rsidP="00000000" w:rsidRDefault="00000000" w:rsidRPr="00000000" w14:paraId="0000006A">
      <w:pPr>
        <w:spacing w:after="40" w:line="240" w:lineRule="auto"/>
        <w:rPr/>
      </w:pPr>
      <w:r w:rsidDel="00000000" w:rsidR="00000000" w:rsidRPr="00000000">
        <w:rPr>
          <w:rtl w:val="0"/>
        </w:rPr>
      </w:r>
    </w:p>
    <w:tbl>
      <w:tblPr>
        <w:tblStyle w:val="Table3"/>
        <w:tblW w:w="10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06B">
            <w:pPr>
              <w:rPr/>
            </w:pPr>
            <w:r w:rsidDel="00000000" w:rsidR="00000000" w:rsidRPr="00000000">
              <w:rPr>
                <w:b w:val="1"/>
                <w:bCs w:val="1"/>
                <w:sz w:val="20"/>
                <w:szCs w:val="20"/>
                <w:rtl w:val="0"/>
              </w:rPr>
              <w:t xml:space="preserve">Criteria</w:t>
            </w:r>
            <w:r w:rsidDel="00000000" w:rsidR="00000000" w:rsidRPr="00000000">
              <w:rPr>
                <w:rtl w:val="0"/>
              </w:rPr>
            </w:r>
          </w:p>
        </w:tc>
        <w:tc>
          <w:tcPr>
            <w:shd w:fill="d9e2f3" w:val="clear"/>
          </w:tcPr>
          <w:p w:rsidR="00000000" w:rsidDel="00000000" w:rsidP="00000000" w:rsidRDefault="00000000" w:rsidRPr="00000000" w14:paraId="0000006C">
            <w:pPr>
              <w:rPr/>
            </w:pPr>
            <w:r w:rsidDel="00000000" w:rsidR="00000000" w:rsidRPr="00000000">
              <w:rPr>
                <w:b w:val="1"/>
                <w:bCs w:val="1"/>
                <w:sz w:val="20"/>
                <w:szCs w:val="20"/>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06D">
            <w:pPr>
              <w:rPr/>
            </w:pPr>
            <w:r w:rsidDel="00000000" w:rsidR="00000000" w:rsidRPr="00000000">
              <w:rPr>
                <w:b w:val="1"/>
                <w:bCs w:val="1"/>
                <w:sz w:val="20"/>
                <w:szCs w:val="20"/>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06E">
            <w:pPr>
              <w:rPr/>
            </w:pPr>
            <w:r w:rsidDel="00000000" w:rsidR="00000000" w:rsidRPr="00000000">
              <w:rPr>
                <w:b w:val="1"/>
                <w:bCs w:val="1"/>
                <w:sz w:val="20"/>
                <w:szCs w:val="20"/>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06F">
            <w:pPr>
              <w:rPr/>
            </w:pPr>
            <w:r w:rsidDel="00000000" w:rsidR="00000000" w:rsidRPr="00000000">
              <w:rPr>
                <w:b w:val="1"/>
                <w:bCs w:val="1"/>
                <w:sz w:val="20"/>
                <w:szCs w:val="20"/>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b w:val="1"/>
                <w:bCs w:val="1"/>
                <w:sz w:val="20"/>
                <w:szCs w:val="20"/>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20"/>
                <w:szCs w:val="20"/>
                <w:rtl w:val="0"/>
              </w:rPr>
              <w:t xml:space="preserve">Problem Interpretation</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20"/>
                <w:szCs w:val="20"/>
                <w:rtl w:val="0"/>
              </w:rPr>
              <w:t xml:space="preserve">Interprets all technical requirements accurately</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Interprets most requirements correctly</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20"/>
                <w:szCs w:val="20"/>
                <w:rtl w:val="0"/>
              </w:rPr>
              <w:t xml:space="preserve">Partial interpretation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Misinterprets the problem</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sz w:val="20"/>
                <w:szCs w:val="20"/>
                <w:rtl w:val="0"/>
              </w:rPr>
              <w:t xml:space="preserve">Analytical Reasoning</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20"/>
                <w:szCs w:val="20"/>
                <w:rtl w:val="0"/>
              </w:rPr>
              <w:t xml:space="preserve">Strong reasoning with clear cause-effect analysis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Good reasoning with minor gaps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Basic analysis only</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Weak or no analysis</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Method Selection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0"/>
                <w:szCs w:val="20"/>
                <w:rtl w:val="0"/>
              </w:rPr>
              <w:t xml:space="preserve">Chooses highly appropriate virtualization and security concepts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Chooses mostly suitable concepts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Partially suitable concepts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Inappropriate approach</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20"/>
                <w:szCs w:val="20"/>
                <w:rtl w:val="0"/>
              </w:rPr>
              <w:t xml:space="preserve">Solution Quality</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Provides feasible and technically sound solution</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Reasonable solution with minor issues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Basic solution with limitations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Unclear or invalid solution</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20"/>
                <w:szCs w:val="20"/>
                <w:rtl w:val="0"/>
              </w:rPr>
              <w:t xml:space="preserve">Presentation of Analysis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Well-structured and technically precise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Generally clear</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Somewhat unclear</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Difficult to follow</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4320" w:firstLine="720"/>
        <w:rPr/>
      </w:pPr>
      <w:r w:rsidDel="00000000" w:rsidR="00000000" w:rsidRPr="00000000">
        <w:rPr>
          <w:rtl w:val="0"/>
        </w:rPr>
      </w:r>
    </w:p>
    <w:p w:rsidR="00000000" w:rsidDel="00000000" w:rsidP="00000000" w:rsidRDefault="00000000" w:rsidRPr="00000000" w14:paraId="00000091">
      <w:pPr>
        <w:ind w:left="6480" w:firstLine="720"/>
        <w:rPr>
          <w:b w:val="1"/>
          <w:bCs w:val="1"/>
        </w:rPr>
      </w:pPr>
      <w:bookmarkStart w:colFirst="0" w:colLast="0" w:name="_heading=h.gjpckfebb739" w:id="8"/>
      <w:bookmarkEnd w:id="8"/>
      <w:r w:rsidDel="00000000" w:rsidR="00000000" w:rsidRPr="00000000">
        <w:rPr>
          <w:b w:val="1"/>
          <w:bCs w:val="1"/>
          <w:rtl w:val="0"/>
        </w:rPr>
        <w:t xml:space="preserve">Total Marks Awarded: </w:t>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CgAyI6rIO/xzDvSAHPbsjJFQw==">CgMxLjAyDmgudGVydDJ2Zzlzcnd3Mg5oLjd5eDlianB0ZGY1NTINaC43bnc5NTdicWR2ZTIOaC45eHFibGx1bTIwbjYyDmgua3N1NGI5ZDV3d3hiMg5oLjJobjAwZnB6emtuODIOaC5lZjlvamt1ZnZiOWEyDmgubG90cGxkMTdsdWt3Mg5oLmdqcGNrZmViYjczOTgAciExWVpQcDFreTRPZzE4T3h6dk5zaGwzRzg2ZnlSeGlNVVM=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