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Ministry of Coal Statutory Report</w:t>
      </w:r>
    </w:p>
    <w:p>
      <w:pPr>
        <w:spacing w:after="240"/>
      </w:pPr>
      <w:r>
        <w:rPr>
          <w:i/>
          <w:color w:val="475569"/>
          <w:sz w:val="18"/>
        </w:rPr>
        <w:t>Generated: 29-Sep-2026 20:38:58 UTC  |  Analytics Version: v1  |  Records Analyzed: 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1,054.82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72.5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10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2 | Warn: 2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Average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1,047.52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261.88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99.3%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#2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Other / Unassigned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4.20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1.40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0.4%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#3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3.10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1.03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0.3%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29-Sep-2026 20:38:58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