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Artificial Intelligence in Modern Computing</w:t>
      </w:r>
    </w:p>
    <w:p>
      <w:r>
        <w:t>Artificial intelligence (AI) has significantly transformed computational linguistics and natural language processing. Modern deep learning architectures leverage multi-head self-attention mechanisms to capture complex contextual dependencies across long textual sequences. Furthermore, automated text generation models can synthesize coherent responses across diverse educational, scientific, and legal domains.</w:t>
      </w:r>
    </w:p>
    <w:p>
      <w:r>
        <w:t>In summary, portfolio diversification and machine learning applications share common mathematical foundations in optimization theory and high-dimensional statistical inference. By allocating analytical resources across uncorrelated feature representations, researchers can minimize detection error while optimizing generalization metrics over extended evaluation benchmarks.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