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AHJIN 2.0 — NEW LATENCY TELEMETRY</w:t>
      </w:r>
    </w:p>
    <w:p>
      <w:pPr>
        <w:jc w:val="center"/>
      </w:pPr>
      <w:r>
        <w:rPr>
          <w:i/>
        </w:rPr>
        <w:t>Planner, Harness, Provider, Model, Other, Watchdog &amp; Fallback Attribution</w:t>
      </w:r>
    </w:p>
    <w:p>
      <w:pPr>
        <w:pStyle w:val="Heading1"/>
      </w:pPr>
      <w:r>
        <w:t>1. Purpose</w:t>
      </w:r>
    </w:p>
    <w:p>
      <w:r>
        <w:t>This document defines the current AHJIN 2.0 latency telemetry contract. It explains exactly what each footer field measures, where Planner and Harness fallback time is attributed, and how the 30-second inactivity watchdog affects latency.</w:t>
      </w:r>
    </w:p>
    <w:p>
      <w:pPr>
        <w:pStyle w:val="Heading1"/>
      </w:pPr>
      <w:r>
        <w:t>2. Runtime Latency Architecture</w:t>
      </w:r>
    </w:p>
    <w:p>
      <w:r>
        <w:t>AHJIN has two distinct LLM stages. The Tool Intent Planner decides tool intent and creates an execution plan. The Harness then performs final-response generation. They may use the same model/provider back-to-back, but they are separate LLM requests.</w:t>
      </w:r>
    </w:p>
    <w:p>
      <w:r>
        <w:t>User Message → Tool Intent Planner → Execution Plan → Harness / Final Response → User</w:t>
      </w:r>
    </w:p>
    <w:p>
      <w:pPr>
        <w:pStyle w:val="Heading1"/>
      </w:pPr>
      <w:r>
        <w:t>3. Telemetry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  <w:tc>
          <w:tcPr>
            <w:tcW w:type="dxa" w:w="2160"/>
          </w:tcPr>
          <w:p>
            <w:r>
              <w:t>Fallback</w:t>
            </w:r>
          </w:p>
        </w:tc>
        <w:tc>
          <w:tcPr>
            <w:tcW w:type="dxa" w:w="2160"/>
          </w:tcPr>
          <w:p>
            <w:r>
              <w:t>Watchdog</w:t>
            </w:r>
          </w:p>
        </w:tc>
      </w:tr>
      <w:tr>
        <w:tc>
          <w:tcPr>
            <w:tcW w:type="dxa" w:w="2160"/>
            <w:vAlign w:val="center"/>
          </w:tcPr>
          <w:p>
            <w:r>
              <w:t>AHJIN</w:t>
            </w:r>
          </w:p>
        </w:tc>
        <w:tc>
          <w:tcPr>
            <w:tcW w:type="dxa" w:w="2160"/>
            <w:vAlign w:val="center"/>
          </w:tcPr>
          <w:p>
            <w:r>
              <w:t>Internal AHJIN orchestration/processing overhead.</w:t>
            </w:r>
          </w:p>
        </w:tc>
        <w:tc>
          <w:tcPr>
            <w:tcW w:type="dxa" w:w="2160"/>
            <w:vAlign w:val="center"/>
          </w:tcPr>
          <w:p>
            <w:r>
              <w:t>No</w:t>
            </w:r>
          </w:p>
        </w:tc>
        <w:tc>
          <w:tcPr>
            <w:tcW w:type="dxa" w:w="2160"/>
            <w:vAlign w:val="center"/>
          </w:tcPr>
          <w:p>
            <w:r>
              <w:t>No</w:t>
            </w:r>
          </w:p>
        </w:tc>
      </w:tr>
      <w:tr>
        <w:tc>
          <w:tcPr>
            <w:tcW w:type="dxa" w:w="2160"/>
            <w:vAlign w:val="center"/>
          </w:tcPr>
          <w:p>
            <w:r>
              <w:t>Tool LLM</w:t>
            </w:r>
          </w:p>
        </w:tc>
        <w:tc>
          <w:tcPr>
            <w:tcW w:type="dxa" w:w="2160"/>
            <w:vAlign w:val="center"/>
          </w:tcPr>
          <w:p>
            <w:r>
              <w:t>Entire Tool Intent Planner stage: all Planner attempts, provider/model time, fallback routing, failures and Planner watchdog time.</w:t>
            </w:r>
          </w:p>
        </w:tc>
        <w:tc>
          <w:tcPr>
            <w:tcW w:type="dxa" w:w="2160"/>
            <w:vAlign w:val="center"/>
          </w:tcPr>
          <w:p>
            <w:r>
              <w:t>Planner: YES</w:t>
            </w:r>
          </w:p>
        </w:tc>
        <w:tc>
          <w:tcPr>
            <w:tcW w:type="dxa" w:w="2160"/>
            <w:vAlign w:val="center"/>
          </w:tcPr>
          <w:p>
            <w:r>
              <w:t>Planner: YES</w:t>
            </w:r>
          </w:p>
        </w:tc>
      </w:tr>
      <w:tr>
        <w:tc>
          <w:tcPr>
            <w:tcW w:type="dxa" w:w="2160"/>
            <w:vAlign w:val="center"/>
          </w:tcPr>
          <w:p>
            <w:r>
              <w:t>Provider</w:t>
            </w:r>
          </w:p>
        </w:tc>
        <w:tc>
          <w:tcPr>
            <w:tcW w:type="dxa" w:w="2160"/>
            <w:vAlign w:val="center"/>
          </w:tcPr>
          <w:p>
            <w:r>
              <w:t>Provider-side latency of the final successful Harness candidate, e.g. OpenRouter, NVIDIA or Ollama.</w:t>
            </w:r>
          </w:p>
        </w:tc>
        <w:tc>
          <w:tcPr>
            <w:tcW w:type="dxa" w:w="2160"/>
            <w:vAlign w:val="center"/>
          </w:tcPr>
          <w:p>
            <w:r>
              <w:t>Only final successful candidate</w:t>
            </w:r>
          </w:p>
        </w:tc>
        <w:tc>
          <w:tcPr>
            <w:tcW w:type="dxa" w:w="2160"/>
            <w:vAlign w:val="center"/>
          </w:tcPr>
          <w:p>
            <w:r>
              <w:t>No failed-candidate watchdog</w:t>
            </w:r>
          </w:p>
        </w:tc>
      </w:tr>
      <w:tr>
        <w:tc>
          <w:tcPr>
            <w:tcW w:type="dxa" w:w="2160"/>
            <w:vAlign w:val="center"/>
          </w:tcPr>
          <w:p>
            <w:r>
              <w:t>Model</w:t>
            </w:r>
          </w:p>
        </w:tc>
        <w:tc>
          <w:tcPr>
            <w:tcW w:type="dxa" w:w="2160"/>
            <w:vAlign w:val="center"/>
          </w:tcPr>
          <w:p>
            <w:r>
              <w:t>Generation/processing latency of the final successful Harness candidate.</w:t>
            </w:r>
          </w:p>
        </w:tc>
        <w:tc>
          <w:tcPr>
            <w:tcW w:type="dxa" w:w="2160"/>
            <w:vAlign w:val="center"/>
          </w:tcPr>
          <w:p>
            <w:r>
              <w:t>Only final successful candidate</w:t>
            </w:r>
          </w:p>
        </w:tc>
        <w:tc>
          <w:tcPr>
            <w:tcW w:type="dxa" w:w="2160"/>
            <w:vAlign w:val="center"/>
          </w:tcPr>
          <w:p>
            <w:r>
              <w:t>No failed-candidate watchdog</w:t>
            </w:r>
          </w:p>
        </w:tc>
      </w:tr>
      <w:tr>
        <w:tc>
          <w:tcPr>
            <w:tcW w:type="dxa" w:w="2160"/>
            <w:vAlign w:val="center"/>
          </w:tcPr>
          <w:p>
            <w:r>
              <w:t>Other</w:t>
            </w:r>
          </w:p>
        </w:tc>
        <w:tc>
          <w:tcPr>
            <w:tcW w:type="dxa" w:w="2160"/>
            <w:vAlign w:val="center"/>
          </w:tcPr>
          <w:p>
            <w:r>
              <w:t>Residual Harness latency: failed Harness attempts, watchdog timeout time, failed-provider/model time, fallback overhead and other residual/unattributed time.</w:t>
            </w:r>
          </w:p>
        </w:tc>
        <w:tc>
          <w:tcPr>
            <w:tcW w:type="dxa" w:w="2160"/>
            <w:vAlign w:val="center"/>
          </w:tcPr>
          <w:p>
            <w:r>
              <w:t>Harness: YES</w:t>
            </w:r>
          </w:p>
        </w:tc>
        <w:tc>
          <w:tcPr>
            <w:tcW w:type="dxa" w:w="2160"/>
            <w:vAlign w:val="center"/>
          </w:tcPr>
          <w:p>
            <w:r>
              <w:t>Harness: YES</w:t>
            </w:r>
          </w:p>
        </w:tc>
      </w:tr>
      <w:tr>
        <w:tc>
          <w:tcPr>
            <w:tcW w:type="dxa" w:w="2160"/>
            <w:vAlign w:val="center"/>
          </w:tcPr>
          <w:p>
            <w:r>
              <w:t>Total</w:t>
            </w:r>
          </w:p>
        </w:tc>
        <w:tc>
          <w:tcPr>
            <w:tcW w:type="dxa" w:w="2160"/>
            <w:vAlign w:val="center"/>
          </w:tcPr>
          <w:p>
            <w:r>
              <w:t>End-to-end request latency.</w:t>
            </w:r>
          </w:p>
        </w:tc>
        <w:tc>
          <w:tcPr>
            <w:tcW w:type="dxa" w:w="2160"/>
            <w:vAlign w:val="center"/>
          </w:tcPr>
          <w:p>
            <w:r>
              <w:t>All stages</w:t>
            </w:r>
          </w:p>
        </w:tc>
        <w:tc>
          <w:tcPr>
            <w:tcW w:type="dxa" w:w="2160"/>
            <w:vAlign w:val="center"/>
          </w:tcPr>
          <w:p>
            <w:r>
              <w:t>All stages</w:t>
            </w:r>
          </w:p>
        </w:tc>
      </w:tr>
    </w:tbl>
    <w:p>
      <w:pPr>
        <w:pStyle w:val="Heading1"/>
      </w:pPr>
      <w:r>
        <w:t>4. Tool LLM — Planner</w:t>
      </w:r>
    </w:p>
    <w:p>
      <w:r>
        <w:t>Tool LLM is a stage-level aggregate for the complete Tool Intent Planner operation. It is not merely the last Planner model's generation time.</w:t>
      </w:r>
    </w:p>
    <w:p>
      <w:pPr>
        <w:pStyle w:val="ListBullet"/>
      </w:pPr>
      <w:r>
        <w:t>Planner candidate selection/routing.</w:t>
      </w:r>
    </w:p>
    <w:p>
      <w:pPr>
        <w:pStyle w:val="ListBullet"/>
      </w:pPr>
      <w:r>
        <w:t>Every Planner provider/model attempt.</w:t>
      </w:r>
    </w:p>
    <w:p>
      <w:pPr>
        <w:pStyle w:val="ListBullet"/>
      </w:pPr>
      <w:r>
        <w:t>Provider startup, queueing and TTFT for Planner attempts.</w:t>
      </w:r>
    </w:p>
    <w:p>
      <w:pPr>
        <w:pStyle w:val="ListBullet"/>
      </w:pPr>
      <w:r>
        <w:t>Planner reasoning and generation.</w:t>
      </w:r>
    </w:p>
    <w:p>
      <w:pPr>
        <w:pStyle w:val="ListBullet"/>
      </w:pPr>
      <w:r>
        <w:t>Planner failures such as HTTP 402.</w:t>
      </w:r>
    </w:p>
    <w:p>
      <w:pPr>
        <w:pStyle w:val="ListBullet"/>
      </w:pPr>
      <w:r>
        <w:t>Planner fallback attempts.</w:t>
      </w:r>
    </w:p>
    <w:p>
      <w:pPr>
        <w:pStyle w:val="ListBullet"/>
      </w:pPr>
      <w:r>
        <w:t>Planner 30-second inactivity watchdog time.</w:t>
      </w:r>
    </w:p>
    <w:p>
      <w:pPr>
        <w:pStyle w:val="ListBullet"/>
      </w:pPr>
      <w:r>
        <w:t>Planner completion and small residual Planner overhead.</w:t>
      </w:r>
    </w:p>
    <w:p>
      <w:r>
        <w:t>Example: MiniMax → 402 → Nemotron Lightning → Planner success. The complete elapsed Planner operation is Tool LLM.</w:t>
      </w:r>
    </w:p>
    <w:p>
      <w:pPr>
        <w:pStyle w:val="Heading1"/>
      </w:pPr>
      <w:r>
        <w:t>5. Planner 30-Second Watchdog</w:t>
      </w:r>
    </w:p>
    <w:p>
      <w:r>
        <w:t>The Planner watchdog is a per-candidate inactivity threshold, not a fixed 30-second delay and not a total Planner wall-clock limit.</w:t>
      </w:r>
    </w:p>
    <w:p>
      <w:pPr>
        <w:pStyle w:val="ListBullet"/>
      </w:pPr>
      <w:r>
        <w:t>Each Planner candidate gets a fresh 30-second inactivity window.</w:t>
      </w:r>
    </w:p>
    <w:p>
      <w:pPr>
        <w:pStyle w:val="ListBullet"/>
      </w:pPr>
      <w:r>
        <w:t>Reasoning chunks count as legitimate progress.</w:t>
      </w:r>
    </w:p>
    <w:p>
      <w:pPr>
        <w:pStyle w:val="ListBullet"/>
      </w:pPr>
      <w:r>
        <w:t>Visible content counts as legitimate progress.</w:t>
      </w:r>
    </w:p>
    <w:p>
      <w:pPr>
        <w:pStyle w:val="ListBullet"/>
      </w:pPr>
      <w:r>
        <w:t>Legitimate stream/SSE progress counts as legitimate progress.</w:t>
      </w:r>
    </w:p>
    <w:p>
      <w:pPr>
        <w:pStyle w:val="ListBullet"/>
      </w:pPr>
      <w:r>
        <w:t>Each progress event resets the inactivity deadline.</w:t>
      </w:r>
    </w:p>
    <w:p>
      <w:pPr>
        <w:pStyle w:val="ListBullet"/>
      </w:pPr>
      <w:r>
        <w:t>Thirty seconds with zero legitimate progress causes a timeout.</w:t>
      </w:r>
    </w:p>
    <w:p>
      <w:pPr>
        <w:pStyle w:val="ListBullet"/>
      </w:pPr>
      <w:r>
        <w:t>The failed candidate is excluded for the current request and the Planner falls back.</w:t>
      </w:r>
    </w:p>
    <w:p>
      <w:pPr>
        <w:pStyle w:val="ListBullet"/>
      </w:pPr>
      <w:r>
        <w:t>The timeout's elapsed time remains inside Tool LLM.</w:t>
      </w:r>
    </w:p>
    <w:p>
      <w:r>
        <w:t>Therefore a Planner can run longer than 30 seconds without timing out if it continuously produces progress.</w:t>
      </w:r>
    </w:p>
    <w:p>
      <w:pPr>
        <w:pStyle w:val="Heading1"/>
      </w:pPr>
      <w:r>
        <w:t>6. Harness — Final Response</w:t>
      </w:r>
    </w:p>
    <w:p>
      <w:r>
        <w:t>Harness is the final-response generation stage. Its latency is represented in the footer through Provider, Model and Other rather than a single Harness row.</w:t>
      </w:r>
    </w:p>
    <w:p>
      <w:pPr>
        <w:pStyle w:val="Heading2"/>
      </w:pPr>
      <w:r>
        <w:t>6.1 Provider</w:t>
      </w:r>
    </w:p>
    <w:p>
      <w:r>
        <w:t>Provider is the provider-side latency attributed to the final successful Harness candidate. This can include request handling, startup/queueing and time-to-first-token or usable response acquisition.</w:t>
      </w:r>
    </w:p>
    <w:p>
      <w:pPr>
        <w:pStyle w:val="ListBullet"/>
      </w:pPr>
      <w:r>
        <w:t>OpenRouter → Provider = OpenRouter.</w:t>
      </w:r>
    </w:p>
    <w:p>
      <w:pPr>
        <w:pStyle w:val="ListBullet"/>
      </w:pPr>
      <w:r>
        <w:t>NVIDIA Direct → Provider = NVIDIA.</w:t>
      </w:r>
    </w:p>
    <w:p>
      <w:pPr>
        <w:pStyle w:val="ListBullet"/>
      </w:pPr>
      <w:r>
        <w:t>Ollama → Provider = Ollama; this is still a provider even though execution is local.</w:t>
      </w:r>
    </w:p>
    <w:p>
      <w:pPr>
        <w:pStyle w:val="Heading2"/>
      </w:pPr>
      <w:r>
        <w:t>6.2 Model</w:t>
      </w:r>
    </w:p>
    <w:p>
      <w:r>
        <w:t>Model is the generation/processing latency attributed to the final successful Harness model after generation begins. It does not represent the provider's queue/startup wait.</w:t>
      </w:r>
    </w:p>
    <w:p>
      <w:pPr>
        <w:pStyle w:val="Heading2"/>
      </w:pPr>
      <w:r>
        <w:t>6.3 Other</w:t>
      </w:r>
    </w:p>
    <w:p>
      <w:r>
        <w:t>Other is a residual attribution bucket. It is not exclusively watchdog time.</w:t>
      </w:r>
    </w:p>
    <w:p>
      <w:pPr>
        <w:pStyle w:val="ListBullet"/>
      </w:pPr>
      <w:r>
        <w:t>Failed Harness candidate elapsed time.</w:t>
      </w:r>
    </w:p>
    <w:p>
      <w:pPr>
        <w:pStyle w:val="ListBullet"/>
      </w:pPr>
      <w:r>
        <w:t>Harness 30-second inactivity watchdog time.</w:t>
      </w:r>
    </w:p>
    <w:p>
      <w:pPr>
        <w:pStyle w:val="ListBullet"/>
      </w:pPr>
      <w:r>
        <w:t>Failed-provider/model time from candidates that did not become the final successful candidate.</w:t>
      </w:r>
    </w:p>
    <w:p>
      <w:pPr>
        <w:pStyle w:val="ListBullet"/>
      </w:pPr>
      <w:r>
        <w:t>Harness fallback/routing overhead.</w:t>
      </w:r>
    </w:p>
    <w:p>
      <w:pPr>
        <w:pStyle w:val="ListBullet"/>
      </w:pPr>
      <w:r>
        <w:t>Small residual or otherwise unattributed timing.</w:t>
      </w:r>
    </w:p>
    <w:p>
      <w:r>
        <w:t>In the observed traces, large Other values are primarily caused by one or more Harness candidates consuming the full 30-second inactivity watchdog.</w:t>
      </w:r>
    </w:p>
    <w:p>
      <w:pPr>
        <w:pStyle w:val="Heading1"/>
      </w:pPr>
      <w:r>
        <w:t>7. Harness 30-Second Watchdog</w:t>
      </w:r>
    </w:p>
    <w:p>
      <w:r>
        <w:t>Harness uses the same per-candidate inactivity principle. Progress keeps a candidate alive; silence for 30 seconds causes fallback.</w:t>
      </w:r>
    </w:p>
    <w:p>
      <w:pPr>
        <w:pStyle w:val="ListBullet"/>
      </w:pPr>
      <w:r>
        <w:t>Reasoning activity resets the timer.</w:t>
      </w:r>
    </w:p>
    <w:p>
      <w:pPr>
        <w:pStyle w:val="ListBullet"/>
      </w:pPr>
      <w:r>
        <w:t>Visible content resets the timer.</w:t>
      </w:r>
    </w:p>
    <w:p>
      <w:pPr>
        <w:pStyle w:val="ListBullet"/>
      </w:pPr>
      <w:r>
        <w:t>Legitimate stream/SSE progress resets the timer.</w:t>
      </w:r>
    </w:p>
    <w:p>
      <w:pPr>
        <w:pStyle w:val="ListBullet"/>
      </w:pPr>
      <w:r>
        <w:t>30 seconds of zero progress → candidate timeout.</w:t>
      </w:r>
    </w:p>
    <w:p>
      <w:pPr>
        <w:pStyle w:val="ListBullet"/>
      </w:pPr>
      <w:r>
        <w:t>The candidate is recorded as failed and excluded for the current request.</w:t>
      </w:r>
    </w:p>
    <w:p>
      <w:pPr>
        <w:pStyle w:val="ListBullet"/>
      </w:pPr>
      <w:r>
        <w:t>The Harness continues to the next eligible candidate.</w:t>
      </w:r>
    </w:p>
    <w:p>
      <w:pPr>
        <w:pStyle w:val="ListBullet"/>
      </w:pPr>
      <w:r>
        <w:t>The failed candidate's elapsed time contributes to Other.</w:t>
      </w:r>
    </w:p>
    <w:p>
      <w:pPr>
        <w:pStyle w:val="Heading1"/>
      </w:pPr>
      <w:r>
        <w:t>8. Same Model Back-to-Back</w:t>
      </w:r>
    </w:p>
    <w:p>
      <w:r>
        <w:t>Planner and Harness can call the same model/provider consecutively, but each is a new LLM request. The second request does not inherit the first request's provider latency, stream progress or watchdog state.</w:t>
      </w:r>
    </w:p>
    <w:p>
      <w:r>
        <w:t>Example: Planner → Nemotron Lightning succeeds; Harness → Nemotron Lightning is a new request and can independently experience provider wait or a 30-second inactivity timeout.</w:t>
      </w:r>
    </w:p>
    <w:p>
      <w:pPr>
        <w:pStyle w:val="Heading1"/>
      </w:pPr>
      <w:r>
        <w:t>9. Worked Example — 12:52 HI</w:t>
      </w:r>
    </w:p>
    <w:p>
      <w:r>
        <w:t>Observed Total: 210,953 ms (≈210.95 s).</w:t>
      </w:r>
    </w:p>
    <w:p>
      <w:r>
        <w:t>Planner chain:</w:t>
      </w:r>
    </w:p>
    <w:p>
      <w:pPr>
        <w:pStyle w:val="ListBullet"/>
      </w:pPr>
      <w:r>
        <w:t>MiniMax M3 → 402</w:t>
      </w:r>
    </w:p>
    <w:p>
      <w:pPr>
        <w:pStyle w:val="ListBullet"/>
      </w:pPr>
      <w:r>
        <w:t>Nemotron 3.5 Lightning → 30s inactivity watchdog</w:t>
      </w:r>
    </w:p>
    <w:p>
      <w:pPr>
        <w:pStyle w:val="ListBullet"/>
      </w:pPr>
      <w:r>
        <w:t>Nemotron Lightning 30B → 30s inactivity watchdog</w:t>
      </w:r>
    </w:p>
    <w:p>
      <w:pPr>
        <w:pStyle w:val="ListBullet"/>
      </w:pPr>
      <w:r>
        <w:t>Gemma 3 4B → 30s inactivity watchdog</w:t>
      </w:r>
    </w:p>
    <w:p>
      <w:pPr>
        <w:pStyle w:val="ListBullet"/>
      </w:pPr>
      <w:r>
        <w:t>Nemotron Ultra → 30s inactivity watchdog</w:t>
      </w:r>
    </w:p>
    <w:p>
      <w:pPr>
        <w:pStyle w:val="ListBullet"/>
      </w:pPr>
      <w:r>
        <w:t>Nemotron Ultra 550B → 30s inactivity watchdog</w:t>
      </w:r>
    </w:p>
    <w:p>
      <w:pPr>
        <w:pStyle w:val="ListBullet"/>
      </w:pPr>
      <w:r>
        <w:t>Kimi K3 → success</w:t>
      </w:r>
    </w:p>
    <w:p>
      <w:r>
        <w:t>Tool LLM = 173,050 ms. This includes the Planner's failures, five 30-second watchdog periods, fallback routing and the successful Kimi Planner attempt.</w:t>
      </w:r>
    </w:p>
    <w:p>
      <w:r>
        <w:t>Harness chain:</w:t>
      </w:r>
    </w:p>
    <w:p>
      <w:pPr>
        <w:pStyle w:val="ListBullet"/>
      </w:pPr>
      <w:r>
        <w:t>MiniMax M3 → 402</w:t>
      </w:r>
    </w:p>
    <w:p>
      <w:pPr>
        <w:pStyle w:val="ListBullet"/>
      </w:pPr>
      <w:r>
        <w:t>Nemotron 3.5 Lightning → success</w:t>
      </w:r>
    </w:p>
    <w:p>
      <w:r>
        <w:t>Provider = 34,312 ms and Model = 1,438 ms describe the final successful Nemotron Lightning Harness request. Other = 2,151 ms is small because no Harness candidate hit the 30-second watchdog.</w:t>
      </w:r>
    </w:p>
    <w:p>
      <w:pPr>
        <w:pStyle w:val="Heading1"/>
      </w:pPr>
      <w:r>
        <w:t>10. Reading the Footer</w:t>
      </w:r>
    </w:p>
    <w:p>
      <w:pPr>
        <w:pStyle w:val="ListBullet"/>
      </w:pPr>
      <w:r>
        <w:t>High Tool LLM → Planner or Planner fallback consumed the time.</w:t>
      </w:r>
    </w:p>
    <w:p>
      <w:pPr>
        <w:pStyle w:val="ListBullet"/>
      </w:pPr>
      <w:r>
        <w:t>High Provider → the final successful Harness provider had significant startup/queue/TTFT latency.</w:t>
      </w:r>
    </w:p>
    <w:p>
      <w:pPr>
        <w:pStyle w:val="ListBullet"/>
      </w:pPr>
      <w:r>
        <w:t>High Model → the final successful Harness model spent significant time generating/processing.</w:t>
      </w:r>
    </w:p>
    <w:p>
      <w:pPr>
        <w:pStyle w:val="ListBullet"/>
      </w:pPr>
      <w:r>
        <w:t>Other ≈ 30 s → typically one Harness candidate hit the 30-second watchdog.</w:t>
      </w:r>
    </w:p>
    <w:p>
      <w:pPr>
        <w:pStyle w:val="ListBullet"/>
      </w:pPr>
      <w:r>
        <w:t>Other ≈ 60 s → typically two Harness candidates hit the 30-second watchdog.</w:t>
      </w:r>
    </w:p>
    <w:p>
      <w:pPr>
        <w:pStyle w:val="ListBullet"/>
      </w:pPr>
      <w:r>
        <w:t>Other is not guaranteed to equal an exact multiple of 30 s because failed 402s, fallback overhead and residual time can also contribute.</w:t>
      </w:r>
    </w:p>
    <w:p>
      <w:pPr>
        <w:pStyle w:val="ListBullet"/>
      </w:pPr>
      <w:r>
        <w:t>Total = complete end-to-end request latency.</w:t>
      </w:r>
    </w:p>
    <w:p>
      <w:pPr>
        <w:pStyle w:val="Heading1"/>
      </w:pPr>
      <w:r>
        <w:t>11. Quick Reference</w:t>
      </w:r>
    </w:p>
    <w:p>
      <w:r>
        <w:t>TOOL LLM = entire Planner operation, including Planner fallback and Planner watchdog time.</w:t>
        <w:br/>
        <w:t>PROVIDER = provider-side latency of the final successful Harness candidate.</w:t>
        <w:br/>
        <w:t>MODEL = generation latency of the final successful Harness candidate.</w:t>
        <w:br/>
        <w:t>OTHER = failed Harness attempts + Harness watchdog time + fallback/residual overhead.</w:t>
        <w:br/>
        <w:t>TOTAL = complete end-to-end request latency.</w:t>
      </w:r>
    </w:p>
    <w:p>
      <w:pPr>
        <w:pStyle w:val="Heading1"/>
      </w:pPr>
      <w:r>
        <w:t>12. Core Principle</w:t>
      </w:r>
    </w:p>
    <w:p>
      <w:r>
        <w:t>The 30-second watchdog is not a mandatory wait. It is the maximum allowed period of inactivity for one candidate. If legitimate reasoning/content/stream progress arrives, the timer resets. A candidate only times out after 30 seconds of continuous silence.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