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conclusion, this project aimed to develop a spam mail detection system using the Naive Bayes classifier. Through the implementation and evaluation of the classifier, we have achieved promising results in accurately identifying spam emails.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started by preprocessing the email data, including text normalization, tokenization, and removing stop words. This step helped in reducing noise and improving the efficiency of the classification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Next, we trained the Naive Bayes classifier on a labeled dataset consisting of both spam and non-spam emails. The classifier learned the probabilistic relationships between different features and their respective classes, allowing it to make predictions on unseen emails.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the evaluation phase, we used various metrics such as precision, recall, and F1 score to assess the performance of the classifier. Our results showed a high accuracy rate, indicating that the Naive Bayes classifier is effective in distinguishing between spam and non-spam emails.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Additionally, we explored the impact of feature selection techniques, such as term frequency-inverse document frequency (CountVectorizer), in improving the classification accuracy. By considering the relevance and importance of each term in the emails, CountVectorizer helped to enhance the discriminatory power of the classifier.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is worth noting that while the Naive Bayes classifier demonstrated good performance, there are still some limitations to consider. The assumption of independence between features may not hold true in all cases, and the presence of certain complex spamming techniques could challenge the classifier's effectiveness. Further research and experimentation could be conducted to address these limitations and enhance the overall performance of the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conclusion, this project provides a solid foundation for spam mail detection using the Naive Bayes classifier. The developed system showcases promising results and serves as a starting point for future advancements in the field. By incorporating more sophisticated techniques and exploring additional features, we can continue to improve the accuracy and efficiency of spam mail detection systems, thereby contributing to a safer and more reliable email communication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note that this is a sample conclusion and you can modify it according to the specific findings and outcomes of your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