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DCC19">
      <w:pPr>
        <w:jc w:val="center"/>
      </w:pPr>
      <w:r>
        <w:rPr>
          <w:b/>
          <w:bCs/>
        </w:rPr>
        <w:t>Project Design Phase</w:t>
      </w:r>
    </w:p>
    <w:p w14:paraId="461BC70E">
      <w:pPr>
        <w:jc w:val="center"/>
      </w:pPr>
      <w:r>
        <w:rPr>
          <w:b/>
          <w:bCs/>
        </w:rPr>
        <w:t>Proposed Solution Template</w:t>
      </w:r>
    </w:p>
    <w:p w14:paraId="32B0341C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7669"/>
      </w:tblGrid>
      <w:tr w14:paraId="7A498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BEFB6">
            <w:r>
              <w:t>Date</w:t>
            </w:r>
          </w:p>
        </w:tc>
        <w:tc>
          <w:tcPr>
            <w:tcW w:w="7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7F548">
            <w:r>
              <w:t>30 September 2026</w:t>
            </w:r>
          </w:p>
        </w:tc>
      </w:tr>
      <w:tr w14:paraId="5DDC5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302D8">
            <w:r>
              <w:t>Team ID</w:t>
            </w:r>
          </w:p>
        </w:tc>
        <w:tc>
          <w:tcPr>
            <w:tcW w:w="7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118AB">
            <w:r>
              <w:t>SWTID-2026-</w:t>
            </w:r>
            <w:r>
              <w:rPr>
                <w:rFonts w:hint="default"/>
                <w:lang w:val="en-US"/>
              </w:rPr>
              <w:t>7082</w:t>
            </w:r>
            <w:bookmarkStart w:id="0" w:name="_GoBack"/>
            <w:bookmarkEnd w:id="0"/>
          </w:p>
        </w:tc>
      </w:tr>
      <w:tr w14:paraId="0AF96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EC7DD">
            <w:r>
              <w:t>Project Name</w:t>
            </w:r>
          </w:p>
        </w:tc>
        <w:tc>
          <w:tcPr>
            <w:tcW w:w="7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660B9">
            <w:r>
              <w:t>Import Data using Transform Maps (Spreadsheet)</w:t>
            </w:r>
          </w:p>
        </w:tc>
      </w:tr>
      <w:tr w14:paraId="40DF4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343D0">
            <w:r>
              <w:t>Maximum Marks</w:t>
            </w:r>
          </w:p>
        </w:tc>
        <w:tc>
          <w:tcPr>
            <w:tcW w:w="7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D4B52">
            <w:r>
              <w:t>2 Marks</w:t>
            </w:r>
          </w:p>
        </w:tc>
      </w:tr>
    </w:tbl>
    <w:p w14:paraId="5AA73CDB">
      <w:pPr>
        <w:spacing w:line="240" w:lineRule="auto"/>
      </w:pPr>
    </w:p>
    <w:p w14:paraId="5CD689C1">
      <w:pPr>
        <w:spacing w:line="240" w:lineRule="auto"/>
        <w:rPr>
          <w:b/>
          <w:bCs/>
        </w:rPr>
      </w:pPr>
      <w:r>
        <w:rPr>
          <w:b/>
          <w:bCs/>
        </w:rPr>
        <w:t>Proposed Solution Template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2327"/>
        <w:gridCol w:w="6113"/>
      </w:tblGrid>
      <w:tr w14:paraId="3D23F0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F960B">
            <w:pPr>
              <w:spacing w:line="240" w:lineRule="auto"/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BF12C">
            <w:pPr>
              <w:spacing w:line="240" w:lineRule="auto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00246">
            <w:pPr>
              <w:spacing w:line="24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7307D8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96E84">
            <w:pPr>
              <w:spacing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1770D">
            <w:pPr>
              <w:spacing w:line="240" w:lineRule="auto"/>
            </w:pPr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0F0F0">
            <w:pPr>
              <w:spacing w:line="240" w:lineRule="auto"/>
            </w:pPr>
            <w:r>
              <w:t>Bulk inserting or updating records in ServiceNow from external spreadsheets often suffers from incomplete data, formatting mismatches, and duplicated entries when relying on manual entry or unmapped imports.</w:t>
            </w:r>
          </w:p>
        </w:tc>
      </w:tr>
    </w:tbl>
    <w:p w14:paraId="0EF7E1F6">
      <w:pPr>
        <w:spacing w:line="240" w:lineRule="auto"/>
      </w:pPr>
      <w:r>
        <w:br w:type="textWrapping"/>
      </w:r>
    </w:p>
    <w:p w14:paraId="56A44440">
      <w:pPr>
        <w:spacing w:line="240" w:lineRule="auto"/>
      </w:pPr>
      <w:r>
        <w:t>This lack of an automated staging and validation process leads to corrupted databases, orphaned reference data, inaccurate reporting, and massive administrative time wasted on data cleanup. |</w:t>
      </w:r>
    </w:p>
    <w:p w14:paraId="76DB39B1">
      <w:pPr>
        <w:spacing w:line="240" w:lineRule="auto"/>
      </w:pPr>
      <w:r>
        <w:t xml:space="preserve">| </w:t>
      </w:r>
      <w:r>
        <w:rPr>
          <w:b/>
          <w:bCs/>
        </w:rPr>
        <w:t>2</w:t>
      </w:r>
      <w:r>
        <w:t xml:space="preserve"> | </w:t>
      </w:r>
      <w:r>
        <w:rPr>
          <w:b/>
          <w:bCs/>
        </w:rPr>
        <w:t>Idea / Solution description</w:t>
      </w:r>
      <w:r>
        <w:t xml:space="preserve"> | Implementation of an automated, staged data import pipeline using ServiceNow Import Sets and Transform Maps to enforce data integrity at the database level:</w:t>
      </w:r>
    </w:p>
    <w:p w14:paraId="53413176">
      <w:pPr>
        <w:spacing w:line="240" w:lineRule="auto"/>
      </w:pPr>
      <w:r>
        <w:br w:type="textWrapping"/>
      </w:r>
      <w:r>
        <w:br w:type="textWrapping"/>
      </w:r>
    </w:p>
    <w:p w14:paraId="071366F2">
      <w:pPr>
        <w:spacing w:line="240" w:lineRule="auto"/>
      </w:pPr>
      <w:r>
        <w:t xml:space="preserve">• </w:t>
      </w:r>
      <w:r>
        <w:rPr>
          <w:b/>
          <w:bCs/>
        </w:rPr>
        <w:t>Data Sources &amp; Import Sets:</w:t>
      </w:r>
      <w:r>
        <w:t xml:space="preserve"> Loads raw spreadsheet data into a secure, temporary staging table before it touches the live production database.</w:t>
      </w:r>
    </w:p>
    <w:p w14:paraId="0E60F4AF">
      <w:pPr>
        <w:spacing w:line="240" w:lineRule="auto"/>
      </w:pPr>
      <w:r>
        <w:br w:type="textWrapping"/>
      </w:r>
    </w:p>
    <w:p w14:paraId="38979BD7">
      <w:pPr>
        <w:spacing w:line="240" w:lineRule="auto"/>
      </w:pPr>
      <w:r>
        <w:t xml:space="preserve">• </w:t>
      </w:r>
      <w:r>
        <w:rPr>
          <w:b/>
          <w:bCs/>
        </w:rPr>
        <w:t>Transform Maps (Field Mapping):</w:t>
      </w:r>
      <w:r>
        <w:t xml:space="preserve"> Automatically or manually maps source spreadsheet columns to the correct target table fields.</w:t>
      </w:r>
    </w:p>
    <w:p w14:paraId="2B425EC6">
      <w:pPr>
        <w:spacing w:line="240" w:lineRule="auto"/>
      </w:pPr>
      <w:r>
        <w:br w:type="textWrapping"/>
      </w:r>
    </w:p>
    <w:p w14:paraId="2C3A9956">
      <w:pPr>
        <w:spacing w:line="240" w:lineRule="auto"/>
      </w:pPr>
      <w:r>
        <w:t xml:space="preserve">• </w:t>
      </w:r>
      <w:r>
        <w:rPr>
          <w:b/>
          <w:bCs/>
        </w:rPr>
        <w:t>Coalesce Configuration:</w:t>
      </w:r>
      <w:r>
        <w:t xml:space="preserve"> Sets unique identifiers (e.g., Email or Asset Tag) to automatically update existing records, preventing duplicates.</w:t>
      </w:r>
    </w:p>
    <w:p w14:paraId="5F19560D">
      <w:pPr>
        <w:spacing w:line="240" w:lineRule="auto"/>
      </w:pPr>
      <w:r>
        <w:br w:type="textWrapping"/>
      </w:r>
    </w:p>
    <w:p w14:paraId="6A071A72">
      <w:pPr>
        <w:spacing w:line="240" w:lineRule="auto"/>
      </w:pPr>
      <w:r>
        <w:t xml:space="preserve">• </w:t>
      </w:r>
      <w:r>
        <w:rPr>
          <w:b/>
          <w:bCs/>
        </w:rPr>
        <w:t>Choice Action Rules:</w:t>
      </w:r>
      <w:r>
        <w:t xml:space="preserve"> Defines strict behaviors (Create, Ignore, Reject) for rows containing un-matched reference data.</w:t>
      </w:r>
    </w:p>
    <w:p w14:paraId="2D8E6C92">
      <w:pPr>
        <w:spacing w:line="240" w:lineRule="auto"/>
      </w:pPr>
      <w:r>
        <w:br w:type="textWrapping"/>
      </w:r>
    </w:p>
    <w:p w14:paraId="4BE7D8C2">
      <w:pPr>
        <w:spacing w:line="240" w:lineRule="auto"/>
      </w:pPr>
      <w:r>
        <w:t xml:space="preserve">• </w:t>
      </w:r>
      <w:r>
        <w:rPr>
          <w:b/>
          <w:bCs/>
        </w:rPr>
        <w:t>Transform Scripts:</w:t>
      </w:r>
      <w:r>
        <w:t xml:space="preserve"> Utilizes server-side scripts (e.g., onBefore, Field-level) to programmatically clean, format, or validate data (like standardizing dates or text casing) during the transformation process. |</w:t>
      </w:r>
    </w:p>
    <w:p w14:paraId="18735B67">
      <w:pPr>
        <w:spacing w:line="240" w:lineRule="auto"/>
      </w:pPr>
      <w:r>
        <w:t xml:space="preserve">| </w:t>
      </w:r>
      <w:r>
        <w:rPr>
          <w:b/>
          <w:bCs/>
        </w:rPr>
        <w:t>3</w:t>
      </w:r>
      <w:r>
        <w:t xml:space="preserve"> | </w:t>
      </w:r>
      <w:r>
        <w:rPr>
          <w:b/>
          <w:bCs/>
        </w:rPr>
        <w:t>Novelty / Uniqueness</w:t>
      </w:r>
      <w:r>
        <w:t xml:space="preserve"> | Combines out-of-the-box declarative mapping capabilities (Mapping Assist) with programmatic server-side Transform Scripts for advanced data manipulation.</w:t>
      </w:r>
    </w:p>
    <w:p w14:paraId="1C86387D">
      <w:pPr>
        <w:spacing w:line="240" w:lineRule="auto"/>
      </w:pPr>
      <w:r>
        <w:br w:type="textWrapping"/>
      </w:r>
      <w:r>
        <w:br w:type="textWrapping"/>
      </w:r>
    </w:p>
    <w:p w14:paraId="6431E47B">
      <w:pPr>
        <w:spacing w:line="240" w:lineRule="auto"/>
      </w:pPr>
      <w:r>
        <w:t xml:space="preserve">Provides a highly secure "buffer" architecture via the Import Set staging table, ensuring that invalid, malformed, or risky spreadsheet data can be caught, reviewed in the Transform Logs, and discarded </w:t>
      </w:r>
      <w:r>
        <w:rPr>
          <w:i/>
          <w:iCs/>
        </w:rPr>
        <w:t>before</w:t>
      </w:r>
      <w:r>
        <w:t xml:space="preserve"> it can corrupt the live system database. |</w:t>
      </w:r>
    </w:p>
    <w:p w14:paraId="6917310D">
      <w:pPr>
        <w:spacing w:line="240" w:lineRule="auto"/>
      </w:pPr>
      <w:r>
        <w:t xml:space="preserve">| </w:t>
      </w:r>
      <w:r>
        <w:rPr>
          <w:b/>
          <w:bCs/>
        </w:rPr>
        <w:t>4</w:t>
      </w:r>
      <w:r>
        <w:t xml:space="preserve"> | </w:t>
      </w:r>
      <w:r>
        <w:rPr>
          <w:b/>
          <w:bCs/>
        </w:rPr>
        <w:t>Social Impact / Customer Satisfaction</w:t>
      </w:r>
      <w:r>
        <w:t xml:space="preserve"> | Drastically improves administrative operational efficiency and overall data reliability for the enterprise.</w:t>
      </w:r>
    </w:p>
    <w:p w14:paraId="39C1AEEB">
      <w:pPr>
        <w:spacing w:line="240" w:lineRule="auto"/>
      </w:pPr>
      <w:r>
        <w:br w:type="textWrapping"/>
      </w:r>
      <w:r>
        <w:br w:type="textWrapping"/>
      </w:r>
    </w:p>
    <w:p w14:paraId="56603620">
      <w:pPr>
        <w:spacing w:line="240" w:lineRule="auto"/>
      </w:pPr>
      <w:r>
        <w:t>By eliminating manual data entry, IT staff and data managers are freed from tedious, fatigue-inducing tasks. Stakeholders experience higher satisfaction because critical system data (such as user profiles, asset inventories, or bulk incident creations) is updated rapidly, accurately, and without business disruption. |</w:t>
      </w:r>
    </w:p>
    <w:p w14:paraId="440951C7">
      <w:pPr>
        <w:spacing w:line="240" w:lineRule="auto"/>
      </w:pPr>
      <w:r>
        <w:t xml:space="preserve">| </w:t>
      </w:r>
      <w:r>
        <w:rPr>
          <w:b/>
          <w:bCs/>
        </w:rPr>
        <w:t>5</w:t>
      </w:r>
      <w:r>
        <w:t xml:space="preserve"> | </w:t>
      </w:r>
      <w:r>
        <w:rPr>
          <w:b/>
          <w:bCs/>
        </w:rPr>
        <w:t>Business Model (Revenue Model)</w:t>
      </w:r>
      <w:r>
        <w:t xml:space="preserve"> | Internal Enterprise OPEX Optimization &amp; Cost Avoidance Model:</w:t>
      </w:r>
    </w:p>
    <w:p w14:paraId="34930534">
      <w:pPr>
        <w:spacing w:line="240" w:lineRule="auto"/>
      </w:pPr>
      <w:r>
        <w:br w:type="textWrapping"/>
      </w:r>
      <w:r>
        <w:br w:type="textWrapping"/>
      </w:r>
    </w:p>
    <w:p w14:paraId="073B616E">
      <w:pPr>
        <w:spacing w:line="240" w:lineRule="auto"/>
      </w:pPr>
      <w:r>
        <w:t>• Eliminates thousands of hours of manual administrative labor, significantly reducing operational expenses associated with data management.</w:t>
      </w:r>
    </w:p>
    <w:p w14:paraId="0C155BA8">
      <w:pPr>
        <w:spacing w:line="240" w:lineRule="auto"/>
      </w:pPr>
      <w:r>
        <w:br w:type="textWrapping"/>
      </w:r>
    </w:p>
    <w:p w14:paraId="2A69F354">
      <w:pPr>
        <w:spacing w:line="240" w:lineRule="auto"/>
      </w:pPr>
      <w:r>
        <w:t>• Prevents costly, time-consuming database remediation and cleanup projects caused by duplicate or malformed records.</w:t>
      </w:r>
    </w:p>
    <w:p w14:paraId="3DA8B94E">
      <w:pPr>
        <w:spacing w:line="240" w:lineRule="auto"/>
      </w:pPr>
      <w:r>
        <w:br w:type="textWrapping"/>
      </w:r>
    </w:p>
    <w:p w14:paraId="0CD9AC5F">
      <w:pPr>
        <w:spacing w:line="240" w:lineRule="auto"/>
      </w:pPr>
      <w:r>
        <w:t>• Maximizes ROI on the ServiceNow platform by ensuring pristine data quality, which is critical for accurate analytics, billing, and SLA tracking. |</w:t>
      </w:r>
    </w:p>
    <w:p w14:paraId="15B6737C">
      <w:pPr>
        <w:spacing w:line="240" w:lineRule="auto"/>
      </w:pPr>
      <w:r>
        <w:t xml:space="preserve">| </w:t>
      </w:r>
      <w:r>
        <w:rPr>
          <w:b/>
          <w:bCs/>
        </w:rPr>
        <w:t>6</w:t>
      </w:r>
      <w:r>
        <w:t xml:space="preserve"> | </w:t>
      </w:r>
      <w:r>
        <w:rPr>
          <w:b/>
          <w:bCs/>
        </w:rPr>
        <w:t>Scalability of the Solution</w:t>
      </w:r>
      <w:r>
        <w:t xml:space="preserve"> | Highly scalable across the entire ServiceNow platform environment.</w:t>
      </w:r>
    </w:p>
    <w:p w14:paraId="13790DA7">
      <w:pPr>
        <w:spacing w:line="240" w:lineRule="auto"/>
      </w:pPr>
      <w:r>
        <w:br w:type="textWrapping"/>
      </w:r>
      <w:r>
        <w:br w:type="textWrapping"/>
      </w:r>
    </w:p>
    <w:p w14:paraId="260D7C96">
      <w:pPr>
        <w:spacing w:line="240" w:lineRule="auto"/>
      </w:pPr>
      <w:r>
        <w:t>The Import Set and Transform Map architecture can be easily adapted to populate any core or custom table (e.g., CMDB CI records, User Administration, Hardware Assets, HR profiles).</w:t>
      </w:r>
    </w:p>
    <w:p w14:paraId="6E7153D1">
      <w:pPr>
        <w:spacing w:line="240" w:lineRule="auto"/>
      </w:pPr>
      <w:r>
        <w:br w:type="textWrapping"/>
      </w:r>
      <w:r>
        <w:br w:type="textWrapping"/>
      </w:r>
    </w:p>
    <w:p w14:paraId="0CA96427">
      <w:pPr>
        <w:spacing w:line="240" w:lineRule="auto"/>
      </w:pPr>
      <w:r>
        <w:t>It easily scales horizontally to handle massive datasets containing hundreds of thousands of rows, and can be easily upgraded into "Scheduled Data Imports" for recurring, fully automated system integrations. |</w:t>
      </w:r>
    </w:p>
    <w:p w14:paraId="25DE1362">
      <w:pPr>
        <w:spacing w:line="240" w:lineRule="auto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894"/>
    <w:rsid w:val="00027894"/>
    <w:rsid w:val="005944DC"/>
    <w:rsid w:val="005B0703"/>
    <w:rsid w:val="007454A6"/>
    <w:rsid w:val="00833792"/>
    <w:rsid w:val="1852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497</Words>
  <Characters>3028</Characters>
  <Lines>25</Lines>
  <Paragraphs>7</Paragraphs>
  <TotalTime>0</TotalTime>
  <ScaleCrop>false</ScaleCrop>
  <LinksUpToDate>false</LinksUpToDate>
  <CharactersWithSpaces>3490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2026-10-03T06:15:00Z</dcterms:created>
  <dc:creator>Hari Haran</dc:creator>
  <cp:lastModifiedBy>PK</cp:lastModifiedBy>
  <dcterms:modified xsi:type="dcterms:W3CDTF">2026-10-03T09:20:44Z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9097CDCC100048D9B22CE06693DDB28C_13</vt:lpwstr>
  </property>
</Properties>
</file>