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D32CF">
      <w:pPr>
        <w:spacing w:line="240" w:lineRule="auto"/>
        <w:jc w:val="center"/>
        <w:rPr>
          <w:sz w:val="32"/>
          <w:szCs w:val="32"/>
        </w:rPr>
      </w:pPr>
      <w:r>
        <w:rPr>
          <w:b/>
          <w:bCs/>
          <w:sz w:val="32"/>
          <w:szCs w:val="32"/>
        </w:rPr>
        <w:t>Project Design Phase</w:t>
      </w:r>
    </w:p>
    <w:p w14:paraId="0422F436">
      <w:pPr>
        <w:spacing w:line="240" w:lineRule="auto"/>
        <w:jc w:val="center"/>
        <w:rPr>
          <w:sz w:val="32"/>
          <w:szCs w:val="32"/>
        </w:rPr>
      </w:pPr>
      <w:r>
        <w:rPr>
          <w:b/>
          <w:bCs/>
          <w:sz w:val="32"/>
          <w:szCs w:val="32"/>
        </w:rPr>
        <w:t>Solution Architecture</w:t>
      </w:r>
    </w:p>
    <w:p w14:paraId="4BFF7A42">
      <w:pPr>
        <w:spacing w:line="240" w:lineRule="auto"/>
      </w:pPr>
    </w:p>
    <w:tbl>
      <w:tblPr>
        <w:tblStyle w:val="12"/>
        <w:tblW w:w="10456" w:type="dxa"/>
        <w:tblInd w:w="-724" w:type="dxa"/>
        <w:tblLayout w:type="autofit"/>
        <w:tblCellMar>
          <w:top w:w="0" w:type="dxa"/>
          <w:left w:w="108" w:type="dxa"/>
          <w:bottom w:w="0" w:type="dxa"/>
          <w:right w:w="108" w:type="dxa"/>
        </w:tblCellMar>
      </w:tblPr>
      <w:tblGrid>
        <w:gridCol w:w="1795"/>
        <w:gridCol w:w="8661"/>
      </w:tblGrid>
      <w:tr w14:paraId="7D27D547">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Pr>
          <w:p w14:paraId="23020A20">
            <w:pPr>
              <w:spacing w:line="240" w:lineRule="auto"/>
            </w:pPr>
            <w:r>
              <w:t>Date</w:t>
            </w:r>
          </w:p>
        </w:tc>
        <w:tc>
          <w:tcPr>
            <w:tcW w:w="8661" w:type="dxa"/>
            <w:tcBorders>
              <w:top w:val="single" w:color="000000" w:sz="4" w:space="0"/>
              <w:left w:val="single" w:color="000000" w:sz="4" w:space="0"/>
              <w:bottom w:val="single" w:color="000000" w:sz="4" w:space="0"/>
              <w:right w:val="single" w:color="000000" w:sz="4" w:space="0"/>
            </w:tcBorders>
          </w:tcPr>
          <w:p w14:paraId="204B206E">
            <w:pPr>
              <w:spacing w:line="240" w:lineRule="auto"/>
            </w:pPr>
            <w:r>
              <w:t>30 September 2026</w:t>
            </w:r>
          </w:p>
        </w:tc>
      </w:tr>
      <w:tr w14:paraId="1C9438AE">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Pr>
          <w:p w14:paraId="7C2E0345">
            <w:pPr>
              <w:spacing w:line="240" w:lineRule="auto"/>
            </w:pPr>
            <w:r>
              <w:t>Team ID</w:t>
            </w:r>
          </w:p>
        </w:tc>
        <w:tc>
          <w:tcPr>
            <w:tcW w:w="8661" w:type="dxa"/>
            <w:tcBorders>
              <w:top w:val="single" w:color="000000" w:sz="4" w:space="0"/>
              <w:left w:val="single" w:color="000000" w:sz="4" w:space="0"/>
              <w:bottom w:val="single" w:color="000000" w:sz="4" w:space="0"/>
              <w:right w:val="single" w:color="000000" w:sz="4" w:space="0"/>
            </w:tcBorders>
          </w:tcPr>
          <w:p w14:paraId="0C405F49">
            <w:pPr>
              <w:spacing w:line="240" w:lineRule="auto"/>
            </w:pPr>
            <w:r>
              <w:t>SWTID-2026-</w:t>
            </w:r>
            <w:r>
              <w:rPr>
                <w:rFonts w:hint="default"/>
                <w:lang w:val="en-US"/>
              </w:rPr>
              <w:t>7082</w:t>
            </w:r>
            <w:bookmarkStart w:id="0" w:name="_GoBack"/>
            <w:bookmarkEnd w:id="0"/>
          </w:p>
        </w:tc>
      </w:tr>
      <w:tr w14:paraId="46102682">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Pr>
          <w:p w14:paraId="7D4F37C9">
            <w:pPr>
              <w:spacing w:line="240" w:lineRule="auto"/>
            </w:pPr>
            <w:r>
              <w:t>Project Name</w:t>
            </w:r>
          </w:p>
        </w:tc>
        <w:tc>
          <w:tcPr>
            <w:tcW w:w="8661" w:type="dxa"/>
            <w:tcBorders>
              <w:top w:val="single" w:color="000000" w:sz="4" w:space="0"/>
              <w:left w:val="single" w:color="000000" w:sz="4" w:space="0"/>
              <w:bottom w:val="single" w:color="000000" w:sz="4" w:space="0"/>
              <w:right w:val="single" w:color="000000" w:sz="4" w:space="0"/>
            </w:tcBorders>
          </w:tcPr>
          <w:p w14:paraId="631C0C49">
            <w:pPr>
              <w:spacing w:line="240" w:lineRule="auto"/>
            </w:pPr>
            <w:r>
              <w:t>Import Data using Transform Maps (Spreadsheet)</w:t>
            </w:r>
          </w:p>
        </w:tc>
      </w:tr>
      <w:tr w14:paraId="46E27BE1">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Pr>
          <w:p w14:paraId="74A228D5">
            <w:pPr>
              <w:spacing w:line="240" w:lineRule="auto"/>
            </w:pPr>
            <w:r>
              <w:t>Maximum Marks</w:t>
            </w:r>
          </w:p>
        </w:tc>
        <w:tc>
          <w:tcPr>
            <w:tcW w:w="8661" w:type="dxa"/>
            <w:tcBorders>
              <w:top w:val="single" w:color="000000" w:sz="4" w:space="0"/>
              <w:left w:val="single" w:color="000000" w:sz="4" w:space="0"/>
              <w:bottom w:val="single" w:color="000000" w:sz="4" w:space="0"/>
              <w:right w:val="single" w:color="000000" w:sz="4" w:space="0"/>
            </w:tcBorders>
          </w:tcPr>
          <w:p w14:paraId="0C056AE5">
            <w:pPr>
              <w:spacing w:line="240" w:lineRule="auto"/>
            </w:pPr>
            <w:r>
              <w:t>4 Marks</w:t>
            </w:r>
          </w:p>
        </w:tc>
      </w:tr>
    </w:tbl>
    <w:p w14:paraId="79B7326A">
      <w:pPr>
        <w:spacing w:line="240" w:lineRule="auto"/>
        <w:rPr>
          <w:lang w:val="en-US"/>
        </w:rPr>
      </w:pPr>
    </w:p>
    <w:p w14:paraId="07F81BEC">
      <w:pPr>
        <w:spacing w:line="240" w:lineRule="auto"/>
        <w:rPr>
          <w:b/>
          <w:bCs/>
        </w:rPr>
      </w:pPr>
      <w:r>
        <w:rPr>
          <w:b/>
          <w:bCs/>
        </w:rPr>
        <w:t>1. Solution Architecture Overview</w:t>
      </w:r>
    </w:p>
    <w:p w14:paraId="5453CEE7">
      <w:pPr>
        <w:spacing w:line="240" w:lineRule="auto"/>
      </w:pPr>
      <w:r>
        <w:t>Solution architecture bridges the gap between business problems (inefficient, risky manual data entry and formatting inconsistencies) and technology solutions (ServiceNow Import Sets and Transform Maps). Its core goals in this project are to:</w:t>
      </w:r>
    </w:p>
    <w:p w14:paraId="2E35472A">
      <w:pPr>
        <w:spacing w:line="240" w:lineRule="auto"/>
      </w:pPr>
      <w:r>
        <w:br w:type="textWrapping"/>
      </w:r>
    </w:p>
    <w:p w14:paraId="4CF7E887">
      <w:pPr>
        <w:numPr>
          <w:ilvl w:val="0"/>
          <w:numId w:val="1"/>
        </w:numPr>
        <w:spacing w:line="240" w:lineRule="auto"/>
      </w:pPr>
      <w:r>
        <w:t>Find the optimal data ingestion and mapping controls to enforce data integrity and prevent duplicates during bulk spreadsheet uploads.</w:t>
      </w:r>
    </w:p>
    <w:p w14:paraId="5DA06DD0">
      <w:pPr>
        <w:spacing w:line="240" w:lineRule="auto"/>
      </w:pPr>
    </w:p>
    <w:p w14:paraId="6EA1BE8B">
      <w:pPr>
        <w:numPr>
          <w:ilvl w:val="0"/>
          <w:numId w:val="1"/>
        </w:numPr>
        <w:spacing w:line="240" w:lineRule="auto"/>
      </w:pPr>
      <w:r>
        <w:t>Define the structure, behavior, and interaction rules of ServiceNow Data Sources, Import Set tables, and Transform logic for project stakeholders.</w:t>
      </w:r>
    </w:p>
    <w:p w14:paraId="4E17CF9C">
      <w:pPr>
        <w:spacing w:line="240" w:lineRule="auto"/>
      </w:pPr>
    </w:p>
    <w:p w14:paraId="028469EB">
      <w:pPr>
        <w:numPr>
          <w:ilvl w:val="0"/>
          <w:numId w:val="1"/>
        </w:numPr>
        <w:spacing w:line="240" w:lineRule="auto"/>
      </w:pPr>
      <w:r>
        <w:t>Provide complete technical specifications according to which data mapping, coalesce rules, and transform scripts are configured, tested, and deployed.</w:t>
      </w:r>
    </w:p>
    <w:p w14:paraId="2CE01279">
      <w:pPr>
        <w:spacing w:line="240" w:lineRule="auto"/>
      </w:pPr>
    </w:p>
    <w:p w14:paraId="2B3164FB">
      <w:pPr>
        <w:spacing w:line="240" w:lineRule="auto"/>
        <w:rPr>
          <w:b/>
          <w:bCs/>
        </w:rPr>
      </w:pPr>
      <w:r>
        <w:rPr>
          <w:b/>
          <w:bCs/>
        </w:rPr>
        <w:t>2. System Component Architecture</w:t>
      </w:r>
    </w:p>
    <w:p w14:paraId="20FBC46E">
      <w:pPr>
        <w:spacing w:line="240" w:lineRule="auto"/>
      </w:pPr>
      <w:r>
        <w:t>The solution architecture operates across four distinct operational layers within the ServiceNow platform:</w:t>
      </w:r>
    </w:p>
    <w:p w14:paraId="75AB823B">
      <w:pPr>
        <w:spacing w:line="240" w:lineRule="auto"/>
      </w:pPr>
    </w:p>
    <w:p w14:paraId="4FAFFC35">
      <w:pPr>
        <w:spacing w:line="240" w:lineRule="auto"/>
      </w:pPr>
      <w:r>
        <w:rPr>
          <w:b/>
          <w:bCs/>
        </w:rPr>
        <w:t>A. Data Ingestion Layer (External to ServiceNow)</w:t>
      </w:r>
    </w:p>
    <w:p w14:paraId="2D6B50F3">
      <w:pPr>
        <w:spacing w:line="240" w:lineRule="auto"/>
      </w:pPr>
      <w:r>
        <w:br w:type="textWrapping"/>
      </w:r>
    </w:p>
    <w:p w14:paraId="090D5000">
      <w:pPr>
        <w:numPr>
          <w:ilvl w:val="0"/>
          <w:numId w:val="2"/>
        </w:numPr>
        <w:spacing w:line="240" w:lineRule="auto"/>
      </w:pPr>
      <w:r>
        <w:t>Provides the entry point through which raw external data enters the ServiceNow ecosystem:</w:t>
      </w:r>
    </w:p>
    <w:p w14:paraId="5EC2BBAF">
      <w:pPr>
        <w:spacing w:line="240" w:lineRule="auto"/>
      </w:pPr>
      <w:r>
        <w:br w:type="textWrapping"/>
      </w:r>
    </w:p>
    <w:p w14:paraId="6FA6FE71">
      <w:pPr>
        <w:numPr>
          <w:ilvl w:val="1"/>
          <w:numId w:val="2"/>
        </w:numPr>
        <w:spacing w:line="240" w:lineRule="auto"/>
      </w:pPr>
      <w:r>
        <w:rPr>
          <w:b/>
          <w:bCs/>
        </w:rPr>
        <w:t>Spreadsheet File:</w:t>
      </w:r>
      <w:r>
        <w:t xml:space="preserve"> The source file (Excel .xlsx or CSV) containing raw, unformatted data headers and rows.</w:t>
      </w:r>
    </w:p>
    <w:p w14:paraId="747C1508">
      <w:pPr>
        <w:spacing w:line="240" w:lineRule="auto"/>
      </w:pPr>
    </w:p>
    <w:p w14:paraId="573FC7F8">
      <w:pPr>
        <w:numPr>
          <w:ilvl w:val="1"/>
          <w:numId w:val="2"/>
        </w:numPr>
        <w:spacing w:line="240" w:lineRule="auto"/>
      </w:pPr>
      <w:r>
        <w:rPr>
          <w:b/>
          <w:bCs/>
        </w:rPr>
        <w:t>Data Source:</w:t>
      </w:r>
      <w:r>
        <w:t xml:space="preserve"> The ServiceNow configuration that defines the file type, sheet number, and header row, instructing the system on how to parse the incoming file.</w:t>
      </w:r>
    </w:p>
    <w:p w14:paraId="44E75CDF">
      <w:pPr>
        <w:spacing w:line="240" w:lineRule="auto"/>
      </w:pPr>
    </w:p>
    <w:p w14:paraId="7AE2A070">
      <w:pPr>
        <w:spacing w:line="240" w:lineRule="auto"/>
      </w:pPr>
      <w:r>
        <w:rPr>
          <w:b/>
          <w:bCs/>
        </w:rPr>
        <w:t>B. Staging Layer (ServiceNow Import Set)</w:t>
      </w:r>
    </w:p>
    <w:p w14:paraId="6331E930">
      <w:pPr>
        <w:spacing w:line="240" w:lineRule="auto"/>
      </w:pPr>
      <w:r>
        <w:br w:type="textWrapping"/>
      </w:r>
    </w:p>
    <w:p w14:paraId="0CCBC410">
      <w:pPr>
        <w:numPr>
          <w:ilvl w:val="0"/>
          <w:numId w:val="3"/>
        </w:numPr>
        <w:spacing w:line="240" w:lineRule="auto"/>
      </w:pPr>
      <w:r>
        <w:t>Acts as a secure, temporary buffer between the raw file and the live database:</w:t>
      </w:r>
    </w:p>
    <w:p w14:paraId="002D4354">
      <w:pPr>
        <w:spacing w:line="240" w:lineRule="auto"/>
      </w:pPr>
      <w:r>
        <w:br w:type="textWrapping"/>
      </w:r>
    </w:p>
    <w:p w14:paraId="637C92C1">
      <w:pPr>
        <w:numPr>
          <w:ilvl w:val="1"/>
          <w:numId w:val="3"/>
        </w:numPr>
        <w:spacing w:line="240" w:lineRule="auto"/>
      </w:pPr>
      <w:r>
        <w:rPr>
          <w:b/>
          <w:bCs/>
        </w:rPr>
        <w:t>Import Set Table:</w:t>
      </w:r>
      <w:r>
        <w:t xml:space="preserve"> An auto-generated, temporary table (e.g., u_imp_spreadsheet_data) that stores the exact rows and columns from the spreadsheet before any transformation logic is applied.</w:t>
      </w:r>
    </w:p>
    <w:p w14:paraId="3D16DA85">
      <w:pPr>
        <w:spacing w:line="240" w:lineRule="auto"/>
      </w:pPr>
    </w:p>
    <w:p w14:paraId="30C9F177">
      <w:pPr>
        <w:spacing w:line="240" w:lineRule="auto"/>
      </w:pPr>
      <w:r>
        <w:rPr>
          <w:b/>
          <w:bCs/>
        </w:rPr>
        <w:t>C. Transformation Logic Layer (ServiceNow Transform Engine)</w:t>
      </w:r>
    </w:p>
    <w:p w14:paraId="4E413134">
      <w:pPr>
        <w:spacing w:line="240" w:lineRule="auto"/>
      </w:pPr>
      <w:r>
        <w:br w:type="textWrapping"/>
      </w:r>
    </w:p>
    <w:p w14:paraId="360982F7">
      <w:pPr>
        <w:numPr>
          <w:ilvl w:val="0"/>
          <w:numId w:val="4"/>
        </w:numPr>
        <w:spacing w:line="240" w:lineRule="auto"/>
      </w:pPr>
      <w:r>
        <w:t>Executes server-side mapping engines and script evaluation logic during the data load:</w:t>
      </w:r>
    </w:p>
    <w:p w14:paraId="25F206DD">
      <w:pPr>
        <w:spacing w:line="240" w:lineRule="auto"/>
      </w:pPr>
      <w:r>
        <w:br w:type="textWrapping"/>
      </w:r>
    </w:p>
    <w:p w14:paraId="50FE0A8D">
      <w:pPr>
        <w:numPr>
          <w:ilvl w:val="1"/>
          <w:numId w:val="4"/>
        </w:numPr>
        <w:spacing w:line="240" w:lineRule="auto"/>
      </w:pPr>
      <w:r>
        <w:rPr>
          <w:b/>
          <w:bCs/>
        </w:rPr>
        <w:t>Transform Map Engine:</w:t>
      </w:r>
      <w:r>
        <w:t xml:space="preserve"> Evaluates declarative Field Maps linking the Import Set staging table columns to the final Target table fields (via Mapping Assist).</w:t>
      </w:r>
    </w:p>
    <w:p w14:paraId="3CE79AE4">
      <w:pPr>
        <w:spacing w:line="240" w:lineRule="auto"/>
      </w:pPr>
    </w:p>
    <w:p w14:paraId="1C2DE43D">
      <w:pPr>
        <w:numPr>
          <w:ilvl w:val="1"/>
          <w:numId w:val="4"/>
        </w:numPr>
        <w:spacing w:line="240" w:lineRule="auto"/>
      </w:pPr>
      <w:r>
        <w:rPr>
          <w:b/>
          <w:bCs/>
        </w:rPr>
        <w:t>Coalesce Engine (Duplicate Prevention):</w:t>
      </w:r>
      <w:r>
        <w:t xml:space="preserve"> Evaluates configured Coalesce fields (e.g., User ID, Asset Tag) against the target table. If a match is found, it updates the existing record; if no match is found, it inserts a new record.</w:t>
      </w:r>
    </w:p>
    <w:p w14:paraId="2799AF9C">
      <w:pPr>
        <w:spacing w:line="240" w:lineRule="auto"/>
      </w:pPr>
    </w:p>
    <w:p w14:paraId="4DF2B708">
      <w:pPr>
        <w:numPr>
          <w:ilvl w:val="1"/>
          <w:numId w:val="4"/>
        </w:numPr>
        <w:spacing w:line="240" w:lineRule="auto"/>
      </w:pPr>
      <w:r>
        <w:rPr>
          <w:b/>
          <w:bCs/>
        </w:rPr>
        <w:t>Transform Scripts Engine:</w:t>
      </w:r>
      <w:r>
        <w:t xml:space="preserve"> Executes custom server-side scripts (e.g., onBefore, onAfter, Field-level) to programmatically standardize text casing, format dates, or conditionally skip rows containing invalid data (using ignore = true).</w:t>
      </w:r>
    </w:p>
    <w:p w14:paraId="7364930E">
      <w:pPr>
        <w:spacing w:line="240" w:lineRule="auto"/>
      </w:pPr>
    </w:p>
    <w:p w14:paraId="746A8887">
      <w:pPr>
        <w:spacing w:line="240" w:lineRule="auto"/>
      </w:pPr>
      <w:r>
        <w:rPr>
          <w:b/>
          <w:bCs/>
        </w:rPr>
        <w:t>D. Data &amp; Integration Layer (ServiceNow Database)</w:t>
      </w:r>
    </w:p>
    <w:p w14:paraId="36049A68">
      <w:pPr>
        <w:spacing w:line="240" w:lineRule="auto"/>
      </w:pPr>
      <w:r>
        <w:br w:type="textWrapping"/>
      </w:r>
    </w:p>
    <w:p w14:paraId="69A448E4">
      <w:pPr>
        <w:numPr>
          <w:ilvl w:val="0"/>
          <w:numId w:val="5"/>
        </w:numPr>
        <w:spacing w:line="240" w:lineRule="auto"/>
      </w:pPr>
      <w:r>
        <w:t>The ServiceNow relational database backing the final Target table (e.g., User sys_user, Incident incident, or Asset alm_asset). Holds verified, high-quality records that have passed all Transform Map mapping and scripting rules prior to the final database commit.</w:t>
      </w:r>
    </w:p>
    <w:p w14:paraId="5E8D4D1C">
      <w:pPr>
        <w:spacing w:line="240" w:lineRule="auto"/>
      </w:pPr>
    </w:p>
    <w:p w14:paraId="6DD415CB">
      <w:pPr>
        <w:spacing w:line="240" w:lineRule="auto"/>
        <w:rPr>
          <w:b/>
          <w:bCs/>
        </w:rPr>
      </w:pPr>
      <w:r>
        <w:rPr>
          <w:b/>
          <w:bCs/>
        </w:rPr>
        <w:t>3. Solution Architecture &amp; Data Flow Diagram</w:t>
      </w:r>
    </w:p>
    <w:p w14:paraId="7C54F8CA">
      <w:pPr>
        <w:spacing w:line="240" w:lineRule="auto"/>
      </w:pPr>
      <w:r>
        <w:t>The following architectural matrix details the data flow, trigger events, execution sequence, and decision outcomes across the import processing components:</w:t>
      </w:r>
    </w:p>
    <w:p w14:paraId="62D95AE3">
      <w:pPr>
        <w:spacing w:line="240" w:lineRule="auto"/>
      </w:pPr>
    </w:p>
    <w:tbl>
      <w:tblPr>
        <w:tblStyle w:val="12"/>
        <w:tblW w:w="0" w:type="auto"/>
        <w:tblCellSpacing w:w="15" w:type="dxa"/>
        <w:tblInd w:w="0" w:type="dxa"/>
        <w:tblLayout w:type="autofit"/>
        <w:tblCellMar>
          <w:top w:w="0" w:type="dxa"/>
          <w:left w:w="0" w:type="dxa"/>
          <w:bottom w:w="0" w:type="dxa"/>
          <w:right w:w="0" w:type="dxa"/>
        </w:tblCellMar>
      </w:tblPr>
      <w:tblGrid>
        <w:gridCol w:w="2624"/>
        <w:gridCol w:w="2005"/>
        <w:gridCol w:w="3213"/>
        <w:gridCol w:w="1634"/>
      </w:tblGrid>
      <w:tr w14:paraId="0B852F9D">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8099E5">
            <w:pPr>
              <w:spacing w:line="240" w:lineRule="auto"/>
            </w:pPr>
            <w:r>
              <w:rPr>
                <w:b/>
                <w:bCs/>
              </w:rPr>
              <w:t>Trigger Event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9CC175">
            <w:pPr>
              <w:spacing w:line="240" w:lineRule="auto"/>
            </w:pPr>
            <w:r>
              <w:rPr>
                <w:b/>
                <w:bCs/>
              </w:rPr>
              <w:t>Component Engaged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B6621F">
            <w:pPr>
              <w:spacing w:line="240" w:lineRule="auto"/>
            </w:pPr>
            <w:r>
              <w:rPr>
                <w:b/>
                <w:bCs/>
              </w:rPr>
              <w:t>Logic Executed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DF1713">
            <w:pPr>
              <w:spacing w:line="240" w:lineRule="auto"/>
            </w:pPr>
            <w:r>
              <w:rPr>
                <w:b/>
                <w:bCs/>
              </w:rPr>
              <w:t>Action / Outcome</w:t>
            </w:r>
          </w:p>
        </w:tc>
      </w:tr>
      <w:tr w14:paraId="2DF42EF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804951">
            <w:pPr>
              <w:spacing w:line="240" w:lineRule="auto"/>
            </w:pPr>
            <w:r>
              <w:rPr>
                <w:b/>
                <w:bCs/>
              </w:rPr>
              <w:t>Administrator uploads Excel/CSV spreadsheet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897381">
            <w:pPr>
              <w:spacing w:line="240" w:lineRule="auto"/>
            </w:pPr>
            <w:r>
              <w:rPr>
                <w:b/>
                <w:bCs/>
              </w:rPr>
              <w:t>Data Source &amp; Load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20F5D9">
            <w:pPr>
              <w:spacing w:line="240" w:lineRule="auto"/>
            </w:pPr>
            <w:r>
              <w:t>Parses the file formatting (headers, delimiters) based on the Data Source configuration.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848BCE">
            <w:pPr>
              <w:spacing w:line="240" w:lineRule="auto"/>
            </w:pPr>
            <w:r>
              <w:t>• Ingests raw data.</w:t>
            </w:r>
          </w:p>
        </w:tc>
      </w:tr>
    </w:tbl>
    <w:p w14:paraId="0BBB4886">
      <w:pPr>
        <w:spacing w:line="240" w:lineRule="auto"/>
      </w:pPr>
    </w:p>
    <w:p w14:paraId="2ADA0164">
      <w:pPr>
        <w:spacing w:line="240" w:lineRule="auto"/>
      </w:pPr>
      <w:r>
        <w:t>• Populates temporary Import Set staging table. |</w:t>
      </w:r>
    </w:p>
    <w:p w14:paraId="08742276">
      <w:pPr>
        <w:spacing w:line="240" w:lineRule="auto"/>
      </w:pPr>
      <w:r>
        <w:t xml:space="preserve">| </w:t>
      </w:r>
      <w:r>
        <w:rPr>
          <w:b/>
          <w:bCs/>
        </w:rPr>
        <w:t>Transform execution is triggered</w:t>
      </w:r>
      <w:r>
        <w:t xml:space="preserve"> | </w:t>
      </w:r>
      <w:r>
        <w:rPr>
          <w:b/>
          <w:bCs/>
        </w:rPr>
        <w:t>Transform Map (Field Mapping)</w:t>
      </w:r>
      <w:r>
        <w:t xml:space="preserve"> | Links mapped columns from the source Import Set table to the destination Target table. | • Maps source values (e.g., u_first_name) to target fields (e.g., first_name). |</w:t>
      </w:r>
    </w:p>
    <w:p w14:paraId="6A5AC721">
      <w:pPr>
        <w:spacing w:line="240" w:lineRule="auto"/>
      </w:pPr>
      <w:r>
        <w:t xml:space="preserve">| </w:t>
      </w:r>
      <w:r>
        <w:rPr>
          <w:b/>
          <w:bCs/>
        </w:rPr>
        <w:t>Row evaluation prior to commit</w:t>
      </w:r>
      <w:r>
        <w:t xml:space="preserve"> | </w:t>
      </w:r>
      <w:r>
        <w:rPr>
          <w:b/>
          <w:bCs/>
        </w:rPr>
        <w:t>Coalesce Configuration</w:t>
      </w:r>
      <w:r>
        <w:t xml:space="preserve"> | Evaluates if the predefined unique identifier (e.g., Email address) already exists in the target database. | • If match: Updates existing record.</w:t>
      </w:r>
    </w:p>
    <w:p w14:paraId="37963B05">
      <w:pPr>
        <w:spacing w:line="240" w:lineRule="auto"/>
      </w:pPr>
      <w:r>
        <w:br w:type="textWrapping"/>
      </w:r>
    </w:p>
    <w:p w14:paraId="1962F63A">
      <w:pPr>
        <w:spacing w:line="240" w:lineRule="auto"/>
      </w:pPr>
      <w:r>
        <w:t>• If no match: Inserts new record. |</w:t>
      </w:r>
    </w:p>
    <w:p w14:paraId="048CC685">
      <w:pPr>
        <w:spacing w:line="240" w:lineRule="auto"/>
      </w:pPr>
      <w:r>
        <w:t xml:space="preserve">| </w:t>
      </w:r>
      <w:r>
        <w:rPr>
          <w:b/>
          <w:bCs/>
        </w:rPr>
        <w:t>Row formatting/validation required</w:t>
      </w:r>
      <w:r>
        <w:t xml:space="preserve"> | </w:t>
      </w:r>
      <w:r>
        <w:rPr>
          <w:b/>
          <w:bCs/>
        </w:rPr>
        <w:t>Transform Script (onBefore / Field-level)</w:t>
      </w:r>
      <w:r>
        <w:t xml:space="preserve"> | Executes JavaScript to validate, reject, or reformat specific field values (e.g., standardizing date formats) before insertion. | • Sets formatted value.</w:t>
      </w:r>
    </w:p>
    <w:p w14:paraId="27A89FAE">
      <w:pPr>
        <w:spacing w:line="240" w:lineRule="auto"/>
      </w:pPr>
      <w:r>
        <w:br w:type="textWrapping"/>
      </w:r>
    </w:p>
    <w:p w14:paraId="0B029501">
      <w:pPr>
        <w:spacing w:line="240" w:lineRule="auto"/>
      </w:pPr>
      <w:r>
        <w:t>• Optionally skips erroneous rows (ignore = true). |</w:t>
      </w:r>
    </w:p>
    <w:p w14:paraId="7D1B0314">
      <w:pPr>
        <w:spacing w:line="240" w:lineRule="auto"/>
      </w:pPr>
      <w:r>
        <w:t xml:space="preserve">| </w:t>
      </w:r>
      <w:r>
        <w:rPr>
          <w:b/>
          <w:bCs/>
        </w:rPr>
        <w:t>Transform run completes</w:t>
      </w:r>
      <w:r>
        <w:t xml:space="preserve"> | </w:t>
      </w:r>
      <w:r>
        <w:rPr>
          <w:b/>
          <w:bCs/>
        </w:rPr>
        <w:t>Transform History &amp; Logs</w:t>
      </w:r>
      <w:r>
        <w:t xml:space="preserve"> | Compiles system processing data, recording exactly what happened to each row from the spreadsheet. | • Displays counts for Inserts, Updates, Ignored, and Errors.</w:t>
      </w:r>
    </w:p>
    <w:p w14:paraId="10520D8E">
      <w:pPr>
        <w:spacing w:line="240" w:lineRule="auto"/>
      </w:pPr>
      <w:r>
        <w:br w:type="textWrapping"/>
      </w:r>
    </w:p>
    <w:p w14:paraId="36DEBAA8">
      <w:pPr>
        <w:spacing w:line="240" w:lineRule="auto"/>
      </w:pPr>
      <w:r>
        <w:t>• Provides detailed error messages for troubleshooting. |</w:t>
      </w:r>
    </w:p>
    <w:p w14:paraId="19AB901B">
      <w:pPr>
        <w:spacing w:line="240" w:lineRule="auto"/>
        <w:rPr>
          <w:b/>
          <w:bCs/>
        </w:rPr>
      </w:pPr>
      <w:r>
        <w:rPr>
          <w:b/>
          <w:bCs/>
        </w:rPr>
        <w:t>4. Technology Stack &amp; Technical Specifications</w:t>
      </w:r>
    </w:p>
    <w:tbl>
      <w:tblPr>
        <w:tblStyle w:val="12"/>
        <w:tblW w:w="0" w:type="auto"/>
        <w:tblCellSpacing w:w="15" w:type="dxa"/>
        <w:tblInd w:w="0" w:type="dxa"/>
        <w:tblLayout w:type="autofit"/>
        <w:tblCellMar>
          <w:top w:w="0" w:type="dxa"/>
          <w:left w:w="0" w:type="dxa"/>
          <w:bottom w:w="0" w:type="dxa"/>
          <w:right w:w="0" w:type="dxa"/>
        </w:tblCellMar>
      </w:tblPr>
      <w:tblGrid>
        <w:gridCol w:w="2626"/>
        <w:gridCol w:w="6850"/>
      </w:tblGrid>
      <w:tr w14:paraId="57E1C83B">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C423D0">
            <w:pPr>
              <w:spacing w:line="240" w:lineRule="auto"/>
            </w:pPr>
            <w:r>
              <w:rPr>
                <w:b/>
                <w:bCs/>
              </w:rPr>
              <w:t>Architectural Parameter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9ED1C2">
            <w:pPr>
              <w:spacing w:line="240" w:lineRule="auto"/>
            </w:pPr>
            <w:r>
              <w:rPr>
                <w:b/>
                <w:bCs/>
              </w:rPr>
              <w:t>Technical Specification</w:t>
            </w:r>
          </w:p>
        </w:tc>
      </w:tr>
      <w:tr w14:paraId="792953F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CB6796">
            <w:pPr>
              <w:spacing w:line="240" w:lineRule="auto"/>
            </w:pPr>
            <w:r>
              <w:rPr>
                <w:b/>
                <w:bCs/>
              </w:rPr>
              <w:t>Platform &amp; Target Table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51AB67">
            <w:pPr>
              <w:spacing w:line="240" w:lineRule="auto"/>
            </w:pPr>
            <w:r>
              <w:t>ServiceNow ITSM Platform | Target Table (e.g., incident, sys_user) &amp; Staging Table (Import Set)</w:t>
            </w:r>
          </w:p>
        </w:tc>
      </w:tr>
      <w:tr w14:paraId="160FCDD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8680B2">
            <w:pPr>
              <w:spacing w:line="240" w:lineRule="auto"/>
            </w:pPr>
            <w:r>
              <w:rPr>
                <w:b/>
                <w:bCs/>
              </w:rPr>
              <w:t>Application Scope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040A66">
            <w:pPr>
              <w:spacing w:line="240" w:lineRule="auto"/>
            </w:pPr>
            <w:r>
              <w:t>Global Scope (or specific Custom Application Scope)</w:t>
            </w:r>
          </w:p>
        </w:tc>
      </w:tr>
      <w:tr w14:paraId="2387443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576778">
            <w:pPr>
              <w:spacing w:line="240" w:lineRule="auto"/>
            </w:pPr>
            <w:r>
              <w:rPr>
                <w:b/>
                <w:bCs/>
              </w:rPr>
              <w:t>Import Components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296EA9">
            <w:pPr>
              <w:spacing w:line="240" w:lineRule="auto"/>
            </w:pPr>
            <w:r>
              <w:t>Data Sources, Import Sets, Transform Maps, Field Maps, Choice Actions</w:t>
            </w:r>
          </w:p>
        </w:tc>
      </w:tr>
      <w:tr w14:paraId="0F3C0EE2">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504DA5">
            <w:pPr>
              <w:spacing w:line="240" w:lineRule="auto"/>
            </w:pPr>
            <w:r>
              <w:rPr>
                <w:b/>
                <w:bCs/>
              </w:rPr>
              <w:t>Server-side Script Types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BF62BE">
            <w:pPr>
              <w:spacing w:line="240" w:lineRule="auto"/>
            </w:pPr>
            <w:r>
              <w:t>Transform Scripts (onStart, onBefore, onAfter, onComplete, Field-level)</w:t>
            </w:r>
          </w:p>
        </w:tc>
      </w:tr>
      <w:tr w14:paraId="512929DD">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13B152">
            <w:pPr>
              <w:spacing w:line="240" w:lineRule="auto"/>
            </w:pPr>
            <w:r>
              <w:rPr>
                <w:b/>
                <w:bCs/>
              </w:rPr>
              <w:t>Duplicate Prevention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8659A1">
            <w:pPr>
              <w:spacing w:line="240" w:lineRule="auto"/>
            </w:pPr>
            <w:r>
              <w:t>Coalesce Field matching logic</w:t>
            </w:r>
          </w:p>
        </w:tc>
      </w:tr>
      <w:tr w14:paraId="1324C2D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37DBDA">
            <w:pPr>
              <w:spacing w:line="240" w:lineRule="auto"/>
            </w:pPr>
            <w:r>
              <w:rPr>
                <w:b/>
                <w:bCs/>
              </w:rPr>
              <w:t>Server-side API Methods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FA0880">
            <w:pPr>
              <w:spacing w:line="240" w:lineRule="auto"/>
            </w:pPr>
            <w:r>
              <w:t>source.getValue(), target.setValue(), ignore = true, error_message, log.info()</w:t>
            </w:r>
          </w:p>
        </w:tc>
      </w:tr>
      <w:tr w14:paraId="6D25F65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5439C9">
            <w:pPr>
              <w:spacing w:line="240" w:lineRule="auto"/>
            </w:pPr>
            <w:r>
              <w:rPr>
                <w:b/>
                <w:bCs/>
              </w:rPr>
              <w:t>Supported File Formats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39740E">
            <w:pPr>
              <w:spacing w:line="240" w:lineRule="auto"/>
            </w:pPr>
            <w:r>
              <w:t>Excel (.xlsx, .xls), CSV (Comma-Separated Values)</w:t>
            </w:r>
          </w:p>
        </w:tc>
      </w:tr>
      <w:tr w14:paraId="6227261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695BF6">
            <w:pPr>
              <w:spacing w:line="240" w:lineRule="auto"/>
            </w:pPr>
            <w:r>
              <w:rPr>
                <w:b/>
                <w:bCs/>
              </w:rPr>
              <w:t>Execution Context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F9CC80">
            <w:pPr>
              <w:spacing w:line="240" w:lineRule="auto"/>
            </w:pPr>
            <w:r>
              <w:t>Server-side Transform Engine (Asynchronous/Batch database processing)</w:t>
            </w:r>
          </w:p>
        </w:tc>
      </w:tr>
    </w:tbl>
    <w:p w14:paraId="5CBDA6DD">
      <w:pPr>
        <w:spacing w:line="240" w:lineRule="auto"/>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C2B5E"/>
    <w:multiLevelType w:val="multilevel"/>
    <w:tmpl w:val="146C2B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490B4E"/>
    <w:multiLevelType w:val="multilevel"/>
    <w:tmpl w:val="22490B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AC67AB"/>
    <w:multiLevelType w:val="multilevel"/>
    <w:tmpl w:val="25AC67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2C8430B"/>
    <w:multiLevelType w:val="multilevel"/>
    <w:tmpl w:val="42C843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056648E"/>
    <w:multiLevelType w:val="multilevel"/>
    <w:tmpl w:val="705664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91B"/>
    <w:rsid w:val="004A391B"/>
    <w:rsid w:val="005944DC"/>
    <w:rsid w:val="005B0703"/>
    <w:rsid w:val="007454A6"/>
    <w:rsid w:val="00833792"/>
    <w:rsid w:val="1D645E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716</Words>
  <Characters>4422</Characters>
  <Lines>36</Lines>
  <Paragraphs>10</Paragraphs>
  <TotalTime>0</TotalTime>
  <ScaleCrop>false</ScaleCrop>
  <LinksUpToDate>false</LinksUpToDate>
  <CharactersWithSpaces>5070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2026-10-03T06:20:00Z</dcterms:created>
  <dc:creator>Hari Haran</dc:creator>
  <cp:lastModifiedBy>PK</cp:lastModifiedBy>
  <dcterms:modified xsi:type="dcterms:W3CDTF">2026-10-03T09:21:25Z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D78E6E40688541649D4A58AAF10DF5CF_13</vt:lpwstr>
  </property>
</Properties>
</file>