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914C7">
      <w:pPr>
        <w:jc w:val="center"/>
        <w:rPr>
          <w:sz w:val="32"/>
          <w:szCs w:val="32"/>
          <w:lang w:val="en-US"/>
        </w:rPr>
      </w:pPr>
      <w:r>
        <w:rPr>
          <w:b/>
          <w:sz w:val="32"/>
          <w:szCs w:val="32"/>
          <w:lang w:val="en-US"/>
        </w:rPr>
        <w:t>Project Design Phase-II</w:t>
      </w:r>
      <w:r>
        <w:rPr>
          <w:b/>
          <w:sz w:val="32"/>
          <w:szCs w:val="32"/>
          <w:lang w:val="en-US"/>
        </w:rPr>
        <w:br w:type="textWrapping"/>
      </w:r>
      <w:r>
        <w:rPr>
          <w:b/>
          <w:sz w:val="32"/>
          <w:szCs w:val="32"/>
          <w:lang w:val="en-US"/>
        </w:rPr>
        <w:t>Solution Requirements (Functional &amp; Non-functional)</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EDFD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4" w:space="0"/>
              <w:left w:val="single" w:color="auto" w:sz="4" w:space="0"/>
              <w:bottom w:val="single" w:color="auto" w:sz="4" w:space="0"/>
              <w:right w:val="single" w:color="auto" w:sz="4" w:space="0"/>
            </w:tcBorders>
            <w:vAlign w:val="center"/>
          </w:tcPr>
          <w:p w14:paraId="451EF06F">
            <w:pPr>
              <w:spacing w:after="160" w:line="278" w:lineRule="auto"/>
              <w:rPr>
                <w:lang w:val="en-US"/>
              </w:rPr>
            </w:pPr>
            <w:r>
              <w:rPr>
                <w:b/>
                <w:lang w:val="en-US"/>
              </w:rPr>
              <w:t>Date</w:t>
            </w:r>
          </w:p>
        </w:tc>
        <w:tc>
          <w:tcPr>
            <w:tcW w:w="4320" w:type="dxa"/>
            <w:tcBorders>
              <w:top w:val="single" w:color="auto" w:sz="4" w:space="0"/>
              <w:left w:val="single" w:color="auto" w:sz="4" w:space="0"/>
              <w:bottom w:val="single" w:color="auto" w:sz="4" w:space="0"/>
              <w:right w:val="single" w:color="auto" w:sz="4" w:space="0"/>
            </w:tcBorders>
            <w:vAlign w:val="center"/>
          </w:tcPr>
          <w:p w14:paraId="4EFA9981">
            <w:pPr>
              <w:spacing w:after="160" w:line="278" w:lineRule="auto"/>
              <w:rPr>
                <w:lang w:val="en-US"/>
              </w:rPr>
            </w:pPr>
            <w:r>
              <w:t>30 September 2026</w:t>
            </w:r>
          </w:p>
        </w:tc>
      </w:tr>
      <w:tr w14:paraId="0E0E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4" w:space="0"/>
              <w:left w:val="single" w:color="auto" w:sz="4" w:space="0"/>
              <w:bottom w:val="single" w:color="auto" w:sz="4" w:space="0"/>
              <w:right w:val="single" w:color="auto" w:sz="4" w:space="0"/>
            </w:tcBorders>
            <w:vAlign w:val="center"/>
          </w:tcPr>
          <w:p w14:paraId="6C99BD13">
            <w:pPr>
              <w:spacing w:after="160" w:line="278" w:lineRule="auto"/>
              <w:rPr>
                <w:lang w:val="en-US"/>
              </w:rPr>
            </w:pPr>
            <w:r>
              <w:rPr>
                <w:b/>
                <w:lang w:val="en-US"/>
              </w:rPr>
              <w:t>Team ID</w:t>
            </w:r>
          </w:p>
        </w:tc>
        <w:tc>
          <w:tcPr>
            <w:tcW w:w="4320" w:type="dxa"/>
            <w:tcBorders>
              <w:top w:val="single" w:color="auto" w:sz="4" w:space="0"/>
              <w:left w:val="single" w:color="auto" w:sz="4" w:space="0"/>
              <w:bottom w:val="single" w:color="auto" w:sz="4" w:space="0"/>
              <w:right w:val="single" w:color="auto" w:sz="4" w:space="0"/>
            </w:tcBorders>
            <w:vAlign w:val="center"/>
          </w:tcPr>
          <w:p w14:paraId="60F765EE">
            <w:pPr>
              <w:spacing w:after="160" w:line="278" w:lineRule="auto"/>
              <w:rPr>
                <w:lang w:val="en-US"/>
              </w:rPr>
            </w:pPr>
            <w:r>
              <w:t> SWTID-2026-</w:t>
            </w:r>
            <w:r>
              <w:rPr>
                <w:rFonts w:hint="default"/>
                <w:lang w:val="en-US"/>
              </w:rPr>
              <w:t>7082</w:t>
            </w:r>
            <w:bookmarkStart w:id="0" w:name="_GoBack"/>
            <w:bookmarkEnd w:id="0"/>
          </w:p>
        </w:tc>
      </w:tr>
      <w:tr w14:paraId="7FAE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4" w:space="0"/>
              <w:left w:val="single" w:color="auto" w:sz="4" w:space="0"/>
              <w:bottom w:val="single" w:color="auto" w:sz="4" w:space="0"/>
              <w:right w:val="single" w:color="auto" w:sz="4" w:space="0"/>
            </w:tcBorders>
            <w:vAlign w:val="center"/>
          </w:tcPr>
          <w:p w14:paraId="54F3FC0E">
            <w:pPr>
              <w:spacing w:after="160" w:line="278" w:lineRule="auto"/>
              <w:rPr>
                <w:lang w:val="en-US"/>
              </w:rPr>
            </w:pPr>
            <w:r>
              <w:rPr>
                <w:b/>
                <w:lang w:val="en-US"/>
              </w:rPr>
              <w:t>Project Name</w:t>
            </w:r>
          </w:p>
        </w:tc>
        <w:tc>
          <w:tcPr>
            <w:tcW w:w="4320" w:type="dxa"/>
            <w:tcBorders>
              <w:top w:val="single" w:color="auto" w:sz="4" w:space="0"/>
              <w:left w:val="single" w:color="auto" w:sz="4" w:space="0"/>
              <w:bottom w:val="single" w:color="auto" w:sz="4" w:space="0"/>
              <w:right w:val="single" w:color="auto" w:sz="4" w:space="0"/>
            </w:tcBorders>
            <w:vAlign w:val="center"/>
          </w:tcPr>
          <w:p w14:paraId="2F197BC8">
            <w:pPr>
              <w:spacing w:after="160" w:line="278" w:lineRule="auto"/>
              <w:rPr>
                <w:lang w:val="en-US"/>
              </w:rPr>
            </w:pPr>
            <w:r>
              <w:t>Import Data using Transform Maps (Spreadsheet)</w:t>
            </w:r>
          </w:p>
        </w:tc>
      </w:tr>
      <w:tr w14:paraId="4BF5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Borders>
              <w:top w:val="single" w:color="auto" w:sz="4" w:space="0"/>
              <w:left w:val="single" w:color="auto" w:sz="4" w:space="0"/>
              <w:bottom w:val="single" w:color="auto" w:sz="4" w:space="0"/>
              <w:right w:val="single" w:color="auto" w:sz="4" w:space="0"/>
            </w:tcBorders>
            <w:vAlign w:val="center"/>
          </w:tcPr>
          <w:p w14:paraId="5FD3CE8C">
            <w:pPr>
              <w:spacing w:after="160" w:line="278" w:lineRule="auto"/>
              <w:rPr>
                <w:lang w:val="en-US"/>
              </w:rPr>
            </w:pPr>
            <w:r>
              <w:rPr>
                <w:b/>
                <w:lang w:val="en-US"/>
              </w:rPr>
              <w:t>Maximum Marks</w:t>
            </w:r>
          </w:p>
        </w:tc>
        <w:tc>
          <w:tcPr>
            <w:tcW w:w="4320" w:type="dxa"/>
            <w:tcBorders>
              <w:top w:val="single" w:color="auto" w:sz="4" w:space="0"/>
              <w:left w:val="single" w:color="auto" w:sz="4" w:space="0"/>
              <w:bottom w:val="single" w:color="auto" w:sz="4" w:space="0"/>
              <w:right w:val="single" w:color="auto" w:sz="4" w:space="0"/>
            </w:tcBorders>
            <w:vAlign w:val="center"/>
          </w:tcPr>
          <w:p w14:paraId="5BA7B5C9">
            <w:pPr>
              <w:spacing w:after="160" w:line="278" w:lineRule="auto"/>
              <w:rPr>
                <w:lang w:val="en-US"/>
              </w:rPr>
            </w:pPr>
            <w:r>
              <w:rPr>
                <w:lang w:val="en-US"/>
              </w:rPr>
              <w:t>4 Marks</w:t>
            </w:r>
          </w:p>
        </w:tc>
      </w:tr>
    </w:tbl>
    <w:p w14:paraId="30C1F23C">
      <w:pPr>
        <w:rPr>
          <w:lang w:val="en-US"/>
        </w:rPr>
      </w:pPr>
    </w:p>
    <w:p w14:paraId="68D1A612">
      <w:pPr>
        <w:rPr>
          <w:b/>
        </w:rPr>
      </w:pPr>
      <w:r>
        <w:rPr>
          <w:b/>
        </w:rPr>
        <w:t xml:space="preserve">Here are the Functional Requirements, Non-Functional Requirements, and Solution Summary adapted for your project: </w:t>
      </w:r>
      <w:r>
        <w:rPr>
          <w:b/>
          <w:bCs/>
        </w:rPr>
        <w:t>Import Data using Transform Maps (Spreadsheet)</w:t>
      </w:r>
      <w:r>
        <w:rPr>
          <w:b/>
        </w:rPr>
        <w:t>.</w:t>
      </w:r>
    </w:p>
    <w:p w14:paraId="4DDCDDD3">
      <w:pPr>
        <w:rPr>
          <w:b/>
        </w:rPr>
      </w:pPr>
      <w:r>
        <w:rPr>
          <w:b/>
        </w:rPr>
        <w:br w:type="textWrapping"/>
      </w:r>
    </w:p>
    <w:p w14:paraId="2D36C6F6">
      <w:pPr>
        <w:rPr>
          <w:b/>
          <w:bCs/>
        </w:rPr>
      </w:pPr>
      <w:r>
        <w:rPr>
          <w:b/>
          <w:bCs/>
        </w:rPr>
        <w:t>Functional Requirements</w:t>
      </w:r>
    </w:p>
    <w:p w14:paraId="297BA702">
      <w:pPr>
        <w:rPr>
          <w:b/>
        </w:rPr>
      </w:pPr>
      <w:r>
        <w:rPr>
          <w:b/>
        </w:rPr>
        <w:t>Following are the functional requirements derived from the stated ServiceNow Data Source and Transform Map scope.</w:t>
      </w:r>
    </w:p>
    <w:p w14:paraId="07C2B0D3">
      <w:pPr>
        <w:rPr>
          <w:b/>
        </w:rPr>
      </w:pPr>
    </w:p>
    <w:tbl>
      <w:tblPr>
        <w:tblStyle w:val="12"/>
        <w:tblW w:w="0" w:type="auto"/>
        <w:tblCellSpacing w:w="15" w:type="dxa"/>
        <w:tblInd w:w="0" w:type="dxa"/>
        <w:tblLayout w:type="autofit"/>
        <w:tblCellMar>
          <w:top w:w="0" w:type="dxa"/>
          <w:left w:w="0" w:type="dxa"/>
          <w:bottom w:w="0" w:type="dxa"/>
          <w:right w:w="0" w:type="dxa"/>
        </w:tblCellMar>
      </w:tblPr>
      <w:tblGrid>
        <w:gridCol w:w="928"/>
        <w:gridCol w:w="2591"/>
        <w:gridCol w:w="5957"/>
      </w:tblGrid>
      <w:tr w14:paraId="1AC318D4">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0651DD">
            <w:pPr>
              <w:rPr>
                <w:b/>
              </w:rPr>
            </w:pPr>
            <w:r>
              <w:rPr>
                <w:b/>
                <w:bCs/>
              </w:rPr>
              <w:t>FR No.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7F6281">
            <w:pPr>
              <w:rPr>
                <w:b/>
              </w:rPr>
            </w:pPr>
            <w:r>
              <w:rPr>
                <w:b/>
                <w:bCs/>
              </w:rPr>
              <w:t>Functional Requirement (Epic)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F2B2D3">
            <w:pPr>
              <w:rPr>
                <w:b/>
              </w:rPr>
            </w:pPr>
            <w:r>
              <w:rPr>
                <w:b/>
                <w:bCs/>
              </w:rPr>
              <w:t>Sub Requirement (Story / Sub-Task)</w:t>
            </w:r>
          </w:p>
        </w:tc>
      </w:tr>
      <w:tr w14:paraId="0437A2F8">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99C3E21">
            <w:pPr>
              <w:rPr>
                <w:b/>
              </w:rPr>
            </w:pPr>
            <w:r>
              <w:rPr>
                <w:b/>
                <w:bCs/>
              </w:rPr>
              <w:t>FR-1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084BE9">
            <w:pPr>
              <w:rPr>
                <w:b/>
              </w:rPr>
            </w:pPr>
            <w:r>
              <w:rPr>
                <w:b/>
                <w:bCs/>
              </w:rPr>
              <w:t>Data Ingestion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54EDE7">
            <w:pPr>
              <w:rPr>
                <w:b/>
              </w:rPr>
            </w:pPr>
            <w:r>
              <w:rPr>
                <w:b/>
              </w:rPr>
              <w:t>Authorized users can upload a spreadsheet file (Excel/CSV) into a configured ServiceNow Data Source.</w:t>
            </w:r>
          </w:p>
        </w:tc>
      </w:tr>
      <w:tr w14:paraId="67749A26">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73B4DF">
            <w:pPr>
              <w:rPr>
                <w:b/>
              </w:rPr>
            </w:pPr>
            <w:r>
              <w:rPr>
                <w:b/>
                <w:bCs/>
              </w:rPr>
              <w:t>FR-2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EEB25E">
            <w:pPr>
              <w:rPr>
                <w:b/>
              </w:rPr>
            </w:pPr>
            <w:r>
              <w:rPr>
                <w:b/>
                <w:bCs/>
              </w:rPr>
              <w:t>Data Staging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3D9472">
            <w:pPr>
              <w:rPr>
                <w:b/>
              </w:rPr>
            </w:pPr>
            <w:r>
              <w:rPr>
                <w:b/>
              </w:rPr>
              <w:t>System dynamically loads the raw spreadsheet data into a temporary Import Set (staging) table.</w:t>
            </w:r>
          </w:p>
        </w:tc>
      </w:tr>
      <w:tr w14:paraId="7EE5B8F7">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4AA19B">
            <w:pPr>
              <w:rPr>
                <w:b/>
              </w:rPr>
            </w:pPr>
            <w:r>
              <w:rPr>
                <w:b/>
                <w:bCs/>
              </w:rPr>
              <w:t>FR-3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D26B689">
            <w:pPr>
              <w:rPr>
                <w:b/>
              </w:rPr>
            </w:pPr>
            <w:r>
              <w:rPr>
                <w:b/>
                <w:bCs/>
              </w:rPr>
              <w:t>Data Mapping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359019">
            <w:pPr>
              <w:rPr>
                <w:b/>
              </w:rPr>
            </w:pPr>
            <w:r>
              <w:rPr>
                <w:b/>
              </w:rPr>
              <w:t>System links staging table columns to target table fields based on configured Transform Map rules and Mapping Assist configurations.</w:t>
            </w:r>
          </w:p>
        </w:tc>
      </w:tr>
      <w:tr w14:paraId="327FB26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F5CA2D">
            <w:pPr>
              <w:rPr>
                <w:b/>
              </w:rPr>
            </w:pPr>
            <w:r>
              <w:rPr>
                <w:b/>
                <w:bCs/>
              </w:rPr>
              <w:t>FR-4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59FBAF">
            <w:pPr>
              <w:rPr>
                <w:b/>
              </w:rPr>
            </w:pPr>
            <w:r>
              <w:rPr>
                <w:b/>
                <w:bCs/>
              </w:rPr>
              <w:t>Data Transformation &amp; Logic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195286">
            <w:pPr>
              <w:rPr>
                <w:b/>
              </w:rPr>
            </w:pPr>
            <w:r>
              <w:rPr>
                <w:b/>
              </w:rPr>
              <w:t>System executes Coalesce rules (to prevent duplicates), Choice Action rules, and Transform Scripts (to format or validate data) during processing.</w:t>
            </w:r>
          </w:p>
        </w:tc>
      </w:tr>
      <w:tr w14:paraId="69727A05">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EAE297">
            <w:pPr>
              <w:rPr>
                <w:b/>
              </w:rPr>
            </w:pPr>
            <w:r>
              <w:rPr>
                <w:b/>
                <w:bCs/>
              </w:rPr>
              <w:t>FR-5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03B344">
            <w:pPr>
              <w:rPr>
                <w:b/>
              </w:rPr>
            </w:pPr>
            <w:r>
              <w:rPr>
                <w:b/>
                <w:bCs/>
              </w:rPr>
              <w:t>Record Handling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010D92">
            <w:pPr>
              <w:rPr>
                <w:b/>
              </w:rPr>
            </w:pPr>
            <w:r>
              <w:rPr>
                <w:b/>
              </w:rPr>
              <w:t>System securely inserts new records or updates existing records in the final target table based on the mapped data.</w:t>
            </w:r>
          </w:p>
        </w:tc>
      </w:tr>
      <w:tr w14:paraId="67896CA5">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C005CE">
            <w:pPr>
              <w:rPr>
                <w:b/>
              </w:rPr>
            </w:pPr>
            <w:r>
              <w:rPr>
                <w:b/>
                <w:bCs/>
              </w:rPr>
              <w:t>FR-6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AB9091">
            <w:pPr>
              <w:rPr>
                <w:b/>
              </w:rPr>
            </w:pPr>
            <w:r>
              <w:rPr>
                <w:b/>
                <w:bCs/>
              </w:rPr>
              <w:t>Administrator Maintenance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D5F79E">
            <w:pPr>
              <w:rPr>
                <w:b/>
              </w:rPr>
            </w:pPr>
            <w:r>
              <w:rPr>
                <w:b/>
              </w:rPr>
              <w:t>Authorized administrators can maintain Transform Maps, adjust mapping rules, and review Transform History logs to troubleshoot row errors.</w:t>
            </w:r>
          </w:p>
        </w:tc>
      </w:tr>
    </w:tbl>
    <w:p w14:paraId="1E19E6B6">
      <w:pPr>
        <w:rPr>
          <w:b/>
          <w:bCs/>
        </w:rPr>
      </w:pPr>
      <w:r>
        <w:rPr>
          <w:b/>
          <w:bCs/>
        </w:rPr>
        <w:t>Non-functional Requirements</w:t>
      </w:r>
    </w:p>
    <w:tbl>
      <w:tblPr>
        <w:tblStyle w:val="12"/>
        <w:tblW w:w="0" w:type="auto"/>
        <w:tblCellSpacing w:w="15" w:type="dxa"/>
        <w:tblInd w:w="0" w:type="dxa"/>
        <w:tblLayout w:type="autofit"/>
        <w:tblCellMar>
          <w:top w:w="0" w:type="dxa"/>
          <w:left w:w="0" w:type="dxa"/>
          <w:bottom w:w="0" w:type="dxa"/>
          <w:right w:w="0" w:type="dxa"/>
        </w:tblCellMar>
      </w:tblPr>
      <w:tblGrid>
        <w:gridCol w:w="1038"/>
        <w:gridCol w:w="2216"/>
        <w:gridCol w:w="6222"/>
      </w:tblGrid>
      <w:tr w14:paraId="1F41D7E5">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B495C1">
            <w:pPr>
              <w:rPr>
                <w:b/>
              </w:rPr>
            </w:pPr>
            <w:r>
              <w:rPr>
                <w:b/>
                <w:bCs/>
              </w:rPr>
              <w:t>FR No.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E1EB73">
            <w:pPr>
              <w:rPr>
                <w:b/>
              </w:rPr>
            </w:pPr>
            <w:r>
              <w:rPr>
                <w:b/>
                <w:bCs/>
              </w:rPr>
              <w:t>Non-Functional Requirement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12688E">
            <w:pPr>
              <w:rPr>
                <w:b/>
              </w:rPr>
            </w:pPr>
            <w:r>
              <w:rPr>
                <w:b/>
                <w:bCs/>
              </w:rPr>
              <w:t>Description</w:t>
            </w:r>
          </w:p>
        </w:tc>
      </w:tr>
      <w:tr w14:paraId="3729DF58">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042A88">
            <w:pPr>
              <w:rPr>
                <w:b/>
              </w:rPr>
            </w:pPr>
            <w:r>
              <w:rPr>
                <w:b/>
                <w:bCs/>
              </w:rPr>
              <w:t>NFR-1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E0820B">
            <w:pPr>
              <w:rPr>
                <w:b/>
              </w:rPr>
            </w:pPr>
            <w:r>
              <w:rPr>
                <w:b/>
                <w:bCs/>
              </w:rPr>
              <w:t>Usability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DE9A347">
            <w:pPr>
              <w:rPr>
                <w:b/>
              </w:rPr>
            </w:pPr>
            <w:r>
              <w:rPr>
                <w:b/>
              </w:rPr>
              <w:t>The data mapping interface (Mapping Assist) and Import Logs should provide clear visual cues for mapping fields and identifying specific row errors.</w:t>
            </w:r>
          </w:p>
        </w:tc>
      </w:tr>
      <w:tr w14:paraId="4BB9CD7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69F2E2">
            <w:pPr>
              <w:rPr>
                <w:b/>
              </w:rPr>
            </w:pPr>
            <w:r>
              <w:rPr>
                <w:b/>
                <w:bCs/>
              </w:rPr>
              <w:t>NFR-2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979F9E">
            <w:pPr>
              <w:rPr>
                <w:b/>
              </w:rPr>
            </w:pPr>
            <w:r>
              <w:rPr>
                <w:b/>
                <w:bCs/>
              </w:rPr>
              <w:t>Security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D3503B">
            <w:pPr>
              <w:rPr>
                <w:b/>
              </w:rPr>
            </w:pPr>
            <w:r>
              <w:rPr>
                <w:b/>
              </w:rPr>
              <w:t>Only authorized ServiceNow administrators with appropriate roles (e.g., import_admin) should be able to upload data, configure Transform Maps, and execute imports into target tables.</w:t>
            </w:r>
          </w:p>
        </w:tc>
      </w:tr>
      <w:tr w14:paraId="43E763F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0CF706">
            <w:pPr>
              <w:rPr>
                <w:b/>
              </w:rPr>
            </w:pPr>
            <w:r>
              <w:rPr>
                <w:b/>
                <w:bCs/>
              </w:rPr>
              <w:t>NFR-3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6D6704">
            <w:pPr>
              <w:rPr>
                <w:b/>
              </w:rPr>
            </w:pPr>
            <w:r>
              <w:rPr>
                <w:b/>
                <w:bCs/>
              </w:rPr>
              <w:t>Reliability &amp; Data Integrity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15C305">
            <w:pPr>
              <w:rPr>
                <w:b/>
              </w:rPr>
            </w:pPr>
            <w:r>
              <w:rPr>
                <w:b/>
              </w:rPr>
              <w:t>The transformation process must consistently prevent duplicate record creation and safely handle mismatched reference data without corrupting the live database.</w:t>
            </w:r>
          </w:p>
        </w:tc>
      </w:tr>
      <w:tr w14:paraId="776CB27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F3E490">
            <w:pPr>
              <w:rPr>
                <w:b/>
              </w:rPr>
            </w:pPr>
            <w:r>
              <w:rPr>
                <w:b/>
                <w:bCs/>
              </w:rPr>
              <w:t>NFR-4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D942143">
            <w:pPr>
              <w:rPr>
                <w:b/>
              </w:rPr>
            </w:pPr>
            <w:r>
              <w:rPr>
                <w:b/>
                <w:bCs/>
              </w:rPr>
              <w:t>Performance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CCBC9E">
            <w:pPr>
              <w:rPr>
                <w:b/>
              </w:rPr>
            </w:pPr>
            <w:r>
              <w:rPr>
                <w:b/>
              </w:rPr>
              <w:t>Bulk data transformations should be processed efficiently in batches through the Import Set engine to minimize any performance degradation on the live ServiceNow instance.</w:t>
            </w:r>
          </w:p>
        </w:tc>
      </w:tr>
      <w:tr w14:paraId="45011423">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08755A">
            <w:pPr>
              <w:rPr>
                <w:b/>
              </w:rPr>
            </w:pPr>
            <w:r>
              <w:rPr>
                <w:b/>
                <w:bCs/>
              </w:rPr>
              <w:t>NFR-5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8AAE9F">
            <w:pPr>
              <w:rPr>
                <w:b/>
              </w:rPr>
            </w:pPr>
            <w:r>
              <w:rPr>
                <w:b/>
                <w:bCs/>
              </w:rPr>
              <w:t>Availability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59FB0F">
            <w:pPr>
              <w:rPr>
                <w:b/>
              </w:rPr>
            </w:pPr>
            <w:r>
              <w:rPr>
                <w:b/>
              </w:rPr>
              <w:t>The data import solution must depend on the availability of the ServiceNow platform's native import/export services.</w:t>
            </w:r>
          </w:p>
        </w:tc>
      </w:tr>
      <w:tr w14:paraId="136C904B">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6E6A91">
            <w:pPr>
              <w:rPr>
                <w:b/>
              </w:rPr>
            </w:pPr>
            <w:r>
              <w:rPr>
                <w:b/>
                <w:bCs/>
              </w:rPr>
              <w:t>NFR-6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7FB0D14">
            <w:pPr>
              <w:rPr>
                <w:b/>
              </w:rPr>
            </w:pPr>
            <w:r>
              <w:rPr>
                <w:b/>
                <w:bCs/>
              </w:rPr>
              <w:t>Scalability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53167EC">
            <w:pPr>
              <w:rPr>
                <w:b/>
              </w:rPr>
            </w:pPr>
            <w:r>
              <w:rPr>
                <w:b/>
              </w:rPr>
              <w:t>The solution should utilize ServiceNow platform capabilities to handle varying file sizes (from small lists to hundreds of thousands of rows) without requiring a separate, locally managed middleware server.</w:t>
            </w:r>
          </w:p>
        </w:tc>
      </w:tr>
    </w:tbl>
    <w:p w14:paraId="46E852A1">
      <w:pPr>
        <w:rPr>
          <w:b/>
          <w:bCs/>
        </w:rPr>
      </w:pPr>
      <w:r>
        <w:rPr>
          <w:b/>
          <w:bCs/>
        </w:rPr>
        <w:t>Solution Summary</w:t>
      </w:r>
    </w:p>
    <w:p w14:paraId="59B6CBF8">
      <w:pPr>
        <w:rPr>
          <w:b/>
        </w:rPr>
      </w:pPr>
      <w:r>
        <w:rPr>
          <w:b/>
        </w:rPr>
        <w:t>The proposed solution combines ServiceNow Data Sources with Import Sets and Transform Maps. The Import Set handles the secure staging of raw spreadsheet data, while the Transform Map and associated Transform Scripts handle accurate field mapping, duplicate prevention (Coalesce), and dynamic data formatting. Together, these components provide a controlled, reliable data ingestion pipeline and support consistent, high-quality bulk record processing directly into the ServiceNow database.</w:t>
      </w:r>
    </w:p>
    <w:p w14:paraId="569B4C8C"/>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atha"/>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ADE"/>
    <w:rsid w:val="003D17A0"/>
    <w:rsid w:val="005944DC"/>
    <w:rsid w:val="005B0703"/>
    <w:rsid w:val="007454A6"/>
    <w:rsid w:val="00833792"/>
    <w:rsid w:val="00D27ADE"/>
    <w:rsid w:val="00E428EE"/>
    <w:rsid w:val="3EA0559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423</Words>
  <Characters>2717</Characters>
  <Lines>22</Lines>
  <Paragraphs>6</Paragraphs>
  <TotalTime>0</TotalTime>
  <ScaleCrop>false</ScaleCrop>
  <LinksUpToDate>false</LinksUpToDate>
  <CharactersWithSpaces>3083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2026-10-03T06:18:00Z</dcterms:created>
  <dc:creator>Hari Haran</dc:creator>
  <cp:lastModifiedBy>PK</cp:lastModifiedBy>
  <dcterms:modified xsi:type="dcterms:W3CDTF">2026-10-03T09:21:55Z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eyJoZGlkIjoiN2RlODY0ZTk5ZDJjYTQ4MTZjMjVlOTYzYzRkYTVjMWQiLCJ1c2VySWQiOiI1Njc2NTgwMjg5NTgifQ==</vt:lpwstr>
  </property>
  <property fmtid="{D5CDD505-2E9C-101B-9397-08002B2CF9AE}" pid="3" name="KSOProductBuildVer">
    <vt:lpwstr>1033-12.1.0.28485</vt:lpwstr>
  </property>
  <property fmtid="{D5CDD505-2E9C-101B-9397-08002B2CF9AE}" pid="4" name="ICV">
    <vt:lpwstr>53DE254D2E3446A08EA3F7275DE82AE3_13</vt:lpwstr>
  </property>
</Properties>
</file>