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09,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pStyle w:val="ListBullet"/>
        <w:spacing w:after="80"/>
      </w:pPr>
      <w:r>
        <w:rPr>
          <w:rFonts w:ascii="Times New Roman" w:hAnsi="Times New Roman"/>
          <w:b/>
          <w:color w:val="0F766E"/>
          <w:sz w:val="28"/>
        </w:rPr>
        <w:t xml:space="preserve">Step 1 — Login Authentication: </w:t>
      </w:r>
      <w:r>
        <w:rPr>
          <w:rFonts w:ascii="Times New Roman" w:hAnsi="Times New Roman"/>
          <w:sz w:val="28"/>
        </w:rPr>
        <w:t>User submits credentials and role selection (Faculty, Dept Admin, System Admin). Backend verifies hashed password via bcryptjs.</w:t>
      </w:r>
    </w:p>
    <w:p>
      <w:pPr>
        <w:pStyle w:val="ListBullet"/>
        <w:spacing w:after="80"/>
      </w:pPr>
      <w:r>
        <w:rPr>
          <w:rFonts w:ascii="Times New Roman" w:hAnsi="Times New Roman"/>
          <w:b/>
          <w:color w:val="0F766E"/>
          <w:sz w:val="28"/>
        </w:rPr>
        <w:t xml:space="preserve">Step 2 — JWT Claim Issuance: </w:t>
      </w:r>
      <w:r>
        <w:rPr>
          <w:rFonts w:ascii="Times New Roman" w:hAnsi="Times New Roman"/>
          <w:sz w:val="28"/>
        </w:rPr>
        <w:t>Server generates a 24-hour JWT token embedding staffId, role, name, designation, department, isHod, isInstitutionalAdmin, isSupervisorEligible, and isClubCoordinator.</w:t>
      </w:r>
    </w:p>
    <w:p>
      <w:pPr>
        <w:pStyle w:val="ListBullet"/>
        <w:spacing w:after="80"/>
      </w:pPr>
      <w:r>
        <w:rPr>
          <w:rFonts w:ascii="Times New Roman" w:hAnsi="Times New Roman"/>
          <w:b/>
          <w:color w:val="0F766E"/>
          <w:sz w:val="28"/>
        </w:rPr>
        <w:t xml:space="preserve">Step 3 — Client Session Initialization: </w:t>
      </w:r>
      <w:r>
        <w:rPr>
          <w:rFonts w:ascii="Times New Roman" w:hAnsi="Times New Roman"/>
          <w:sz w:val="28"/>
        </w:rPr>
        <w:t>Token and claims stored in client localStorage. React router (App.jsx) initializes sidebar navigation tree and route guards.</w:t>
      </w:r>
    </w:p>
    <w:p>
      <w:pPr>
        <w:pStyle w:val="ListBullet"/>
        <w:spacing w:after="80"/>
      </w:pPr>
      <w:r>
        <w:rPr>
          <w:rFonts w:ascii="Times New Roman" w:hAnsi="Times New Roman"/>
          <w:b/>
          <w:color w:val="0F766E"/>
          <w:sz w:val="28"/>
        </w:rPr>
        <w:t xml:space="preserve">Step 4 — Protected Request Middleware: </w:t>
      </w:r>
      <w:r>
        <w:rPr>
          <w:rFonts w:ascii="Times New Roman" w:hAnsi="Times New Roman"/>
          <w:sz w:val="28"/>
        </w:rPr>
        <w:t>All API requests attach Bearer token header. Static file uploads under /uploads/* and /SREC/* are protected by requireFileAuth middleware.</w:t>
      </w:r>
    </w:p>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spacing w:after="160"/>
      </w:pPr>
    </w:p>
    <w:p>
      <w:pPr>
        <w:keepNext/>
        <w:spacing w:before="320" w:after="120"/>
      </w:pPr>
      <w:r>
        <w:rPr>
          <w:rFonts w:ascii="Times New Roman" w:hAnsi="Times New Roman"/>
          <w:b/>
          <w:color w:val="0F172A"/>
          <w:sz w:val="32"/>
        </w:rPr>
        <w:t>5. Automated Documentation Maintenance Protocol</w:t>
      </w:r>
    </w:p>
    <w:p>
      <w:pPr>
        <w:spacing w:after="120"/>
      </w:pPr>
      <w:r>
        <w:rPr>
          <w:rFonts w:ascii="Times New Roman" w:hAnsi="Times New Roman"/>
          <w:sz w:val="28"/>
        </w:rPr>
        <w:t>To ensure permanent synchronization between system modifications and workflow documentation, the following automated generator scripts must be executed whenever code rules or workflows change:</w:t>
      </w:r>
    </w:p>
    <w:p>
      <w:pPr>
        <w:pStyle w:val="ListBullet"/>
        <w:spacing w:after="80"/>
      </w:pPr>
      <w:r>
        <w:rPr>
          <w:rFonts w:ascii="Times New Roman" w:hAnsi="Times New Roman"/>
          <w:b/>
          <w:color w:val="0F331F"/>
          <w:sz w:val="28"/>
        </w:rPr>
        <w:t xml:space="preserve">Database Schema Reference: </w:t>
      </w:r>
      <w:r>
        <w:rPr>
          <w:rFonts w:ascii="Times New Roman" w:hAnsi="Times New Roman"/>
          <w:sz w:val="28"/>
        </w:rPr>
        <w:t>python3 scripts/generate_schema_doc.py -&gt; Updates docs/Database_Schema.docx</w:t>
      </w:r>
    </w:p>
    <w:p>
      <w:pPr>
        <w:pStyle w:val="ListBullet"/>
        <w:spacing w:after="80"/>
      </w:pPr>
      <w:r>
        <w:rPr>
          <w:rFonts w:ascii="Times New Roman" w:hAnsi="Times New Roman"/>
          <w:b/>
          <w:color w:val="0F331F"/>
          <w:sz w:val="28"/>
        </w:rPr>
        <w:t xml:space="preserve">System Constraints &amp; Rules: </w:t>
      </w:r>
      <w:r>
        <w:rPr>
          <w:rFonts w:ascii="Times New Roman" w:hAnsi="Times New Roman"/>
          <w:sz w:val="28"/>
        </w:rPr>
        <w:t>python3 scripts/generate_system_constraints_doc.py -&gt; Updates docs/System_Constraints_and_Portal_Rules.docx</w:t>
      </w:r>
    </w:p>
    <w:p>
      <w:pPr>
        <w:pStyle w:val="ListBullet"/>
        <w:spacing w:after="80"/>
      </w:pPr>
      <w:r>
        <w:rPr>
          <w:rFonts w:ascii="Times New Roman" w:hAnsi="Times New Roman"/>
          <w:b/>
          <w:color w:val="0F331F"/>
          <w:sz w:val="28"/>
        </w:rPr>
        <w:t xml:space="preserve">Technical File Modification Guide: </w:t>
      </w:r>
      <w:r>
        <w:rPr>
          <w:rFonts w:ascii="Times New Roman" w:hAnsi="Times New Roman"/>
          <w:sz w:val="28"/>
        </w:rPr>
        <w:t>python3 scripts/generate_tech_file_guide_doc.py -&gt; Updates docs/Technical_Constraints_and_File_Modification_Guide.docx</w:t>
      </w:r>
    </w:p>
    <w:p>
      <w:pPr>
        <w:pStyle w:val="ListBullet"/>
        <w:spacing w:after="80"/>
      </w:pPr>
      <w:r>
        <w:rPr>
          <w:rFonts w:ascii="Times New Roman" w:hAnsi="Times New Roman"/>
          <w:b/>
          <w:color w:val="0F331F"/>
          <w:sz w:val="28"/>
        </w:rPr>
        <w:t xml:space="preserve">Complete 3-Portal Workflow Guide: </w:t>
      </w:r>
      <w:r>
        <w:rPr>
          <w:rFonts w:ascii="Times New Roman" w:hAnsi="Times New Roman"/>
          <w:sz w:val="28"/>
        </w:rPr>
        <w:t>python3 scripts/generate_portal_workflows_doc.py -&gt; Updates docs/Complete_3_Portals_Workflow_Guide.docx</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