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6400800" cy="1162645"/>
            <wp:docPr id="1" name="Picture 1"/>
            <wp:cNvGraphicFramePr>
              <a:graphicFrameLocks noChangeAspect="1"/>
            </wp:cNvGraphicFramePr>
            <a:graphic>
              <a:graphicData uri="http://schemas.openxmlformats.org/drawingml/2006/picture">
                <pic:pic>
                  <pic:nvPicPr>
                    <pic:cNvPr id="0" name="srec-header-banner.png"/>
                    <pic:cNvPicPr/>
                  </pic:nvPicPr>
                  <pic:blipFill>
                    <a:blip r:embed="rId10"/>
                    <a:stretch>
                      <a:fillRect/>
                    </a:stretch>
                  </pic:blipFill>
                  <pic:spPr>
                    <a:xfrm>
                      <a:off x="0" y="0"/>
                      <a:ext cx="6400800" cy="1162645"/>
                    </a:xfrm>
                    <a:prstGeom prst="rect"/>
                  </pic:spPr>
                </pic:pic>
              </a:graphicData>
            </a:graphic>
          </wp:inline>
        </w:drawing>
      </w:r>
    </w:p>
    <w:p>
      <w:pPr>
        <w:spacing w:before="0" w:after="200"/>
        <w:jc w:val="center"/>
      </w:pPr>
      <w:r>
        <w:rPr>
          <w:rFonts w:ascii="Times New Roman" w:hAnsi="Times New Roman"/>
          <w:b/>
          <w:color w:val="0284C7"/>
          <w:sz w:val="28"/>
        </w:rPr>
        <w:t>FACULTY INFORMATION SYSTEM (SREC FIS V3.0)</w:t>
      </w:r>
    </w:p>
    <w:p>
      <w:pPr>
        <w:spacing w:before="120" w:after="120"/>
      </w:pPr>
      <w:r>
        <w:rPr>
          <w:rFonts w:ascii="Times New Roman" w:hAnsi="Times New Roman"/>
          <w:b/>
          <w:color w:val="0F172A"/>
          <w:sz w:val="32"/>
        </w:rPr>
        <w:t>COMPLETE &amp; DETAILED WORKFLOW GUIDE FOR ALL 3 PORTALS</w:t>
      </w:r>
    </w:p>
    <w:p>
      <w:pPr>
        <w:spacing w:before="0" w:after="280"/>
      </w:pPr>
      <w:r>
        <w:rPr>
          <w:rFonts w:ascii="Times New Roman" w:hAnsi="Times New Roman"/>
          <w:i/>
          <w:color w:val="64748B"/>
          <w:sz w:val="22"/>
        </w:rPr>
        <w:t>Document Generated: August 14, 2026 | Version 3.0 | Status: Operational Workflow Specification</w:t>
      </w:r>
    </w:p>
    <w:p>
      <w:pPr>
        <w:spacing w:after="80"/>
      </w:pPr>
    </w:p>
    <w:p>
      <w:pPr>
        <w:keepNext/>
        <w:spacing w:before="320" w:after="120"/>
      </w:pPr>
      <w:r>
        <w:rPr>
          <w:rFonts w:ascii="Times New Roman" w:hAnsi="Times New Roman"/>
          <w:b/>
          <w:color w:val="0F172A"/>
          <w:sz w:val="32"/>
        </w:rPr>
        <w:t>1. System Architectural Overview &amp; Authentication Workflow</w:t>
      </w:r>
    </w:p>
    <w:p>
      <w:pPr>
        <w:spacing w:after="160"/>
      </w:pPr>
      <w:r>
        <w:rPr>
          <w:rFonts w:ascii="Times New Roman" w:hAnsi="Times New Roman"/>
          <w:sz w:val="28"/>
        </w:rPr>
        <w:t>The SREC FIS V3.0 system is designed with a multi-role, modular architecture servicing three distinct user portals: (1) Faculty Portal, (2) Department Admin / HOD Portal, and (3) System Admin &amp; Executive Portal. Authentication is centralized via JWT (JSON Web Token) tokens issued upon authenticating at /api/auth/login.</w:t>
      </w:r>
    </w:p>
    <w:p>
      <w:pPr>
        <w:keepNext/>
        <w:spacing w:before="320" w:after="120"/>
      </w:pPr>
      <w:r>
        <w:rPr>
          <w:rFonts w:ascii="Times New Roman" w:hAnsi="Times New Roman"/>
          <w:b/>
          <w:color w:val="0369A1"/>
          <w:sz w:val="28"/>
        </w:rPr>
        <w:t>❖ Workflow Architecture Diagram: Centralized JWT Authentication &amp; Portal Access Routing</w:t>
      </w:r>
    </w:p>
    <w:tbl>
      <w:tblPr>
        <w:tblW w:type="auto" w:w="0"/>
        <w:jc w:val="center"/>
        <w:tblLayout w:type="fixed"/>
        <w:tblLook w:firstColumn="1" w:firstRow="1" w:lastColumn="0" w:lastRow="0" w:noHBand="0" w:noVBand="1" w:val="04A0"/>
        <w:tblBorders>
          <w:top w:val="single" w:sz="8" w:space="0" w:color="0F331F"/>
          <w:left w:val="single" w:sz="8" w:space="0" w:color="0F331F"/>
          <w:bottom w:val="single" w:sz="8" w:space="0" w:color="0F331F"/>
          <w:right w:val="single" w:sz="8" w:space="0" w:color="0F331F"/>
          <w:insideH w:val="single" w:sz="8" w:space="0" w:color="0F331F"/>
          <w:insideV w:val="none"/>
        </w:tblBorders>
      </w:tblPr>
      <w:tblGrid>
        <w:gridCol w:w="10080"/>
      </w:tblGrid>
      <w:tr>
        <w:tc>
          <w:tcPr>
            <w:tcW w:type="dxa" w:w="10080"/>
            <w:shd w:val="clear" w:color="auto" w:fill="F8FAFC"/>
            <w:tcMar>
              <w:top w:w="140" w:type="dxa"/>
              <w:bottom w:w="140" w:type="dxa"/>
              <w:left w:w="180" w:type="dxa"/>
              <w:right w:w="180" w:type="dxa"/>
            </w:tcMar>
          </w:tcPr>
          <w:p>
            <w:pPr>
              <w:spacing w:before="80" w:after="120"/>
            </w:pPr>
            <w:r>
              <w:rPr>
                <w:rFonts w:ascii="Times New Roman" w:hAnsi="Times New Roman"/>
                <w:b/>
                <w:color w:val="0F331F"/>
                <w:sz w:val="28"/>
              </w:rPr>
              <w:t>ARCHITECTURAL FLOW: CENTRALIZED JWT AUTHENTICATION &amp; PORTAL ACCESS ROUTING</w:t>
              <w:br/>
            </w:r>
          </w:p>
          <w:p>
            <w:pPr>
              <w:spacing w:before="40" w:after="80"/>
            </w:pPr>
            <w:r>
              <w:rPr>
                <w:rFonts w:ascii="Times New Roman" w:hAnsi="Times New Roman"/>
                <w:b/>
                <w:color w:val="0369A1"/>
                <w:sz w:val="28"/>
              </w:rPr>
              <w:t xml:space="preserve">► Step 1: </w:t>
            </w:r>
            <w:r>
              <w:rPr>
                <w:rFonts w:ascii="Times New Roman" w:hAnsi="Times New Roman"/>
                <w:color w:val="1E293B"/>
                <w:sz w:val="28"/>
              </w:rPr>
              <w:t>User inputs credentials (Staff ID / Password / Role Selection) at /login.</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2: </w:t>
            </w:r>
            <w:r>
              <w:rPr>
                <w:rFonts w:ascii="Times New Roman" w:hAnsi="Times New Roman"/>
                <w:color w:val="1E293B"/>
                <w:sz w:val="28"/>
              </w:rPr>
              <w:t>Backend verifies password via bcryptjs against staff_user or admin tables.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3: </w:t>
            </w:r>
            <w:r>
              <w:rPr>
                <w:rFonts w:ascii="Times New Roman" w:hAnsi="Times New Roman"/>
                <w:color w:val="1E293B"/>
                <w:sz w:val="28"/>
              </w:rPr>
              <w:t>Server generates 24-hour JWT token with claims: role, isHod, isInstitutionalAdmin, isSupervisorEligible, isClubCoordinator.</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4: </w:t>
            </w:r>
            <w:r>
              <w:rPr>
                <w:rFonts w:ascii="Times New Roman" w:hAnsi="Times New Roman"/>
                <w:color w:val="1E293B"/>
                <w:sz w:val="28"/>
              </w:rPr>
              <w:t>Client stores token in localStorage and passes Bearer Authorization Header on all API calls.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5: </w:t>
            </w:r>
            <w:r>
              <w:rPr>
                <w:rFonts w:ascii="Times New Roman" w:hAnsi="Times New Roman"/>
                <w:color w:val="1E293B"/>
                <w:sz w:val="28"/>
              </w:rPr>
              <w:t>React Router (App.jsx) dynamically mounts Portal 1 (Faculty), Portal 2 (Dept Admin), or Portal 3 (System Admin).</w:t>
            </w:r>
          </w:p>
        </w:tc>
      </w:tr>
    </w:tbl>
    <w:p>
      <w:pPr>
        <w:spacing w:after="160"/>
      </w:pPr>
    </w:p>
    <w:p>
      <w:pPr>
        <w:keepNext/>
        <w:spacing w:before="320" w:after="120"/>
      </w:pPr>
      <w:r>
        <w:rPr>
          <w:rFonts w:ascii="Times New Roman" w:hAnsi="Times New Roman"/>
          <w:b/>
          <w:color w:val="0F172A"/>
          <w:sz w:val="32"/>
        </w:rPr>
        <w:t>2. Portal 1 — Regular Faculty Portal Workflow (role: 'faculty')</w:t>
      </w:r>
    </w:p>
    <w:p>
      <w:pPr>
        <w:spacing w:after="120"/>
      </w:pPr>
      <w:r>
        <w:rPr>
          <w:rFonts w:ascii="Times New Roman" w:hAnsi="Times New Roman"/>
          <w:sz w:val="28"/>
        </w:rPr>
        <w:t>The Faculty Portal empowers teaching staff to log personal details, upload academic documents, manage research submissions, view assigned duties, fill self FPI appraisal forms, and export dossiers.</w:t>
      </w:r>
    </w:p>
    <w:p>
      <w:pPr>
        <w:pStyle w:val="ListBullet"/>
        <w:spacing w:after="80"/>
      </w:pPr>
      <w:r>
        <w:rPr>
          <w:rFonts w:ascii="Times New Roman" w:hAnsi="Times New Roman"/>
          <w:b/>
          <w:color w:val="0369A1"/>
          <w:sz w:val="28"/>
        </w:rPr>
        <w:t xml:space="preserve">Workflow 1.1 — Personal &amp; Academic Profile Logging: </w:t>
      </w:r>
      <w:r>
        <w:rPr>
          <w:rFonts w:ascii="Times New Roman" w:hAnsi="Times New Roman"/>
          <w:sz w:val="28"/>
        </w:rPr>
        <w:t>Faculty logs into Dashboard -&gt; Personal (/profile/personal) to update DOB, Gender, Mobile, PAN, Aadhaar, and Address. Accesses Academic Info (/profile/academic) to view designation, department, and SREC experience. Uploads official identity documents via /profile/documents. File saved to server/SREC/{Department}/{Staff_ID}/.</w:t>
      </w:r>
    </w:p>
    <w:p>
      <w:pPr>
        <w:pStyle w:val="ListBullet"/>
        <w:spacing w:after="80"/>
      </w:pPr>
      <w:r>
        <w:rPr>
          <w:rFonts w:ascii="Times New Roman" w:hAnsi="Times New Roman"/>
          <w:b/>
          <w:color w:val="0369A1"/>
          <w:sz w:val="28"/>
        </w:rPr>
        <w:t xml:space="preserve">Workflow 1.2 — Education &amp; Professional Memberships: </w:t>
      </w:r>
      <w:r>
        <w:rPr>
          <w:rFonts w:ascii="Times New Roman" w:hAnsi="Times New Roman"/>
          <w:sz w:val="28"/>
        </w:rPr>
        <w:t>Faculty submits educational qualifications (SSLC, HSC, UG, PG, Ph.D) with certificate uploads in Education Details (/profile/education). Registers professional memberships (IEEE, CSI, ACM) in /activities/memberships.</w:t>
      </w:r>
    </w:p>
    <w:p>
      <w:pPr>
        <w:pStyle w:val="ListBullet"/>
        <w:spacing w:after="80"/>
      </w:pPr>
      <w:r>
        <w:rPr>
          <w:rFonts w:ascii="Times New Roman" w:hAnsi="Times New Roman"/>
          <w:b/>
          <w:color w:val="0369A1"/>
          <w:sz w:val="28"/>
        </w:rPr>
        <w:t xml:space="preserve">Workflow 1.3 — Activity &amp; Certification Logging: </w:t>
      </w:r>
      <w:r>
        <w:rPr>
          <w:rFonts w:ascii="Times New Roman" w:hAnsi="Times New Roman"/>
          <w:sz w:val="28"/>
        </w:rPr>
        <w:t>Faculty logs FDPs/workshops attended (/activities/interactions), resource person engagements (/activities/resource), online certifications (/activities/certifications), awards (/activities/awards), and events organized (/activities/events). If assigned as Club Coordinator, accesses /activities/clubs.</w:t>
      </w:r>
    </w:p>
    <w:p>
      <w:pPr>
        <w:pStyle w:val="ListBullet"/>
        <w:spacing w:after="80"/>
      </w:pPr>
      <w:r>
        <w:rPr>
          <w:rFonts w:ascii="Times New Roman" w:hAnsi="Times New Roman"/>
          <w:b/>
          <w:color w:val="0369A1"/>
          <w:sz w:val="28"/>
        </w:rPr>
        <w:t xml:space="preserve">Workflow 1.4 — R&amp;D &amp; Scholarly Submissions: </w:t>
      </w:r>
      <w:r>
        <w:rPr>
          <w:rFonts w:ascii="Times New Roman" w:hAnsi="Times New Roman"/>
          <w:sz w:val="28"/>
        </w:rPr>
        <w:t>If non-Doctorate, accesses Research Scholar (/activities/scholars). If Doctorate/Ph.D ('Dr.'), Research Supervisor (/activities/supervisors) is automatically enabled. Logs Research Funding (/activities/funding), Seed Money (/activities/seed_money), Patents/IPR (/activities/ipr), Publications (/activities/publications), and Books (/activities/books).</w:t>
      </w:r>
    </w:p>
    <w:p>
      <w:pPr>
        <w:pStyle w:val="ListBullet"/>
        <w:spacing w:after="80"/>
      </w:pPr>
      <w:r>
        <w:rPr>
          <w:rFonts w:ascii="Times New Roman" w:hAnsi="Times New Roman"/>
          <w:b/>
          <w:color w:val="0369A1"/>
          <w:sz w:val="28"/>
        </w:rPr>
        <w:t xml:space="preserve">Workflow 1.5 — Assigned Responsibilities View: </w:t>
      </w:r>
      <w:r>
        <w:rPr>
          <w:rFonts w:ascii="Times New Roman" w:hAnsi="Times New Roman"/>
          <w:sz w:val="28"/>
        </w:rPr>
        <w:t>Faculty accesses /responsibilities to view official additional duties assigned by HOD, Principal, HR, or System Admin.</w:t>
      </w:r>
    </w:p>
    <w:p>
      <w:pPr>
        <w:pStyle w:val="ListBullet"/>
        <w:spacing w:after="80"/>
      </w:pPr>
      <w:r>
        <w:rPr>
          <w:rFonts w:ascii="Times New Roman" w:hAnsi="Times New Roman"/>
          <w:b/>
          <w:color w:val="0369A1"/>
          <w:sz w:val="28"/>
        </w:rPr>
        <w:t xml:space="preserve">Workflow 1.6 — Annual Performance Appraisal (FPI Form) Submission: </w:t>
      </w:r>
      <w:r>
        <w:rPr>
          <w:rFonts w:ascii="Times New Roman" w:hAnsi="Times New Roman"/>
          <w:sz w:val="28"/>
        </w:rPr>
        <w:t>Faculty opens Appraisal Form (/appraisal). System auto-selects completed academic year (2025-2026) and auto-maps portal data into PART A (Teaching, Max 60), PART B (Prof Dev, Max 40), PART C (R&amp;D, Max 80), and PART D (Institutional, Max 20). Self-scores calculate automatically. Faculty verifies auto-mapped proofs (👁️ View Proof) and clicks 'Submit FPI Form'. Form status updates to 'Submitted'.</w:t>
      </w:r>
    </w:p>
    <w:p>
      <w:pPr>
        <w:pStyle w:val="ListBullet"/>
        <w:spacing w:after="80"/>
      </w:pPr>
      <w:r>
        <w:rPr>
          <w:rFonts w:ascii="Times New Roman" w:hAnsi="Times New Roman"/>
          <w:b/>
          <w:color w:val="0369A1"/>
          <w:sz w:val="28"/>
        </w:rPr>
        <w:t xml:space="preserve">Workflow 1.7 — Self Dossier Report Generation: </w:t>
      </w:r>
      <w:r>
        <w:rPr>
          <w:rFonts w:ascii="Times New Roman" w:hAnsi="Times New Roman"/>
          <w:sz w:val="28"/>
        </w:rPr>
        <w:t>Faculty opens Reports (/reports) to generate and download self academic dossier in PDF, Excel, or ZIP format.</w:t>
      </w:r>
    </w:p>
    <w:p>
      <w:pPr>
        <w:keepNext/>
        <w:spacing w:before="320" w:after="120"/>
      </w:pPr>
      <w:r>
        <w:rPr>
          <w:rFonts w:ascii="Times New Roman" w:hAnsi="Times New Roman"/>
          <w:b/>
          <w:color w:val="0369A1"/>
          <w:sz w:val="28"/>
        </w:rPr>
        <w:t>❖ Workflow Architecture Diagram: Faculty Annual FPI Appraisal Self-Submission Process</w:t>
      </w:r>
    </w:p>
    <w:tbl>
      <w:tblPr>
        <w:tblW w:type="auto" w:w="0"/>
        <w:jc w:val="center"/>
        <w:tblLayout w:type="fixed"/>
        <w:tblLook w:firstColumn="1" w:firstRow="1" w:lastColumn="0" w:lastRow="0" w:noHBand="0" w:noVBand="1" w:val="04A0"/>
        <w:tblBorders>
          <w:top w:val="single" w:sz="8" w:space="0" w:color="0F331F"/>
          <w:left w:val="single" w:sz="8" w:space="0" w:color="0F331F"/>
          <w:bottom w:val="single" w:sz="8" w:space="0" w:color="0F331F"/>
          <w:right w:val="single" w:sz="8" w:space="0" w:color="0F331F"/>
          <w:insideH w:val="single" w:sz="8" w:space="0" w:color="0F331F"/>
          <w:insideV w:val="none"/>
        </w:tblBorders>
      </w:tblPr>
      <w:tblGrid>
        <w:gridCol w:w="10080"/>
      </w:tblGrid>
      <w:tr>
        <w:tc>
          <w:tcPr>
            <w:tcW w:type="dxa" w:w="10080"/>
            <w:shd w:val="clear" w:color="auto" w:fill="F8FAFC"/>
            <w:tcMar>
              <w:top w:w="140" w:type="dxa"/>
              <w:bottom w:w="140" w:type="dxa"/>
              <w:left w:w="180" w:type="dxa"/>
              <w:right w:w="180" w:type="dxa"/>
            </w:tcMar>
          </w:tcPr>
          <w:p>
            <w:pPr>
              <w:spacing w:before="80" w:after="120"/>
            </w:pPr>
            <w:r>
              <w:rPr>
                <w:rFonts w:ascii="Times New Roman" w:hAnsi="Times New Roman"/>
                <w:b/>
                <w:color w:val="0F331F"/>
                <w:sz w:val="28"/>
              </w:rPr>
              <w:t>ARCHITECTURAL FLOW: FACULTY ANNUAL FPI APPRAISAL SELF-SUBMISSION PROCESS</w:t>
              <w:br/>
            </w:r>
          </w:p>
          <w:p>
            <w:pPr>
              <w:spacing w:before="40" w:after="80"/>
            </w:pPr>
            <w:r>
              <w:rPr>
                <w:rFonts w:ascii="Times New Roman" w:hAnsi="Times New Roman"/>
                <w:b/>
                <w:color w:val="0369A1"/>
                <w:sz w:val="28"/>
              </w:rPr>
              <w:t xml:space="preserve">► Step 1: </w:t>
            </w:r>
            <w:r>
              <w:rPr>
                <w:rFonts w:ascii="Times New Roman" w:hAnsi="Times New Roman"/>
                <w:color w:val="1E293B"/>
                <w:sz w:val="28"/>
              </w:rPr>
              <w:t>Faculty accesses /appraisal for completed academic year (2025-2026).</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2: </w:t>
            </w:r>
            <w:r>
              <w:rPr>
                <w:rFonts w:ascii="Times New Roman" w:hAnsi="Times New Roman"/>
                <w:color w:val="1E293B"/>
                <w:sz w:val="28"/>
              </w:rPr>
              <w:t>Engine auto-fetches logged portal data (Pass %, Feedback, FDPs, Publications, Grants, Responsibilities).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3: </w:t>
            </w:r>
            <w:r>
              <w:rPr>
                <w:rFonts w:ascii="Times New Roman" w:hAnsi="Times New Roman"/>
                <w:color w:val="1E293B"/>
                <w:sz w:val="28"/>
              </w:rPr>
              <w:t>System calculates auto-mapped scores across PART A (Max 60), PART B (Max 40), PART C (Max 80), PART D (Max 20).</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4: </w:t>
            </w:r>
            <w:r>
              <w:rPr>
                <w:rFonts w:ascii="Times New Roman" w:hAnsi="Times New Roman"/>
                <w:color w:val="1E293B"/>
                <w:sz w:val="28"/>
              </w:rPr>
              <w:t>Faculty inspects auto-mapped proof documents via 👁️ View Proof buttons.</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5: </w:t>
            </w:r>
            <w:r>
              <w:rPr>
                <w:rFonts w:ascii="Times New Roman" w:hAnsi="Times New Roman"/>
                <w:color w:val="1E293B"/>
                <w:sz w:val="28"/>
              </w:rPr>
              <w:t>Faculty fills goals for next year, signs form, and clicks 'Submit FPI Form' (Status set to 'Submitted').</w:t>
            </w:r>
          </w:p>
        </w:tc>
      </w:tr>
    </w:tbl>
    <w:p>
      <w:pPr>
        <w:spacing w:after="160"/>
      </w:pPr>
    </w:p>
    <w:p>
      <w:pPr>
        <w:keepNext/>
        <w:spacing w:before="320" w:after="120"/>
      </w:pPr>
      <w:r>
        <w:rPr>
          <w:rFonts w:ascii="Times New Roman" w:hAnsi="Times New Roman"/>
          <w:b/>
          <w:color w:val="0F172A"/>
          <w:sz w:val="32"/>
        </w:rPr>
        <w:t>3. Portal 2 — Department Admin &amp; HOD Portal Workflow (role: 'dept_admin', isHod: true)</w:t>
      </w:r>
    </w:p>
    <w:p>
      <w:pPr>
        <w:spacing w:after="120"/>
      </w:pPr>
      <w:r>
        <w:rPr>
          <w:rFonts w:ascii="Times New Roman" w:hAnsi="Times New Roman"/>
          <w:sz w:val="28"/>
        </w:rPr>
        <w:t>The Department Admin &amp; HOD Portal provides departmental oversight, read-only faculty verification, departmental duty assignment, Part-by-Part appraisal evaluation, and departmental report exports.</w:t>
      </w:r>
    </w:p>
    <w:p>
      <w:pPr>
        <w:pStyle w:val="ListBullet"/>
        <w:spacing w:after="80"/>
      </w:pPr>
      <w:r>
        <w:rPr>
          <w:rFonts w:ascii="Times New Roman" w:hAnsi="Times New Roman"/>
          <w:b/>
          <w:color w:val="0F331F"/>
          <w:sz w:val="28"/>
        </w:rPr>
        <w:t xml:space="preserve">Workflow 2.1 — Department Faculty Directory &amp; Read-Only Profile Verification: </w:t>
      </w:r>
      <w:r>
        <w:rPr>
          <w:rFonts w:ascii="Times New Roman" w:hAnsi="Times New Roman"/>
          <w:sz w:val="28"/>
        </w:rPr>
        <w:t>HOD/Dept Admin accesses Faculty Directory (/admin/faculty) to view department faculty listings. Opens Personal Details (/profile/personal) to inspect DOB, Gender, Mobile, PAN, Aadhaar, and Address. All input fields are explicitly disabled (disabled={auth.role === 'dept_admin'}) to prevent unauthorized editing.</w:t>
      </w:r>
    </w:p>
    <w:p>
      <w:pPr>
        <w:pStyle w:val="ListBullet"/>
        <w:spacing w:after="80"/>
      </w:pPr>
      <w:r>
        <w:rPr>
          <w:rFonts w:ascii="Times New Roman" w:hAnsi="Times New Roman"/>
          <w:b/>
          <w:color w:val="0F331F"/>
          <w:sz w:val="28"/>
        </w:rPr>
        <w:t xml:space="preserve">Workflow 2.2 — Department Additional Responsibilities Assignment: </w:t>
      </w:r>
      <w:r>
        <w:rPr>
          <w:rFonts w:ascii="Times New Roman" w:hAnsi="Times New Roman"/>
          <w:sz w:val="28"/>
        </w:rPr>
        <w:t>HOD accesses /responsibilities to assign official departmental additional duties (e.g. Class Advisor, Lab In-charge, Accreditation Coordinator) to department faculty members.</w:t>
      </w:r>
    </w:p>
    <w:p>
      <w:pPr>
        <w:pStyle w:val="ListBullet"/>
        <w:spacing w:after="80"/>
      </w:pPr>
      <w:r>
        <w:rPr>
          <w:rFonts w:ascii="Times New Roman" w:hAnsi="Times New Roman"/>
          <w:b/>
          <w:color w:val="0F331F"/>
          <w:sz w:val="28"/>
        </w:rPr>
        <w:t xml:space="preserve">Workflow 2.3 — HOD Annual Appraisal Review &amp; Part-by-Part Evaluation: </w:t>
      </w:r>
      <w:r>
        <w:rPr>
          <w:rFonts w:ascii="Times New Roman" w:hAnsi="Times New Roman"/>
          <w:sz w:val="28"/>
        </w:rPr>
        <w:t>HOD opens Appraisal Form (/appraisal) and monitors pending department submissions (status === 'Submitted'). Opens Auto-Mapped Activity Verification Panel and clicks 👁️ View Proof next to publications, grants, patents, certifications, and events to inspect original uploaded evidence. Opens evaluation modal, enters HOD evaluated scores for PART A, B, C, D, adds feedback remarks, and clicks 'Approve &amp; Forward to Principal/HR'. Form status updates to 'HOD Approved'.</w:t>
      </w:r>
    </w:p>
    <w:p>
      <w:pPr>
        <w:pStyle w:val="ListBullet"/>
        <w:spacing w:after="80"/>
      </w:pPr>
      <w:r>
        <w:rPr>
          <w:rFonts w:ascii="Times New Roman" w:hAnsi="Times New Roman"/>
          <w:b/>
          <w:color w:val="0F331F"/>
          <w:sz w:val="28"/>
        </w:rPr>
        <w:t xml:space="preserve">Workflow 2.4 — Departmental Report &amp; Dossier Generation: </w:t>
      </w:r>
      <w:r>
        <w:rPr>
          <w:rFonts w:ascii="Times New Roman" w:hAnsi="Times New Roman"/>
          <w:sz w:val="28"/>
        </w:rPr>
        <w:t>HOD accesses Reports (/reports) to generate department-wide activity summaries, publication dossiers, and appraisal evaluation reports in PDF, Excel, and ZIP formats.</w:t>
      </w:r>
    </w:p>
    <w:p>
      <w:pPr>
        <w:keepNext/>
        <w:spacing w:before="320" w:after="120"/>
      </w:pPr>
      <w:r>
        <w:rPr>
          <w:rFonts w:ascii="Times New Roman" w:hAnsi="Times New Roman"/>
          <w:b/>
          <w:color w:val="0369A1"/>
          <w:sz w:val="28"/>
        </w:rPr>
        <w:t>❖ Workflow Architecture Diagram: HOD Part-by-Part Appraisal Verification &amp; Score Evaluation</w:t>
      </w:r>
    </w:p>
    <w:tbl>
      <w:tblPr>
        <w:tblW w:type="auto" w:w="0"/>
        <w:jc w:val="center"/>
        <w:tblLayout w:type="fixed"/>
        <w:tblLook w:firstColumn="1" w:firstRow="1" w:lastColumn="0" w:lastRow="0" w:noHBand="0" w:noVBand="1" w:val="04A0"/>
        <w:tblBorders>
          <w:top w:val="single" w:sz="8" w:space="0" w:color="0F331F"/>
          <w:left w:val="single" w:sz="8" w:space="0" w:color="0F331F"/>
          <w:bottom w:val="single" w:sz="8" w:space="0" w:color="0F331F"/>
          <w:right w:val="single" w:sz="8" w:space="0" w:color="0F331F"/>
          <w:insideH w:val="single" w:sz="8" w:space="0" w:color="0F331F"/>
          <w:insideV w:val="none"/>
        </w:tblBorders>
      </w:tblPr>
      <w:tblGrid>
        <w:gridCol w:w="10080"/>
      </w:tblGrid>
      <w:tr>
        <w:tc>
          <w:tcPr>
            <w:tcW w:type="dxa" w:w="10080"/>
            <w:shd w:val="clear" w:color="auto" w:fill="F8FAFC"/>
            <w:tcMar>
              <w:top w:w="140" w:type="dxa"/>
              <w:bottom w:w="140" w:type="dxa"/>
              <w:left w:w="180" w:type="dxa"/>
              <w:right w:w="180" w:type="dxa"/>
            </w:tcMar>
          </w:tcPr>
          <w:p>
            <w:pPr>
              <w:spacing w:before="80" w:after="120"/>
            </w:pPr>
            <w:r>
              <w:rPr>
                <w:rFonts w:ascii="Times New Roman" w:hAnsi="Times New Roman"/>
                <w:b/>
                <w:color w:val="0F331F"/>
                <w:sz w:val="28"/>
              </w:rPr>
              <w:t>ARCHITECTURAL FLOW: HOD PART-BY-PART APPRAISAL VERIFICATION &amp; SCORE EVALUATION</w:t>
              <w:br/>
            </w:r>
          </w:p>
          <w:p>
            <w:pPr>
              <w:spacing w:before="40" w:after="80"/>
            </w:pPr>
            <w:r>
              <w:rPr>
                <w:rFonts w:ascii="Times New Roman" w:hAnsi="Times New Roman"/>
                <w:b/>
                <w:color w:val="0369A1"/>
                <w:sz w:val="28"/>
              </w:rPr>
              <w:t xml:space="preserve">► Step 1: </w:t>
            </w:r>
            <w:r>
              <w:rPr>
                <w:rFonts w:ascii="Times New Roman" w:hAnsi="Times New Roman"/>
                <w:color w:val="1E293B"/>
                <w:sz w:val="28"/>
              </w:rPr>
              <w:t>HOD monitors department submissions queue (Status: 'Submitted').</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2: </w:t>
            </w:r>
            <w:r>
              <w:rPr>
                <w:rFonts w:ascii="Times New Roman" w:hAnsi="Times New Roman"/>
                <w:color w:val="1E293B"/>
                <w:sz w:val="28"/>
              </w:rPr>
              <w:t>HOD opens Auto-Mapped Activity Verification Panel and clicks 👁️ View Proof to verify uploaded evidence.</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3: </w:t>
            </w:r>
            <w:r>
              <w:rPr>
                <w:rFonts w:ascii="Times New Roman" w:hAnsi="Times New Roman"/>
                <w:color w:val="1E293B"/>
                <w:sz w:val="28"/>
              </w:rPr>
              <w:t>HOD inputs evaluated marks for PART A, PART B, PART C, and PART D based on institutional rubric.</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4: </w:t>
            </w:r>
            <w:r>
              <w:rPr>
                <w:rFonts w:ascii="Times New Roman" w:hAnsi="Times New Roman"/>
                <w:color w:val="1E293B"/>
                <w:sz w:val="28"/>
              </w:rPr>
              <w:t>HOD adds qualitative evaluation remarks and submits form.</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5: </w:t>
            </w:r>
            <w:r>
              <w:rPr>
                <w:rFonts w:ascii="Times New Roman" w:hAnsi="Times New Roman"/>
                <w:color w:val="1E293B"/>
                <w:sz w:val="28"/>
              </w:rPr>
              <w:t>System updates appraisal status to 'HOD Approved' and forwards queue to Principal/HR.</w:t>
            </w:r>
          </w:p>
        </w:tc>
      </w:tr>
    </w:tbl>
    <w:p>
      <w:pPr>
        <w:spacing w:after="160"/>
      </w:pPr>
    </w:p>
    <w:p>
      <w:pPr>
        <w:keepNext/>
        <w:spacing w:before="320" w:after="120"/>
      </w:pPr>
      <w:r>
        <w:rPr>
          <w:rFonts w:ascii="Times New Roman" w:hAnsi="Times New Roman"/>
          <w:b/>
          <w:color w:val="0F172A"/>
          <w:sz w:val="32"/>
        </w:rPr>
        <w:t>4. Portal 3 — System Admin &amp; Executive Portal Workflow (role: 'admin', 'principal', 'hr')</w:t>
      </w:r>
    </w:p>
    <w:p>
      <w:pPr>
        <w:spacing w:after="120"/>
      </w:pPr>
      <w:r>
        <w:rPr>
          <w:rFonts w:ascii="Times New Roman" w:hAnsi="Times New Roman"/>
          <w:sz w:val="28"/>
        </w:rPr>
        <w:t>The System Admin &amp; Executive Portal equips Principal, HR, and System Administrators with institution-wide administration, full CRUD control, dynamic form building, appraisal rubric customization, final executive appraisal approval, and faculty transfer execution.</w:t>
      </w:r>
    </w:p>
    <w:p>
      <w:pPr>
        <w:pStyle w:val="ListBullet"/>
        <w:spacing w:after="80"/>
      </w:pPr>
      <w:r>
        <w:rPr>
          <w:rFonts w:ascii="Times New Roman" w:hAnsi="Times New Roman"/>
          <w:b/>
          <w:color w:val="B91C1C"/>
          <w:sz w:val="28"/>
        </w:rPr>
        <w:t xml:space="preserve">Workflow 3.1 — Institution User Management &amp; Full Profile CRUD: </w:t>
      </w:r>
      <w:r>
        <w:rPr>
          <w:rFonts w:ascii="Times New Roman" w:hAnsi="Times New Roman"/>
          <w:sz w:val="28"/>
        </w:rPr>
        <w:t>Admin accesses System Admins (/admin/system-admins), Dept Admins (/admin/dept-admins), Faculty Directory (/admin/faculty), and Club Coordinators (/admin/clubs). Has full permission to edit personal/academic details, update designations, reset credentials, assign Coordinators &amp; Co-Coordinators, or mark faculty as relieved (is_relieved === 1).</w:t>
      </w:r>
    </w:p>
    <w:p>
      <w:pPr>
        <w:pStyle w:val="ListBullet"/>
        <w:spacing w:after="80"/>
      </w:pPr>
      <w:r>
        <w:rPr>
          <w:rFonts w:ascii="Times New Roman" w:hAnsi="Times New Roman"/>
          <w:b/>
          <w:color w:val="B91C1C"/>
          <w:sz w:val="28"/>
        </w:rPr>
        <w:t xml:space="preserve">Workflow 3.2 — Institutional Responsibilities Assignment: </w:t>
      </w:r>
      <w:r>
        <w:rPr>
          <w:rFonts w:ascii="Times New Roman" w:hAnsi="Times New Roman"/>
          <w:sz w:val="28"/>
        </w:rPr>
        <w:t>Principal/HR/Admin accesses /responsibilities to assign institution-level additional responsibilities (e.g. NAAC Coordinator, IQAC Member, Anti-Ragging Committee) to any faculty across all departments.</w:t>
      </w:r>
    </w:p>
    <w:p>
      <w:pPr>
        <w:pStyle w:val="ListBullet"/>
        <w:spacing w:after="80"/>
      </w:pPr>
      <w:r>
        <w:rPr>
          <w:rFonts w:ascii="Times New Roman" w:hAnsi="Times New Roman"/>
          <w:b/>
          <w:color w:val="B91C1C"/>
          <w:sz w:val="28"/>
        </w:rPr>
        <w:t xml:space="preserve">Workflow 3.3 — Dynamic Page &amp; Custom Form Builder: </w:t>
      </w:r>
      <w:r>
        <w:rPr>
          <w:rFonts w:ascii="Times New Roman" w:hAnsi="Times New Roman"/>
          <w:sz w:val="28"/>
        </w:rPr>
        <w:t>Admin accesses Dynamic Page Builder (/admin/dynamic-pages) to create custom survey forms, feedback questionnaires, or data collection pages, specifying target portal visibility.</w:t>
      </w:r>
    </w:p>
    <w:p>
      <w:pPr>
        <w:pStyle w:val="ListBullet"/>
        <w:spacing w:after="80"/>
      </w:pPr>
      <w:r>
        <w:rPr>
          <w:rFonts w:ascii="Times New Roman" w:hAnsi="Times New Roman"/>
          <w:b/>
          <w:color w:val="B91C1C"/>
          <w:sz w:val="28"/>
        </w:rPr>
        <w:t xml:space="preserve">Workflow 3.4 — Appraisal Form Builder &amp; Rubric Configurator (/appraisal): </w:t>
      </w:r>
      <w:r>
        <w:rPr>
          <w:rFonts w:ascii="Times New Roman" w:hAnsi="Times New Roman"/>
          <w:sz w:val="28"/>
        </w:rPr>
        <w:t>Admin opens Form Builder tab in /appraisal to configure evaluation parameters: (a) Designation Overrides: Selects target designation (Assistant Professor, Associate Professor, Professor, Professor &amp; Head) to customize unit marks and max caps. (b) Threshold Brackets (⚙️ Config Bracket): Configures cutoff thresholds (feedback 4.0 cutoff, pass % 80% cutoff, publication splits). (c) Custom PART Addition (➕ Add New PART): Adds new evaluation sections (PART_E, PART_F) and updates titles in real time.</w:t>
      </w:r>
    </w:p>
    <w:p>
      <w:pPr>
        <w:pStyle w:val="ListBullet"/>
        <w:spacing w:after="80"/>
      </w:pPr>
      <w:r>
        <w:rPr>
          <w:rFonts w:ascii="Times New Roman" w:hAnsi="Times New Roman"/>
          <w:b/>
          <w:color w:val="B91C1C"/>
          <w:sz w:val="28"/>
        </w:rPr>
        <w:t xml:space="preserve">Workflow 3.5 — Final Executive Appraisal Approval: </w:t>
      </w:r>
      <w:r>
        <w:rPr>
          <w:rFonts w:ascii="Times New Roman" w:hAnsi="Times New Roman"/>
          <w:sz w:val="28"/>
        </w:rPr>
        <w:t>Executive Admin reviews HOD-approved submissions (status === 'HOD Approved'). Inspects auto-mapped proof documents (👁️ View Proof), inputs final executive scores and remarks, and clicks 'Final Approve'. Form status updates to 'Final Approved'.</w:t>
      </w:r>
    </w:p>
    <w:p>
      <w:pPr>
        <w:pStyle w:val="ListBullet"/>
        <w:spacing w:after="80"/>
      </w:pPr>
      <w:r>
        <w:rPr>
          <w:rFonts w:ascii="Times New Roman" w:hAnsi="Times New Roman"/>
          <w:b/>
          <w:color w:val="B91C1C"/>
          <w:sz w:val="28"/>
        </w:rPr>
        <w:t xml:space="preserve">Workflow 3.6 — Faculty Department Transfer Execution: </w:t>
      </w:r>
      <w:r>
        <w:rPr>
          <w:rFonts w:ascii="Times New Roman" w:hAnsi="Times New Roman"/>
          <w:sz w:val="28"/>
        </w:rPr>
        <w:t>Admin initiates faculty transfer (/api/admin/faculty/transfer). System logs audit history in staff_department_history, updates staff_academics, moves physical storage directory from /SREC/{old_dept}/{staff_id}/ to /SREC/{new_dept}/{staff_id}/, remaps DB file paths, and re-queues faculty under new HOD.</w:t>
      </w:r>
    </w:p>
    <w:p>
      <w:pPr>
        <w:keepNext/>
        <w:spacing w:before="320" w:after="120"/>
      </w:pPr>
      <w:r>
        <w:rPr>
          <w:rFonts w:ascii="Times New Roman" w:hAnsi="Times New Roman"/>
          <w:b/>
          <w:color w:val="0369A1"/>
          <w:sz w:val="28"/>
        </w:rPr>
        <w:t>❖ Workflow Architecture Diagram: Faculty Department Transfer &amp; Directory Relocation Lifecycle</w:t>
      </w:r>
    </w:p>
    <w:tbl>
      <w:tblPr>
        <w:tblW w:type="auto" w:w="0"/>
        <w:jc w:val="center"/>
        <w:tblLayout w:type="fixed"/>
        <w:tblLook w:firstColumn="1" w:firstRow="1" w:lastColumn="0" w:lastRow="0" w:noHBand="0" w:noVBand="1" w:val="04A0"/>
        <w:tblBorders>
          <w:top w:val="single" w:sz="8" w:space="0" w:color="0F331F"/>
          <w:left w:val="single" w:sz="8" w:space="0" w:color="0F331F"/>
          <w:bottom w:val="single" w:sz="8" w:space="0" w:color="0F331F"/>
          <w:right w:val="single" w:sz="8" w:space="0" w:color="0F331F"/>
          <w:insideH w:val="single" w:sz="8" w:space="0" w:color="0F331F"/>
          <w:insideV w:val="none"/>
        </w:tblBorders>
      </w:tblPr>
      <w:tblGrid>
        <w:gridCol w:w="10080"/>
      </w:tblGrid>
      <w:tr>
        <w:tc>
          <w:tcPr>
            <w:tcW w:type="dxa" w:w="10080"/>
            <w:shd w:val="clear" w:color="auto" w:fill="F8FAFC"/>
            <w:tcMar>
              <w:top w:w="140" w:type="dxa"/>
              <w:bottom w:w="140" w:type="dxa"/>
              <w:left w:w="180" w:type="dxa"/>
              <w:right w:w="180" w:type="dxa"/>
            </w:tcMar>
          </w:tcPr>
          <w:p>
            <w:pPr>
              <w:spacing w:before="80" w:after="120"/>
            </w:pPr>
            <w:r>
              <w:rPr>
                <w:rFonts w:ascii="Times New Roman" w:hAnsi="Times New Roman"/>
                <w:b/>
                <w:color w:val="0F331F"/>
                <w:sz w:val="28"/>
              </w:rPr>
              <w:t>ARCHITECTURAL FLOW: FACULTY DEPARTMENT TRANSFER &amp; DIRECTORY RELOCATION LIFECYCLE</w:t>
              <w:br/>
            </w:r>
          </w:p>
          <w:p>
            <w:pPr>
              <w:spacing w:before="40" w:after="80"/>
            </w:pPr>
            <w:r>
              <w:rPr>
                <w:rFonts w:ascii="Times New Roman" w:hAnsi="Times New Roman"/>
                <w:b/>
                <w:color w:val="0369A1"/>
                <w:sz w:val="28"/>
              </w:rPr>
              <w:t xml:space="preserve">► Step 1: </w:t>
            </w:r>
            <w:r>
              <w:rPr>
                <w:rFonts w:ascii="Times New Roman" w:hAnsi="Times New Roman"/>
                <w:color w:val="1E293B"/>
                <w:sz w:val="28"/>
              </w:rPr>
              <w:t>System Admin submits transfer request at /api/admin/faculty/transfer (Old Dept -&gt; New Dept).</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2: </w:t>
            </w:r>
            <w:r>
              <w:rPr>
                <w:rFonts w:ascii="Times New Roman" w:hAnsi="Times New Roman"/>
                <w:color w:val="1E293B"/>
                <w:sz w:val="28"/>
              </w:rPr>
              <w:t>System inserts immutable audit record in staff_department_history.</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3: </w:t>
            </w:r>
            <w:r>
              <w:rPr>
                <w:rFonts w:ascii="Times New Roman" w:hAnsi="Times New Roman"/>
                <w:color w:val="1E293B"/>
                <w:sz w:val="28"/>
              </w:rPr>
              <w:t>System updates Department field in staff_academics and updates admin_dep scope if applicable.</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4: </w:t>
            </w:r>
            <w:r>
              <w:rPr>
                <w:rFonts w:ascii="Times New Roman" w:hAnsi="Times New Roman"/>
                <w:color w:val="1E293B"/>
                <w:sz w:val="28"/>
              </w:rPr>
              <w:t>Disk Mover (moveFacultyDirectory) relocates files: /SREC/OldDept/ID/ ➔ /SREC/NewDept/ID/.</w:t>
            </w:r>
          </w:p>
          <w:p>
            <w:pPr>
              <w:spacing w:before="0" w:after="0"/>
              <w:jc w:val="center"/>
            </w:pPr>
            <w:r>
              <w:rPr>
                <w:rFonts w:ascii="Times New Roman" w:hAnsi="Times New Roman"/>
                <w:b/>
                <w:color w:val="0F766E"/>
                <w:sz w:val="28"/>
              </w:rPr>
              <w:t>│</w:t>
              <w:br/>
              <w:t>▼</w:t>
            </w:r>
          </w:p>
          <w:p>
            <w:pPr>
              <w:spacing w:before="40" w:after="80"/>
            </w:pPr>
            <w:r>
              <w:rPr>
                <w:rFonts w:ascii="Times New Roman" w:hAnsi="Times New Roman"/>
                <w:b/>
                <w:color w:val="0369A1"/>
                <w:sz w:val="28"/>
              </w:rPr>
              <w:t xml:space="preserve">► Step 5: </w:t>
            </w:r>
            <w:r>
              <w:rPr>
                <w:rFonts w:ascii="Times New Roman" w:hAnsi="Times New Roman"/>
                <w:color w:val="1E293B"/>
                <w:sz w:val="28"/>
              </w:rPr>
              <w:t>System remaps document path strings in activity tables and re-queues faculty under New Department HOD.</w:t>
            </w:r>
          </w:p>
        </w:tc>
      </w:tr>
    </w:tbl>
    <w:p>
      <w:pPr>
        <w:spacing w:after="160"/>
      </w:pPr>
    </w:p>
    <w:sectPr w:rsidR="00FC693F" w:rsidRPr="0006063C" w:rsidSect="00034616">
      <w:footerReference w:type="default" r:id="rId9"/>
      <w:pgSz w:w="12240" w:h="15840"/>
      <w:pgMar w:top="1080" w:right="1080" w:bottom="1080" w:left="1080" w:header="720" w:footer="720" w:gutter="0"/>
      <w:cols w:space="720"/>
      <w:docGrid w:linePitch="360"/>
      <w:pgBorders w:offsetFrom="page">
        <w:top w:val="single" w:sz="8" w:space="20" w:color="0F331F"/>
        <w:left w:val="single" w:sz="8" w:space="20" w:color="0F331F"/>
        <w:bottom w:val="single" w:sz="8" w:space="20" w:color="0F331F"/>
        <w:right w:val="single" w:sz="8" w:space="20" w:color="0F331F"/>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Times New Roman" w:hAnsi="Times New Roman"/>
        <w:color w:val="64748B"/>
        <w:sz w:val="22"/>
      </w:rPr>
      <w:t>© 2026 FIS Team - Sri Ramakrishna Engineering College, Coimbatore | SREC FIS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