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SYSTEM CONSTRAINTS, RULES &amp; PORTAL FUNCTIONALITY MANUAL</w:t>
      </w:r>
    </w:p>
    <w:p>
      <w:pPr>
        <w:spacing w:before="0" w:after="280"/>
      </w:pPr>
      <w:r>
        <w:rPr>
          <w:rFonts w:ascii="Times New Roman" w:hAnsi="Times New Roman"/>
          <w:i/>
          <w:color w:val="64748B"/>
          <w:sz w:val="22"/>
        </w:rPr>
        <w:t>Document Generated: August 10, 2026 | Version 3.0 | Status: Active System Rules Specification</w:t>
      </w:r>
    </w:p>
    <w:p>
      <w:pPr>
        <w:spacing w:after="80"/>
      </w:pPr>
    </w:p>
    <w:p>
      <w:pPr>
        <w:keepNext/>
        <w:spacing w:before="320" w:after="120"/>
      </w:pPr>
      <w:r>
        <w:rPr>
          <w:rFonts w:ascii="Times New Roman" w:hAnsi="Times New Roman"/>
          <w:b/>
          <w:color w:val="0F172A"/>
          <w:sz w:val="32"/>
        </w:rPr>
        <w:t>1. Executive Summary &amp; Portal Classification</w:t>
      </w:r>
    </w:p>
    <w:p>
      <w:pPr>
        <w:spacing w:after="160"/>
      </w:pPr>
      <w:r>
        <w:rPr>
          <w:rFonts w:ascii="Times New Roman" w:hAnsi="Times New Roman"/>
          <w:sz w:val="28"/>
        </w:rPr>
        <w:t>The Sri Ramakrishna Engineering College Faculty Information System (SREC FIS V3.0) operates across three distinct portal environments, governed by strict authorization constraints, menu visibility matrix, role elevation logic, and workflow governance.</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3360"/>
        <w:gridCol w:w="3360"/>
        <w:gridCol w:w="3360"/>
      </w:tblGrid>
      <w:tr>
        <w:tc>
          <w:tcPr>
            <w:tcW w:type="dxa" w:w="2592"/>
            <w:shd w:val="clear" w:color="auto" w:fill="0F331F"/>
            <w:tcMar>
              <w:top w:w="120" w:type="dxa"/>
              <w:bottom w:w="120" w:type="dxa"/>
              <w:left w:w="160" w:type="dxa"/>
              <w:right w:w="160" w:type="dxa"/>
            </w:tcMar>
          </w:tcPr>
          <w:p>
            <w:r>
              <w:rPr>
                <w:rFonts w:ascii="Times New Roman" w:hAnsi="Times New Roman"/>
                <w:b/>
                <w:color w:val="FFFFFF"/>
                <w:sz w:val="28"/>
              </w:rPr>
              <w:t>Portal Environment</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Target User Roles</w:t>
            </w:r>
          </w:p>
        </w:tc>
        <w:tc>
          <w:tcPr>
            <w:tcW w:type="dxa" w:w="4896"/>
            <w:shd w:val="clear" w:color="auto" w:fill="0F331F"/>
            <w:tcMar>
              <w:top w:w="120" w:type="dxa"/>
              <w:bottom w:w="120" w:type="dxa"/>
              <w:left w:w="160" w:type="dxa"/>
              <w:right w:w="160" w:type="dxa"/>
            </w:tcMar>
          </w:tcPr>
          <w:p>
            <w:r>
              <w:rPr>
                <w:rFonts w:ascii="Times New Roman" w:hAnsi="Times New Roman"/>
                <w:b/>
                <w:color w:val="FFFFFF"/>
                <w:sz w:val="28"/>
              </w:rPr>
              <w:t>Operational Scope &amp; Access Rules</w:t>
            </w:r>
          </w:p>
        </w:tc>
      </w:tr>
      <w:tr>
        <w:tc>
          <w:tcPr>
            <w:tcW w:type="dxa" w:w="2592"/>
            <w:shd w:val="clear" w:color="auto" w:fill="F8FAFC"/>
            <w:tcMar>
              <w:top w:w="120" w:type="dxa"/>
              <w:bottom w:w="120" w:type="dxa"/>
              <w:left w:w="160" w:type="dxa"/>
              <w:right w:w="160" w:type="dxa"/>
            </w:tcMar>
          </w:tcPr>
          <w:p>
            <w:r>
              <w:rPr>
                <w:rFonts w:ascii="Times New Roman" w:hAnsi="Times New Roman"/>
                <w:sz w:val="28"/>
              </w:rPr>
              <w:t>1. Faculty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'faculty'</w:t>
            </w:r>
          </w:p>
        </w:tc>
        <w:tc>
          <w:tcPr>
            <w:tcW w:type="dxa" w:w="4896"/>
            <w:shd w:val="clear" w:color="auto" w:fill="F8FAFC"/>
            <w:tcMar>
              <w:top w:w="120" w:type="dxa"/>
              <w:bottom w:w="120" w:type="dxa"/>
              <w:left w:w="160" w:type="dxa"/>
              <w:right w:w="160" w:type="dxa"/>
            </w:tcMar>
          </w:tcPr>
          <w:p>
            <w:r>
              <w:rPr>
                <w:rFonts w:ascii="Times New Roman" w:hAnsi="Times New Roman"/>
                <w:sz w:val="28"/>
              </w:rPr>
              <w:t>Self-service profile logging, personal activities, R&amp;D submissions, assigned responsibilities view, self FPI appraisal submission.</w:t>
            </w:r>
          </w:p>
        </w:tc>
      </w:tr>
      <w:tr>
        <w:tc>
          <w:tcPr>
            <w:tcW w:type="dxa" w:w="2592"/>
            <w:shd w:val="clear" w:color="auto" w:fill="FFFFFF"/>
            <w:tcMar>
              <w:top w:w="120" w:type="dxa"/>
              <w:bottom w:w="120" w:type="dxa"/>
              <w:left w:w="160" w:type="dxa"/>
              <w:right w:w="160" w:type="dxa"/>
            </w:tcMar>
          </w:tcPr>
          <w:p>
            <w:r>
              <w:rPr>
                <w:rFonts w:ascii="Times New Roman" w:hAnsi="Times New Roman"/>
                <w:sz w:val="28"/>
              </w:rPr>
              <w:t>2. Dept Admin / HOD Portal</w:t>
            </w:r>
          </w:p>
        </w:tc>
        <w:tc>
          <w:tcPr>
            <w:tcW w:type="dxa" w:w="2592"/>
            <w:shd w:val="clear" w:color="auto" w:fill="FFFFFF"/>
            <w:tcMar>
              <w:top w:w="120" w:type="dxa"/>
              <w:bottom w:w="120" w:type="dxa"/>
              <w:left w:w="160" w:type="dxa"/>
              <w:right w:w="160" w:type="dxa"/>
            </w:tcMar>
          </w:tcPr>
          <w:p>
            <w:r>
              <w:rPr>
                <w:rFonts w:ascii="Times New Roman" w:hAnsi="Times New Roman"/>
                <w:sz w:val="28"/>
              </w:rPr>
              <w:t>role: 'dept_admin'</w:t>
              <w:br/>
              <w:t>isHod: true</w:t>
            </w:r>
          </w:p>
        </w:tc>
        <w:tc>
          <w:tcPr>
            <w:tcW w:type="dxa" w:w="4896"/>
            <w:shd w:val="clear" w:color="auto" w:fill="FFFFFF"/>
            <w:tcMar>
              <w:top w:w="120" w:type="dxa"/>
              <w:bottom w:w="120" w:type="dxa"/>
              <w:left w:w="160" w:type="dxa"/>
              <w:right w:w="160" w:type="dxa"/>
            </w:tcMar>
          </w:tcPr>
          <w:p>
            <w:r>
              <w:rPr>
                <w:rFonts w:ascii="Times New Roman" w:hAnsi="Times New Roman"/>
                <w:sz w:val="28"/>
              </w:rPr>
              <w:t>Departmental faculty oversight, read-only faculty verification, departmental additional responsibilities assignment, HOD Part-by-Part appraisal review &amp; score evaluation.</w:t>
            </w:r>
          </w:p>
        </w:tc>
      </w:tr>
      <w:tr>
        <w:tc>
          <w:tcPr>
            <w:tcW w:type="dxa" w:w="2592"/>
            <w:shd w:val="clear" w:color="auto" w:fill="F8FAFC"/>
            <w:tcMar>
              <w:top w:w="120" w:type="dxa"/>
              <w:bottom w:w="120" w:type="dxa"/>
              <w:left w:w="160" w:type="dxa"/>
              <w:right w:w="160" w:type="dxa"/>
            </w:tcMar>
          </w:tcPr>
          <w:p>
            <w:r>
              <w:rPr>
                <w:rFonts w:ascii="Times New Roman" w:hAnsi="Times New Roman"/>
                <w:sz w:val="28"/>
              </w:rPr>
              <w:t>3. Executive &amp; System Admin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'admin'</w:t>
              <w:br/>
              <w:t>role: 'principal'</w:t>
              <w:br/>
              <w:t>role: 'hr'</w:t>
            </w:r>
          </w:p>
        </w:tc>
        <w:tc>
          <w:tcPr>
            <w:tcW w:type="dxa" w:w="4896"/>
            <w:shd w:val="clear" w:color="auto" w:fill="F8FAFC"/>
            <w:tcMar>
              <w:top w:w="120" w:type="dxa"/>
              <w:bottom w:w="120" w:type="dxa"/>
              <w:left w:w="160" w:type="dxa"/>
              <w:right w:w="160" w:type="dxa"/>
            </w:tcMar>
          </w:tcPr>
          <w:p>
            <w:r>
              <w:rPr>
                <w:rFonts w:ascii="Times New Roman" w:hAnsi="Times New Roman"/>
                <w:sz w:val="28"/>
              </w:rPr>
              <w:t>Institution-wide administration, full CRUD across all faculty records, Dynamic Form Builder &amp; Rubrics Configurator, designation scoring parameter overrides, final executive appraisal approval.</w:t>
            </w:r>
          </w:p>
        </w:tc>
      </w:tr>
    </w:tbl>
    <w:p>
      <w:pPr>
        <w:spacing w:after="160"/>
      </w:pPr>
    </w:p>
    <w:p>
      <w:pPr>
        <w:keepNext/>
        <w:spacing w:before="320" w:after="120"/>
      </w:pPr>
      <w:r>
        <w:rPr>
          <w:rFonts w:ascii="Times New Roman" w:hAnsi="Times New Roman"/>
          <w:b/>
          <w:color w:val="0F172A"/>
          <w:sz w:val="32"/>
        </w:rPr>
        <w:t>2. User Roles, Elevation Flags &amp; Automatic Designation Rules</w:t>
      </w:r>
    </w:p>
    <w:p>
      <w:pPr>
        <w:spacing w:after="120"/>
      </w:pPr>
      <w:r>
        <w:rPr>
          <w:rFonts w:ascii="Times New Roman" w:hAnsi="Times New Roman"/>
          <w:sz w:val="28"/>
        </w:rPr>
        <w:t>The system dynamically evaluates user credentials and designation strings to elevate permissions and toggle menu items:</w:t>
      </w:r>
    </w:p>
    <w:p>
      <w:pPr>
        <w:pStyle w:val="ListBullet"/>
        <w:spacing w:after="80"/>
      </w:pPr>
      <w:r>
        <w:rPr>
          <w:rFonts w:ascii="Times New Roman" w:hAnsi="Times New Roman"/>
          <w:b/>
          <w:color w:val="0F766E"/>
          <w:sz w:val="28"/>
        </w:rPr>
        <w:t xml:space="preserve">Doctorate / Ph.D Designation Rule: </w:t>
      </w:r>
      <w:r>
        <w:rPr>
          <w:rFonts w:ascii="Times New Roman" w:hAnsi="Times New Roman"/>
          <w:sz w:val="28"/>
        </w:rPr>
        <w:t>If a faculty member's name contains 'Dr.' or 'Dr ', or Ph.D qualification is recorded, the Research Supervisor menu item (/activities/supervisors) is automatically enabled in place of the Research Scholar menu item (/activities/scholars).</w:t>
      </w:r>
    </w:p>
    <w:p>
      <w:pPr>
        <w:pStyle w:val="ListBullet"/>
        <w:spacing w:after="80"/>
      </w:pPr>
      <w:r>
        <w:rPr>
          <w:rFonts w:ascii="Times New Roman" w:hAnsi="Times New Roman"/>
          <w:b/>
          <w:color w:val="0F766E"/>
          <w:sz w:val="28"/>
        </w:rPr>
        <w:t xml:space="preserve">HOD Designation Rule: </w:t>
      </w:r>
      <w:r>
        <w:rPr>
          <w:rFonts w:ascii="Times New Roman" w:hAnsi="Times New Roman"/>
          <w:sz w:val="28"/>
        </w:rPr>
        <w:t>If a faculty member's designation contains 'Head' or 'HOD', the isHod flag is set to true, granting Departmental Responsibility Assignment and HOD Appraisal Review privileges.</w:t>
      </w:r>
    </w:p>
    <w:p>
      <w:pPr>
        <w:pStyle w:val="ListBullet"/>
        <w:spacing w:after="80"/>
      </w:pPr>
      <w:r>
        <w:rPr>
          <w:rFonts w:ascii="Times New Roman" w:hAnsi="Times New Roman"/>
          <w:b/>
          <w:color w:val="0F766E"/>
          <w:sz w:val="28"/>
        </w:rPr>
        <w:t xml:space="preserve">Executive Admin Rule: </w:t>
      </w:r>
      <w:r>
        <w:rPr>
          <w:rFonts w:ascii="Times New Roman" w:hAnsi="Times New Roman"/>
          <w:sz w:val="28"/>
        </w:rPr>
        <w:t>If a faculty member's designation contains 'Principal' or 'HR', the isInstitutionalAdmin flag is set to true, granting Institutional Responsibility Assignment, Executive Appraisal Review, and Form Builder access.</w:t>
      </w:r>
    </w:p>
    <w:p>
      <w:pPr>
        <w:pStyle w:val="ListBullet"/>
        <w:spacing w:after="80"/>
      </w:pPr>
      <w:r>
        <w:rPr>
          <w:rFonts w:ascii="Times New Roman" w:hAnsi="Times New Roman"/>
          <w:b/>
          <w:color w:val="0F766E"/>
          <w:sz w:val="28"/>
        </w:rPr>
        <w:t xml:space="preserve">Club Coordinator Rule: </w:t>
      </w:r>
      <w:r>
        <w:rPr>
          <w:rFonts w:ascii="Times New Roman" w:hAnsi="Times New Roman"/>
          <w:sz w:val="28"/>
        </w:rPr>
        <w:t>If a faculty member is assigned as an active coordinator or co-coordinator in staff_club or clubs, the isClubCoordinator flag is set to true, enabling the Clubs Activity Organized menu item.</w:t>
      </w:r>
    </w:p>
    <w:p>
      <w:pPr>
        <w:pStyle w:val="ListBullet"/>
        <w:spacing w:after="80"/>
      </w:pPr>
      <w:r>
        <w:rPr>
          <w:rFonts w:ascii="Times New Roman" w:hAnsi="Times New Roman"/>
          <w:b/>
          <w:color w:val="0F766E"/>
          <w:sz w:val="28"/>
        </w:rPr>
        <w:t xml:space="preserve">Relieved Faculty Constraint: </w:t>
      </w:r>
      <w:r>
        <w:rPr>
          <w:rFonts w:ascii="Times New Roman" w:hAnsi="Times New Roman"/>
          <w:sz w:val="28"/>
        </w:rPr>
        <w:t>If is_relieved === 1 in staff_user or staff_personal, login authentication is strictly blocked, revoking all system access.</w:t>
      </w:r>
    </w:p>
    <w:p>
      <w:pPr>
        <w:keepNext/>
        <w:spacing w:before="320" w:after="120"/>
      </w:pPr>
      <w:r>
        <w:rPr>
          <w:rFonts w:ascii="Times New Roman" w:hAnsi="Times New Roman"/>
          <w:b/>
          <w:color w:val="0369A1"/>
          <w:sz w:val="28"/>
        </w:rPr>
        <w:t>❖ System Architecture Diagram: Dynamic Permission Elevation &amp; Menu Toggle Rule Logic</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SYSTEM RULE DIAGRAM: DYNAMIC PERMISSION ELEVATION &amp; MENU TOGGLE RULE LOGIC</w:t>
              <w:br/>
            </w:r>
          </w:p>
          <w:p>
            <w:pPr>
              <w:spacing w:before="40" w:after="80"/>
            </w:pPr>
            <w:r>
              <w:rPr>
                <w:rFonts w:ascii="Times New Roman" w:hAnsi="Times New Roman"/>
                <w:b/>
                <w:color w:val="0369A1"/>
                <w:sz w:val="28"/>
              </w:rPr>
              <w:t xml:space="preserve">► Stage 1: </w:t>
            </w:r>
            <w:r>
              <w:rPr>
                <w:rFonts w:ascii="Times New Roman" w:hAnsi="Times New Roman"/>
                <w:color w:val="1E293B"/>
                <w:sz w:val="28"/>
              </w:rPr>
              <w:t>Login credentials verified against MySQL database.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2: </w:t>
            </w:r>
            <w:r>
              <w:rPr>
                <w:rFonts w:ascii="Times New Roman" w:hAnsi="Times New Roman"/>
                <w:color w:val="1E293B"/>
                <w:sz w:val="28"/>
              </w:rPr>
              <w:t>System parses Designation string: Contains 'Head'/'HOD' ➔ Elevate isHod = true.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3: </w:t>
            </w:r>
            <w:r>
              <w:rPr>
                <w:rFonts w:ascii="Times New Roman" w:hAnsi="Times New Roman"/>
                <w:color w:val="1E293B"/>
                <w:sz w:val="28"/>
              </w:rPr>
              <w:t>System parses Designation string: Contains 'Principal'/'HR' ➔ Elevate isInstitutionalAdmin = true.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4: </w:t>
            </w:r>
            <w:r>
              <w:rPr>
                <w:rFonts w:ascii="Times New Roman" w:hAnsi="Times New Roman"/>
                <w:color w:val="1E293B"/>
                <w:sz w:val="28"/>
              </w:rPr>
              <w:t>System checks Qualification/Name: Contains 'Dr.' or Ph.D ➔ Enable Research Supervisor menu.</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5: </w:t>
            </w:r>
            <w:r>
              <w:rPr>
                <w:rFonts w:ascii="Times New Roman" w:hAnsi="Times New Roman"/>
                <w:color w:val="1E293B"/>
                <w:sz w:val="28"/>
              </w:rPr>
              <w:t>System checks Club Assignments: Assigned Coordinator/Co-Coordinator ➔ Enable Clubs Activity menu.</w:t>
            </w:r>
          </w:p>
        </w:tc>
      </w:tr>
    </w:tbl>
    <w:p>
      <w:pPr>
        <w:spacing w:after="160"/>
      </w:pPr>
    </w:p>
    <w:p>
      <w:pPr>
        <w:keepNext/>
        <w:spacing w:before="320" w:after="120"/>
      </w:pPr>
      <w:r>
        <w:rPr>
          <w:rFonts w:ascii="Times New Roman" w:hAnsi="Times New Roman"/>
          <w:b/>
          <w:color w:val="0F172A"/>
          <w:sz w:val="32"/>
        </w:rPr>
        <w:t>3. Faculty Department Transfer Workflow &amp; Governance Rules</w:t>
      </w:r>
    </w:p>
    <w:p>
      <w:pPr>
        <w:spacing w:after="120"/>
      </w:pPr>
      <w:r>
        <w:rPr>
          <w:rFonts w:ascii="Times New Roman" w:hAnsi="Times New Roman"/>
          <w:sz w:val="28"/>
        </w:rPr>
        <w:t>When a faculty member is transferred between departments (e.g. from CSE to AI &amp; DS), the system executes an automated, multi-layered synchronization process:</w:t>
      </w:r>
    </w:p>
    <w:p>
      <w:pPr>
        <w:pStyle w:val="ListBullet"/>
        <w:spacing w:after="80"/>
      </w:pPr>
      <w:r>
        <w:rPr>
          <w:rFonts w:ascii="Times New Roman" w:hAnsi="Times New Roman"/>
          <w:b/>
          <w:color w:val="0369A1"/>
          <w:sz w:val="28"/>
        </w:rPr>
        <w:t xml:space="preserve">1. Transfer History Audit Log (staff_department_history): </w:t>
      </w:r>
      <w:r>
        <w:rPr>
          <w:rFonts w:ascii="Times New Roman" w:hAnsi="Times New Roman"/>
          <w:sz w:val="28"/>
        </w:rPr>
        <w:t>An immutable record is inserted storing staff_id, from_dept, to_dept, transfer_date, and system timestamp.</w:t>
      </w:r>
    </w:p>
    <w:p>
      <w:pPr>
        <w:pStyle w:val="ListBullet"/>
        <w:spacing w:after="80"/>
      </w:pPr>
      <w:r>
        <w:rPr>
          <w:rFonts w:ascii="Times New Roman" w:hAnsi="Times New Roman"/>
          <w:b/>
          <w:color w:val="0369A1"/>
          <w:sz w:val="28"/>
        </w:rPr>
        <w:t xml:space="preserve">2. Academic Profile &amp; Credentials Update: </w:t>
      </w:r>
      <w:r>
        <w:rPr>
          <w:rFonts w:ascii="Times New Roman" w:hAnsi="Times New Roman"/>
          <w:sz w:val="28"/>
        </w:rPr>
        <w:t>Department column in staff_academics is updated to the new target department. If assigned as a Dept Admin (admin_dep), the admin scope updates automatically. Session JWT claims update upon next login.</w:t>
      </w:r>
    </w:p>
    <w:p>
      <w:pPr>
        <w:pStyle w:val="ListBullet"/>
        <w:spacing w:after="80"/>
      </w:pPr>
      <w:r>
        <w:rPr>
          <w:rFonts w:ascii="Times New Roman" w:hAnsi="Times New Roman"/>
          <w:b/>
          <w:color w:val="0369A1"/>
          <w:sz w:val="28"/>
        </w:rPr>
        <w:t xml:space="preserve">3. Server Storage Folder Relocation (moveFacultyDirectory): </w:t>
      </w:r>
      <w:r>
        <w:rPr>
          <w:rFonts w:ascii="Times New Roman" w:hAnsi="Times New Roman"/>
          <w:sz w:val="28"/>
        </w:rPr>
        <w:t>Uploaded files on server disk are moved from /SREC/{old_dept}/{staff_id}/ to /SREC/{new_dept}/{staff_id}/. Database document paths across all activity tables are remapped automatically.</w:t>
      </w:r>
    </w:p>
    <w:p>
      <w:pPr>
        <w:pStyle w:val="ListBullet"/>
        <w:spacing w:after="80"/>
      </w:pPr>
      <w:r>
        <w:rPr>
          <w:rFonts w:ascii="Times New Roman" w:hAnsi="Times New Roman"/>
          <w:b/>
          <w:color w:val="0369A1"/>
          <w:sz w:val="28"/>
        </w:rPr>
        <w:t xml:space="preserve">4. Historical Activity &amp; Appraisal Retention: </w:t>
      </w:r>
      <w:r>
        <w:rPr>
          <w:rFonts w:ascii="Times New Roman" w:hAnsi="Times New Roman"/>
          <w:sz w:val="28"/>
        </w:rPr>
        <w:t>All prior Publications, Patents, Grants, Certifications, and submitted FPI Appraisal forms remain preserved under staff_id without data loss.</w:t>
      </w:r>
    </w:p>
    <w:p>
      <w:pPr>
        <w:pStyle w:val="ListBullet"/>
        <w:spacing w:after="80"/>
      </w:pPr>
      <w:r>
        <w:rPr>
          <w:rFonts w:ascii="Times New Roman" w:hAnsi="Times New Roman"/>
          <w:b/>
          <w:color w:val="0369A1"/>
          <w:sz w:val="28"/>
        </w:rPr>
        <w:t xml:space="preserve">5. HOD Review Authority Transfer: </w:t>
      </w:r>
      <w:r>
        <w:rPr>
          <w:rFonts w:ascii="Times New Roman" w:hAnsi="Times New Roman"/>
          <w:sz w:val="28"/>
        </w:rPr>
        <w:t>The faculty member is removed from the old HOD's active directory and pending queue, and immediately appears in the new HOD's directory and pending appraisal queue.</w:t>
      </w:r>
    </w:p>
    <w:p>
      <w:pPr>
        <w:pStyle w:val="ListBullet"/>
        <w:spacing w:after="80"/>
      </w:pPr>
      <w:r>
        <w:rPr>
          <w:rFonts w:ascii="Times New Roman" w:hAnsi="Times New Roman"/>
          <w:b/>
          <w:color w:val="0369A1"/>
          <w:sz w:val="28"/>
        </w:rPr>
        <w:t xml:space="preserve">6. Dynamic HOD Resolution in Reports: </w:t>
      </w:r>
      <w:r>
        <w:rPr>
          <w:rFonts w:ascii="Times New Roman" w:hAnsi="Times New Roman"/>
          <w:sz w:val="28"/>
        </w:rPr>
        <w:t>General Information tables, FPI forms, and Dossier Reports dynamically resolve and display the HOD Name of the faculty's new department.</w:t>
      </w:r>
    </w:p>
    <w:p>
      <w:pPr>
        <w:keepNext/>
        <w:spacing w:before="320" w:after="120"/>
      </w:pPr>
      <w:r>
        <w:rPr>
          <w:rFonts w:ascii="Times New Roman" w:hAnsi="Times New Roman"/>
          <w:b/>
          <w:color w:val="0F172A"/>
          <w:sz w:val="32"/>
        </w:rPr>
        <w:t>4. Annual Performance Appraisal (FPI) Governance &amp; Rules</w:t>
      </w:r>
    </w:p>
    <w:p>
      <w:pPr>
        <w:pStyle w:val="ListBullet"/>
        <w:spacing w:after="80"/>
      </w:pPr>
      <w:r>
        <w:rPr>
          <w:rFonts w:ascii="Times New Roman" w:hAnsi="Times New Roman"/>
          <w:b/>
          <w:color w:val="0F331F"/>
          <w:sz w:val="28"/>
        </w:rPr>
        <w:t xml:space="preserve">Completed Academic Year Rule: </w:t>
      </w:r>
      <w:r>
        <w:rPr>
          <w:rFonts w:ascii="Times New Roman" w:hAnsi="Times New Roman"/>
          <w:sz w:val="28"/>
        </w:rPr>
        <w:t>Performance appraisals evaluate the completed academic year (e.g. 2025-2026). The appraisal form defaults to getAppraisalAcademicYear() (2025-2026).</w:t>
      </w:r>
    </w:p>
    <w:p>
      <w:pPr>
        <w:pStyle w:val="ListBullet"/>
        <w:spacing w:after="80"/>
      </w:pPr>
      <w:r>
        <w:rPr>
          <w:rFonts w:ascii="Times New Roman" w:hAnsi="Times New Roman"/>
          <w:b/>
          <w:color w:val="0F331F"/>
          <w:sz w:val="28"/>
        </w:rPr>
        <w:t xml:space="preserve">Score Evaluation Caps (200 Total): </w:t>
      </w:r>
      <w:r>
        <w:rPr>
          <w:rFonts w:ascii="Times New Roman" w:hAnsi="Times New Roman"/>
          <w:sz w:val="28"/>
        </w:rPr>
        <w:t>PART A (Teaching: Max 60 Pts), PART B (Prof Dev: Max 40 Pts), PART C (R&amp;D: Max 80 Pts), PART D (Institutional: Max 20 Pts). Total FPI score capped at 200 Pts.</w:t>
      </w:r>
    </w:p>
    <w:p>
      <w:pPr>
        <w:pStyle w:val="ListBullet"/>
        <w:spacing w:after="80"/>
      </w:pPr>
      <w:r>
        <w:rPr>
          <w:rFonts w:ascii="Times New Roman" w:hAnsi="Times New Roman"/>
          <w:b/>
          <w:color w:val="0F331F"/>
          <w:sz w:val="28"/>
        </w:rPr>
        <w:t xml:space="preserve">Club Coordinator &amp; Co-Coordinator Rule: </w:t>
      </w:r>
      <w:r>
        <w:rPr>
          <w:rFonts w:ascii="Times New Roman" w:hAnsi="Times New Roman"/>
          <w:sz w:val="28"/>
        </w:rPr>
        <w:t>Being assigned as a Club Coordinator or Club Co-Coordinator is categorized as an Institutional Level Additional Responsibility under Criteria D1 in PART D (Institutional Development &amp; Contribution), scoring 10 Pts per duty up to the 20 Pts Part D cap. Furthermore, student club activities organized log extension points under PART B.</w:t>
      </w:r>
    </w:p>
    <w:p>
      <w:pPr>
        <w:pStyle w:val="ListBullet"/>
        <w:spacing w:after="80"/>
      </w:pPr>
      <w:r>
        <w:rPr>
          <w:rFonts w:ascii="Times New Roman" w:hAnsi="Times New Roman"/>
          <w:b/>
          <w:color w:val="0F331F"/>
          <w:sz w:val="28"/>
        </w:rPr>
        <w:t xml:space="preserve">Designation-Based Customization: </w:t>
      </w:r>
      <w:r>
        <w:rPr>
          <w:rFonts w:ascii="Times New Roman" w:hAnsi="Times New Roman"/>
          <w:sz w:val="28"/>
        </w:rPr>
        <w:t>System Admins / HR can define custom unit marks, max caps, calculation rules, and bracket configs per designation (Assistant Professor, Associate Professor, Professor, Professor &amp; Head). System falls back to ALL common default mappings if no override exists.</w:t>
      </w:r>
    </w:p>
    <w:p>
      <w:pPr>
        <w:pStyle w:val="ListBullet"/>
        <w:spacing w:after="80"/>
      </w:pPr>
      <w:r>
        <w:rPr>
          <w:rFonts w:ascii="Times New Roman" w:hAnsi="Times New Roman"/>
          <w:b/>
          <w:color w:val="0F331F"/>
          <w:sz w:val="28"/>
        </w:rPr>
        <w:t xml:space="preserve">Threshold Bracket Configurator (⚙️ Config Bracket): </w:t>
      </w:r>
      <w:r>
        <w:rPr>
          <w:rFonts w:ascii="Times New Roman" w:hAnsi="Times New Roman"/>
          <w:sz w:val="28"/>
        </w:rPr>
        <w:t>Admins can configure cutoff thresholds (e.g. feedback 4.0 cutoff, pass % 80% cutoff, journal vs conference split, patent status splits).</w:t>
      </w:r>
    </w:p>
    <w:p>
      <w:pPr>
        <w:pStyle w:val="ListBullet"/>
        <w:spacing w:after="80"/>
      </w:pPr>
      <w:r>
        <w:rPr>
          <w:rFonts w:ascii="Times New Roman" w:hAnsi="Times New Roman"/>
          <w:b/>
          <w:color w:val="0F331F"/>
          <w:sz w:val="28"/>
        </w:rPr>
        <w:t xml:space="preserve">Custom PART Addition (➕ Add New PART): </w:t>
      </w:r>
      <w:r>
        <w:rPr>
          <w:rFonts w:ascii="Times New Roman" w:hAnsi="Times New Roman"/>
          <w:sz w:val="28"/>
        </w:rPr>
        <w:t>Admins can dynamically add new evaluation sections (PART_E, PART_F) and modify section titles in real time.</w:t>
      </w:r>
    </w:p>
    <w:p>
      <w:pPr>
        <w:pStyle w:val="ListBullet"/>
        <w:spacing w:after="80"/>
      </w:pPr>
      <w:r>
        <w:rPr>
          <w:rFonts w:ascii="Times New Roman" w:hAnsi="Times New Roman"/>
          <w:b/>
          <w:color w:val="0F331F"/>
          <w:sz w:val="28"/>
        </w:rPr>
        <w:t xml:space="preserve">Approval Workflow Lifecycle: </w:t>
      </w:r>
      <w:r>
        <w:rPr>
          <w:rFonts w:ascii="Times New Roman" w:hAnsi="Times New Roman"/>
          <w:sz w:val="28"/>
        </w:rPr>
        <w:t>Submitted (Pending HOD Review) -&gt; HOD Approved (Pending Principal/HR Review) -&gt; Final Approved (Finalized Appraisal).</w:t>
      </w:r>
    </w:p>
    <w:p>
      <w:pPr>
        <w:pStyle w:val="ListBullet"/>
        <w:spacing w:after="80"/>
      </w:pPr>
      <w:r>
        <w:rPr>
          <w:rFonts w:ascii="Times New Roman" w:hAnsi="Times New Roman"/>
          <w:b/>
          <w:color w:val="0F331F"/>
          <w:sz w:val="28"/>
        </w:rPr>
        <w:t xml:space="preserve">Proof Document Verification Provision: </w:t>
      </w:r>
      <w:r>
        <w:rPr>
          <w:rFonts w:ascii="Times New Roman" w:hAnsi="Times New Roman"/>
          <w:sz w:val="28"/>
        </w:rPr>
        <w:t>HODs, Principal, HR, and System Admin have access to the Auto-Mapped Activity Verification Panel inside both the submissions list and View Full FPI Form modal. Each record features an 👁️ View Proof button to inspect original evidence documents (PDF, images) before approving scores.</w:t>
      </w: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