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Non-Functional Requirements Document (NFRD)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Non-Functional Requirements Document (NFRD)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quality attributes and operational requirements that the system must satisfy beyond its functional behavior.</w:t>
      </w:r>
    </w:p>
    <w:p>
      <w:pPr>
        <w:pStyle w:val="Heading2"/>
      </w:pPr>
      <w:r>
        <w:t>2. Scope</w:t>
      </w:r>
    </w:p>
    <w:p>
      <w:r>
        <w:t>Applies to the web application, IVR integration, backend services, database, payment integration and notification services.</w:t>
      </w:r>
    </w:p>
    <w:p>
      <w:pPr>
        <w:pStyle w:val="Heading2"/>
      </w:pPr>
      <w:r>
        <w:t>3. Performance</w:t>
      </w:r>
    </w:p>
    <w:p>
      <w:r>
        <w:t>Dashboard API response &lt; 2 seconds for 95% of requests. Booking workflow should complete within 2 minutes excluding customer payment time.</w:t>
      </w:r>
    </w:p>
    <w:p>
      <w:pPr>
        <w:pStyle w:val="Heading2"/>
      </w:pPr>
      <w:r>
        <w:t>4. Availability</w:t>
      </w:r>
    </w:p>
    <w:p>
      <w:r>
        <w:t>Target availability of 99.9% monthly uptime. Planned maintenance should be scheduled outside peak hours.</w:t>
      </w:r>
    </w:p>
    <w:p>
      <w:pPr>
        <w:pStyle w:val="Heading2"/>
      </w:pPr>
      <w:r>
        <w:t>5. Reliability</w:t>
      </w:r>
    </w:p>
    <w:p>
      <w:r>
        <w:t>Prevent duplicate bookings using database transactions and locking. Automatic retry for transient failures where appropriate.</w:t>
      </w:r>
    </w:p>
    <w:p>
      <w:pPr>
        <w:pStyle w:val="Heading2"/>
      </w:pPr>
      <w:r>
        <w:t>6. Scalability</w:t>
      </w:r>
    </w:p>
    <w:p>
      <w:r>
        <w:t>Support multiple turf owners (multi-tenant design). Services should be horizontally scalable.</w:t>
      </w:r>
    </w:p>
    <w:p>
      <w:pPr>
        <w:pStyle w:val="Heading2"/>
      </w:pPr>
      <w:r>
        <w:t>7. Security</w:t>
      </w:r>
    </w:p>
    <w:p>
      <w:r>
        <w:t>HTTPS, JWT authentication, RBAC, password hashing, input validation, audit logging, encrypted secrets.</w:t>
      </w:r>
    </w:p>
    <w:p>
      <w:pPr>
        <w:pStyle w:val="Heading2"/>
      </w:pPr>
      <w:r>
        <w:t>8. Maintainability</w:t>
      </w:r>
    </w:p>
    <w:p>
      <w:r>
        <w:t>Modular architecture, coding standards, automated testing, API documentation, version control and CI/CD.</w:t>
      </w:r>
    </w:p>
    <w:p>
      <w:pPr>
        <w:pStyle w:val="Heading2"/>
      </w:pPr>
      <w:r>
        <w:t>9. Usability</w:t>
      </w:r>
    </w:p>
    <w:p>
      <w:r>
        <w:t>Simple owner dashboard, intuitive IVR menus, accessible interface and clear error messages.</w:t>
      </w:r>
    </w:p>
    <w:p>
      <w:pPr>
        <w:pStyle w:val="Heading2"/>
      </w:pPr>
      <w:r>
        <w:t>10. Logging &amp; Monitoring</w:t>
      </w:r>
    </w:p>
    <w:p>
      <w:r>
        <w:t>Log authentication, bookings, payments, IVR events and errors. Monitor latency, uptime, API failures and infrastructure health.</w:t>
      </w:r>
    </w:p>
    <w:p>
      <w:pPr>
        <w:pStyle w:val="Heading2"/>
      </w:pPr>
      <w:r>
        <w:t>11. Backup &amp; Recovery</w:t>
      </w:r>
    </w:p>
    <w:p>
      <w:r>
        <w:t>Daily database backups, defined restore procedure, disaster recovery documentation and regular backup verification.</w:t>
      </w:r>
    </w:p>
    <w:p>
      <w:pPr>
        <w:pStyle w:val="Heading2"/>
      </w:pPr>
      <w:r>
        <w:t>12. Compliance</w:t>
      </w:r>
    </w:p>
    <w:p>
      <w:r>
        <w:t>Protect customer data, follow applicable privacy regulations and payment provider security requirements.</w:t>
      </w:r>
    </w:p>
    <w:p>
      <w:pPr>
        <w:pStyle w:val="Heading2"/>
      </w:pPr>
      <w:r>
        <w:t>13. Capacity Planning</w:t>
      </w:r>
    </w:p>
    <w:p>
      <w:r>
        <w:t>Design to support increasing users, concurrent calls and bookings without significant performance degradation.</w:t>
      </w:r>
    </w:p>
    <w:p>
      <w:pPr>
        <w:pStyle w:val="Heading2"/>
      </w:pPr>
      <w:r>
        <w:t>14. Assumptions &amp; Constraints</w:t>
      </w:r>
    </w:p>
    <w:p>
      <w:r>
        <w:t>Dependent on cloud infrastructure, telephony providers, payment gateways and internet connectivity.</w:t>
      </w:r>
    </w:p>
    <w:p>
      <w:pPr>
        <w:pStyle w:val="Heading2"/>
      </w:pPr>
      <w:r>
        <w:t>Quality Attribute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99.9% uptime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API Response</w:t>
            </w:r>
          </w:p>
        </w:tc>
        <w:tc>
          <w:tcPr>
            <w:tcW w:type="dxa" w:w="2880"/>
          </w:tcPr>
          <w:p>
            <w:r>
              <w:t>&lt;2 seconds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HTTPS + JWT + RBAC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24x7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Horizontal scaling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