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  <w:b/>
        </w:rPr>
        <w:t xml:space="preserve">Point of View : Unified API Strategy using Layer 7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Key Assumptions 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1. Broadcom Commercials  - Broadcom is known for increasing prices a lot</w:t>
      </w:r>
    </w:p>
    <w:p>
      <w:pPr/>
      <w:r>
        <w:rPr>
          <w:rFonts w:ascii="Helvetica" w:hAnsi="Helvetica" w:cs="Helvetica"/>
          <w:sz w:val="24"/>
          <w:sz-cs w:val="24"/>
        </w:rPr>
        <w:t xml:space="preserve">[300-400%. Historical data ] - Exit cost will be really high after 3-4 years.</w:t>
      </w:r>
    </w:p>
    <w:p>
      <w:pPr/>
      <w:r>
        <w:rPr>
          <w:rFonts w:ascii="Helvetica" w:hAnsi="Helvetica" w:cs="Helvetica"/>
          <w:sz w:val="24"/>
          <w:sz-cs w:val="24"/>
        </w:rPr>
        <w:t xml:space="preserve">2. Developer Friction - Layer 7 historically requires centralized gateway team. In today’s world we want federated and self (team/domain) managed model.</w:t>
      </w:r>
    </w:p>
    <w:p>
      <w:pPr/>
      <w:r>
        <w:rPr>
          <w:rFonts w:ascii="Helvetica" w:hAnsi="Helvetica" w:cs="Helvetica"/>
          <w:sz w:val="24"/>
          <w:sz-cs w:val="24"/>
        </w:rPr>
        <w:t xml:space="preserve">3. Hybrid and Multi-cloud - Bank will have on-prem and multi-cloud setup for next decade. We are not going 100% cloud.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concern - Layer-7 as strategic API gateway.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 a multi-cloud world, forcing Azure-native microservices to use a Layer7 "containerized" gateway adds a Java-heavy runtime, increased latency, and a proprietary policy language into a cloud-native ecosystem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 The GitOps and Automation Concern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  <w:tab/>
        <w:t xml:space="preserve">"How does Layer7 v11.x integrate into a multi-cloud Terraform/Crossplane workflow without creating a 'Policy Silo'? Can a developer in the Azure team deploy an API and its security policy in a single 'git push' without waiting for a Layer7 admin?"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The Problem:</w:t>
      </w:r>
      <w:r>
        <w:rPr>
          <w:rFonts w:ascii="Times" w:hAnsi="Times" w:cs="Times"/>
          <w:sz w:val="24"/>
          <w:sz-cs w:val="24"/>
          <w:spacing w:val="0"/>
        </w:rPr>
        <w:t xml:space="preserve"> Layer7's Graphman is a step forward, but it is still a proprietary abstraction.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/>
        <w:tab/>
        <w:t xml:space="preserve">The Solution:</w:t>
      </w:r>
      <w:r>
        <w:rPr>
          <w:rFonts w:ascii="Times" w:hAnsi="Times" w:cs="Times"/>
          <w:sz w:val="24"/>
          <w:sz-cs w:val="24"/>
          <w:spacing w:val="0"/>
        </w:rPr>
        <w:t xml:space="preserve"> If Layer7 is chosen, mandate the implementation of an </w:t>
      </w:r>
      <w:r>
        <w:rPr>
          <w:rFonts w:ascii="Times" w:hAnsi="Times" w:cs="Times"/>
          <w:sz w:val="24"/>
          <w:sz-cs w:val="24"/>
          <w:b/>
          <w:spacing w:val="0"/>
        </w:rPr>
        <w:t xml:space="preserve">API Abstraction Layer</w:t>
      </w:r>
      <w:r>
        <w:rPr>
          <w:rFonts w:ascii="Times" w:hAnsi="Times" w:cs="Times"/>
          <w:sz w:val="24"/>
          <w:sz-cs w:val="24"/>
          <w:spacing w:val="0"/>
        </w:rPr>
        <w:t xml:space="preserve">. Use a tool-agnostic specification (like </w:t>
      </w:r>
      <w:r>
        <w:rPr>
          <w:rFonts w:ascii="Times" w:hAnsi="Times" w:cs="Times"/>
          <w:sz w:val="24"/>
          <w:sz-cs w:val="24"/>
          <w:b/>
          <w:spacing w:val="0"/>
        </w:rPr>
        <w:t xml:space="preserve">Backstage</w:t>
      </w:r>
      <w:r>
        <w:rPr>
          <w:rFonts w:ascii="Times" w:hAnsi="Times" w:cs="Times"/>
          <w:sz w:val="24"/>
          <w:sz-cs w:val="24"/>
          <w:spacing w:val="0"/>
        </w:rPr>
        <w:t xml:space="preserve"> or a custom </w:t>
      </w:r>
      <w:r>
        <w:rPr>
          <w:rFonts w:ascii="Times" w:hAnsi="Times" w:cs="Times"/>
          <w:sz w:val="24"/>
          <w:sz-cs w:val="24"/>
          <w:b/>
          <w:spacing w:val="0"/>
        </w:rPr>
        <w:t xml:space="preserve">OAS-to-Policy</w:t>
      </w:r>
      <w:r>
        <w:rPr>
          <w:rFonts w:ascii="Times" w:hAnsi="Times" w:cs="Times"/>
          <w:sz w:val="24"/>
          <w:sz-cs w:val="24"/>
          <w:spacing w:val="0"/>
        </w:rPr>
        <w:t xml:space="preserve"> engine) that allows developers to define intent, which then auto-generates the Layer7 XML/JSON. </w:t>
      </w:r>
      <w:r>
        <w:rPr>
          <w:rFonts w:ascii="Times" w:hAnsi="Times" w:cs="Times"/>
          <w:sz w:val="24"/>
          <w:sz-cs w:val="24"/>
          <w:i/>
          <w:spacing w:val="0"/>
        </w:rPr>
        <w:t xml:space="preserve">Don't let developers touch the </w:t>
        <w:tab/>
        <w:t xml:space="preserve">Layer7 console.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2. Cloud Compute cost 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  <w:tab/>
        <w:t xml:space="preserve">What is the memory and CPU footprint of a Layer7 gateway instance in AWS/Azure?At 10,000 requests per second, what is our projected 'Cloud Compute cost’  just to run the gateway?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  <w:tab/>
        <w:t xml:space="preserve">The Problem : layer7 is a heavy gateway. Running it as a sidecar or distributed ingress in k8 is expensive and resource-intensive 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The Solution:</w:t>
      </w:r>
      <w:r>
        <w:rPr>
          <w:rFonts w:ascii="Times" w:hAnsi="Times" w:cs="Times"/>
          <w:sz w:val="24"/>
          <w:sz-cs w:val="24"/>
          <w:spacing w:val="0"/>
        </w:rPr>
        <w:t xml:space="preserve"> Implement a </w:t>
      </w:r>
      <w:r>
        <w:rPr>
          <w:rFonts w:ascii="Times" w:hAnsi="Times" w:cs="Times"/>
          <w:sz w:val="24"/>
          <w:sz-cs w:val="24"/>
          <w:b/>
          <w:spacing w:val="0"/>
        </w:rPr>
        <w:t xml:space="preserve">Tiered Gateway Pattern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⁃</w:t>
      </w:r>
      <w:r>
        <w:rPr>
          <w:rFonts w:ascii="Times" w:hAnsi="Times" w:cs="Times"/>
          <w:sz w:val="24"/>
          <w:sz-cs w:val="24"/>
          <w:b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Tier 1 (The Edge):</w:t>
      </w:r>
      <w:r>
        <w:rPr>
          <w:rFonts w:ascii="Times" w:hAnsi="Times" w:cs="Times"/>
          <w:sz w:val="24"/>
          <w:sz-cs w:val="24"/>
          <w:spacing w:val="0"/>
        </w:rPr>
        <w:t xml:space="preserve"> Use Azure APIM/AWS Gateway for commodity security (DDoS, Rate Limiting, WAF).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⁃</w:t>
      </w:r>
      <w:r>
        <w:rPr>
          <w:rFonts w:ascii="Times" w:hAnsi="Times" w:cs="Times"/>
          <w:sz w:val="24"/>
          <w:sz-cs w:val="24"/>
          <w:b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Tier 2 (The Fortress):</w:t>
      </w:r>
      <w:r>
        <w:rPr>
          <w:rFonts w:ascii="Times" w:hAnsi="Times" w:cs="Times"/>
          <w:sz w:val="24"/>
          <w:sz-cs w:val="24"/>
          <w:spacing w:val="0"/>
        </w:rPr>
        <w:t xml:space="preserve"> Use Layer7 only for "Crown Jewel" APIs that require deep legacy integration (e.g., Mainframe identity propagation, complex SOAP-to-REST).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3. AI and Modern protocol gap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  <w:tab/>
        <w:t xml:space="preserve">As we move to AI-agentic banking, how does Layer7 handle </w:t>
      </w:r>
      <w:r>
        <w:rPr>
          <w:rFonts w:ascii="Times" w:hAnsi="Times" w:cs="Times"/>
          <w:sz w:val="24"/>
          <w:sz-cs w:val="24"/>
          <w:b/>
          <w:spacing w:val="0"/>
        </w:rPr>
        <w:t xml:space="preserve">LLM-specific governance</w:t>
      </w:r>
      <w:r>
        <w:rPr>
          <w:rFonts w:ascii="Times" w:hAnsi="Times" w:cs="Times"/>
          <w:sz w:val="24"/>
          <w:sz-cs w:val="24"/>
          <w:spacing w:val="0"/>
        </w:rPr>
        <w:t xml:space="preserve"> (e.g., token-based rate limiting, prompt injection filtering, or semantic caching)? Are we going to wait 24 months for a Broadcom patch, or build it ourselves in a tool not designed for it?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The Problem:</w:t>
      </w:r>
      <w:r>
        <w:rPr>
          <w:rFonts w:ascii="Times" w:hAnsi="Times" w:cs="Times"/>
          <w:sz w:val="24"/>
          <w:sz-cs w:val="24"/>
          <w:spacing w:val="0"/>
        </w:rPr>
        <w:t xml:space="preserve"> Layer7 is reactive, not proactive, regarding modern protocols like gRPC or AI-specific traffic.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/>
        <w:tab/>
        <w:t xml:space="preserve">The Solution:</w:t>
      </w:r>
      <w:r>
        <w:rPr>
          <w:rFonts w:ascii="Times" w:hAnsi="Times" w:cs="Times"/>
          <w:sz w:val="24"/>
          <w:sz-cs w:val="24"/>
          <w:spacing w:val="0"/>
        </w:rPr>
        <w:t xml:space="preserve"> Positioning Layer7 as a </w:t>
      </w:r>
      <w:r>
        <w:rPr>
          <w:rFonts w:ascii="Times" w:hAnsi="Times" w:cs="Times"/>
          <w:sz w:val="24"/>
          <w:sz-cs w:val="24"/>
          <w:b/>
          <w:spacing w:val="0"/>
        </w:rPr>
        <w:t xml:space="preserve">"Security Sidecar"</w:t>
      </w:r>
      <w:r>
        <w:rPr>
          <w:rFonts w:ascii="Times" w:hAnsi="Times" w:cs="Times"/>
          <w:sz w:val="24"/>
          <w:sz-cs w:val="24"/>
          <w:spacing w:val="0"/>
        </w:rPr>
        <w:t xml:space="preserve"> rather than the "Front Door." Use lightweight, extensible proxies for AI/Modern workloads and offload the "Audit/Compliance" logging to Layer7 via an asynchronous side-channel.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Concern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Technical/Operational Risk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Mitigation Strategy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Vendor Lock-in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Broadcom "squeezes" the bank on renewals; product roadmap stalls.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Contractual:</w:t>
      </w:r>
      <w:r>
        <w:rPr>
          <w:rFonts w:ascii="Helvetica" w:hAnsi="Helvetica" w:cs="Helvetica"/>
          <w:sz w:val="24"/>
          <w:sz-cs w:val="24"/>
          <w:spacing w:val="0"/>
        </w:rPr>
        <w:t xml:space="preserve"> Demand a 5-year price cap.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Architectural:</w:t>
      </w:r>
      <w:r>
        <w:rPr>
          <w:rFonts w:ascii="Helvetica" w:hAnsi="Helvetica" w:cs="Helvetica"/>
          <w:sz w:val="24"/>
          <w:sz-cs w:val="24"/>
          <w:spacing w:val="0"/>
        </w:rPr>
        <w:t xml:space="preserve"> Use a "Gateway Abstraction" layer so you can swap the runtime if needed.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Operational Bottleneck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Centralized "L7 Team" becomes the slowest link in the SDLC.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Solution:</w:t>
      </w:r>
      <w:r>
        <w:rPr>
          <w:rFonts w:ascii="Helvetica" w:hAnsi="Helvetica" w:cs="Helvetica"/>
          <w:sz w:val="24"/>
          <w:sz-cs w:val="24"/>
          <w:spacing w:val="0"/>
        </w:rPr>
        <w:t xml:space="preserve"> Implement "Self-Service Policy Fragments." Allow teams to own their logic while the Central ARB only owns the "Global Guardrails."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Cloud Inefficiency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High latency/cost when routing intra-cloud traffic through L7 containers.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Solution:</w:t>
      </w:r>
      <w:r>
        <w:rPr>
          <w:rFonts w:ascii="Helvetica" w:hAnsi="Helvetica" w:cs="Helvetica"/>
          <w:sz w:val="24"/>
          <w:sz-cs w:val="24"/>
          <w:spacing w:val="0"/>
        </w:rPr>
        <w:t xml:space="preserve"> "Direct-to-Cloud" routing for non-sensitive internal traffic; use L7 only for North-South "Trusted" boundaries.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Talent Scarcity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Hard to find Layer7 specialists vs. Azure/AWS/General DevOps engineers.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Solution:</w:t>
      </w:r>
      <w:r>
        <w:rPr>
          <w:rFonts w:ascii="Helvetica" w:hAnsi="Helvetica" w:cs="Helvetica"/>
          <w:sz w:val="24"/>
          <w:sz-cs w:val="24"/>
          <w:spacing w:val="0"/>
        </w:rPr>
        <w:t xml:space="preserve"> Treat Layer7 as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"Infrastructure as Code" (IaC)</w:t>
      </w:r>
      <w:r>
        <w:rPr>
          <w:rFonts w:ascii="Helvetica" w:hAnsi="Helvetica" w:cs="Helvetica"/>
          <w:sz w:val="24"/>
          <w:sz-cs w:val="24"/>
          <w:spacing w:val="0"/>
        </w:rPr>
        <w:t xml:space="preserve">. Hide the complexity behind a CLI that the DevOps teams already use.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Challenge Category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The Layer7 Reality (v11.x+)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The Mitigation / Solution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Operational Velocity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Graphman</w:t>
      </w:r>
      <w:r>
        <w:rPr>
          <w:rFonts w:ascii="Helvetica" w:hAnsi="Helvetica" w:cs="Helvetica"/>
          <w:sz w:val="24"/>
          <w:sz-cs w:val="24"/>
          <w:spacing w:val="0"/>
        </w:rPr>
        <w:t xml:space="preserve"> improves GitOps, but it’s a proprietary wrapper. Policy creation remains a specialist silo.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Solution:</w:t>
      </w:r>
      <w:r>
        <w:rPr>
          <w:rFonts w:ascii="Helvetica" w:hAnsi="Helvetica" w:cs="Helvetica"/>
          <w:sz w:val="24"/>
          <w:sz-cs w:val="24"/>
          <w:spacing w:val="0"/>
        </w:rPr>
        <w:t xml:space="preserve"> Abstract the gateway. Mandate "Backstage" as the developer portal to hide L7 complexity.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Cloud Economics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Running "heavy" Java-based L7 containers in Azure/AWS is 3x more expensive in compute than native proxies.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Solution:</w:t>
      </w:r>
      <w:r>
        <w:rPr>
          <w:rFonts w:ascii="Helvetica" w:hAnsi="Helvetica" w:cs="Helvetica"/>
          <w:sz w:val="24"/>
          <w:sz-cs w:val="24"/>
          <w:spacing w:val="0"/>
        </w:rPr>
        <w:t xml:space="preserve"> Use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Federated Ingress</w:t>
      </w:r>
      <w:r>
        <w:rPr>
          <w:rFonts w:ascii="Helvetica" w:hAnsi="Helvetica" w:cs="Helvetica"/>
          <w:sz w:val="24"/>
          <w:sz-cs w:val="24"/>
          <w:spacing w:val="0"/>
        </w:rPr>
        <w:t xml:space="preserve">. Use Cloud-native gateways for intra-cloud and L7 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only</w:t>
      </w:r>
      <w:r>
        <w:rPr>
          <w:rFonts w:ascii="Helvetica" w:hAnsi="Helvetica" w:cs="Helvetica"/>
          <w:sz w:val="24"/>
          <w:sz-cs w:val="24"/>
          <w:spacing w:val="0"/>
        </w:rPr>
        <w:t xml:space="preserve"> for "Crown Jewel" egress.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Vendor Risk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Broadcom Playbook:</w:t>
      </w:r>
      <w:r>
        <w:rPr>
          <w:rFonts w:ascii="Helvetica" w:hAnsi="Helvetica" w:cs="Helvetica"/>
          <w:sz w:val="24"/>
          <w:sz-cs w:val="24"/>
          <w:spacing w:val="0"/>
        </w:rPr>
        <w:t xml:space="preserve"> Historically high price hikes and potential roadmap stagnation post-acquisition.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Solution:</w:t>
      </w:r>
      <w:r>
        <w:rPr>
          <w:rFonts w:ascii="Helvetica" w:hAnsi="Helvetica" w:cs="Helvetica"/>
          <w:sz w:val="24"/>
          <w:sz-cs w:val="24"/>
          <w:spacing w:val="0"/>
        </w:rPr>
        <w:t xml:space="preserve"> Architectural decoupling. Avoid using "Proprietary Assertions" in L7; keep logic in code/standard OAS.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Modern Protocols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gRPC and AI-Agentic traffic handling is reactive/bolted-on compared to cloud-native or Envoy tools.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Solution:</w:t>
      </w:r>
      <w:r>
        <w:rPr>
          <w:rFonts w:ascii="Helvetica" w:hAnsi="Helvetica" w:cs="Helvetica"/>
          <w:sz w:val="24"/>
          <w:sz-cs w:val="24"/>
          <w:spacing w:val="0"/>
        </w:rPr>
        <w:t xml:space="preserve"> Implement a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Sidecar Pattern</w:t>
      </w:r>
      <w:r>
        <w:rPr>
          <w:rFonts w:ascii="Helvetica" w:hAnsi="Helvetica" w:cs="Helvetica"/>
          <w:sz w:val="24"/>
          <w:sz-cs w:val="24"/>
          <w:spacing w:val="0"/>
        </w:rPr>
        <w:t xml:space="preserve"> for modern workloads, using L7 only for final audit/compliance logging.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