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FF28B" w14:textId="77777777" w:rsidR="00885015" w:rsidRDefault="00000000">
      <w:pPr>
        <w:spacing w:after="40"/>
      </w:pPr>
      <w:r>
        <w:rPr>
          <w:b/>
          <w:bCs/>
          <w:color w:val="1F3864"/>
          <w:sz w:val="44"/>
          <w:szCs w:val="44"/>
        </w:rPr>
        <w:t>AI WORKFORCE ECONOMICS</w:t>
      </w:r>
    </w:p>
    <w:p w14:paraId="7328A6CB" w14:textId="77777777" w:rsidR="00885015" w:rsidRDefault="00000000">
      <w:pPr>
        <w:spacing w:after="40"/>
      </w:pPr>
      <w:r>
        <w:rPr>
          <w:b/>
          <w:bCs/>
          <w:color w:val="2E74B5"/>
          <w:sz w:val="26"/>
          <w:szCs w:val="26"/>
        </w:rPr>
        <w:t>Skills, Salaries &amp; AI Risk — Dashboard Insights Report</w:t>
      </w:r>
    </w:p>
    <w:p w14:paraId="326B7B5F" w14:textId="77777777" w:rsidR="00885015" w:rsidRDefault="00000000">
      <w:pPr>
        <w:pStyle w:val="Heading1"/>
        <w:pBdr>
          <w:bottom w:val="single" w:sz="8" w:space="4" w:color="2E74B5"/>
        </w:pBdr>
        <w:spacing w:before="360" w:after="160"/>
      </w:pPr>
      <w:r>
        <w:rPr>
          <w:b/>
          <w:bCs/>
          <w:color w:val="1F3864"/>
          <w:sz w:val="30"/>
          <w:szCs w:val="30"/>
        </w:rPr>
        <w:t>1. Executive Summary</w:t>
      </w:r>
    </w:p>
    <w:p w14:paraId="6068BC5C" w14:textId="77777777" w:rsidR="00885015" w:rsidRDefault="00000000">
      <w:pPr>
        <w:spacing w:after="160" w:line="300" w:lineRule="auto"/>
      </w:pPr>
      <w:r>
        <w:rPr>
          <w:color w:val="222222"/>
          <w:sz w:val="22"/>
          <w:szCs w:val="22"/>
        </w:rPr>
        <w:t xml:space="preserve">This report </w:t>
      </w:r>
      <w:proofErr w:type="spellStart"/>
      <w:r>
        <w:rPr>
          <w:color w:val="222222"/>
          <w:sz w:val="22"/>
          <w:szCs w:val="22"/>
        </w:rPr>
        <w:t>distills</w:t>
      </w:r>
      <w:proofErr w:type="spellEnd"/>
      <w:r>
        <w:rPr>
          <w:color w:val="222222"/>
          <w:sz w:val="22"/>
          <w:szCs w:val="22"/>
        </w:rPr>
        <w:t xml:space="preserve"> the key findings from the two-page Power BI dashboard covering global AI adoption, job demand, salary trends, and reskilling needs. The dashboard tracks job postings and workforce data from 2010 to 2025 across multiple countries and industries, measuring how artificial intelligence is reshaping roles, pay, and skill requirements.</w:t>
      </w:r>
    </w:p>
    <w:p w14:paraId="2D0EEEE3" w14:textId="77777777" w:rsidR="00885015" w:rsidRDefault="00000000">
      <w:pPr>
        <w:spacing w:after="160" w:line="300" w:lineRule="auto"/>
      </w:pPr>
      <w:r>
        <w:rPr>
          <w:color w:val="222222"/>
          <w:sz w:val="22"/>
          <w:szCs w:val="22"/>
        </w:rPr>
        <w:t>The overall picture is one of steady, accelerating change rather than sudden disruption: AI adoption is still concentrated in the "Emerging" and "Growing" stages for most industries, salaries have nearly doubled over 15 years, and roughly one in three jobs now requires some form of reskilling.</w:t>
      </w:r>
    </w:p>
    <w:p w14:paraId="30EF4FA9" w14:textId="77777777" w:rsidR="00885015" w:rsidRDefault="00000000">
      <w:pPr>
        <w:pStyle w:val="Heading1"/>
        <w:pBdr>
          <w:bottom w:val="single" w:sz="8" w:space="4" w:color="2E74B5"/>
        </w:pBdr>
        <w:spacing w:before="360" w:after="160"/>
      </w:pPr>
      <w:r>
        <w:rPr>
          <w:b/>
          <w:bCs/>
          <w:color w:val="1F3864"/>
          <w:sz w:val="30"/>
          <w:szCs w:val="30"/>
        </w:rPr>
        <w:t>2. Final Story of the Dashboard</w:t>
      </w:r>
    </w:p>
    <w:p w14:paraId="2A1FAEE6" w14:textId="77777777" w:rsidR="00885015" w:rsidRDefault="00000000">
      <w:pPr>
        <w:pStyle w:val="ListParagraph"/>
        <w:numPr>
          <w:ilvl w:val="0"/>
          <w:numId w:val="2"/>
        </w:numPr>
        <w:spacing w:after="120" w:line="300" w:lineRule="auto"/>
      </w:pPr>
      <w:r>
        <w:rPr>
          <w:b/>
          <w:bCs/>
          <w:color w:val="1F3864"/>
          <w:sz w:val="22"/>
          <w:szCs w:val="22"/>
        </w:rPr>
        <w:t>Adoption is broad but still maturing —</w:t>
      </w:r>
      <w:r>
        <w:rPr>
          <w:color w:val="222222"/>
          <w:sz w:val="22"/>
          <w:szCs w:val="22"/>
        </w:rPr>
        <w:t xml:space="preserve"> Job postings related to AI-relevant roles have grown unevenly but persistently between 2010 and 2025, with visible dips around 2018 and a strong resurgence afterward, ending near multi-year highs of over 320 postings.</w:t>
      </w:r>
    </w:p>
    <w:p w14:paraId="1C85648E" w14:textId="77777777" w:rsidR="00885015" w:rsidRDefault="00000000">
      <w:pPr>
        <w:pStyle w:val="ListParagraph"/>
        <w:numPr>
          <w:ilvl w:val="0"/>
          <w:numId w:val="2"/>
        </w:numPr>
        <w:spacing w:after="120" w:line="300" w:lineRule="auto"/>
      </w:pPr>
      <w:r>
        <w:rPr>
          <w:color w:val="222222"/>
          <w:sz w:val="22"/>
          <w:szCs w:val="22"/>
        </w:rPr>
        <w:t>Only 6.04% of industries have reached the "Mature" AI adoption stage, while the majority sit in "Emerging" or "Growing." This means most organizations are still in the early-to-middle innings of AI transformation, not the late stage.</w:t>
      </w:r>
    </w:p>
    <w:p w14:paraId="446F5B80" w14:textId="77777777" w:rsidR="00885015" w:rsidRDefault="00000000">
      <w:pPr>
        <w:pStyle w:val="ListParagraph"/>
        <w:numPr>
          <w:ilvl w:val="0"/>
          <w:numId w:val="2"/>
        </w:numPr>
        <w:spacing w:after="120" w:line="300" w:lineRule="auto"/>
      </w:pPr>
      <w:r>
        <w:rPr>
          <w:b/>
          <w:bCs/>
          <w:color w:val="1F3864"/>
          <w:sz w:val="22"/>
          <w:szCs w:val="22"/>
        </w:rPr>
        <w:t>This adoption is translating directly into pay and skills —</w:t>
      </w:r>
      <w:r>
        <w:rPr>
          <w:color w:val="222222"/>
          <w:sz w:val="22"/>
          <w:szCs w:val="22"/>
        </w:rPr>
        <w:t xml:space="preserve"> As adoption intensity averages 28.73% globally, salaries have climbed from roughly $47–48K in 2010 to $84K in 2025 — near a 75% increase — while average salary growth sits at $3.02K per year and 32% of jobs now require reskilling.</w:t>
      </w:r>
    </w:p>
    <w:p w14:paraId="7F161503" w14:textId="77777777" w:rsidR="00885015" w:rsidRDefault="00000000">
      <w:pPr>
        <w:pStyle w:val="ListParagraph"/>
        <w:numPr>
          <w:ilvl w:val="0"/>
          <w:numId w:val="2"/>
        </w:numPr>
        <w:spacing w:after="120" w:line="300" w:lineRule="auto"/>
      </w:pPr>
      <w:r>
        <w:rPr>
          <w:b/>
          <w:bCs/>
          <w:color w:val="1F3864"/>
          <w:sz w:val="22"/>
          <w:szCs w:val="22"/>
        </w:rPr>
        <w:t>Rewards are concentrated —</w:t>
      </w:r>
      <w:r>
        <w:rPr>
          <w:color w:val="222222"/>
          <w:sz w:val="22"/>
          <w:szCs w:val="22"/>
        </w:rPr>
        <w:t xml:space="preserve"> Information Technology and Finance command the highest combined salaries across seniority levels, while Agriculture and Education lag behind, showing AI's economic upside is concentrated in a handful of sectors.</w:t>
      </w:r>
    </w:p>
    <w:p w14:paraId="0D311A4A" w14:textId="77777777" w:rsidR="00885015" w:rsidRDefault="00000000">
      <w:pPr>
        <w:pStyle w:val="ListParagraph"/>
        <w:numPr>
          <w:ilvl w:val="0"/>
          <w:numId w:val="2"/>
        </w:numPr>
        <w:spacing w:after="120" w:line="300" w:lineRule="auto"/>
      </w:pPr>
      <w:r>
        <w:rPr>
          <w:b/>
          <w:bCs/>
          <w:color w:val="1F3864"/>
          <w:sz w:val="22"/>
          <w:szCs w:val="22"/>
        </w:rPr>
        <w:t>Talent demand is led by core AI roles —</w:t>
      </w:r>
      <w:r>
        <w:rPr>
          <w:color w:val="222222"/>
          <w:sz w:val="22"/>
          <w:szCs w:val="22"/>
        </w:rPr>
        <w:t xml:space="preserve"> AI Researcher, ML Engineer, and Data Scientist top the list of in-demand roles (486–558 postings each), confirming that technical, AI-native roles are driving hiring even as adoption spreads to non-technical industries.</w:t>
      </w:r>
    </w:p>
    <w:p w14:paraId="2FCA48A6" w14:textId="77777777" w:rsidR="00885015" w:rsidRDefault="00000000">
      <w:pPr>
        <w:spacing w:after="160" w:line="300" w:lineRule="auto"/>
      </w:pPr>
      <w:r>
        <w:rPr>
          <w:color w:val="222222"/>
          <w:sz w:val="22"/>
          <w:szCs w:val="22"/>
        </w:rPr>
        <w:t>The final story: AI adoption is a global, multi-year, still-unfolding trend. It is already lifting salaries and creating a wave of reskilling demand, but its benefits and intensity remain unevenly distributed across countries, industries, and seniority levels — meaning organizations that move early in the “Emerging” and “Growing” stages stand to capture disproportionate advantage before the market matures.</w:t>
      </w:r>
    </w:p>
    <w:p w14:paraId="4719D958" w14:textId="77777777" w:rsidR="00786AA6" w:rsidRDefault="00786AA6">
      <w:pPr>
        <w:pStyle w:val="Heading1"/>
        <w:pBdr>
          <w:bottom w:val="single" w:sz="8" w:space="4" w:color="2E74B5"/>
        </w:pBdr>
        <w:spacing w:before="360" w:after="160"/>
        <w:rPr>
          <w:b/>
          <w:bCs/>
          <w:color w:val="1F3864"/>
          <w:sz w:val="30"/>
          <w:szCs w:val="30"/>
        </w:rPr>
      </w:pPr>
    </w:p>
    <w:p w14:paraId="2299A44D" w14:textId="77777777" w:rsidR="00786AA6" w:rsidRDefault="00786AA6">
      <w:pPr>
        <w:pStyle w:val="Heading1"/>
        <w:pBdr>
          <w:bottom w:val="single" w:sz="8" w:space="4" w:color="2E74B5"/>
        </w:pBdr>
        <w:spacing w:before="360" w:after="160"/>
        <w:rPr>
          <w:b/>
          <w:bCs/>
          <w:color w:val="1F3864"/>
          <w:sz w:val="30"/>
          <w:szCs w:val="30"/>
        </w:rPr>
      </w:pPr>
    </w:p>
    <w:p w14:paraId="7E51D1E1" w14:textId="45B3ED0B" w:rsidR="00885015" w:rsidRDefault="00000000">
      <w:pPr>
        <w:pStyle w:val="Heading1"/>
        <w:pBdr>
          <w:bottom w:val="single" w:sz="8" w:space="4" w:color="2E74B5"/>
        </w:pBdr>
        <w:spacing w:before="360" w:after="160"/>
      </w:pPr>
      <w:r>
        <w:rPr>
          <w:b/>
          <w:bCs/>
          <w:color w:val="1F3864"/>
          <w:sz w:val="30"/>
          <w:szCs w:val="30"/>
        </w:rPr>
        <w:lastRenderedPageBreak/>
        <w:t>3. Key Insights</w:t>
      </w:r>
    </w:p>
    <w:tbl>
      <w:tblPr>
        <w:tblW w:w="5000" w:type="pct"/>
        <w:tblBorders>
          <w:top w:val="single" w:sz="4" w:space="0" w:color="2E74B5"/>
          <w:left w:val="single" w:sz="24" w:space="0" w:color="2E74B5"/>
          <w:bottom w:val="single" w:sz="4" w:space="0" w:color="2E74B5"/>
          <w:right w:val="single" w:sz="4" w:space="0" w:color="2E74B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5"/>
      </w:tblGrid>
      <w:tr w:rsidR="00885015" w14:paraId="1B457232" w14:textId="77777777">
        <w:tblPrEx>
          <w:tblCellMar>
            <w:top w:w="0" w:type="dxa"/>
            <w:bottom w:w="0" w:type="dxa"/>
          </w:tblCellMar>
        </w:tblPrEx>
        <w:tc>
          <w:tcPr>
            <w:tcW w:w="0" w:type="auto"/>
            <w:shd w:val="clear" w:color="auto" w:fill="DCE6F1"/>
            <w:tcMar>
              <w:top w:w="160" w:type="dxa"/>
              <w:left w:w="260" w:type="dxa"/>
              <w:bottom w:w="160" w:type="dxa"/>
              <w:right w:w="260" w:type="dxa"/>
            </w:tcMar>
          </w:tcPr>
          <w:p w14:paraId="23EDB32E" w14:textId="77777777" w:rsidR="00885015" w:rsidRDefault="00000000">
            <w:pPr>
              <w:spacing w:after="60"/>
            </w:pPr>
            <w:r>
              <w:rPr>
                <w:b/>
                <w:bCs/>
                <w:color w:val="1F3864"/>
                <w:sz w:val="22"/>
                <w:szCs w:val="22"/>
              </w:rPr>
              <w:t>Insight 1 — Adoption is still early-stage</w:t>
            </w:r>
          </w:p>
          <w:p w14:paraId="70FFAAB9" w14:textId="77777777" w:rsidR="00885015" w:rsidRDefault="00000000">
            <w:r>
              <w:rPr>
                <w:color w:val="333333"/>
                <w:sz w:val="21"/>
                <w:szCs w:val="21"/>
              </w:rPr>
              <w:t>Just 6.04% of industries are AI-"Mature," while the rest are Emerging or Growing. There is significant runway left before AI adoption plateaus, meaning current investments are still ground-floor opportunities rather than late-cycle bets.</w:t>
            </w:r>
          </w:p>
        </w:tc>
      </w:tr>
    </w:tbl>
    <w:p w14:paraId="523AACB9" w14:textId="77777777" w:rsidR="00885015" w:rsidRDefault="00885015">
      <w:pPr>
        <w:spacing w:after="160" w:line="300" w:lineRule="auto"/>
      </w:pPr>
    </w:p>
    <w:tbl>
      <w:tblPr>
        <w:tblW w:w="5000" w:type="pct"/>
        <w:tblBorders>
          <w:top w:val="single" w:sz="4" w:space="0" w:color="2E74B5"/>
          <w:left w:val="single" w:sz="24" w:space="0" w:color="2E74B5"/>
          <w:bottom w:val="single" w:sz="4" w:space="0" w:color="2E74B5"/>
          <w:right w:val="single" w:sz="4" w:space="0" w:color="2E74B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5"/>
      </w:tblGrid>
      <w:tr w:rsidR="00885015" w14:paraId="230DD409" w14:textId="77777777">
        <w:tblPrEx>
          <w:tblCellMar>
            <w:top w:w="0" w:type="dxa"/>
            <w:bottom w:w="0" w:type="dxa"/>
          </w:tblCellMar>
        </w:tblPrEx>
        <w:tc>
          <w:tcPr>
            <w:tcW w:w="0" w:type="auto"/>
            <w:shd w:val="clear" w:color="auto" w:fill="DCE6F1"/>
            <w:tcMar>
              <w:top w:w="160" w:type="dxa"/>
              <w:left w:w="260" w:type="dxa"/>
              <w:bottom w:w="160" w:type="dxa"/>
              <w:right w:w="260" w:type="dxa"/>
            </w:tcMar>
          </w:tcPr>
          <w:p w14:paraId="300116C4" w14:textId="77777777" w:rsidR="00885015" w:rsidRDefault="00000000">
            <w:pPr>
              <w:spacing w:after="60"/>
            </w:pPr>
            <w:r>
              <w:rPr>
                <w:b/>
                <w:bCs/>
                <w:color w:val="1F3864"/>
                <w:sz w:val="22"/>
                <w:szCs w:val="22"/>
              </w:rPr>
              <w:t>Insight 2 — Salaries have grown consistently, especially post-2020</w:t>
            </w:r>
          </w:p>
          <w:p w14:paraId="34D323B6" w14:textId="77777777" w:rsidR="00885015" w:rsidRDefault="00000000">
            <w:r>
              <w:rPr>
                <w:color w:val="333333"/>
                <w:sz w:val="21"/>
                <w:szCs w:val="21"/>
              </w:rPr>
              <w:t>Average salaries rose from ~$47K (2010) to $84K (2025), with the steepest climb after 2019–2020. This lines up with accelerating AI adoption and signals that AI-linked skills carry a measurable pay premium.</w:t>
            </w:r>
          </w:p>
        </w:tc>
      </w:tr>
    </w:tbl>
    <w:p w14:paraId="648C2BB8" w14:textId="77777777" w:rsidR="00885015" w:rsidRDefault="00885015">
      <w:pPr>
        <w:spacing w:after="160" w:line="300" w:lineRule="auto"/>
      </w:pPr>
    </w:p>
    <w:tbl>
      <w:tblPr>
        <w:tblW w:w="5000" w:type="pct"/>
        <w:tblBorders>
          <w:top w:val="single" w:sz="4" w:space="0" w:color="2E74B5"/>
          <w:left w:val="single" w:sz="24" w:space="0" w:color="2E74B5"/>
          <w:bottom w:val="single" w:sz="4" w:space="0" w:color="2E74B5"/>
          <w:right w:val="single" w:sz="4" w:space="0" w:color="2E74B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5"/>
      </w:tblGrid>
      <w:tr w:rsidR="00885015" w14:paraId="1EBC9067" w14:textId="77777777">
        <w:tblPrEx>
          <w:tblCellMar>
            <w:top w:w="0" w:type="dxa"/>
            <w:bottom w:w="0" w:type="dxa"/>
          </w:tblCellMar>
        </w:tblPrEx>
        <w:tc>
          <w:tcPr>
            <w:tcW w:w="0" w:type="auto"/>
            <w:shd w:val="clear" w:color="auto" w:fill="DCE6F1"/>
            <w:tcMar>
              <w:top w:w="160" w:type="dxa"/>
              <w:left w:w="260" w:type="dxa"/>
              <w:bottom w:w="160" w:type="dxa"/>
              <w:right w:w="260" w:type="dxa"/>
            </w:tcMar>
          </w:tcPr>
          <w:p w14:paraId="70761280" w14:textId="77777777" w:rsidR="00885015" w:rsidRDefault="00000000">
            <w:pPr>
              <w:spacing w:after="60"/>
            </w:pPr>
            <w:r>
              <w:rPr>
                <w:b/>
                <w:bCs/>
                <w:color w:val="1F3864"/>
                <w:sz w:val="22"/>
                <w:szCs w:val="22"/>
              </w:rPr>
              <w:t>Insight 3 — Reskilling is now a mainstream requirement, not a niche one</w:t>
            </w:r>
          </w:p>
          <w:p w14:paraId="7CB09E79" w14:textId="77777777" w:rsidR="00885015" w:rsidRDefault="00000000">
            <w:r>
              <w:rPr>
                <w:color w:val="333333"/>
                <w:sz w:val="21"/>
                <w:szCs w:val="21"/>
              </w:rPr>
              <w:t>32% of jobs — and 1,582 roles created in the last five years — require reskilling. Reskilling percentages are highest in the Netherlands, Chile, and Ghana (38–41%), suggesting workforce transition pressure is a global phenomenon, not limited to traditional tech hubs.</w:t>
            </w:r>
          </w:p>
        </w:tc>
      </w:tr>
    </w:tbl>
    <w:p w14:paraId="42FC906A" w14:textId="77777777" w:rsidR="00885015" w:rsidRDefault="00885015">
      <w:pPr>
        <w:spacing w:after="160" w:line="300" w:lineRule="auto"/>
      </w:pPr>
    </w:p>
    <w:tbl>
      <w:tblPr>
        <w:tblW w:w="5000" w:type="pct"/>
        <w:tblBorders>
          <w:top w:val="single" w:sz="4" w:space="0" w:color="2E74B5"/>
          <w:left w:val="single" w:sz="24" w:space="0" w:color="2E74B5"/>
          <w:bottom w:val="single" w:sz="4" w:space="0" w:color="2E74B5"/>
          <w:right w:val="single" w:sz="4" w:space="0" w:color="2E74B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5"/>
      </w:tblGrid>
      <w:tr w:rsidR="00885015" w14:paraId="6110D209" w14:textId="77777777">
        <w:tblPrEx>
          <w:tblCellMar>
            <w:top w:w="0" w:type="dxa"/>
            <w:bottom w:w="0" w:type="dxa"/>
          </w:tblCellMar>
        </w:tblPrEx>
        <w:tc>
          <w:tcPr>
            <w:tcW w:w="0" w:type="auto"/>
            <w:shd w:val="clear" w:color="auto" w:fill="DCE6F1"/>
            <w:tcMar>
              <w:top w:w="160" w:type="dxa"/>
              <w:left w:w="260" w:type="dxa"/>
              <w:bottom w:w="160" w:type="dxa"/>
              <w:right w:w="260" w:type="dxa"/>
            </w:tcMar>
          </w:tcPr>
          <w:p w14:paraId="6E3D19E8" w14:textId="77777777" w:rsidR="00885015" w:rsidRDefault="00000000">
            <w:pPr>
              <w:spacing w:after="60"/>
            </w:pPr>
            <w:r>
              <w:rPr>
                <w:b/>
                <w:bCs/>
                <w:color w:val="1F3864"/>
                <w:sz w:val="22"/>
                <w:szCs w:val="22"/>
              </w:rPr>
              <w:t>Insight 4 — IT and Finance capture the largest share of AI-driven salary gains</w:t>
            </w:r>
          </w:p>
          <w:p w14:paraId="3917CC99" w14:textId="77777777" w:rsidR="00885015" w:rsidRDefault="00000000">
            <w:r>
              <w:rPr>
                <w:color w:val="333333"/>
                <w:sz w:val="21"/>
                <w:szCs w:val="21"/>
              </w:rPr>
              <w:t>Information Technology (207.52 combined index) and Finance (200.77) lead all industries in salary levels across seniority bands, roughly 40% higher than Agriculture or Education, showing AI value creation is sector-concentrated.</w:t>
            </w:r>
          </w:p>
        </w:tc>
      </w:tr>
    </w:tbl>
    <w:p w14:paraId="5D5695E9" w14:textId="77777777" w:rsidR="00885015" w:rsidRDefault="00885015">
      <w:pPr>
        <w:spacing w:after="160" w:line="300" w:lineRule="auto"/>
      </w:pPr>
    </w:p>
    <w:tbl>
      <w:tblPr>
        <w:tblW w:w="5000" w:type="pct"/>
        <w:tblBorders>
          <w:top w:val="single" w:sz="4" w:space="0" w:color="2E74B5"/>
          <w:left w:val="single" w:sz="24" w:space="0" w:color="2E74B5"/>
          <w:bottom w:val="single" w:sz="4" w:space="0" w:color="2E74B5"/>
          <w:right w:val="single" w:sz="4" w:space="0" w:color="2E74B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5"/>
      </w:tblGrid>
      <w:tr w:rsidR="00885015" w14:paraId="6C5B4043" w14:textId="77777777">
        <w:tblPrEx>
          <w:tblCellMar>
            <w:top w:w="0" w:type="dxa"/>
            <w:bottom w:w="0" w:type="dxa"/>
          </w:tblCellMar>
        </w:tblPrEx>
        <w:tc>
          <w:tcPr>
            <w:tcW w:w="0" w:type="auto"/>
            <w:shd w:val="clear" w:color="auto" w:fill="DCE6F1"/>
            <w:tcMar>
              <w:top w:w="160" w:type="dxa"/>
              <w:left w:w="260" w:type="dxa"/>
              <w:bottom w:w="160" w:type="dxa"/>
              <w:right w:w="260" w:type="dxa"/>
            </w:tcMar>
          </w:tcPr>
          <w:p w14:paraId="5DC1E209" w14:textId="77777777" w:rsidR="00885015" w:rsidRDefault="00000000">
            <w:pPr>
              <w:spacing w:after="60"/>
            </w:pPr>
            <w:r>
              <w:rPr>
                <w:b/>
                <w:bCs/>
                <w:color w:val="1F3864"/>
                <w:sz w:val="22"/>
                <w:szCs w:val="22"/>
              </w:rPr>
              <w:t>Insight 5 — Demand is concentrated in a small set of high-value roles</w:t>
            </w:r>
          </w:p>
          <w:p w14:paraId="72095DAA" w14:textId="77777777" w:rsidR="00885015" w:rsidRDefault="00000000">
            <w:r>
              <w:rPr>
                <w:color w:val="333333"/>
                <w:sz w:val="21"/>
                <w:szCs w:val="21"/>
              </w:rPr>
              <w:t>AI Researcher, ML Engineer, Data Scientist, Software Engineer, and Product Manager together account for 2,488 postings, with ML Engineer (558) and AI Researcher (512) leading — confirming hiring is still weighted toward core technical AI talent.</w:t>
            </w:r>
          </w:p>
        </w:tc>
      </w:tr>
    </w:tbl>
    <w:p w14:paraId="03BD2DC6" w14:textId="77777777" w:rsidR="00885015" w:rsidRDefault="00000000">
      <w:pPr>
        <w:pStyle w:val="Heading1"/>
        <w:pBdr>
          <w:bottom w:val="single" w:sz="8" w:space="4" w:color="2E74B5"/>
        </w:pBdr>
        <w:spacing w:before="360" w:after="160"/>
      </w:pPr>
      <w:r>
        <w:rPr>
          <w:b/>
          <w:bCs/>
          <w:color w:val="1F3864"/>
          <w:sz w:val="30"/>
          <w:szCs w:val="30"/>
        </w:rPr>
        <w:t>4. Findings in Plain English</w:t>
      </w:r>
    </w:p>
    <w:p w14:paraId="0B91B9E8" w14:textId="77777777" w:rsidR="00885015" w:rsidRDefault="00000000">
      <w:pPr>
        <w:spacing w:after="160" w:line="300" w:lineRule="auto"/>
      </w:pPr>
      <w:r>
        <w:rPr>
          <w:color w:val="222222"/>
          <w:sz w:val="22"/>
          <w:szCs w:val="22"/>
        </w:rPr>
        <w:t>AI is spreading across industries and countries, but most companies are still early in adopting it — only about 6 out of 100 industries have "grown up" fully into mature AI users. Even so, this early adoption is already paying off for workers: average salaries have nearly doubled since 2010, jumping the fastest in just the last five years.</w:t>
      </w:r>
    </w:p>
    <w:p w14:paraId="7095BCDD" w14:textId="77777777" w:rsidR="00885015" w:rsidRDefault="00000000">
      <w:pPr>
        <w:spacing w:after="160" w:line="300" w:lineRule="auto"/>
      </w:pPr>
      <w:r>
        <w:rPr>
          <w:color w:val="222222"/>
          <w:sz w:val="22"/>
          <w:szCs w:val="22"/>
        </w:rPr>
        <w:t>At the same time, almost a third of all jobs now need employees to learn new skills to keep up, and thousands of new AI-related roles have opened up in just the last five years. The best-paid opportunities are concentrated in IT and Finance, and in specialized roles like AI Researcher and ML Engineer, rather than being spread evenly across every industry or job level.</w:t>
      </w:r>
    </w:p>
    <w:p w14:paraId="3B7B6458" w14:textId="77777777" w:rsidR="00885015" w:rsidRDefault="00000000">
      <w:pPr>
        <w:spacing w:after="160" w:line="300" w:lineRule="auto"/>
      </w:pPr>
      <w:r>
        <w:rPr>
          <w:color w:val="222222"/>
          <w:sz w:val="22"/>
          <w:szCs w:val="22"/>
        </w:rPr>
        <w:t>In short: AI is a rising tide, but it isn't lifting every boat equally yet. The industries, countries, and roles that lean in now — especially by investing in reskilling — are the ones capturing the biggest share of the benefit.</w:t>
      </w:r>
    </w:p>
    <w:p w14:paraId="07C559C4" w14:textId="77777777" w:rsidR="00885015" w:rsidRDefault="00000000">
      <w:pPr>
        <w:pStyle w:val="Heading1"/>
        <w:pBdr>
          <w:bottom w:val="single" w:sz="8" w:space="4" w:color="2E74B5"/>
        </w:pBdr>
        <w:spacing w:before="360" w:after="160"/>
      </w:pPr>
      <w:r>
        <w:rPr>
          <w:b/>
          <w:bCs/>
          <w:color w:val="1F3864"/>
          <w:sz w:val="30"/>
          <w:szCs w:val="30"/>
        </w:rPr>
        <w:lastRenderedPageBreak/>
        <w:t>5. Business Recommendations</w:t>
      </w:r>
    </w:p>
    <w:p w14:paraId="391166DB" w14:textId="77777777" w:rsidR="00885015" w:rsidRDefault="00000000">
      <w:pPr>
        <w:pStyle w:val="ListParagraph"/>
        <w:numPr>
          <w:ilvl w:val="0"/>
          <w:numId w:val="2"/>
        </w:numPr>
        <w:spacing w:after="120" w:line="300" w:lineRule="auto"/>
      </w:pPr>
      <w:r>
        <w:rPr>
          <w:b/>
          <w:bCs/>
          <w:color w:val="1F3864"/>
          <w:sz w:val="22"/>
          <w:szCs w:val="22"/>
        </w:rPr>
        <w:t>Accelerate adoption where the runway is longest —</w:t>
      </w:r>
      <w:r>
        <w:rPr>
          <w:color w:val="222222"/>
          <w:sz w:val="22"/>
          <w:szCs w:val="22"/>
        </w:rPr>
        <w:t xml:space="preserve"> Prioritize AI adoption programs for industries still classified as "Emerging" or "Growing," since 94% of industries have not yet reached maturity — early movers can secure competitive advantage before the market saturates.</w:t>
      </w:r>
    </w:p>
    <w:p w14:paraId="6BA3B14E" w14:textId="77777777" w:rsidR="00885015" w:rsidRDefault="00000000">
      <w:pPr>
        <w:pStyle w:val="ListParagraph"/>
        <w:numPr>
          <w:ilvl w:val="0"/>
          <w:numId w:val="2"/>
        </w:numPr>
        <w:spacing w:after="120" w:line="300" w:lineRule="auto"/>
      </w:pPr>
      <w:r>
        <w:rPr>
          <w:b/>
          <w:bCs/>
          <w:color w:val="1F3864"/>
          <w:sz w:val="22"/>
          <w:szCs w:val="22"/>
        </w:rPr>
        <w:t>Invest proactively in reskilling —</w:t>
      </w:r>
      <w:r>
        <w:rPr>
          <w:color w:val="222222"/>
          <w:sz w:val="22"/>
          <w:szCs w:val="22"/>
        </w:rPr>
        <w:t xml:space="preserve"> Since 32% of roles already require reskilling and this need is rising steadily, build formal reskilling budgets and partnerships now rather than reactively, focusing first on countries showing the highest reskilling percentages (Netherlands, Chile, Ghana, Singapore).</w:t>
      </w:r>
    </w:p>
    <w:p w14:paraId="01D5DDB3" w14:textId="77777777" w:rsidR="00885015" w:rsidRDefault="00000000">
      <w:pPr>
        <w:pStyle w:val="ListParagraph"/>
        <w:numPr>
          <w:ilvl w:val="0"/>
          <w:numId w:val="2"/>
        </w:numPr>
        <w:spacing w:after="120" w:line="300" w:lineRule="auto"/>
      </w:pPr>
      <w:r>
        <w:rPr>
          <w:b/>
          <w:bCs/>
          <w:color w:val="1F3864"/>
          <w:sz w:val="22"/>
          <w:szCs w:val="22"/>
        </w:rPr>
        <w:t>Double down on high-return sectors —</w:t>
      </w:r>
      <w:r>
        <w:rPr>
          <w:color w:val="222222"/>
          <w:sz w:val="22"/>
          <w:szCs w:val="22"/>
        </w:rPr>
        <w:t xml:space="preserve"> With IT and Finance showing the strongest salary-to-AI-adoption linkage, replicate their playbook (tooling, training, hiring mix) in adjacent industries such as Manufacturing and Retail, which show mid-tier adoption but lag on pay.</w:t>
      </w:r>
    </w:p>
    <w:p w14:paraId="04A6BFEC" w14:textId="77777777" w:rsidR="00885015" w:rsidRDefault="00000000">
      <w:pPr>
        <w:pStyle w:val="ListParagraph"/>
        <w:numPr>
          <w:ilvl w:val="0"/>
          <w:numId w:val="2"/>
        </w:numPr>
        <w:spacing w:after="120" w:line="300" w:lineRule="auto"/>
      </w:pPr>
      <w:r>
        <w:rPr>
          <w:b/>
          <w:bCs/>
          <w:color w:val="1F3864"/>
          <w:sz w:val="22"/>
          <w:szCs w:val="22"/>
        </w:rPr>
        <w:t>Target hiring at core AI roles —</w:t>
      </w:r>
      <w:r>
        <w:rPr>
          <w:color w:val="222222"/>
          <w:sz w:val="22"/>
          <w:szCs w:val="22"/>
        </w:rPr>
        <w:t xml:space="preserve"> Because ML Engineer, AI Researcher, and Data Scientist dominate hiring demand, build dedicated talent pipelines (university partnerships, internal upskilling tracks) for these three roles specifically, rather than generic "AI talent" hiring.</w:t>
      </w:r>
    </w:p>
    <w:p w14:paraId="0C1D7471" w14:textId="77777777" w:rsidR="00885015" w:rsidRDefault="00000000">
      <w:pPr>
        <w:pStyle w:val="ListParagraph"/>
        <w:numPr>
          <w:ilvl w:val="0"/>
          <w:numId w:val="2"/>
        </w:numPr>
        <w:spacing w:after="120" w:line="300" w:lineRule="auto"/>
      </w:pPr>
      <w:r>
        <w:rPr>
          <w:b/>
          <w:bCs/>
          <w:color w:val="1F3864"/>
          <w:sz w:val="22"/>
          <w:szCs w:val="22"/>
        </w:rPr>
        <w:t>Revisit compensation benchmarks regularly —</w:t>
      </w:r>
      <w:r>
        <w:rPr>
          <w:color w:val="222222"/>
          <w:sz w:val="22"/>
          <w:szCs w:val="22"/>
        </w:rPr>
        <w:t xml:space="preserve"> Given salary growth has accelerated sharply since 2020, benchmark compensation bands at least annually against the dashboard's salary-growth trend to avoid losing AI talent to competitors offering the newer, higher market rate.</w:t>
      </w:r>
    </w:p>
    <w:p w14:paraId="6108C3E5" w14:textId="77777777" w:rsidR="00885015" w:rsidRDefault="00000000">
      <w:pPr>
        <w:pStyle w:val="ListParagraph"/>
        <w:numPr>
          <w:ilvl w:val="0"/>
          <w:numId w:val="2"/>
        </w:numPr>
        <w:spacing w:after="120" w:line="300" w:lineRule="auto"/>
      </w:pPr>
      <w:r>
        <w:rPr>
          <w:b/>
          <w:bCs/>
          <w:color w:val="1F3864"/>
          <w:sz w:val="22"/>
          <w:szCs w:val="22"/>
        </w:rPr>
        <w:t>Monitor adoption-stage metrics as an early-warning system —</w:t>
      </w:r>
      <w:r>
        <w:rPr>
          <w:color w:val="222222"/>
          <w:sz w:val="22"/>
          <w:szCs w:val="22"/>
        </w:rPr>
        <w:t xml:space="preserve"> Track the </w:t>
      </w:r>
      <w:proofErr w:type="spellStart"/>
      <w:r>
        <w:rPr>
          <w:color w:val="222222"/>
          <w:sz w:val="22"/>
          <w:szCs w:val="22"/>
        </w:rPr>
        <w:t>Mature_Industry_Percentage</w:t>
      </w:r>
      <w:proofErr w:type="spellEnd"/>
      <w:r>
        <w:rPr>
          <w:color w:val="222222"/>
          <w:sz w:val="22"/>
          <w:szCs w:val="22"/>
        </w:rPr>
        <w:t xml:space="preserve"> and AI Risk Level metrics quarterly as leading indicators — a rising mature-industry share signals market saturation approaching, which should trigger a shift in strategy from "adoption" to "optimization."</w:t>
      </w:r>
    </w:p>
    <w:p w14:paraId="28500342" w14:textId="77777777" w:rsidR="00885015" w:rsidRDefault="00000000">
      <w:pPr>
        <w:pStyle w:val="Heading1"/>
        <w:pBdr>
          <w:bottom w:val="single" w:sz="8" w:space="4" w:color="2E74B5"/>
        </w:pBdr>
        <w:spacing w:before="360" w:after="160"/>
      </w:pPr>
      <w:r>
        <w:rPr>
          <w:b/>
          <w:bCs/>
          <w:color w:val="1F3864"/>
          <w:sz w:val="30"/>
          <w:szCs w:val="30"/>
        </w:rPr>
        <w:t>6. Key Dashboard Metrics at a Glance</w:t>
      </w:r>
    </w:p>
    <w:tbl>
      <w:tblPr>
        <w:tblW w:w="5000" w:type="pct"/>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5015"/>
        <w:gridCol w:w="5015"/>
      </w:tblGrid>
      <w:tr w:rsidR="00885015" w14:paraId="61B5F450" w14:textId="77777777">
        <w:tblPrEx>
          <w:tblCellMar>
            <w:top w:w="0" w:type="dxa"/>
            <w:bottom w:w="0" w:type="dxa"/>
          </w:tblCellMar>
        </w:tblPrEx>
        <w:tc>
          <w:tcPr>
            <w:tcW w:w="4500" w:type="dxa"/>
            <w:shd w:val="clear" w:color="auto" w:fill="1F3864"/>
            <w:tcMar>
              <w:top w:w="100" w:type="dxa"/>
              <w:left w:w="150" w:type="dxa"/>
              <w:bottom w:w="100" w:type="dxa"/>
              <w:right w:w="150" w:type="dxa"/>
            </w:tcMar>
          </w:tcPr>
          <w:p w14:paraId="2099D079" w14:textId="77777777" w:rsidR="00885015" w:rsidRDefault="00000000">
            <w:r>
              <w:rPr>
                <w:b/>
                <w:bCs/>
                <w:color w:val="FFFFFF"/>
                <w:sz w:val="21"/>
                <w:szCs w:val="21"/>
              </w:rPr>
              <w:t>Metric</w:t>
            </w:r>
          </w:p>
        </w:tc>
        <w:tc>
          <w:tcPr>
            <w:tcW w:w="4500" w:type="dxa"/>
            <w:shd w:val="clear" w:color="auto" w:fill="1F3864"/>
            <w:tcMar>
              <w:top w:w="100" w:type="dxa"/>
              <w:left w:w="150" w:type="dxa"/>
              <w:bottom w:w="100" w:type="dxa"/>
              <w:right w:w="150" w:type="dxa"/>
            </w:tcMar>
          </w:tcPr>
          <w:p w14:paraId="47DF6F19" w14:textId="77777777" w:rsidR="00885015" w:rsidRDefault="00000000">
            <w:r>
              <w:rPr>
                <w:b/>
                <w:bCs/>
                <w:color w:val="FFFFFF"/>
                <w:sz w:val="21"/>
                <w:szCs w:val="21"/>
              </w:rPr>
              <w:t>Value</w:t>
            </w:r>
          </w:p>
        </w:tc>
      </w:tr>
      <w:tr w:rsidR="00885015" w14:paraId="53F24DEB" w14:textId="77777777">
        <w:tblPrEx>
          <w:tblCellMar>
            <w:top w:w="0" w:type="dxa"/>
            <w:bottom w:w="0" w:type="dxa"/>
          </w:tblCellMar>
        </w:tblPrEx>
        <w:tc>
          <w:tcPr>
            <w:tcW w:w="4500" w:type="dxa"/>
            <w:shd w:val="clear" w:color="auto" w:fill="FFFFFF"/>
            <w:tcMar>
              <w:top w:w="100" w:type="dxa"/>
              <w:left w:w="150" w:type="dxa"/>
              <w:bottom w:w="100" w:type="dxa"/>
              <w:right w:w="150" w:type="dxa"/>
            </w:tcMar>
          </w:tcPr>
          <w:p w14:paraId="1C6A7FED" w14:textId="77777777" w:rsidR="00885015" w:rsidRDefault="00000000">
            <w:r>
              <w:rPr>
                <w:color w:val="222222"/>
                <w:sz w:val="21"/>
                <w:szCs w:val="21"/>
              </w:rPr>
              <w:t>Mature Industry Percentage</w:t>
            </w:r>
          </w:p>
        </w:tc>
        <w:tc>
          <w:tcPr>
            <w:tcW w:w="4500" w:type="dxa"/>
            <w:shd w:val="clear" w:color="auto" w:fill="FFFFFF"/>
            <w:tcMar>
              <w:top w:w="100" w:type="dxa"/>
              <w:left w:w="150" w:type="dxa"/>
              <w:bottom w:w="100" w:type="dxa"/>
              <w:right w:w="150" w:type="dxa"/>
            </w:tcMar>
          </w:tcPr>
          <w:p w14:paraId="3CBA58ED" w14:textId="77777777" w:rsidR="00885015" w:rsidRDefault="00000000">
            <w:r>
              <w:rPr>
                <w:color w:val="222222"/>
                <w:sz w:val="21"/>
                <w:szCs w:val="21"/>
              </w:rPr>
              <w:t>6.04%</w:t>
            </w:r>
          </w:p>
        </w:tc>
      </w:tr>
      <w:tr w:rsidR="00885015" w14:paraId="00F6E399" w14:textId="77777777">
        <w:tblPrEx>
          <w:tblCellMar>
            <w:top w:w="0" w:type="dxa"/>
            <w:bottom w:w="0" w:type="dxa"/>
          </w:tblCellMar>
        </w:tblPrEx>
        <w:tc>
          <w:tcPr>
            <w:tcW w:w="4500" w:type="dxa"/>
            <w:shd w:val="clear" w:color="auto" w:fill="F2F2F2"/>
            <w:tcMar>
              <w:top w:w="100" w:type="dxa"/>
              <w:left w:w="150" w:type="dxa"/>
              <w:bottom w:w="100" w:type="dxa"/>
              <w:right w:w="150" w:type="dxa"/>
            </w:tcMar>
          </w:tcPr>
          <w:p w14:paraId="11A417B3" w14:textId="77777777" w:rsidR="00885015" w:rsidRDefault="00000000">
            <w:r>
              <w:rPr>
                <w:color w:val="222222"/>
                <w:sz w:val="21"/>
                <w:szCs w:val="21"/>
              </w:rPr>
              <w:t>Average AI Adoption Intensity</w:t>
            </w:r>
          </w:p>
        </w:tc>
        <w:tc>
          <w:tcPr>
            <w:tcW w:w="4500" w:type="dxa"/>
            <w:shd w:val="clear" w:color="auto" w:fill="F2F2F2"/>
            <w:tcMar>
              <w:top w:w="100" w:type="dxa"/>
              <w:left w:w="150" w:type="dxa"/>
              <w:bottom w:w="100" w:type="dxa"/>
              <w:right w:w="150" w:type="dxa"/>
            </w:tcMar>
          </w:tcPr>
          <w:p w14:paraId="5F2DF402" w14:textId="77777777" w:rsidR="00885015" w:rsidRDefault="00000000">
            <w:r>
              <w:rPr>
                <w:color w:val="222222"/>
                <w:sz w:val="21"/>
                <w:szCs w:val="21"/>
              </w:rPr>
              <w:t>28.73%</w:t>
            </w:r>
          </w:p>
        </w:tc>
      </w:tr>
      <w:tr w:rsidR="00885015" w14:paraId="385427A9" w14:textId="77777777">
        <w:tblPrEx>
          <w:tblCellMar>
            <w:top w:w="0" w:type="dxa"/>
            <w:bottom w:w="0" w:type="dxa"/>
          </w:tblCellMar>
        </w:tblPrEx>
        <w:tc>
          <w:tcPr>
            <w:tcW w:w="4500" w:type="dxa"/>
            <w:shd w:val="clear" w:color="auto" w:fill="FFFFFF"/>
            <w:tcMar>
              <w:top w:w="100" w:type="dxa"/>
              <w:left w:w="150" w:type="dxa"/>
              <w:bottom w:w="100" w:type="dxa"/>
              <w:right w:w="150" w:type="dxa"/>
            </w:tcMar>
          </w:tcPr>
          <w:p w14:paraId="1A860328" w14:textId="77777777" w:rsidR="00885015" w:rsidRDefault="00000000">
            <w:r>
              <w:rPr>
                <w:color w:val="222222"/>
                <w:sz w:val="21"/>
                <w:szCs w:val="21"/>
              </w:rPr>
              <w:t>AI Risk Level</w:t>
            </w:r>
          </w:p>
        </w:tc>
        <w:tc>
          <w:tcPr>
            <w:tcW w:w="4500" w:type="dxa"/>
            <w:shd w:val="clear" w:color="auto" w:fill="FFFFFF"/>
            <w:tcMar>
              <w:top w:w="100" w:type="dxa"/>
              <w:left w:w="150" w:type="dxa"/>
              <w:bottom w:w="100" w:type="dxa"/>
              <w:right w:w="150" w:type="dxa"/>
            </w:tcMar>
          </w:tcPr>
          <w:p w14:paraId="2233CD35" w14:textId="77777777" w:rsidR="00885015" w:rsidRDefault="00000000">
            <w:r>
              <w:rPr>
                <w:color w:val="222222"/>
                <w:sz w:val="21"/>
                <w:szCs w:val="21"/>
              </w:rPr>
              <w:t>1.98</w:t>
            </w:r>
          </w:p>
        </w:tc>
      </w:tr>
      <w:tr w:rsidR="00885015" w14:paraId="612DDB0D" w14:textId="77777777">
        <w:tblPrEx>
          <w:tblCellMar>
            <w:top w:w="0" w:type="dxa"/>
            <w:bottom w:w="0" w:type="dxa"/>
          </w:tblCellMar>
        </w:tblPrEx>
        <w:tc>
          <w:tcPr>
            <w:tcW w:w="4500" w:type="dxa"/>
            <w:shd w:val="clear" w:color="auto" w:fill="F2F2F2"/>
            <w:tcMar>
              <w:top w:w="100" w:type="dxa"/>
              <w:left w:w="150" w:type="dxa"/>
              <w:bottom w:w="100" w:type="dxa"/>
              <w:right w:w="150" w:type="dxa"/>
            </w:tcMar>
          </w:tcPr>
          <w:p w14:paraId="0F823F79" w14:textId="77777777" w:rsidR="00885015" w:rsidRDefault="00000000">
            <w:r>
              <w:rPr>
                <w:color w:val="222222"/>
                <w:sz w:val="21"/>
                <w:szCs w:val="21"/>
              </w:rPr>
              <w:t>Average Salary (USD)</w:t>
            </w:r>
          </w:p>
        </w:tc>
        <w:tc>
          <w:tcPr>
            <w:tcW w:w="4500" w:type="dxa"/>
            <w:shd w:val="clear" w:color="auto" w:fill="F2F2F2"/>
            <w:tcMar>
              <w:top w:w="100" w:type="dxa"/>
              <w:left w:w="150" w:type="dxa"/>
              <w:bottom w:w="100" w:type="dxa"/>
              <w:right w:w="150" w:type="dxa"/>
            </w:tcMar>
          </w:tcPr>
          <w:p w14:paraId="12C9C240" w14:textId="77777777" w:rsidR="00885015" w:rsidRDefault="00000000">
            <w:r>
              <w:rPr>
                <w:color w:val="222222"/>
                <w:sz w:val="21"/>
                <w:szCs w:val="21"/>
              </w:rPr>
              <w:t>$63.10K</w:t>
            </w:r>
          </w:p>
        </w:tc>
      </w:tr>
      <w:tr w:rsidR="00885015" w14:paraId="31E6BFA9" w14:textId="77777777">
        <w:tblPrEx>
          <w:tblCellMar>
            <w:top w:w="0" w:type="dxa"/>
            <w:bottom w:w="0" w:type="dxa"/>
          </w:tblCellMar>
        </w:tblPrEx>
        <w:tc>
          <w:tcPr>
            <w:tcW w:w="4500" w:type="dxa"/>
            <w:shd w:val="clear" w:color="auto" w:fill="FFFFFF"/>
            <w:tcMar>
              <w:top w:w="100" w:type="dxa"/>
              <w:left w:w="150" w:type="dxa"/>
              <w:bottom w:w="100" w:type="dxa"/>
              <w:right w:w="150" w:type="dxa"/>
            </w:tcMar>
          </w:tcPr>
          <w:p w14:paraId="37397EB4" w14:textId="77777777" w:rsidR="00885015" w:rsidRDefault="00000000">
            <w:r>
              <w:rPr>
                <w:color w:val="222222"/>
                <w:sz w:val="21"/>
                <w:szCs w:val="21"/>
              </w:rPr>
              <w:t>Average Salary Growth</w:t>
            </w:r>
          </w:p>
        </w:tc>
        <w:tc>
          <w:tcPr>
            <w:tcW w:w="4500" w:type="dxa"/>
            <w:shd w:val="clear" w:color="auto" w:fill="FFFFFF"/>
            <w:tcMar>
              <w:top w:w="100" w:type="dxa"/>
              <w:left w:w="150" w:type="dxa"/>
              <w:bottom w:w="100" w:type="dxa"/>
              <w:right w:w="150" w:type="dxa"/>
            </w:tcMar>
          </w:tcPr>
          <w:p w14:paraId="33BE9855" w14:textId="77777777" w:rsidR="00885015" w:rsidRDefault="00000000">
            <w:r>
              <w:rPr>
                <w:color w:val="222222"/>
                <w:sz w:val="21"/>
                <w:szCs w:val="21"/>
              </w:rPr>
              <w:t>$3.0152K / year</w:t>
            </w:r>
          </w:p>
        </w:tc>
      </w:tr>
      <w:tr w:rsidR="00885015" w14:paraId="0BEC0C71" w14:textId="77777777">
        <w:tblPrEx>
          <w:tblCellMar>
            <w:top w:w="0" w:type="dxa"/>
            <w:bottom w:w="0" w:type="dxa"/>
          </w:tblCellMar>
        </w:tblPrEx>
        <w:tc>
          <w:tcPr>
            <w:tcW w:w="4500" w:type="dxa"/>
            <w:shd w:val="clear" w:color="auto" w:fill="F2F2F2"/>
            <w:tcMar>
              <w:top w:w="100" w:type="dxa"/>
              <w:left w:w="150" w:type="dxa"/>
              <w:bottom w:w="100" w:type="dxa"/>
              <w:right w:w="150" w:type="dxa"/>
            </w:tcMar>
          </w:tcPr>
          <w:p w14:paraId="7C537482" w14:textId="77777777" w:rsidR="00885015" w:rsidRDefault="00000000">
            <w:r>
              <w:rPr>
                <w:color w:val="222222"/>
                <w:sz w:val="21"/>
                <w:szCs w:val="21"/>
              </w:rPr>
              <w:t>% Jobs Requiring Reskilling</w:t>
            </w:r>
          </w:p>
        </w:tc>
        <w:tc>
          <w:tcPr>
            <w:tcW w:w="4500" w:type="dxa"/>
            <w:shd w:val="clear" w:color="auto" w:fill="F2F2F2"/>
            <w:tcMar>
              <w:top w:w="100" w:type="dxa"/>
              <w:left w:w="150" w:type="dxa"/>
              <w:bottom w:w="100" w:type="dxa"/>
              <w:right w:w="150" w:type="dxa"/>
            </w:tcMar>
          </w:tcPr>
          <w:p w14:paraId="28A98F52" w14:textId="77777777" w:rsidR="00885015" w:rsidRDefault="00000000">
            <w:r>
              <w:rPr>
                <w:color w:val="222222"/>
                <w:sz w:val="21"/>
                <w:szCs w:val="21"/>
              </w:rPr>
              <w:t>32%</w:t>
            </w:r>
          </w:p>
        </w:tc>
      </w:tr>
      <w:tr w:rsidR="00885015" w14:paraId="759FD93E" w14:textId="77777777">
        <w:tblPrEx>
          <w:tblCellMar>
            <w:top w:w="0" w:type="dxa"/>
            <w:bottom w:w="0" w:type="dxa"/>
          </w:tblCellMar>
        </w:tblPrEx>
        <w:tc>
          <w:tcPr>
            <w:tcW w:w="4500" w:type="dxa"/>
            <w:shd w:val="clear" w:color="auto" w:fill="FFFFFF"/>
            <w:tcMar>
              <w:top w:w="100" w:type="dxa"/>
              <w:left w:w="150" w:type="dxa"/>
              <w:bottom w:w="100" w:type="dxa"/>
              <w:right w:w="150" w:type="dxa"/>
            </w:tcMar>
          </w:tcPr>
          <w:p w14:paraId="79A601BF" w14:textId="77777777" w:rsidR="00885015" w:rsidRDefault="00000000">
            <w:r>
              <w:rPr>
                <w:color w:val="222222"/>
                <w:sz w:val="21"/>
                <w:szCs w:val="21"/>
              </w:rPr>
              <w:t>Jobs Created (Last 5 Years)</w:t>
            </w:r>
          </w:p>
        </w:tc>
        <w:tc>
          <w:tcPr>
            <w:tcW w:w="4500" w:type="dxa"/>
            <w:shd w:val="clear" w:color="auto" w:fill="FFFFFF"/>
            <w:tcMar>
              <w:top w:w="100" w:type="dxa"/>
              <w:left w:w="150" w:type="dxa"/>
              <w:bottom w:w="100" w:type="dxa"/>
              <w:right w:w="150" w:type="dxa"/>
            </w:tcMar>
          </w:tcPr>
          <w:p w14:paraId="709DED27" w14:textId="77777777" w:rsidR="00885015" w:rsidRDefault="00000000">
            <w:r>
              <w:rPr>
                <w:color w:val="222222"/>
                <w:sz w:val="21"/>
                <w:szCs w:val="21"/>
              </w:rPr>
              <w:t>1,582</w:t>
            </w:r>
          </w:p>
        </w:tc>
      </w:tr>
      <w:tr w:rsidR="00885015" w14:paraId="447892ED" w14:textId="77777777">
        <w:tblPrEx>
          <w:tblCellMar>
            <w:top w:w="0" w:type="dxa"/>
            <w:bottom w:w="0" w:type="dxa"/>
          </w:tblCellMar>
        </w:tblPrEx>
        <w:tc>
          <w:tcPr>
            <w:tcW w:w="4500" w:type="dxa"/>
            <w:shd w:val="clear" w:color="auto" w:fill="F2F2F2"/>
            <w:tcMar>
              <w:top w:w="100" w:type="dxa"/>
              <w:left w:w="150" w:type="dxa"/>
              <w:bottom w:w="100" w:type="dxa"/>
              <w:right w:w="150" w:type="dxa"/>
            </w:tcMar>
          </w:tcPr>
          <w:p w14:paraId="105E04E8" w14:textId="77777777" w:rsidR="00885015" w:rsidRDefault="00000000">
            <w:r>
              <w:rPr>
                <w:color w:val="222222"/>
                <w:sz w:val="21"/>
                <w:szCs w:val="21"/>
              </w:rPr>
              <w:t>Total Top-5 Role Postings</w:t>
            </w:r>
          </w:p>
        </w:tc>
        <w:tc>
          <w:tcPr>
            <w:tcW w:w="4500" w:type="dxa"/>
            <w:shd w:val="clear" w:color="auto" w:fill="F2F2F2"/>
            <w:tcMar>
              <w:top w:w="100" w:type="dxa"/>
              <w:left w:w="150" w:type="dxa"/>
              <w:bottom w:w="100" w:type="dxa"/>
              <w:right w:w="150" w:type="dxa"/>
            </w:tcMar>
          </w:tcPr>
          <w:p w14:paraId="01EEE29F" w14:textId="77777777" w:rsidR="00885015" w:rsidRDefault="00000000">
            <w:r>
              <w:rPr>
                <w:color w:val="222222"/>
                <w:sz w:val="21"/>
                <w:szCs w:val="21"/>
              </w:rPr>
              <w:t>2,488</w:t>
            </w:r>
          </w:p>
        </w:tc>
      </w:tr>
      <w:tr w:rsidR="00885015" w14:paraId="3949AB5C" w14:textId="77777777">
        <w:tblPrEx>
          <w:tblCellMar>
            <w:top w:w="0" w:type="dxa"/>
            <w:bottom w:w="0" w:type="dxa"/>
          </w:tblCellMar>
        </w:tblPrEx>
        <w:tc>
          <w:tcPr>
            <w:tcW w:w="4500" w:type="dxa"/>
            <w:shd w:val="clear" w:color="auto" w:fill="FFFFFF"/>
            <w:tcMar>
              <w:top w:w="100" w:type="dxa"/>
              <w:left w:w="150" w:type="dxa"/>
              <w:bottom w:w="100" w:type="dxa"/>
              <w:right w:w="150" w:type="dxa"/>
            </w:tcMar>
          </w:tcPr>
          <w:p w14:paraId="60A96B89" w14:textId="77777777" w:rsidR="00885015" w:rsidRDefault="00000000">
            <w:r>
              <w:rPr>
                <w:color w:val="222222"/>
                <w:sz w:val="21"/>
                <w:szCs w:val="21"/>
              </w:rPr>
              <w:t>Salary Range (2010 → 2025)</w:t>
            </w:r>
          </w:p>
        </w:tc>
        <w:tc>
          <w:tcPr>
            <w:tcW w:w="4500" w:type="dxa"/>
            <w:shd w:val="clear" w:color="auto" w:fill="FFFFFF"/>
            <w:tcMar>
              <w:top w:w="100" w:type="dxa"/>
              <w:left w:w="150" w:type="dxa"/>
              <w:bottom w:w="100" w:type="dxa"/>
              <w:right w:w="150" w:type="dxa"/>
            </w:tcMar>
          </w:tcPr>
          <w:p w14:paraId="5E8F44A7" w14:textId="77777777" w:rsidR="00885015" w:rsidRDefault="00000000">
            <w:r>
              <w:rPr>
                <w:color w:val="222222"/>
                <w:sz w:val="21"/>
                <w:szCs w:val="21"/>
              </w:rPr>
              <w:t>$47K → $84K</w:t>
            </w:r>
          </w:p>
        </w:tc>
      </w:tr>
    </w:tbl>
    <w:p w14:paraId="5A3FC974" w14:textId="7B40E7A0" w:rsidR="00885015" w:rsidRDefault="00885015" w:rsidP="00786AA6">
      <w:pPr>
        <w:pBdr>
          <w:top w:val="single" w:sz="4" w:space="4" w:color="BFBFBF"/>
        </w:pBdr>
        <w:spacing w:before="400"/>
      </w:pPr>
    </w:p>
    <w:sectPr w:rsidR="00885015">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80F8C"/>
    <w:multiLevelType w:val="hybridMultilevel"/>
    <w:tmpl w:val="2334DBE4"/>
    <w:lvl w:ilvl="0" w:tplc="3A02EAF8">
      <w:start w:val="1"/>
      <w:numFmt w:val="bullet"/>
      <w:lvlText w:val="•"/>
      <w:lvlJc w:val="left"/>
      <w:pPr>
        <w:ind w:left="420" w:hanging="260"/>
      </w:pPr>
    </w:lvl>
    <w:lvl w:ilvl="1" w:tplc="B1CE9B4A">
      <w:numFmt w:val="decimal"/>
      <w:lvlText w:val=""/>
      <w:lvlJc w:val="left"/>
    </w:lvl>
    <w:lvl w:ilvl="2" w:tplc="D9C4C5B2">
      <w:numFmt w:val="decimal"/>
      <w:lvlText w:val=""/>
      <w:lvlJc w:val="left"/>
    </w:lvl>
    <w:lvl w:ilvl="3" w:tplc="E7AC5F74">
      <w:numFmt w:val="decimal"/>
      <w:lvlText w:val=""/>
      <w:lvlJc w:val="left"/>
    </w:lvl>
    <w:lvl w:ilvl="4" w:tplc="589A74C8">
      <w:numFmt w:val="decimal"/>
      <w:lvlText w:val=""/>
      <w:lvlJc w:val="left"/>
    </w:lvl>
    <w:lvl w:ilvl="5" w:tplc="9FCCF5EE">
      <w:numFmt w:val="decimal"/>
      <w:lvlText w:val=""/>
      <w:lvlJc w:val="left"/>
    </w:lvl>
    <w:lvl w:ilvl="6" w:tplc="4EAC9A7E">
      <w:numFmt w:val="decimal"/>
      <w:lvlText w:val=""/>
      <w:lvlJc w:val="left"/>
    </w:lvl>
    <w:lvl w:ilvl="7" w:tplc="4306AE12">
      <w:numFmt w:val="decimal"/>
      <w:lvlText w:val=""/>
      <w:lvlJc w:val="left"/>
    </w:lvl>
    <w:lvl w:ilvl="8" w:tplc="58EA60A6">
      <w:numFmt w:val="decimal"/>
      <w:lvlText w:val=""/>
      <w:lvlJc w:val="left"/>
    </w:lvl>
  </w:abstractNum>
  <w:abstractNum w:abstractNumId="1" w15:restartNumberingAfterBreak="0">
    <w:nsid w:val="53314BB3"/>
    <w:multiLevelType w:val="hybridMultilevel"/>
    <w:tmpl w:val="D0481A88"/>
    <w:lvl w:ilvl="0" w:tplc="316AFE76">
      <w:start w:val="1"/>
      <w:numFmt w:val="bullet"/>
      <w:lvlText w:val="●"/>
      <w:lvlJc w:val="left"/>
      <w:pPr>
        <w:ind w:left="720" w:hanging="360"/>
      </w:pPr>
    </w:lvl>
    <w:lvl w:ilvl="1" w:tplc="8E4A1B90">
      <w:start w:val="1"/>
      <w:numFmt w:val="bullet"/>
      <w:lvlText w:val="○"/>
      <w:lvlJc w:val="left"/>
      <w:pPr>
        <w:ind w:left="1440" w:hanging="360"/>
      </w:pPr>
    </w:lvl>
    <w:lvl w:ilvl="2" w:tplc="A3E4F572">
      <w:start w:val="1"/>
      <w:numFmt w:val="bullet"/>
      <w:lvlText w:val="■"/>
      <w:lvlJc w:val="left"/>
      <w:pPr>
        <w:ind w:left="2160" w:hanging="360"/>
      </w:pPr>
    </w:lvl>
    <w:lvl w:ilvl="3" w:tplc="9EF0D416">
      <w:start w:val="1"/>
      <w:numFmt w:val="bullet"/>
      <w:lvlText w:val="●"/>
      <w:lvlJc w:val="left"/>
      <w:pPr>
        <w:ind w:left="2880" w:hanging="360"/>
      </w:pPr>
    </w:lvl>
    <w:lvl w:ilvl="4" w:tplc="0E9E03FA">
      <w:start w:val="1"/>
      <w:numFmt w:val="bullet"/>
      <w:lvlText w:val="○"/>
      <w:lvlJc w:val="left"/>
      <w:pPr>
        <w:ind w:left="3600" w:hanging="360"/>
      </w:pPr>
    </w:lvl>
    <w:lvl w:ilvl="5" w:tplc="D5DE471A">
      <w:start w:val="1"/>
      <w:numFmt w:val="bullet"/>
      <w:lvlText w:val="■"/>
      <w:lvlJc w:val="left"/>
      <w:pPr>
        <w:ind w:left="4320" w:hanging="360"/>
      </w:pPr>
    </w:lvl>
    <w:lvl w:ilvl="6" w:tplc="3052211A">
      <w:start w:val="1"/>
      <w:numFmt w:val="bullet"/>
      <w:lvlText w:val="●"/>
      <w:lvlJc w:val="left"/>
      <w:pPr>
        <w:ind w:left="5040" w:hanging="360"/>
      </w:pPr>
    </w:lvl>
    <w:lvl w:ilvl="7" w:tplc="4CDE518A">
      <w:start w:val="1"/>
      <w:numFmt w:val="bullet"/>
      <w:lvlText w:val="●"/>
      <w:lvlJc w:val="left"/>
      <w:pPr>
        <w:ind w:left="5760" w:hanging="360"/>
      </w:pPr>
    </w:lvl>
    <w:lvl w:ilvl="8" w:tplc="8E94593A">
      <w:start w:val="1"/>
      <w:numFmt w:val="bullet"/>
      <w:lvlText w:val="●"/>
      <w:lvlJc w:val="left"/>
      <w:pPr>
        <w:ind w:left="6480" w:hanging="360"/>
      </w:pPr>
    </w:lvl>
  </w:abstractNum>
  <w:num w:numId="1" w16cid:durableId="1477604884">
    <w:abstractNumId w:val="1"/>
    <w:lvlOverride w:ilvl="0">
      <w:startOverride w:val="1"/>
    </w:lvlOverride>
  </w:num>
  <w:num w:numId="2" w16cid:durableId="1671060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015"/>
    <w:rsid w:val="0035763F"/>
    <w:rsid w:val="00786AA6"/>
    <w:rsid w:val="008850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B9FD3"/>
  <w15:docId w15:val="{33468281-E66A-4ABF-B473-C26741FF7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1054</Words>
  <Characters>6009</Characters>
  <Application>Microsoft Office Word</Application>
  <DocSecurity>0</DocSecurity>
  <Lines>50</Lines>
  <Paragraphs>14</Paragraphs>
  <ScaleCrop>false</ScaleCrop>
  <Company/>
  <LinksUpToDate>false</LinksUpToDate>
  <CharactersWithSpaces>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VISHNU PRASATH</cp:lastModifiedBy>
  <cp:revision>2</cp:revision>
  <dcterms:created xsi:type="dcterms:W3CDTF">2026-07-10T02:53:00Z</dcterms:created>
  <dcterms:modified xsi:type="dcterms:W3CDTF">2026-07-10T03:00:00Z</dcterms:modified>
</cp:coreProperties>
</file>