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Brand"/>
      </w:pPr>
      <w:r>
        <w:t>PANASA</w:t>
      </w:r>
    </w:p>
    <w:p>
      <w:pPr>
        <w:pStyle w:val="Title"/>
      </w:pPr>
      <w:r>
        <w:t>Software Requirements Specification</w:t>
      </w:r>
    </w:p>
    <w:p>
      <w:pPr>
        <w:pStyle w:val="Subtitle"/>
      </w:pPr>
      <w:r>
        <w:t>FieldPulse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2614"/>
        <w:gridCol w:w="6798"/>
      </w:tblGrid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Project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FieldPulse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Project code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FIELDPULSE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Client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Acme Logistics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Document type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Software Requirements Specification (SRS)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Version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0.2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Status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In review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Date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27 Oct 2026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Prepared by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Vishnu Ravi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Reviewed by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Approved by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rPr>
                <w:highlight w:val="yellow"/>
              </w:rPr>
              <w:t>TBD</w:t>
            </w:r>
          </w:p>
        </w:tc>
      </w:tr>
      <w:tr>
        <w:tc>
          <w:tcPr>
            <w:tcW w:type="dxa" w:w="2614"/>
            <w:shd w:val="clear" w:color="auto" w:fill="EAF0F8"/>
          </w:tcPr>
          <w:p>
            <w:pPr>
              <w:pStyle w:val="TableText"/>
            </w:pPr>
            <w:r>
              <w:rPr>
                <w:b/>
              </w:rPr>
              <w:t>Classification</w:t>
            </w:r>
          </w:p>
        </w:tc>
        <w:tc>
          <w:tcPr>
            <w:tcW w:type="dxa" w:w="6798"/>
          </w:tcPr>
          <w:p>
            <w:pPr>
              <w:pStyle w:val="TableText"/>
            </w:pPr>
            <w:r>
              <w:t>Confidential</w:t>
            </w:r>
          </w:p>
        </w:tc>
      </w:tr>
    </w:tbl>
    <w:p>
      <w:pPr>
        <w:pStyle w:val="Spacer"/>
      </w:pPr>
    </w:p>
    <w:p>
      <w:pPr>
        <w:pStyle w:val="CoverNotice"/>
      </w:pPr>
      <w:r>
        <w:t>Confidential. Prepared by Panasa for Acme Logistics. Do not share outside the project team without approval.</w:t>
      </w:r>
    </w:p>
    <w:p>
      <w:pPr>
        <w:pStyle w:val="FrontHeading"/>
        <w:pageBreakBefore/>
      </w:pPr>
      <w:r>
        <w:t>Revision history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069"/>
        <w:gridCol w:w="1502"/>
        <w:gridCol w:w="2031"/>
        <w:gridCol w:w="4810"/>
      </w:tblGrid>
      <w:tr>
        <w:trPr>
          <w:tblHeader w:val="true"/>
        </w:trPr>
        <w:tc>
          <w:tcPr>
            <w:tcW w:type="dxa" w:w="1069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1502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031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Author</w:t>
            </w:r>
          </w:p>
        </w:tc>
        <w:tc>
          <w:tcPr>
            <w:tcW w:type="dxa" w:w="4810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Changes</w:t>
            </w:r>
          </w:p>
        </w:tc>
      </w:tr>
      <w:tr>
        <w:tc>
          <w:tcPr>
            <w:tcW w:type="dxa" w:w="1069"/>
          </w:tcPr>
          <w:p>
            <w:pPr>
              <w:pStyle w:val="TableText"/>
            </w:pPr>
            <w:r>
              <w:t>0.1</w:t>
            </w:r>
          </w:p>
        </w:tc>
        <w:tc>
          <w:tcPr>
            <w:tcW w:type="dxa" w:w="1502"/>
          </w:tcPr>
          <w:p>
            <w:pPr>
              <w:pStyle w:val="TableText"/>
            </w:pPr>
            <w:r>
              <w:t>20 Oct 2026</w:t>
            </w:r>
          </w:p>
        </w:tc>
        <w:tc>
          <w:tcPr>
            <w:tcW w:type="dxa" w:w="2031"/>
          </w:tcPr>
          <w:p>
            <w:pPr>
              <w:pStyle w:val="TableText"/>
            </w:pPr>
            <w:r>
              <w:t>Vishnu Ravi</w:t>
            </w:r>
          </w:p>
        </w:tc>
        <w:tc>
          <w:tcPr>
            <w:tcW w:type="dxa" w:w="4810"/>
          </w:tcPr>
          <w:p>
            <w:pPr>
              <w:pStyle w:val="TableText"/>
            </w:pPr>
            <w:r>
              <w:t>First draft</w:t>
            </w:r>
          </w:p>
        </w:tc>
      </w:tr>
      <w:tr>
        <w:tc>
          <w:tcPr>
            <w:tcW w:type="dxa" w:w="1069"/>
          </w:tcPr>
          <w:p>
            <w:pPr>
              <w:pStyle w:val="TableText"/>
            </w:pPr>
            <w:r>
              <w:t>0.2</w:t>
            </w:r>
          </w:p>
        </w:tc>
        <w:tc>
          <w:tcPr>
            <w:tcW w:type="dxa" w:w="1502"/>
          </w:tcPr>
          <w:p>
            <w:pPr>
              <w:pStyle w:val="TableText"/>
            </w:pPr>
            <w:r>
              <w:t>27 Oct 2026</w:t>
            </w:r>
          </w:p>
        </w:tc>
        <w:tc>
          <w:tcPr>
            <w:tcW w:type="dxa" w:w="2031"/>
          </w:tcPr>
          <w:p>
            <w:pPr>
              <w:pStyle w:val="TableText"/>
            </w:pPr>
            <w:r>
              <w:t>Vishnu Ravi</w:t>
            </w:r>
          </w:p>
        </w:tc>
        <w:tc>
          <w:tcPr>
            <w:tcW w:type="dxa" w:w="4810"/>
          </w:tcPr>
          <w:p>
            <w:pPr>
              <w:pStyle w:val="TableText"/>
            </w:pPr>
            <w:r>
              <w:t>Added offline requirements and NFRs after workshop 2</w:t>
            </w:r>
          </w:p>
        </w:tc>
      </w:tr>
    </w:tbl>
    <w:p>
      <w:pPr>
        <w:pStyle w:val="Spacer"/>
      </w:pPr>
    </w:p>
    <w:p>
      <w:pPr>
        <w:pStyle w:val="FrontHeading"/>
        <w:pageBreakBefore/>
      </w:pPr>
      <w:r>
        <w:t>Contents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t>1. Introduction</w:t>
      </w:r>
    </w:p>
    <w:p>
      <w:pPr>
        <w:pStyle w:val="toc2"/>
      </w:pPr>
      <w:r>
        <w:t>1.1 Purpose</w:t>
      </w:r>
    </w:p>
    <w:p>
      <w:pPr>
        <w:pStyle w:val="toc2"/>
      </w:pPr>
      <w:r>
        <w:t>1.2 Scope</w:t>
      </w:r>
    </w:p>
    <w:p>
      <w:pPr>
        <w:pStyle w:val="toc2"/>
      </w:pPr>
      <w:r>
        <w:t>1.3 Definitions and abbreviations</w:t>
      </w:r>
    </w:p>
    <w:p>
      <w:pPr>
        <w:pStyle w:val="toc2"/>
      </w:pPr>
      <w:r>
        <w:t>1.4 References</w:t>
      </w:r>
    </w:p>
    <w:p>
      <w:pPr>
        <w:pStyle w:val="toc1"/>
      </w:pPr>
      <w:r>
        <w:t>2. Overall description</w:t>
      </w:r>
    </w:p>
    <w:p>
      <w:pPr>
        <w:pStyle w:val="toc2"/>
      </w:pPr>
      <w:r>
        <w:t>2.1 Product context</w:t>
      </w:r>
    </w:p>
    <w:p>
      <w:pPr>
        <w:pStyle w:val="toc2"/>
      </w:pPr>
      <w:r>
        <w:t>2.2 User roles</w:t>
      </w:r>
    </w:p>
    <w:p>
      <w:pPr>
        <w:pStyle w:val="toc2"/>
      </w:pPr>
      <w:r>
        <w:t>2.3 Assumptions</w:t>
      </w:r>
    </w:p>
    <w:p>
      <w:pPr>
        <w:pStyle w:val="toc2"/>
      </w:pPr>
      <w:r>
        <w:t>2.4 Constraints</w:t>
      </w:r>
    </w:p>
    <w:p>
      <w:pPr>
        <w:pStyle w:val="toc2"/>
      </w:pPr>
      <w:r>
        <w:t>2.5 Dependencies</w:t>
      </w:r>
    </w:p>
    <w:p>
      <w:pPr>
        <w:pStyle w:val="toc1"/>
      </w:pPr>
      <w:r>
        <w:t>3. Functional requirements</w:t>
      </w:r>
    </w:p>
    <w:p>
      <w:pPr>
        <w:pStyle w:val="toc2"/>
      </w:pPr>
      <w:r>
        <w:t>3.1 Routes</w:t>
      </w:r>
    </w:p>
    <w:p>
      <w:pPr>
        <w:pStyle w:val="toc2"/>
      </w:pPr>
      <w:r>
        <w:t>3.2 Proof of delivery</w:t>
      </w:r>
    </w:p>
    <w:p>
      <w:pPr>
        <w:pStyle w:val="toc1"/>
      </w:pPr>
      <w:r>
        <w:t>4. Non-functional requirements</w:t>
      </w:r>
    </w:p>
    <w:p>
      <w:pPr>
        <w:pStyle w:val="toc1"/>
      </w:pPr>
      <w:r>
        <w:t>5. External interfaces</w:t>
      </w:r>
    </w:p>
    <w:p>
      <w:pPr>
        <w:pStyle w:val="toc2"/>
      </w:pPr>
      <w:r>
        <w:t>5.1 User interfaces</w:t>
      </w:r>
    </w:p>
    <w:p>
      <w:pPr>
        <w:pStyle w:val="toc2"/>
      </w:pPr>
      <w:r>
        <w:t>5.2 APIs</w:t>
      </w:r>
    </w:p>
    <w:p>
      <w:pPr>
        <w:pStyle w:val="toc2"/>
      </w:pPr>
      <w:r>
        <w:t>5.3 Third-party integrations</w:t>
      </w:r>
    </w:p>
    <w:p>
      <w:pPr>
        <w:pStyle w:val="toc1"/>
      </w:pPr>
      <w:r>
        <w:t>6. Data requirements</w:t>
      </w:r>
    </w:p>
    <w:p>
      <w:pPr>
        <w:pStyle w:val="toc1"/>
      </w:pPr>
      <w:r>
        <w:t>7. Out of scope</w:t>
      </w:r>
    </w:p>
    <w:p>
      <w:pPr>
        <w:pStyle w:val="toc1"/>
      </w:pPr>
      <w:r>
        <w:t>8. Open questions</w:t>
      </w:r>
    </w:p>
    <w:p>
      <w:pPr>
        <w:pStyle w:val="toc1"/>
      </w:pPr>
      <w:r>
        <w:t>9. Sign-off</w:t>
      </w:r>
      <w:r>
        <w:fldChar w:fldCharType="end"/>
      </w:r>
    </w:p>
    <w:p>
      <w:pPr>
        <w:pStyle w:val="Heading1"/>
        <w:pageBreakBefore/>
      </w:pPr>
      <w:r>
        <w:t>1. Introduction</w:t>
      </w:r>
    </w:p>
    <w:p>
      <w:pPr>
        <w:pStyle w:val="Heading2"/>
      </w:pPr>
      <w:r>
        <w:t>1.1 Purpose</w:t>
      </w:r>
    </w:p>
    <w:p>
      <w:pPr/>
      <w:r>
        <w:t>This document specifies the requirements for FieldPulse for Acme Logistics.</w:t>
      </w:r>
    </w:p>
    <w:p>
      <w:pPr>
        <w:pStyle w:val="Heading2"/>
      </w:pPr>
      <w:r>
        <w:t>1.2 Scope</w:t>
      </w:r>
    </w:p>
    <w:p>
      <w:pPr/>
      <w:r>
        <w:t>FieldPulse is an Android app that Acme's delivery drivers use to follow their route, capture proof of delivery and report failed deliveries. A web dashboard lets dispatchers follow deliveries as they happen. The first release covers Android phones and the dispatcher dashboard.</w:t>
      </w:r>
    </w:p>
    <w:p>
      <w:pPr>
        <w:pStyle w:val="Heading2"/>
      </w:pPr>
      <w:r>
        <w:t>1.3 Definitions and abbreviations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938"/>
        <w:gridCol w:w="7474"/>
      </w:tblGrid>
      <w:tr>
        <w:trPr>
          <w:tblHeader w:val="true"/>
        </w:trPr>
        <w:tc>
          <w:tcPr>
            <w:tcW w:type="dxa" w:w="1938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7474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1938"/>
          </w:tcPr>
          <w:p>
            <w:pPr>
              <w:pStyle w:val="TableText"/>
            </w:pPr>
            <w:r>
              <w:t>POD</w:t>
            </w:r>
          </w:p>
        </w:tc>
        <w:tc>
          <w:tcPr>
            <w:tcW w:type="dxa" w:w="7474"/>
          </w:tcPr>
          <w:p>
            <w:pPr>
              <w:pStyle w:val="TableText"/>
            </w:pPr>
            <w:r>
              <w:t>Proof of delivery: a photo and the recipient's signature, captured at the door</w:t>
            </w:r>
          </w:p>
        </w:tc>
      </w:tr>
      <w:tr>
        <w:tc>
          <w:tcPr>
            <w:tcW w:type="dxa" w:w="1938"/>
          </w:tcPr>
          <w:p>
            <w:pPr>
              <w:pStyle w:val="TableText"/>
            </w:pPr>
            <w:r>
              <w:t>Dispatcher</w:t>
            </w:r>
          </w:p>
        </w:tc>
        <w:tc>
          <w:tcPr>
            <w:tcW w:type="dxa" w:w="7474"/>
          </w:tcPr>
          <w:p>
            <w:pPr>
              <w:pStyle w:val="TableText"/>
            </w:pPr>
            <w:r>
              <w:t>Acme staff member who assigns routes to drivers</w:t>
            </w:r>
          </w:p>
        </w:tc>
      </w:tr>
      <w:tr>
        <w:tc>
          <w:tcPr>
            <w:tcW w:type="dxa" w:w="1938"/>
          </w:tcPr>
          <w:p>
            <w:pPr>
              <w:pStyle w:val="TableText"/>
            </w:pPr>
            <w:r>
              <w:t>ERP</w:t>
            </w:r>
          </w:p>
        </w:tc>
        <w:tc>
          <w:tcPr>
            <w:tcW w:type="dxa" w:w="7474"/>
          </w:tcPr>
          <w:p>
            <w:pPr>
              <w:pStyle w:val="TableText"/>
            </w:pPr>
            <w:r>
              <w:t>Enterprise resource planning: Acme's system that holds orders</w:t>
            </w:r>
          </w:p>
        </w:tc>
      </w:tr>
    </w:tbl>
    <w:p>
      <w:pPr>
        <w:pStyle w:val="Spacer"/>
      </w:pPr>
    </w:p>
    <w:p>
      <w:pPr>
        <w:pStyle w:val="Heading2"/>
      </w:pPr>
      <w:r>
        <w:t>1.4 References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2988"/>
        <w:gridCol w:w="2241"/>
        <w:gridCol w:w="4183"/>
      </w:tblGrid>
      <w:tr>
        <w:trPr>
          <w:tblHeader w:val="true"/>
        </w:trPr>
        <w:tc>
          <w:tcPr>
            <w:tcW w:type="dxa" w:w="2988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2241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4183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2988"/>
          </w:tcPr>
          <w:p>
            <w:pPr>
              <w:pStyle w:val="TableText"/>
            </w:pPr>
            <w:r>
              <w:t>Project Overview</w:t>
            </w:r>
          </w:p>
        </w:tc>
        <w:tc>
          <w:tcPr>
            <w:tcW w:type="dxa" w:w="2241"/>
          </w:tcPr>
          <w:p>
            <w:pPr>
              <w:pStyle w:val="TableText"/>
            </w:pPr>
            <w:r>
              <w:t>1.0</w:t>
            </w:r>
          </w:p>
        </w:tc>
        <w:tc>
          <w:tcPr>
            <w:tcW w:type="dxa" w:w="4183"/>
          </w:tcPr>
          <w:p>
            <w:pPr>
              <w:pStyle w:val="TableText"/>
            </w:pPr>
            <w:r>
              <w:t>FIELDPULSE_OVR_v1.0.docx</w:t>
            </w:r>
          </w:p>
        </w:tc>
      </w:tr>
      <w:tr>
        <w:tc>
          <w:tcPr>
            <w:tcW w:type="dxa" w:w="2988"/>
          </w:tcPr>
          <w:p>
            <w:pPr>
              <w:pStyle w:val="TableText"/>
            </w:pPr>
            <w:r>
              <w:t>Workshop 2 notes</w:t>
            </w:r>
          </w:p>
        </w:tc>
        <w:tc>
          <w:tcPr>
            <w:tcW w:type="dxa" w:w="2241"/>
          </w:tcPr>
          <w:p>
            <w:pPr>
              <w:pStyle w:val="TableText"/>
            </w:pPr>
            <w:r>
              <w:t>24 Oct 2026</w:t>
            </w:r>
          </w:p>
        </w:tc>
        <w:tc>
          <w:tcPr>
            <w:tcW w:type="dxa" w:w="4183"/>
          </w:tcPr>
          <w:p>
            <w:pPr>
              <w:pStyle w:val="TableText"/>
            </w:pPr>
            <w:hyperlink r:id="rId13">
              <w:r>
                <w:rPr>
                  <w:color w:val="2E75B6"/>
                  <w:u w:val="single"/>
                </w:rPr>
                <w:t xml:space="preserve">Shared drive</w:t>
              </w:r>
            </w:hyperlink>
          </w:p>
        </w:tc>
      </w:tr>
    </w:tbl>
    <w:p>
      <w:pPr>
        <w:pStyle w:val="Spacer"/>
      </w:pP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context</w:t>
      </w:r>
    </w:p>
    <w:p>
      <w:pPr/>
      <w:r>
        <w:t>FieldPulse replaces the paper delivery sheets drivers use today. It reads each day's orders from Acme's ERP and sends delivery results back to it.</w:t>
      </w:r>
    </w:p>
    <w:p>
      <w:pPr>
        <w:pStyle w:val="Figure"/>
      </w:pPr>
      <w:r>
        <w:drawing>
          <wp:inline xmlns:a="http://schemas.openxmlformats.org/drawingml/2006/main" xmlns:pic="http://schemas.openxmlformats.org/drawingml/2006/picture">
            <wp:extent cx="5976620" cy="2390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2390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FieldPulse and the systems it connects to</w:t>
      </w:r>
    </w:p>
    <w:p>
      <w:pPr>
        <w:pStyle w:val="Heading2"/>
      </w:pPr>
      <w:r>
        <w:t>2.2 User roles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758"/>
        <w:gridCol w:w="2069"/>
        <w:gridCol w:w="5585"/>
      </w:tblGrid>
      <w:tr>
        <w:trPr>
          <w:tblHeader w:val="true"/>
        </w:trPr>
        <w:tc>
          <w:tcPr>
            <w:tcW w:type="dxa" w:w="1758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069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5585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What they can do</w:t>
            </w:r>
          </w:p>
        </w:tc>
      </w:tr>
      <w:tr>
        <w:tc>
          <w:tcPr>
            <w:tcW w:type="dxa" w:w="1758"/>
          </w:tcPr>
          <w:p>
            <w:pPr>
              <w:pStyle w:val="TableText"/>
            </w:pPr>
            <w:r>
              <w:t>Driver</w:t>
            </w:r>
          </w:p>
        </w:tc>
        <w:tc>
          <w:tcPr>
            <w:tcW w:type="dxa" w:w="2069"/>
          </w:tcPr>
          <w:p>
            <w:pPr>
              <w:pStyle w:val="TableText"/>
            </w:pPr>
            <w:r>
              <w:t>Delivers parcels</w:t>
            </w:r>
          </w:p>
        </w:tc>
        <w:tc>
          <w:tcPr>
            <w:tcW w:type="dxa" w:w="5585"/>
          </w:tcPr>
          <w:p>
            <w:pPr>
              <w:pStyle w:val="TableText"/>
            </w:pPr>
            <w:r>
              <w:t>See their own route, capture POD, report a failed delivery</w:t>
            </w:r>
          </w:p>
        </w:tc>
      </w:tr>
      <w:tr>
        <w:tc>
          <w:tcPr>
            <w:tcW w:type="dxa" w:w="1758"/>
          </w:tcPr>
          <w:p>
            <w:pPr>
              <w:pStyle w:val="TableText"/>
            </w:pPr>
            <w:r>
              <w:t>Dispatcher</w:t>
            </w:r>
          </w:p>
        </w:tc>
        <w:tc>
          <w:tcPr>
            <w:tcW w:type="dxa" w:w="2069"/>
          </w:tcPr>
          <w:p>
            <w:pPr>
              <w:pStyle w:val="TableText"/>
            </w:pPr>
            <w:r>
              <w:t>Plans routes</w:t>
            </w:r>
          </w:p>
        </w:tc>
        <w:tc>
          <w:tcPr>
            <w:tcW w:type="dxa" w:w="5585"/>
          </w:tcPr>
          <w:p>
            <w:pPr>
              <w:pStyle w:val="TableText"/>
            </w:pPr>
            <w:r>
              <w:t>Assign routes, follow drivers live, reassign stops</w:t>
            </w:r>
          </w:p>
        </w:tc>
      </w:tr>
      <w:tr>
        <w:tc>
          <w:tcPr>
            <w:tcW w:type="dxa" w:w="1758"/>
          </w:tcPr>
          <w:p>
            <w:pPr>
              <w:pStyle w:val="TableText"/>
            </w:pPr>
            <w:r>
              <w:t>Administrator</w:t>
            </w:r>
          </w:p>
        </w:tc>
        <w:tc>
          <w:tcPr>
            <w:tcW w:type="dxa" w:w="2069"/>
          </w:tcPr>
          <w:p>
            <w:pPr>
              <w:pStyle w:val="TableText"/>
            </w:pPr>
            <w:r>
              <w:t>Acme IT staff</w:t>
            </w:r>
          </w:p>
        </w:tc>
        <w:tc>
          <w:tcPr>
            <w:tcW w:type="dxa" w:w="5585"/>
          </w:tcPr>
          <w:p>
            <w:pPr>
              <w:pStyle w:val="TableText"/>
            </w:pPr>
            <w:r>
              <w:t>Manage users and depots</w:t>
            </w:r>
          </w:p>
        </w:tc>
      </w:tr>
    </w:tbl>
    <w:p>
      <w:pPr>
        <w:pStyle w:val="Spacer"/>
      </w:pPr>
    </w:p>
    <w:p>
      <w:pPr>
        <w:pStyle w:val="Heading2"/>
      </w:pPr>
      <w:r>
        <w:t>2.3 Assumptions</w:t>
      </w:r>
    </w:p>
    <w:p>
      <w:pPr>
        <w:pStyle w:val="ListBullet"/>
      </w:pPr>
      <w:r>
        <w:t>Every driver has an Acme-issued Android phone running Android 10 or later.</w:t>
      </w:r>
    </w:p>
    <w:p>
      <w:pPr>
        <w:pStyle w:val="ListBullet"/>
      </w:pPr>
      <w:r>
        <w:t>Acme's ERP offers an order API that FieldPulse can call.</w:t>
      </w:r>
    </w:p>
    <w:p>
      <w:pPr>
        <w:pStyle w:val="Heading2"/>
      </w:pPr>
      <w:r>
        <w:t>2.4 Constraints</w:t>
      </w:r>
    </w:p>
    <w:p>
      <w:pPr>
        <w:pStyle w:val="ListBullet"/>
      </w:pPr>
      <w:r>
        <w:t xml:space="preserve">Go-live date: </w:t>
      </w:r>
      <w:r>
        <w:rPr>
          <w:highlight w:val="yellow"/>
        </w:rPr>
        <w:t>TBD (owner: Acme operations head)</w:t>
      </w:r>
      <w:r>
        <w:t>.</w:t>
      </w:r>
    </w:p>
    <w:p>
      <w:pPr>
        <w:pStyle w:val="ListBullet"/>
      </w:pPr>
      <w:r>
        <w:t>Signatures must be kept for 7 years, as Acme's customer contracts require.</w:t>
      </w:r>
    </w:p>
    <w:p>
      <w:pPr>
        <w:pStyle w:val="Heading2"/>
      </w:pPr>
      <w:r>
        <w:t>2.5 Dependencies</w:t>
      </w:r>
    </w:p>
    <w:p>
      <w:pPr>
        <w:pStyle w:val="ListBullet"/>
      </w:pPr>
      <w:r>
        <w:t>ERP order API documentation from Acme IT.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3.1 Routes</w:t>
      </w:r>
    </w:p>
    <w:p>
      <w:pPr>
        <w:pStyle w:val="Heading3"/>
      </w:pPr>
      <w:r>
        <w:t>FR-001: Show today's route</w:t>
      </w:r>
    </w:p>
    <w:p>
      <w:pPr>
        <w:pStyle w:val="ListBullet"/>
      </w:pPr>
      <w:r>
        <w:rPr>
          <w:b/>
        </w:rPr>
        <w:t>Priority:</w:t>
      </w:r>
      <w:r>
        <w:t xml:space="preserve"> Must</w:t>
      </w:r>
    </w:p>
    <w:p>
      <w:pPr>
        <w:pStyle w:val="ListBullet"/>
      </w:pPr>
      <w:r>
        <w:rPr>
          <w:b/>
        </w:rPr>
        <w:t>Description:</w:t>
      </w:r>
      <w:r>
        <w:t xml:space="preserve"> The system shall show drivers the stops assigned to them for the current day, in delivery order.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NumberedItem2"/>
      </w:pPr>
      <w:r>
        <w:t>1.</w:t>
        <w:tab/>
      </w:r>
      <w:r>
        <w:t>Given a driver with 12 assigned stops, when they open the app, then all 12 stops appear in the planned order.</w:t>
      </w:r>
    </w:p>
    <w:p>
      <w:pPr>
        <w:pStyle w:val="NumberedItem2"/>
      </w:pPr>
      <w:r>
        <w:t>2.</w:t>
        <w:tab/>
      </w:r>
      <w:r>
        <w:t>Given a stop reassigned by a dispatcher, when the driver's app next syncs, then the stop disappears from their route.</w:t>
      </w:r>
    </w:p>
    <w:p>
      <w:pPr>
        <w:pStyle w:val="ListBullet"/>
      </w:pPr>
      <w:r>
        <w:rPr>
          <w:b/>
        </w:rPr>
        <w:t>Source:</w:t>
      </w:r>
      <w:r>
        <w:t xml:space="preserve"> Workshop 1, 13 Oct 2026</w:t>
      </w:r>
    </w:p>
    <w:p>
      <w:pPr>
        <w:pStyle w:val="Heading3"/>
      </w:pPr>
      <w:r>
        <w:t>FR-002: Work offline</w:t>
      </w:r>
    </w:p>
    <w:p>
      <w:pPr>
        <w:pStyle w:val="ListBullet"/>
      </w:pPr>
      <w:r>
        <w:rPr>
          <w:b/>
        </w:rPr>
        <w:t>Priority:</w:t>
      </w:r>
      <w:r>
        <w:t xml:space="preserve"> Must</w:t>
      </w:r>
    </w:p>
    <w:p>
      <w:pPr>
        <w:pStyle w:val="ListBullet"/>
      </w:pPr>
      <w:r>
        <w:rPr>
          <w:b/>
        </w:rPr>
        <w:t>Description:</w:t>
      </w:r>
      <w:r>
        <w:t xml:space="preserve"> The system shall let drivers complete deliveries without a network connection and upload them when the connection returns.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NumberedItem2"/>
      </w:pPr>
      <w:r>
        <w:t>1.</w:t>
        <w:tab/>
      </w:r>
      <w:r>
        <w:t>Given the phone is offline, when the driver captures POD, then the POD is saved on the phone.</w:t>
      </w:r>
    </w:p>
    <w:p>
      <w:pPr>
        <w:pStyle w:val="NumberedItem2"/>
      </w:pPr>
      <w:r>
        <w:t>2.</w:t>
        <w:tab/>
      </w:r>
      <w:r>
        <w:t>Given saved PODs, when the connection returns, then they upload within 2 minutes without any action from the driver.</w:t>
      </w:r>
    </w:p>
    <w:p>
      <w:pPr>
        <w:pStyle w:val="ListBullet"/>
      </w:pPr>
      <w:r>
        <w:rPr>
          <w:b/>
        </w:rPr>
        <w:t>Source:</w:t>
      </w:r>
      <w:r>
        <w:t xml:space="preserve"> Workshop 2, 24 Oct 2026</w:t>
      </w:r>
    </w:p>
    <w:p>
      <w:pPr>
        <w:pStyle w:val="Heading2"/>
      </w:pPr>
      <w:r>
        <w:t>3.2 Proof of delivery</w:t>
      </w:r>
    </w:p>
    <w:p>
      <w:pPr>
        <w:pStyle w:val="Heading3"/>
      </w:pPr>
      <w:r>
        <w:t>FR-003: Capture proof of delivery</w:t>
      </w:r>
    </w:p>
    <w:p>
      <w:pPr>
        <w:pStyle w:val="ListBullet"/>
      </w:pPr>
      <w:r>
        <w:rPr>
          <w:b/>
        </w:rPr>
        <w:t>Priority:</w:t>
      </w:r>
      <w:r>
        <w:t xml:space="preserve"> Must</w:t>
      </w:r>
    </w:p>
    <w:p>
      <w:pPr>
        <w:pStyle w:val="ListBullet"/>
      </w:pPr>
      <w:r>
        <w:rPr>
          <w:b/>
        </w:rPr>
        <w:t>Description:</w:t>
      </w:r>
      <w:r>
        <w:t xml:space="preserve"> The system shall capture a photo and the recipient's signature for each delivered parcel.</w:t>
      </w:r>
    </w:p>
    <w:p>
      <w:pPr>
        <w:pStyle w:val="ListBullet"/>
      </w:pPr>
      <w:r>
        <w:rPr>
          <w:b/>
        </w:rPr>
        <w:t>Acceptance criteria:</w:t>
      </w:r>
    </w:p>
    <w:p>
      <w:pPr>
        <w:pStyle w:val="NumberedItem2"/>
      </w:pPr>
      <w:r>
        <w:t>1.</w:t>
        <w:tab/>
      </w:r>
      <w:r>
        <w:t>Given a stop, when the driver marks it delivered, then the app requires a photo and a signature before saving.</w:t>
      </w:r>
    </w:p>
    <w:p>
      <w:pPr>
        <w:pStyle w:val="ListBullet"/>
      </w:pPr>
      <w:r>
        <w:rPr>
          <w:b/>
        </w:rPr>
        <w:t>Source:</w:t>
      </w:r>
      <w:r>
        <w:t xml:space="preserve"> Workshop 1, 13 Oct 2026</w:t>
      </w:r>
    </w:p>
    <w:p>
      <w:pPr>
        <w:pStyle w:val="Note"/>
      </w:pPr>
      <w:r>
        <w:rPr>
          <w:b/>
        </w:rPr>
        <w:t>Note:</w:t>
      </w:r>
      <w:r>
        <w:t xml:space="preserve"> Acme asked whether a one-time code sent to the customer could replace the signature. This is open question OQ-001.</w:t>
      </w:r>
    </w:p>
    <w:p>
      <w:pPr>
        <w:pStyle w:val="Heading1"/>
      </w:pPr>
      <w:r>
        <w:t>4. Non-functional requirements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049"/>
        <w:gridCol w:w="1616"/>
        <w:gridCol w:w="2640"/>
        <w:gridCol w:w="2640"/>
        <w:gridCol w:w="1467"/>
      </w:tblGrid>
      <w:tr>
        <w:trPr>
          <w:tblHeader w:val="true"/>
        </w:trPr>
        <w:tc>
          <w:tcPr>
            <w:tcW w:type="dxa" w:w="1049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16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640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640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Target or measure</w:t>
            </w:r>
          </w:p>
        </w:tc>
        <w:tc>
          <w:tcPr>
            <w:tcW w:type="dxa" w:w="1467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1049"/>
          </w:tcPr>
          <w:p>
            <w:pPr>
              <w:pStyle w:val="TableText"/>
            </w:pPr>
            <w:r>
              <w:t>NFR-001</w:t>
            </w:r>
          </w:p>
        </w:tc>
        <w:tc>
          <w:tcPr>
            <w:tcW w:type="dxa" w:w="1616"/>
          </w:tcPr>
          <w:p>
            <w:pPr>
              <w:pStyle w:val="TableText"/>
            </w:pPr>
            <w:r>
              <w:t>Performance</w:t>
            </w:r>
          </w:p>
        </w:tc>
        <w:tc>
          <w:tcPr>
            <w:tcW w:type="dxa" w:w="2640"/>
          </w:tcPr>
          <w:p>
            <w:pPr>
              <w:pStyle w:val="TableText"/>
            </w:pPr>
            <w:r>
              <w:t>The app shall show the route screen within the target time after the driver opens it.</w:t>
            </w:r>
          </w:p>
        </w:tc>
        <w:tc>
          <w:tcPr>
            <w:tcW w:type="dxa" w:w="2640"/>
          </w:tcPr>
          <w:p>
            <w:pPr>
              <w:pStyle w:val="TableText"/>
            </w:pPr>
            <w:r>
              <w:t>Under 2 seconds on a 4G connection for 95% of opens, on Acme's standard driver phone</w:t>
            </w:r>
          </w:p>
        </w:tc>
        <w:tc>
          <w:tcPr>
            <w:tcW w:type="dxa" w:w="1467"/>
          </w:tcPr>
          <w:p>
            <w:pPr>
              <w:pStyle w:val="TableText"/>
            </w:pPr>
            <w:r>
              <w:t>Workshop 2, 24 Oct 2026</w:t>
            </w:r>
          </w:p>
        </w:tc>
      </w:tr>
      <w:tr>
        <w:tc>
          <w:tcPr>
            <w:tcW w:type="dxa" w:w="1049"/>
          </w:tcPr>
          <w:p>
            <w:pPr>
              <w:pStyle w:val="TableText"/>
            </w:pPr>
            <w:r>
              <w:t>NFR-002</w:t>
            </w:r>
          </w:p>
        </w:tc>
        <w:tc>
          <w:tcPr>
            <w:tcW w:type="dxa" w:w="1616"/>
          </w:tcPr>
          <w:p>
            <w:pPr>
              <w:pStyle w:val="TableText"/>
            </w:pPr>
            <w:r>
              <w:t>Availability</w:t>
            </w:r>
          </w:p>
        </w:tc>
        <w:tc>
          <w:tcPr>
            <w:tcW w:type="dxa" w:w="2640"/>
          </w:tcPr>
          <w:p>
            <w:pPr>
              <w:pStyle w:val="TableText"/>
            </w:pPr>
            <w:r>
              <w:t>The dispatcher dashboard shall be available during delivery hours.</w:t>
            </w:r>
          </w:p>
        </w:tc>
        <w:tc>
          <w:tcPr>
            <w:tcW w:type="dxa" w:w="2640"/>
          </w:tcPr>
          <w:p>
            <w:pPr>
              <w:pStyle w:val="TableText"/>
            </w:pPr>
            <w:r>
              <w:t>99.5% between 06:00 and 22:00 IST, measured monthly</w:t>
            </w:r>
          </w:p>
        </w:tc>
        <w:tc>
          <w:tcPr>
            <w:tcW w:type="dxa" w:w="1467"/>
          </w:tcPr>
          <w:p>
            <w:pPr>
              <w:pStyle w:val="TableText"/>
            </w:pPr>
            <w:r>
              <w:t>Workshop 2, 24 Oct 2026</w:t>
            </w:r>
          </w:p>
        </w:tc>
      </w:tr>
      <w:tr>
        <w:tc>
          <w:tcPr>
            <w:tcW w:type="dxa" w:w="1049"/>
          </w:tcPr>
          <w:p>
            <w:pPr>
              <w:pStyle w:val="TableText"/>
            </w:pPr>
            <w:r>
              <w:t>NFR-003</w:t>
            </w:r>
          </w:p>
        </w:tc>
        <w:tc>
          <w:tcPr>
            <w:tcW w:type="dxa" w:w="1616"/>
          </w:tcPr>
          <w:p>
            <w:pPr>
              <w:pStyle w:val="TableText"/>
            </w:pPr>
            <w:r>
              <w:t>Security</w:t>
            </w:r>
          </w:p>
        </w:tc>
        <w:tc>
          <w:tcPr>
            <w:tcW w:type="dxa" w:w="2640"/>
          </w:tcPr>
          <w:p>
            <w:pPr>
              <w:pStyle w:val="TableText"/>
            </w:pPr>
            <w:r>
              <w:t>The system shall encrypt delivery data in transit and at rest.</w:t>
            </w:r>
          </w:p>
        </w:tc>
        <w:tc>
          <w:tcPr>
            <w:tcW w:type="dxa" w:w="2640"/>
          </w:tcPr>
          <w:p>
            <w:pPr>
              <w:pStyle w:val="TableText"/>
            </w:pPr>
            <w:r>
              <w:t>TLS 1.2 or later in transit; AES-256 at rest</w:t>
            </w:r>
          </w:p>
        </w:tc>
        <w:tc>
          <w:tcPr>
            <w:tcW w:type="dxa" w:w="1467"/>
          </w:tcPr>
          <w:p>
            <w:pPr>
              <w:pStyle w:val="TableText"/>
            </w:pPr>
            <w:r>
              <w:t>Acme IT security policy v3</w:t>
            </w:r>
          </w:p>
        </w:tc>
      </w:tr>
    </w:tbl>
    <w:p>
      <w:pPr>
        <w:pStyle w:val="Spacer"/>
      </w:pPr>
    </w:p>
    <w:p>
      <w:pPr>
        <w:pStyle w:val="Heading1"/>
      </w:pPr>
      <w:r>
        <w:t>5. External interfaces</w:t>
      </w:r>
    </w:p>
    <w:p>
      <w:pPr>
        <w:pStyle w:val="Heading2"/>
      </w:pPr>
      <w:r>
        <w:t>5.1 User interfaces</w:t>
      </w:r>
    </w:p>
    <w:p>
      <w:pPr/>
      <w:r>
        <w:t xml:space="preserve">Android phones with 5 to 7 inch screens, in English and Hindi. Designs: </w:t>
      </w:r>
      <w:r>
        <w:rPr>
          <w:highlight w:val="yellow"/>
        </w:rPr>
        <w:t>TBD (owner: Panasa design lead)</w:t>
      </w:r>
      <w:r>
        <w:t>.</w:t>
      </w:r>
    </w:p>
    <w:p>
      <w:pPr>
        <w:pStyle w:val="Heading2"/>
      </w:pPr>
      <w:r>
        <w:t>5.2 APIs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825"/>
        <w:gridCol w:w="1276"/>
        <w:gridCol w:w="2737"/>
        <w:gridCol w:w="3574"/>
      </w:tblGrid>
      <w:tr>
        <w:trPr>
          <w:tblHeader w:val="true"/>
        </w:trPr>
        <w:tc>
          <w:tcPr>
            <w:tcW w:type="dxa" w:w="1825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1276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Direction</w:t>
            </w:r>
          </w:p>
        </w:tc>
        <w:tc>
          <w:tcPr>
            <w:tcW w:type="dxa" w:w="2737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574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Format and authentication</w:t>
            </w:r>
          </w:p>
        </w:tc>
      </w:tr>
      <w:tr>
        <w:tc>
          <w:tcPr>
            <w:tcW w:type="dxa" w:w="1825"/>
          </w:tcPr>
          <w:p>
            <w:pPr>
              <w:pStyle w:val="TableText"/>
            </w:pPr>
            <w:r>
              <w:t>ERP order API</w:t>
            </w:r>
          </w:p>
        </w:tc>
        <w:tc>
          <w:tcPr>
            <w:tcW w:type="dxa" w:w="1276"/>
          </w:tcPr>
          <w:p>
            <w:pPr>
              <w:pStyle w:val="TableText"/>
            </w:pPr>
            <w:r>
              <w:t>Outbound</w:t>
            </w:r>
          </w:p>
        </w:tc>
        <w:tc>
          <w:tcPr>
            <w:tcW w:type="dxa" w:w="2737"/>
          </w:tcPr>
          <w:p>
            <w:pPr>
              <w:pStyle w:val="TableText"/>
            </w:pPr>
            <w:r>
              <w:t>Read the day's orders</w:t>
            </w:r>
          </w:p>
        </w:tc>
        <w:tc>
          <w:tcPr>
            <w:tcW w:type="dxa" w:w="3574"/>
          </w:tcPr>
          <w:p>
            <w:pPr>
              <w:pStyle w:val="TableText"/>
            </w:pPr>
            <w:r>
              <w:t>REST and JSON, OAuth 2.0 client credentials</w:t>
            </w:r>
          </w:p>
        </w:tc>
      </w:tr>
      <w:tr>
        <w:tc>
          <w:tcPr>
            <w:tcW w:type="dxa" w:w="1825"/>
          </w:tcPr>
          <w:p>
            <w:pPr>
              <w:pStyle w:val="TableText"/>
            </w:pPr>
            <w:r>
              <w:t>Delivery results API</w:t>
            </w:r>
          </w:p>
        </w:tc>
        <w:tc>
          <w:tcPr>
            <w:tcW w:type="dxa" w:w="1276"/>
          </w:tcPr>
          <w:p>
            <w:pPr>
              <w:pStyle w:val="TableText"/>
            </w:pPr>
            <w:r>
              <w:t>Outbound</w:t>
            </w:r>
          </w:p>
        </w:tc>
        <w:tc>
          <w:tcPr>
            <w:tcW w:type="dxa" w:w="2737"/>
          </w:tcPr>
          <w:p>
            <w:pPr>
              <w:pStyle w:val="TableText"/>
            </w:pPr>
            <w:r>
              <w:t>Send delivery results to the ERP</w:t>
            </w:r>
          </w:p>
        </w:tc>
        <w:tc>
          <w:tcPr>
            <w:tcW w:type="dxa" w:w="3574"/>
          </w:tcPr>
          <w:p>
            <w:pPr>
              <w:pStyle w:val="TableText"/>
            </w:pPr>
            <w:r>
              <w:t>REST and JSON, OAuth 2.0 client credentials</w:t>
            </w:r>
          </w:p>
        </w:tc>
      </w:tr>
    </w:tbl>
    <w:p>
      <w:pPr>
        <w:pStyle w:val="Spacer"/>
      </w:pPr>
    </w:p>
    <w:p>
      <w:pPr/>
      <w:r>
        <w:t>A delivery result sent to the ERP looks like this:</w:t>
      </w:r>
    </w:p>
    <w:p>
      <w:pPr>
        <w:pStyle w:val="CodeBlock"/>
      </w:pPr>
      <w:r>
        <w:t>{</w:t>
      </w:r>
      <w:r>
        <w:br/>
      </w:r>
      <w:r>
        <w:t xml:space="preserve">  "orderId": "ACM-104233",</w:t>
      </w:r>
      <w:r>
        <w:br/>
      </w:r>
      <w:r>
        <w:t xml:space="preserve">  "status": "DELIVERED",</w:t>
      </w:r>
      <w:r>
        <w:br/>
      </w:r>
      <w:r>
        <w:t xml:space="preserve">  "deliveredAt": "2026-10-27T10:42:00+05:30"</w:t>
      </w:r>
      <w:r>
        <w:br/>
      </w:r>
      <w:r>
        <w:t>}</w:t>
      </w:r>
    </w:p>
    <w:p>
      <w:pPr>
        <w:pStyle w:val="Heading2"/>
      </w:pPr>
      <w:r>
        <w:t>5.3 Third-party integrations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711"/>
        <w:gridCol w:w="2567"/>
        <w:gridCol w:w="1283"/>
        <w:gridCol w:w="3850"/>
      </w:tblGrid>
      <w:tr>
        <w:trPr>
          <w:tblHeader w:val="true"/>
        </w:trPr>
        <w:tc>
          <w:tcPr>
            <w:tcW w:type="dxa" w:w="1711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System</w:t>
            </w:r>
          </w:p>
        </w:tc>
        <w:tc>
          <w:tcPr>
            <w:tcW w:type="dxa" w:w="2567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1283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Owned by</w:t>
            </w:r>
          </w:p>
        </w:tc>
        <w:tc>
          <w:tcPr>
            <w:tcW w:type="dxa" w:w="3850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711"/>
          </w:tcPr>
          <w:p>
            <w:pPr>
              <w:pStyle w:val="TableText"/>
            </w:pPr>
            <w:r>
              <w:t>Google Maps Platform</w:t>
            </w:r>
          </w:p>
        </w:tc>
        <w:tc>
          <w:tcPr>
            <w:tcW w:type="dxa" w:w="2567"/>
          </w:tcPr>
          <w:p>
            <w:pPr>
              <w:pStyle w:val="TableText"/>
            </w:pPr>
            <w:r>
              <w:t>Maps and turn-by-turn directions</w:t>
            </w:r>
          </w:p>
        </w:tc>
        <w:tc>
          <w:tcPr>
            <w:tcW w:type="dxa" w:w="1283"/>
          </w:tcPr>
          <w:p>
            <w:pPr>
              <w:pStyle w:val="TableText"/>
            </w:pPr>
            <w:r>
              <w:t>Acme Logistics</w:t>
            </w:r>
          </w:p>
        </w:tc>
        <w:tc>
          <w:tcPr>
            <w:tcW w:type="dxa" w:w="3850"/>
          </w:tcPr>
          <w:p>
            <w:pPr>
              <w:pStyle w:val="TableText"/>
            </w:pPr>
            <w:r>
              <w:t>Billing and keys sit in Acme's Google Cloud project</w:t>
            </w:r>
          </w:p>
        </w:tc>
      </w:tr>
    </w:tbl>
    <w:p>
      <w:pPr>
        <w:pStyle w:val="Spacer"/>
      </w:pPr>
    </w:p>
    <w:p>
      <w:pPr>
        <w:pStyle w:val="Heading1"/>
      </w:pPr>
      <w:r>
        <w:t>6. Data requirements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1726"/>
        <w:gridCol w:w="3370"/>
        <w:gridCol w:w="3041"/>
        <w:gridCol w:w="1276"/>
      </w:tblGrid>
      <w:tr>
        <w:trPr>
          <w:tblHeader w:val="true"/>
        </w:trPr>
        <w:tc>
          <w:tcPr>
            <w:tcW w:type="dxa" w:w="1726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3370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041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Personal data</w:t>
            </w:r>
          </w:p>
        </w:tc>
        <w:tc>
          <w:tcPr>
            <w:tcW w:type="dxa" w:w="1276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Retention</w:t>
            </w:r>
          </w:p>
        </w:tc>
      </w:tr>
      <w:tr>
        <w:tc>
          <w:tcPr>
            <w:tcW w:type="dxa" w:w="1726"/>
          </w:tcPr>
          <w:p>
            <w:pPr>
              <w:pStyle w:val="TableText"/>
            </w:pPr>
            <w:r>
              <w:t>Delivery record</w:t>
            </w:r>
          </w:p>
        </w:tc>
        <w:tc>
          <w:tcPr>
            <w:tcW w:type="dxa" w:w="3370"/>
          </w:tcPr>
          <w:p>
            <w:pPr>
              <w:pStyle w:val="TableText"/>
            </w:pPr>
            <w:r>
              <w:t>Stop address, time, status and driver</w:t>
            </w:r>
          </w:p>
        </w:tc>
        <w:tc>
          <w:tcPr>
            <w:tcW w:type="dxa" w:w="3041"/>
          </w:tcPr>
          <w:p>
            <w:pPr>
              <w:pStyle w:val="TableText"/>
            </w:pPr>
            <w:r>
              <w:t>Yes (driver and delivery address)</w:t>
            </w:r>
          </w:p>
        </w:tc>
        <w:tc>
          <w:tcPr>
            <w:tcW w:type="dxa" w:w="1276"/>
          </w:tcPr>
          <w:p>
            <w:pPr>
              <w:pStyle w:val="TableText"/>
            </w:pPr>
            <w:r>
              <w:t>7 years</w:t>
            </w:r>
          </w:p>
        </w:tc>
      </w:tr>
      <w:tr>
        <w:tc>
          <w:tcPr>
            <w:tcW w:type="dxa" w:w="1726"/>
          </w:tcPr>
          <w:p>
            <w:pPr>
              <w:pStyle w:val="TableText"/>
            </w:pPr>
            <w:r>
              <w:t>Proof of delivery</w:t>
            </w:r>
          </w:p>
        </w:tc>
        <w:tc>
          <w:tcPr>
            <w:tcW w:type="dxa" w:w="3370"/>
          </w:tcPr>
          <w:p>
            <w:pPr>
              <w:pStyle w:val="TableText"/>
            </w:pPr>
            <w:r>
              <w:t>Photo and signature</w:t>
            </w:r>
          </w:p>
        </w:tc>
        <w:tc>
          <w:tcPr>
            <w:tcW w:type="dxa" w:w="3041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276"/>
          </w:tcPr>
          <w:p>
            <w:pPr>
              <w:pStyle w:val="TableText"/>
            </w:pPr>
            <w:r>
              <w:t>7 years</w:t>
            </w:r>
          </w:p>
        </w:tc>
      </w:tr>
      <w:tr>
        <w:tc>
          <w:tcPr>
            <w:tcW w:type="dxa" w:w="1726"/>
          </w:tcPr>
          <w:p>
            <w:pPr>
              <w:pStyle w:val="TableText"/>
            </w:pPr>
            <w:r>
              <w:t>Driver location</w:t>
            </w:r>
          </w:p>
        </w:tc>
        <w:tc>
          <w:tcPr>
            <w:tcW w:type="dxa" w:w="3370"/>
          </w:tcPr>
          <w:p>
            <w:pPr>
              <w:pStyle w:val="TableText"/>
            </w:pPr>
            <w:r>
              <w:t>GPS position during shifts</w:t>
            </w:r>
          </w:p>
        </w:tc>
        <w:tc>
          <w:tcPr>
            <w:tcW w:type="dxa" w:w="3041"/>
          </w:tcPr>
          <w:p>
            <w:pPr>
              <w:pStyle w:val="TableText"/>
            </w:pPr>
            <w:r>
              <w:t>Yes</w:t>
            </w:r>
          </w:p>
        </w:tc>
        <w:tc>
          <w:tcPr>
            <w:tcW w:type="dxa" w:w="1276"/>
          </w:tcPr>
          <w:p>
            <w:pPr>
              <w:pStyle w:val="TableText"/>
            </w:pPr>
            <w:r>
              <w:t>90 days</w:t>
            </w:r>
          </w:p>
        </w:tc>
      </w:tr>
    </w:tbl>
    <w:p>
      <w:pPr>
        <w:pStyle w:val="Spacer"/>
      </w:pPr>
    </w:p>
    <w:p>
      <w:pPr>
        <w:pStyle w:val="Heading1"/>
      </w:pPr>
      <w:r>
        <w:t>7. Out of scope</w:t>
      </w:r>
    </w:p>
    <w:p>
      <w:pPr>
        <w:pStyle w:val="ListBullet"/>
      </w:pPr>
      <w:r>
        <w:t>iOS app</w:t>
      </w:r>
    </w:p>
    <w:p>
      <w:pPr>
        <w:pStyle w:val="ListBullet"/>
      </w:pPr>
      <w:r>
        <w:t>A tracking page for Acme's customers</w:t>
      </w:r>
    </w:p>
    <w:p>
      <w:pPr>
        <w:pStyle w:val="Heading1"/>
      </w:pPr>
      <w:r>
        <w:t>8. Open questions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935"/>
        <w:gridCol w:w="3692"/>
        <w:gridCol w:w="1389"/>
        <w:gridCol w:w="957"/>
        <w:gridCol w:w="1502"/>
        <w:gridCol w:w="935"/>
      </w:tblGrid>
      <w:tr>
        <w:trPr>
          <w:tblHeader w:val="true"/>
        </w:trPr>
        <w:tc>
          <w:tcPr>
            <w:tcW w:type="dxa" w:w="935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692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1389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Raised by</w:t>
            </w:r>
          </w:p>
        </w:tc>
        <w:tc>
          <w:tcPr>
            <w:tcW w:type="dxa" w:w="957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502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Due date</w:t>
            </w:r>
          </w:p>
        </w:tc>
        <w:tc>
          <w:tcPr>
            <w:tcW w:type="dxa" w:w="935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935"/>
          </w:tcPr>
          <w:p>
            <w:pPr>
              <w:pStyle w:val="TableText"/>
            </w:pPr>
            <w:r>
              <w:t>OQ-001</w:t>
            </w:r>
          </w:p>
        </w:tc>
        <w:tc>
          <w:tcPr>
            <w:tcW w:type="dxa" w:w="3692"/>
          </w:tcPr>
          <w:p>
            <w:pPr>
              <w:pStyle w:val="TableText"/>
            </w:pPr>
            <w:r>
              <w:t>Can a one-time code replace the customer's signature?</w:t>
            </w:r>
          </w:p>
        </w:tc>
        <w:tc>
          <w:tcPr>
            <w:tcW w:type="dxa" w:w="1389"/>
          </w:tcPr>
          <w:p>
            <w:pPr>
              <w:pStyle w:val="TableText"/>
            </w:pPr>
            <w:r>
              <w:t>Acme operations</w:t>
            </w:r>
          </w:p>
        </w:tc>
        <w:tc>
          <w:tcPr>
            <w:tcW w:type="dxa" w:w="957"/>
          </w:tcPr>
          <w:p>
            <w:pPr>
              <w:pStyle w:val="TableText"/>
            </w:pPr>
            <w:r>
              <w:t>Acme legal</w:t>
            </w:r>
          </w:p>
        </w:tc>
        <w:tc>
          <w:tcPr>
            <w:tcW w:type="dxa" w:w="1502"/>
          </w:tcPr>
          <w:p>
            <w:pPr>
              <w:pStyle w:val="TableText"/>
            </w:pPr>
            <w:r>
              <w:t>07 Nov 2026</w:t>
            </w:r>
          </w:p>
        </w:tc>
        <w:tc>
          <w:tcPr>
            <w:tcW w:type="dxa" w:w="935"/>
          </w:tcPr>
          <w:p>
            <w:pPr>
              <w:pStyle w:val="TableText"/>
            </w:pPr>
            <w:r>
              <w:t>Open</w:t>
            </w:r>
          </w:p>
        </w:tc>
      </w:tr>
    </w:tbl>
    <w:p>
      <w:pPr>
        <w:pStyle w:val="Spacer"/>
      </w:pPr>
    </w:p>
    <w:p>
      <w:pPr>
        <w:pStyle w:val="Heading1"/>
      </w:pPr>
      <w:r>
        <w:t>9. Sign-off</w:t>
      </w:r>
    </w:p>
    <w:p>
      <w:pPr/>
      <w:r>
        <w:t>By signing below, the parties agree that this document describes the requirements for FieldPulse. Once signed, it is the agreed basis for design, development, testing and acceptance.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666"/>
        <w:gridCol w:w="1783"/>
        <w:gridCol w:w="1882"/>
        <w:gridCol w:w="1288"/>
        <w:gridCol w:w="793"/>
      </w:tblGrid>
      <w:tr>
        <w:trPr>
          <w:tblHeader w:val="true"/>
        </w:trPr>
        <w:tc>
          <w:tcPr>
            <w:tcW w:type="dxa" w:w="3666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83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Organisation</w:t>
            </w:r>
          </w:p>
        </w:tc>
        <w:tc>
          <w:tcPr>
            <w:tcW w:type="dxa" w:w="1882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1288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Signature</w:t>
            </w:r>
          </w:p>
        </w:tc>
        <w:tc>
          <w:tcPr>
            <w:tcW w:type="dxa" w:w="793"/>
            <w:shd w:val="clear" w:color="auto" w:fill="1F3864"/>
          </w:tcPr>
          <w:p>
            <w:pPr>
              <w:pStyle w:val="TableText"/>
            </w:pPr>
            <w:r>
              <w:rPr>
                <w:b/>
                <w:color w:val="FFFFFF"/>
              </w:rPr>
              <w:t>Date</w:t>
            </w:r>
          </w:p>
        </w:tc>
      </w:tr>
      <w:tr>
        <w:tc>
          <w:tcPr>
            <w:tcW w:type="dxa" w:w="3666"/>
          </w:tcPr>
          <w:p>
            <w:pPr>
              <w:pStyle w:val="TableText"/>
            </w:pPr>
            <w:r>
              <w:rPr>
                <w:highlight w:val="yellow"/>
              </w:rPr>
              <w:t>TBD (owner: Acme project sponsor)</w:t>
            </w:r>
          </w:p>
        </w:tc>
        <w:tc>
          <w:tcPr>
            <w:tcW w:type="dxa" w:w="1783"/>
          </w:tcPr>
          <w:p>
            <w:pPr>
              <w:pStyle w:val="TableText"/>
            </w:pPr>
            <w:r>
              <w:t>Acme Logistics</w:t>
            </w:r>
          </w:p>
        </w:tc>
        <w:tc>
          <w:tcPr>
            <w:tcW w:type="dxa" w:w="1882"/>
          </w:tcPr>
          <w:p>
            <w:pPr>
              <w:pStyle w:val="TableText"/>
            </w:pPr>
            <w:r>
              <w:t>Product owner</w:t>
            </w:r>
          </w:p>
        </w:tc>
        <w:tc>
          <w:tcPr>
            <w:tcW w:type="dxa" w:w="1288"/>
          </w:tcPr>
          <w:p>
            <w:pPr>
              <w:pStyle w:val="TableText"/>
            </w:pPr>
          </w:p>
        </w:tc>
        <w:tc>
          <w:tcPr>
            <w:tcW w:type="dxa" w:w="793"/>
          </w:tcPr>
          <w:p>
            <w:pPr>
              <w:pStyle w:val="TableText"/>
            </w:pPr>
          </w:p>
        </w:tc>
      </w:tr>
      <w:tr>
        <w:tc>
          <w:tcPr>
            <w:tcW w:type="dxa" w:w="3666"/>
          </w:tcPr>
          <w:p>
            <w:pPr>
              <w:pStyle w:val="TableText"/>
            </w:pPr>
            <w:r>
              <w:rPr>
                <w:highlight w:val="yellow"/>
              </w:rPr>
              <w:t>TBD (owner: Panasa delivery head)</w:t>
            </w:r>
          </w:p>
        </w:tc>
        <w:tc>
          <w:tcPr>
            <w:tcW w:type="dxa" w:w="1783"/>
          </w:tcPr>
          <w:p>
            <w:pPr>
              <w:pStyle w:val="TableText"/>
            </w:pPr>
            <w:r>
              <w:t>Panasa</w:t>
            </w:r>
          </w:p>
        </w:tc>
        <w:tc>
          <w:tcPr>
            <w:tcW w:type="dxa" w:w="1882"/>
          </w:tcPr>
          <w:p>
            <w:pPr>
              <w:pStyle w:val="TableText"/>
            </w:pPr>
            <w:r>
              <w:t>Project manager</w:t>
            </w:r>
          </w:p>
        </w:tc>
        <w:tc>
          <w:tcPr>
            <w:tcW w:type="dxa" w:w="1288"/>
          </w:tcPr>
          <w:p>
            <w:pPr>
              <w:pStyle w:val="TableText"/>
            </w:pPr>
          </w:p>
        </w:tc>
        <w:tc>
          <w:tcPr>
            <w:tcW w:type="dxa" w:w="793"/>
          </w:tcPr>
          <w:p>
            <w:pPr>
              <w:pStyle w:val="TableText"/>
            </w:pPr>
          </w:p>
        </w:tc>
      </w:tr>
    </w:tbl>
    <w:p>
      <w:pPr>
        <w:pStyle w:val="Spacer"/>
      </w:pPr>
    </w:p>
    <w:sectPr w:rsidR="00FC693F" w:rsidRPr="0006063C" w:rsidSect="00034616">
      <w:headerReference w:type="first" r:id="rId9"/>
      <w:footerReference w:type="first" r:id="rId10"/>
      <w:headerReference w:type="default" r:id="rId11"/>
      <w:footerReference w:type="default" r:id="rId12"/>
      <w:pgSz w:w="11906" w:h="16838"/>
      <w:pgMar w:top="1417" w:right="1247" w:bottom="1247" w:left="1247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BFBFBF"/>
      </w:pBdr>
      <w:tabs>
        <w:tab w:pos="9412" w:val="right"/>
      </w:tabs>
    </w:pPr>
    <w:r>
      <w:t>Panasa  ·  Confidential</w:t>
      <w:tab/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BFBFBF"/>
      </w:pBdr>
      <w:tabs>
        <w:tab w:pos="9412" w:val="right"/>
      </w:tabs>
    </w:pPr>
    <w:r>
      <w:rPr>
        <w:b/>
        <w:color w:val="1F3864"/>
      </w:rPr>
      <w:t>PANASA</w:t>
    </w:r>
    <w:r>
      <w:tab/>
      <w:t>FIELDPULSE · SRS · v0.2 · In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  <w:rPr>
      <w:color w:val="7F7F7F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  <w:rPr>
      <w:color w:val="7F7F7F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cs="Calibri" w:eastAsia="Calibri"/>
      <w:b/>
      <w:bCs/>
      <w:i w:val="0"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cs="Calibri" w:eastAsia="Calibri"/>
      <w:b/>
      <w:bCs/>
      <w:i w:val="0"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i w:val="0"/>
      <w:color w:val="2E75B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Calibri" w:hAnsi="Calibri" w:cs="Calibri" w:eastAsia="Calibri"/>
      <w:b/>
      <w:bCs/>
      <w:i w:val="0"/>
      <w:iCs/>
      <w:color w:val="262626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200"/>
      <w:contextualSpacing/>
    </w:pPr>
    <w:rPr>
      <w:rFonts w:ascii="Calibri" w:hAnsi="Calibri" w:cs="Calibri" w:eastAsia="Calibri"/>
      <w:b/>
      <w:color w:val="1F386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0"/>
    </w:pPr>
    <w:rPr>
      <w:rFonts w:ascii="Calibri" w:hAnsi="Calibri" w:cs="Calibri" w:eastAsia="Calibri"/>
      <w:i w:val="0"/>
      <w:iCs/>
      <w:color w:val="2E75B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  <w:jc w:val="center"/>
    </w:pPr>
    <w:rPr>
      <w:b w:val="0"/>
      <w:bCs/>
      <w:i/>
      <w:color w:val="7F7F7F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Heading">
    <w:name w:val="Front Heading"/>
    <w:basedOn w:val="Normal"/>
    <w:pPr>
      <w:keepNext/>
      <w:spacing w:after="240"/>
    </w:pPr>
    <w:rPr>
      <w:rFonts w:ascii="Calibri" w:hAnsi="Calibri" w:cs="Calibri" w:eastAsia="Calibri"/>
      <w:b/>
      <w:color w:val="1F3864"/>
      <w:sz w:val="32"/>
    </w:rPr>
  </w:style>
  <w:style w:type="paragraph" w:customStyle="1" w:styleId="CoverBrand">
    <w:name w:val="Cover Brand"/>
    <w:basedOn w:val="Normal"/>
    <w:pPr>
      <w:spacing w:before="240" w:after="0"/>
    </w:pPr>
    <w:rPr>
      <w:rFonts w:ascii="Calibri" w:hAnsi="Calibri" w:cs="Calibri" w:eastAsia="Calibri"/>
      <w:b/>
      <w:color w:val="1F3864"/>
      <w:sz w:val="48"/>
    </w:rPr>
  </w:style>
  <w:style w:type="paragraph" w:customStyle="1" w:styleId="CoverNotice">
    <w:name w:val="Cover Notice"/>
    <w:basedOn w:val="Normal"/>
    <w:pPr>
      <w:spacing w:before="720"/>
    </w:pPr>
    <w:rPr>
      <w:i/>
      <w:color w:val="7F7F7F"/>
      <w:sz w:val="17"/>
    </w:rPr>
  </w:style>
  <w:style w:type="paragraph" w:customStyle="1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customStyle="1" w:styleId="Spacer">
    <w:name w:val="Spacer"/>
    <w:basedOn w:val="Normal"/>
    <w:pPr>
      <w:spacing w:before="0" w:after="0" w:line="240" w:lineRule="auto"/>
    </w:pPr>
    <w:rPr>
      <w:sz w:val="8"/>
    </w:rPr>
  </w:style>
  <w:style w:type="paragraph" w:customStyle="1" w:styleId="Figure">
    <w:name w:val="Figure"/>
    <w:basedOn w:val="Normal"/>
    <w:pPr>
      <w:keepNext/>
      <w:spacing w:before="120" w:after="40"/>
      <w:jc w:val="center"/>
    </w:pPr>
  </w:style>
  <w:style w:type="paragraph" w:customStyle="1" w:styleId="CodeBlock">
    <w:name w:val="Code Block"/>
    <w:basedOn w:val="Normal"/>
    <w:pPr>
      <w:shd w:val="clear" w:color="auto" w:fill="F2F2F2"/>
      <w:spacing w:before="40" w:after="160" w:line="240" w:lineRule="auto"/>
      <w:ind w:left="113" w:right="113"/>
    </w:pPr>
    <w:rPr>
      <w:rFonts w:ascii="Consolas" w:hAnsi="Consolas" w:cs="Consolas" w:eastAsia="Consolas"/>
      <w:color w:val="1F1F1F"/>
      <w:sz w:val="18"/>
    </w:rPr>
  </w:style>
  <w:style w:type="paragraph" w:customStyle="1" w:styleId="Note">
    <w:name w:val="Note"/>
    <w:basedOn w:val="Normal"/>
    <w:pPr>
      <w:pBdr>
        <w:left w:val="single" w:sz="18" w:space="4" w:color="2E75B6"/>
      </w:pBdr>
      <w:shd w:val="clear" w:color="auto" w:fill="EAF0F8"/>
      <w:spacing w:before="80" w:after="160"/>
      <w:ind w:left="170" w:right="113"/>
    </w:pPr>
  </w:style>
  <w:style w:type="paragraph" w:customStyle="1" w:styleId="NumberedItem">
    <w:name w:val="Numbered Item"/>
    <w:basedOn w:val="Normal"/>
    <w:pPr>
      <w:tabs>
        <w:tab w:pos="425" w:val="left"/>
      </w:tabs>
      <w:spacing w:after="60"/>
      <w:ind w:left="425" w:hanging="340"/>
    </w:pPr>
  </w:style>
  <w:style w:type="paragraph" w:customStyle="1" w:styleId="NumberedItem2">
    <w:name w:val="Numbered Item 2"/>
    <w:basedOn w:val="Normal"/>
    <w:pPr>
      <w:tabs>
        <w:tab w:pos="850" w:val="left"/>
      </w:tabs>
      <w:spacing w:after="60"/>
      <w:ind w:left="850" w:hanging="340"/>
    </w:pPr>
  </w:style>
  <w:style w:type="paragraph" w:customStyle="1" w:styleId="NumberedItem3">
    <w:name w:val="Numbered Item 3"/>
    <w:basedOn w:val="Normal"/>
    <w:pPr>
      <w:tabs>
        <w:tab w:pos="1276" w:val="left"/>
      </w:tabs>
      <w:spacing w:after="60"/>
      <w:ind w:left="1276" w:hanging="340"/>
    </w:pPr>
  </w:style>
  <w:style w:type="paragraph" w:customStyle="1" w:styleId="Checklist">
    <w:name w:val="Checklist"/>
    <w:basedOn w:val="Normal"/>
    <w:pPr>
      <w:tabs>
        <w:tab w:pos="425" w:val="left"/>
      </w:tabs>
      <w:spacing w:after="60"/>
      <w:ind w:left="425" w:hanging="340"/>
    </w:pPr>
  </w:style>
  <w:style w:type="paragraph" w:customStyle="1" w:styleId="toc1">
    <w:name w:val="toc 1"/>
    <w:basedOn w:val="Normal"/>
    <w:pPr>
      <w:tabs>
        <w:tab w:pos="9412" w:val="right" w:leader="dot"/>
      </w:tabs>
      <w:spacing w:before="120" w:after="40"/>
      <w:ind w:left="0"/>
    </w:pPr>
    <w:rPr>
      <w:b/>
    </w:rPr>
  </w:style>
  <w:style w:type="paragraph" w:customStyle="1" w:styleId="toc2">
    <w:name w:val="toc 2"/>
    <w:basedOn w:val="Normal"/>
    <w:pPr>
      <w:tabs>
        <w:tab w:pos="9412" w:val="right" w:leader="dot"/>
      </w:tabs>
      <w:spacing w:before="0" w:after="40"/>
      <w:ind w:left="283"/>
    </w:pPr>
    <w:rPr>
      <w:b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yperlink" Target="https://example.com/fieldpulse/workshop-2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- FieldPulse</dc:title>
  <dc:subject>FieldPulse</dc:subject>
  <dc:creator>Vishnu Ravi</dc:creator>
  <cp:keywords>FIELDPULSE; SRS</cp:keywords>
  <dc:description>Built with the Panasa project-documentation skill.</dc:description>
  <cp:lastModifiedBy>Vishnu Ravi</cp:lastModifiedBy>
  <cp:revision>1</cp:revision>
  <dcterms:created xsi:type="dcterms:W3CDTF">2026-10-27T12:23:28Z</dcterms:created>
  <dcterms:modified xsi:type="dcterms:W3CDTF">2026-10-27T12:23:28Z</dcterms:modified>
  <cp:category>Software Requirements Specification (SRS)</cp:category>
  <cp:contentStatus>In review</cp:contentStatus>
  <cp:version>0.2</cp:version>
</cp:coreProperties>
</file>