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FC409" w14:textId="77777777" w:rsidR="0009352C" w:rsidRDefault="0009352C" w:rsidP="0009352C">
      <w:pPr>
        <w:pStyle w:val="ListParagraph"/>
        <w:numPr>
          <w:ilvl w:val="0"/>
          <w:numId w:val="1"/>
        </w:numPr>
      </w:pPr>
      <w:r w:rsidRPr="0009352C">
        <w:t>What is the key characteristic of AI systems that distinguishes them from simpler traditional software systems?</w:t>
      </w:r>
    </w:p>
    <w:p w14:paraId="30861424" w14:textId="52F39F95" w:rsidR="001F7848" w:rsidRDefault="0009352C" w:rsidP="0009352C">
      <w:pPr>
        <w:pStyle w:val="ListParagraph"/>
        <w:numPr>
          <w:ilvl w:val="0"/>
          <w:numId w:val="1"/>
        </w:numPr>
      </w:pPr>
      <w:r w:rsidRPr="0009352C">
        <w:t>On which two articles of the Treaty on the Functioning of the European Union (TFEU) is this Regulation based?</w:t>
      </w:r>
    </w:p>
    <w:p w14:paraId="501E1713" w14:textId="3DEFCB2B" w:rsidR="0009352C" w:rsidRDefault="0009352C" w:rsidP="0009352C">
      <w:pPr>
        <w:pStyle w:val="ListParagraph"/>
        <w:numPr>
          <w:ilvl w:val="0"/>
          <w:numId w:val="1"/>
        </w:numPr>
      </w:pPr>
      <w:r w:rsidRPr="0009352C">
        <w:t>What is the primary purpose of this Regulation?</w:t>
      </w:r>
    </w:p>
    <w:p w14:paraId="68F21F80" w14:textId="41A4FABB" w:rsidR="0009352C" w:rsidRDefault="0009352C" w:rsidP="0009352C">
      <w:pPr>
        <w:pStyle w:val="ListParagraph"/>
        <w:numPr>
          <w:ilvl w:val="0"/>
          <w:numId w:val="1"/>
        </w:numPr>
      </w:pPr>
      <w:r w:rsidRPr="0009352C">
        <w:t>How is the notion of 'deployer' defined?</w:t>
      </w:r>
    </w:p>
    <w:p w14:paraId="3E229B51" w14:textId="2D94F05B" w:rsidR="0009352C" w:rsidRDefault="0009352C" w:rsidP="0009352C">
      <w:pPr>
        <w:pStyle w:val="ListParagraph"/>
        <w:numPr>
          <w:ilvl w:val="0"/>
          <w:numId w:val="1"/>
        </w:numPr>
      </w:pPr>
      <w:r w:rsidRPr="0009352C">
        <w:t>What specific physical states are explicitly excluded from the definition of an 'emotion recognition system'?</w:t>
      </w:r>
    </w:p>
    <w:p w14:paraId="110C0913" w14:textId="35A367D2" w:rsidR="0009352C" w:rsidRDefault="0009352C" w:rsidP="0009352C">
      <w:pPr>
        <w:pStyle w:val="ListParagraph"/>
        <w:numPr>
          <w:ilvl w:val="0"/>
          <w:numId w:val="1"/>
        </w:numPr>
      </w:pPr>
      <w:r w:rsidRPr="0009352C">
        <w:t>What are the seven non-binding ethical principles for AI developed by the AI HLEG?</w:t>
      </w:r>
    </w:p>
    <w:p w14:paraId="13655855" w14:textId="6E6C17BF" w:rsidR="0009352C" w:rsidRDefault="0009352C" w:rsidP="0009352C">
      <w:pPr>
        <w:pStyle w:val="ListParagraph"/>
        <w:numPr>
          <w:ilvl w:val="0"/>
          <w:numId w:val="1"/>
        </w:numPr>
      </w:pPr>
      <w:r w:rsidRPr="0009352C">
        <w:t>From what date do the prohibitions on unacceptable AI practices apply, and from what date does the Regulation apply in full?</w:t>
      </w:r>
    </w:p>
    <w:p w14:paraId="27C74DDD" w14:textId="4B9FF298" w:rsidR="0009352C" w:rsidRDefault="0009352C" w:rsidP="0009352C">
      <w:pPr>
        <w:pStyle w:val="ListParagraph"/>
        <w:numPr>
          <w:ilvl w:val="0"/>
          <w:numId w:val="1"/>
        </w:numPr>
      </w:pPr>
      <w:r w:rsidRPr="0009352C">
        <w:t>What types of spaces are explicitly stated as NOT being publicly accessible spaces?</w:t>
      </w:r>
    </w:p>
    <w:p w14:paraId="42E8B823" w14:textId="3E28FBA2" w:rsidR="0009352C" w:rsidRDefault="0009352C" w:rsidP="0009352C">
      <w:pPr>
        <w:pStyle w:val="ListParagraph"/>
        <w:numPr>
          <w:ilvl w:val="0"/>
          <w:numId w:val="1"/>
        </w:numPr>
      </w:pPr>
      <w:r w:rsidRPr="0009352C">
        <w:t>What are CE marking requirements for high-risk AI systems?</w:t>
      </w:r>
    </w:p>
    <w:p w14:paraId="2568EEFF" w14:textId="5EDB4E93" w:rsidR="0009352C" w:rsidRDefault="0009352C" w:rsidP="0009352C">
      <w:pPr>
        <w:pStyle w:val="ListParagraph"/>
        <w:numPr>
          <w:ilvl w:val="0"/>
          <w:numId w:val="1"/>
        </w:numPr>
      </w:pPr>
      <w:r w:rsidRPr="0009352C">
        <w:t>What features are listed as examples that can be used for biometric identification?</w:t>
      </w:r>
    </w:p>
    <w:p w14:paraId="00670E06" w14:textId="5CE79BBA" w:rsidR="005422BF" w:rsidRDefault="005422BF" w:rsidP="0009352C">
      <w:pPr>
        <w:pStyle w:val="ListParagraph"/>
        <w:numPr>
          <w:ilvl w:val="0"/>
          <w:numId w:val="1"/>
        </w:numPr>
      </w:pPr>
      <w:r w:rsidRPr="005422BF">
        <w:t>Under what circumstances does an AI system developed for military purposes fall back within the scope of this Regulation</w:t>
      </w:r>
      <w:r w:rsidRPr="005422BF">
        <w:t>?</w:t>
      </w:r>
    </w:p>
    <w:p w14:paraId="4DBE6F7E" w14:textId="7110F2C0" w:rsidR="005422BF" w:rsidRDefault="005422BF" w:rsidP="0009352C">
      <w:pPr>
        <w:pStyle w:val="ListParagraph"/>
        <w:numPr>
          <w:ilvl w:val="0"/>
          <w:numId w:val="1"/>
        </w:numPr>
      </w:pPr>
      <w:r w:rsidRPr="005422BF">
        <w:t xml:space="preserve">How does </w:t>
      </w:r>
      <w:r w:rsidRPr="005422BF">
        <w:t>this Regulation</w:t>
      </w:r>
      <w:r w:rsidRPr="005422BF">
        <w:t xml:space="preserve"> distinguish between AI systems developed for scientific research and those used in research but not exclusively developed for it?</w:t>
      </w:r>
    </w:p>
    <w:p w14:paraId="3C103307" w14:textId="36D0ECAD" w:rsidR="005422BF" w:rsidRDefault="005422BF" w:rsidP="0009352C">
      <w:pPr>
        <w:pStyle w:val="ListParagraph"/>
        <w:numPr>
          <w:ilvl w:val="0"/>
          <w:numId w:val="1"/>
        </w:numPr>
      </w:pPr>
      <w:r w:rsidRPr="005422BF">
        <w:t>How does the Regulation distinguish 'biometric verification' from 'remote biometric identification', and why is this distinction important for scope?</w:t>
      </w:r>
    </w:p>
    <w:p w14:paraId="38E9953D" w14:textId="17B2F25A" w:rsidR="005422BF" w:rsidRDefault="005422BF" w:rsidP="005422BF">
      <w:pPr>
        <w:pStyle w:val="ListParagraph"/>
        <w:numPr>
          <w:ilvl w:val="0"/>
          <w:numId w:val="1"/>
        </w:numPr>
      </w:pPr>
      <w:r w:rsidRPr="005422BF">
        <w:t>What specific characteristics define 'social scoring' as prohibited in the Regulation, and is there any lawful evaluation explicitly NOT covered by this prohibition?</w:t>
      </w:r>
    </w:p>
    <w:p w14:paraId="552A357D" w14:textId="2F46BC91" w:rsidR="005422BF" w:rsidRDefault="005422BF" w:rsidP="005422BF">
      <w:pPr>
        <w:pStyle w:val="ListParagraph"/>
        <w:numPr>
          <w:ilvl w:val="0"/>
          <w:numId w:val="1"/>
        </w:numPr>
      </w:pPr>
      <w:r w:rsidRPr="005422BF">
        <w:t>What are the boundaries of the prohibition on manipulative AI practices, specifically regarding medical treatment and legitimate commercial practices?</w:t>
      </w:r>
    </w:p>
    <w:p w14:paraId="3467F0F4" w14:textId="710EF09A" w:rsidR="005422BF" w:rsidRDefault="005422BF" w:rsidP="005422BF">
      <w:pPr>
        <w:pStyle w:val="ListParagraph"/>
        <w:numPr>
          <w:ilvl w:val="0"/>
          <w:numId w:val="1"/>
        </w:numPr>
      </w:pPr>
      <w:r w:rsidRPr="005422BF">
        <w:t>What are the conditions under which an AI system in a pre-defined high-risk area may nonetheless NOT be classified as high-risk?</w:t>
      </w:r>
      <w:r>
        <w:t xml:space="preserve"> ***********</w:t>
      </w:r>
    </w:p>
    <w:p w14:paraId="29A0CA90" w14:textId="7DC7B5D9" w:rsidR="005422BF" w:rsidRDefault="005422BF" w:rsidP="005422BF">
      <w:pPr>
        <w:pStyle w:val="ListParagraph"/>
        <w:numPr>
          <w:ilvl w:val="0"/>
          <w:numId w:val="1"/>
        </w:numPr>
      </w:pPr>
      <w:r w:rsidRPr="005422BF">
        <w:t>Under what conditions is a biometric categorisation system considered a 'purely ancillary feature' and therefore not subject to the rules of this Regulation?</w:t>
      </w:r>
    </w:p>
    <w:p w14:paraId="5EADCF85" w14:textId="1D22DB55" w:rsidR="005422BF" w:rsidRDefault="005422BF" w:rsidP="005422BF">
      <w:pPr>
        <w:pStyle w:val="ListParagraph"/>
        <w:numPr>
          <w:ilvl w:val="0"/>
          <w:numId w:val="1"/>
        </w:numPr>
      </w:pPr>
      <w:r w:rsidRPr="005422BF">
        <w:t>Under what conditions does this Regulation apply to AI system providers and deployers established in third countries?</w:t>
      </w:r>
    </w:p>
    <w:p w14:paraId="00F63037" w14:textId="62A99C9F" w:rsidR="005422BF" w:rsidRDefault="005422BF" w:rsidP="005422BF">
      <w:pPr>
        <w:pStyle w:val="ListParagraph"/>
        <w:numPr>
          <w:ilvl w:val="0"/>
          <w:numId w:val="1"/>
        </w:numPr>
      </w:pPr>
      <w:r w:rsidRPr="005422BF">
        <w:t>How does the Regulation distinguish between 'general-purpose AI models' and 'AI systems', and when do the obligations for general-purpose AI models NOT apply?</w:t>
      </w:r>
    </w:p>
    <w:p w14:paraId="31708EAC" w14:textId="08616F9C" w:rsidR="005422BF" w:rsidRDefault="005422BF" w:rsidP="005422BF">
      <w:pPr>
        <w:pStyle w:val="ListParagraph"/>
        <w:numPr>
          <w:ilvl w:val="0"/>
          <w:numId w:val="1"/>
        </w:numPr>
      </w:pPr>
      <w:r w:rsidRPr="005422BF">
        <w:t>How does this Regulation define and distinguish 'real-time' biometric identification systems from 'post' biometric identification systems?</w:t>
      </w:r>
    </w:p>
    <w:p w14:paraId="55D5E78B" w14:textId="0705A73A" w:rsidR="005422BF" w:rsidRPr="005422BF" w:rsidRDefault="005422BF" w:rsidP="005422BF">
      <w:pPr>
        <w:pStyle w:val="ListParagraph"/>
        <w:numPr>
          <w:ilvl w:val="0"/>
          <w:numId w:val="1"/>
        </w:numPr>
      </w:pPr>
      <w:r w:rsidRPr="003F2408">
        <w:t>Recital (56) classifies certain AI systems in education as high-risk. How do the exception conditions in Recital (53) apply to educational AI systems, and when would an educational AI system NOT be high-risk despite operating in a listed domain?</w:t>
      </w:r>
      <w:r w:rsidRPr="003F2408">
        <w:t xml:space="preserve"> (NOTE – INVOLVES RECITAL 53)</w:t>
      </w:r>
    </w:p>
    <w:p w14:paraId="66AB48D7" w14:textId="37482DF2" w:rsidR="005422BF" w:rsidRDefault="00810806" w:rsidP="005422BF">
      <w:pPr>
        <w:pStyle w:val="ListParagraph"/>
        <w:numPr>
          <w:ilvl w:val="0"/>
          <w:numId w:val="1"/>
        </w:numPr>
      </w:pPr>
      <w:r>
        <w:t>H</w:t>
      </w:r>
      <w:r w:rsidRPr="00810806">
        <w:t>ow does this regulation define the boundary between high-risk AI in the administration of justice and those that are NOT high-risk, and how does this interact with any specific transparency requirements stated</w:t>
      </w:r>
      <w:r>
        <w:t>?</w:t>
      </w:r>
    </w:p>
    <w:p w14:paraId="0A4D7AA0" w14:textId="0663B2BA" w:rsidR="00810806" w:rsidRDefault="00810806" w:rsidP="005422BF">
      <w:pPr>
        <w:pStyle w:val="ListParagraph"/>
        <w:numPr>
          <w:ilvl w:val="0"/>
          <w:numId w:val="1"/>
        </w:numPr>
      </w:pPr>
      <w:r w:rsidRPr="00810806">
        <w:t>How do the conformity assessment requirements interact when a high-risk AI system is a safety component of a product covered by existing Union harmonisation legislation?</w:t>
      </w:r>
    </w:p>
    <w:p w14:paraId="7E713D84" w14:textId="126A4BA0" w:rsidR="00810806" w:rsidRDefault="00597605" w:rsidP="005422BF">
      <w:pPr>
        <w:pStyle w:val="ListParagraph"/>
        <w:numPr>
          <w:ilvl w:val="0"/>
          <w:numId w:val="1"/>
        </w:numPr>
      </w:pPr>
      <w:r w:rsidRPr="00597605">
        <w:t>Outline the complete legal framework for law enforcement use of real-time remote biometric identification: permitted uses, pre-deployment safeguards and limitations, authorization requirements and authority, and notification and reporting obligations.</w:t>
      </w:r>
    </w:p>
    <w:p w14:paraId="14B0006E" w14:textId="30C1A624" w:rsidR="00597605" w:rsidRDefault="00597605" w:rsidP="005422BF">
      <w:pPr>
        <w:pStyle w:val="ListParagraph"/>
        <w:numPr>
          <w:ilvl w:val="0"/>
          <w:numId w:val="1"/>
        </w:numPr>
      </w:pPr>
      <w:r w:rsidRPr="00597605">
        <w:t>What is the floating point operations threshold and what is its notification procedure? Are there additional obligations for general-purpose AI models with systemic risk?</w:t>
      </w:r>
    </w:p>
    <w:p w14:paraId="5FC672CB" w14:textId="1BA343C0" w:rsidR="00597605" w:rsidRDefault="00533BD7" w:rsidP="005422BF">
      <w:pPr>
        <w:pStyle w:val="ListParagraph"/>
        <w:numPr>
          <w:ilvl w:val="0"/>
          <w:numId w:val="1"/>
        </w:numPr>
      </w:pPr>
      <w:r w:rsidRPr="00533BD7">
        <w:lastRenderedPageBreak/>
        <w:t>How do the transparency exceptions for open-source general-purpose AI models interact with its copyright obligations, and what happens if an open-source model is later found to present systemic risk?</w:t>
      </w:r>
    </w:p>
    <w:p w14:paraId="7A3266BC" w14:textId="5711AA22" w:rsidR="00533BD7" w:rsidRDefault="00533BD7" w:rsidP="005422BF">
      <w:pPr>
        <w:pStyle w:val="ListParagraph"/>
        <w:numPr>
          <w:ilvl w:val="0"/>
          <w:numId w:val="1"/>
        </w:numPr>
      </w:pPr>
      <w:r w:rsidRPr="00533BD7">
        <w:t>Under what circumstances does a distributor, importer, or deployer become considered a 'provider' of a high-risk AI system, and how does this relate to the substantial modification concept?</w:t>
      </w:r>
    </w:p>
    <w:p w14:paraId="10A6DFF7" w14:textId="5055F2E3" w:rsidR="00533BD7" w:rsidRDefault="007E7EA6" w:rsidP="005422BF">
      <w:pPr>
        <w:pStyle w:val="ListParagraph"/>
        <w:numPr>
          <w:ilvl w:val="0"/>
          <w:numId w:val="1"/>
        </w:numPr>
      </w:pPr>
      <w:r w:rsidRPr="007E7EA6">
        <w:t>How does this Regulation structure the market surveillance framework for AI systems used by regulated financial institutions, and how does it interact with existing financial supervisory mechanisms?</w:t>
      </w:r>
    </w:p>
    <w:p w14:paraId="542CD76B" w14:textId="2401B6D6" w:rsidR="005A4255" w:rsidRDefault="005A4255" w:rsidP="005422BF">
      <w:pPr>
        <w:pStyle w:val="ListParagraph"/>
        <w:numPr>
          <w:ilvl w:val="0"/>
          <w:numId w:val="1"/>
        </w:numPr>
      </w:pPr>
      <w:r w:rsidRPr="005A4255">
        <w:t>How does this Regulation reconcile the use of personal data within AI regulatory sandboxes with existing data protection requirements?</w:t>
      </w:r>
    </w:p>
    <w:p w14:paraId="11300277" w14:textId="4CF04A41" w:rsidR="00AE2137" w:rsidRDefault="00AE2137" w:rsidP="005422BF">
      <w:pPr>
        <w:pStyle w:val="ListParagraph"/>
        <w:numPr>
          <w:ilvl w:val="0"/>
          <w:numId w:val="1"/>
        </w:numPr>
      </w:pPr>
      <w:r w:rsidRPr="00AE2137">
        <w:t>How do the rules for emergency deployment of uncertified high-risk AI systems interact with the post-market monitoring obligations and serious incident reporting?</w:t>
      </w:r>
    </w:p>
    <w:p w14:paraId="2F339572" w14:textId="3699C013" w:rsidR="002E11A5" w:rsidRDefault="002E11A5" w:rsidP="005422BF">
      <w:pPr>
        <w:pStyle w:val="ListParagraph"/>
        <w:numPr>
          <w:ilvl w:val="0"/>
          <w:numId w:val="1"/>
        </w:numPr>
      </w:pPr>
      <w:r w:rsidRPr="002E11A5">
        <w:t>A company builds a general-purpose AI model, integrates it into a medical diagnostic AI system, and deploys it in a hospital. Trace the compliance chain: What obligations apply to the GPAI model provider, the AI system provider as a product within medical device legislation, the deployer in a public health setting, and how do these interact?</w:t>
      </w:r>
    </w:p>
    <w:p w14:paraId="697E6A31" w14:textId="77777777" w:rsidR="002E11A5" w:rsidRPr="003F2408" w:rsidRDefault="002E11A5" w:rsidP="003F2408">
      <w:pPr>
        <w:pStyle w:val="ListParagraph"/>
        <w:numPr>
          <w:ilvl w:val="0"/>
          <w:numId w:val="1"/>
        </w:numPr>
      </w:pPr>
      <w:r w:rsidRPr="003F2408">
        <w:t>An AI system is used by law enforcement to assess reoffending risk. The Regulation prohibits risk assessments based solely on profiling and classifies certain law enforcement AI as high-risk. How do these interact, and under what precise conditions is such a system permitted vs. prohibited?</w:t>
      </w:r>
    </w:p>
    <w:p w14:paraId="450EF29E" w14:textId="6F32C5AF" w:rsidR="002E11A5" w:rsidRDefault="00E20AE4" w:rsidP="005422BF">
      <w:pPr>
        <w:pStyle w:val="ListParagraph"/>
        <w:numPr>
          <w:ilvl w:val="0"/>
          <w:numId w:val="1"/>
        </w:numPr>
      </w:pPr>
      <w:r w:rsidRPr="00E20AE4">
        <w:t>An AI system classified as low-risk is deployed for general office document management. A deployer subsequently uses it to classify asylum applications. Trace the regulatory consequences: What triggers reclassification, what new obligations arise, and what is the role of the original provider?</w:t>
      </w:r>
    </w:p>
    <w:p w14:paraId="38E99B6D" w14:textId="1722218E" w:rsidR="00461E7E" w:rsidRDefault="00461E7E" w:rsidP="005422BF">
      <w:pPr>
        <w:pStyle w:val="ListParagraph"/>
        <w:numPr>
          <w:ilvl w:val="0"/>
          <w:numId w:val="1"/>
        </w:numPr>
      </w:pPr>
      <w:r w:rsidRPr="00461E7E">
        <w:t>Trace the complete transparency obligation chain for AI-generated content: What must the AI system provider do, what must the deployer do when creating deep fakes, and how does this interact with obligations under the Digital Services Act for very large online platforms?</w:t>
      </w:r>
    </w:p>
    <w:p w14:paraId="3750910B" w14:textId="28D9323B" w:rsidR="00461E7E" w:rsidRPr="00EC011B" w:rsidRDefault="00461E7E" w:rsidP="005422BF">
      <w:pPr>
        <w:pStyle w:val="ListParagraph"/>
        <w:numPr>
          <w:ilvl w:val="0"/>
          <w:numId w:val="1"/>
        </w:numPr>
      </w:pPr>
      <w:r w:rsidRPr="003F2408">
        <w:t>An AI system is designed for political campaign logistics but is subsequently found to be directly influencing voter behaviour. Analyse: the initial classification, the reclassification trigger, the high-risk requirements that apply, and the fundamental rights impact assessment obligation.</w:t>
      </w:r>
    </w:p>
    <w:p w14:paraId="7E78BDD7" w14:textId="0A24836F" w:rsidR="00EC011B" w:rsidRDefault="00EC011B" w:rsidP="005422BF">
      <w:pPr>
        <w:pStyle w:val="ListParagraph"/>
        <w:numPr>
          <w:ilvl w:val="0"/>
          <w:numId w:val="1"/>
        </w:numPr>
      </w:pPr>
      <w:r w:rsidRPr="00EC011B">
        <w:t>A high-risk AI system is also classified as a critical product with digital elements under horizontal cybersecurity legislation. Explain the layered cybersecurity compliance framework.</w:t>
      </w:r>
    </w:p>
    <w:p w14:paraId="21E1FC40" w14:textId="3BB98606" w:rsidR="00EC011B" w:rsidRDefault="00EC011B" w:rsidP="005422BF">
      <w:pPr>
        <w:pStyle w:val="ListParagraph"/>
        <w:numPr>
          <w:ilvl w:val="0"/>
          <w:numId w:val="1"/>
        </w:numPr>
      </w:pPr>
      <w:r w:rsidRPr="00EC011B">
        <w:t>Along the AI value chain, multiple parties supply components. How do the obligations for component suppliers interact with the open-source exception, the GPAI model provider obligations, and the provider's ultimate responsibility?</w:t>
      </w:r>
    </w:p>
    <w:p w14:paraId="753A936E" w14:textId="6336DA3F" w:rsidR="00EC011B" w:rsidRPr="00B02E21" w:rsidRDefault="00EC011B" w:rsidP="005422BF">
      <w:pPr>
        <w:pStyle w:val="ListParagraph"/>
        <w:numPr>
          <w:ilvl w:val="0"/>
          <w:numId w:val="1"/>
        </w:numPr>
      </w:pPr>
      <w:r w:rsidRPr="003F2408">
        <w:t>An insurance company deploys an AI system for health insurance risk assessment and pricing for individual natural persons. Identify: its classification, the applicable high-risk requirements, the deployer's fundamental rights obligations, the financial sector supervisory integration, and any exceptions for fraud detection AI.</w:t>
      </w:r>
    </w:p>
    <w:p w14:paraId="367A192E" w14:textId="0524BDD3" w:rsidR="00B02E21" w:rsidRPr="00B02E21" w:rsidRDefault="00B02E21" w:rsidP="005422BF">
      <w:pPr>
        <w:pStyle w:val="ListParagraph"/>
        <w:numPr>
          <w:ilvl w:val="0"/>
          <w:numId w:val="1"/>
        </w:numPr>
      </w:pPr>
      <w:r w:rsidRPr="003F2408">
        <w:t>For biometric identification systems, trace the enhanced human oversight requirement, its interaction with the law enforcement exception for dual verification, the prohibition on sole-output decisions, and the post-remote biometric identification safeguards.</w:t>
      </w:r>
    </w:p>
    <w:p w14:paraId="10A4B5A3" w14:textId="19D8EAD6" w:rsidR="00B02E21" w:rsidRPr="00B02E21" w:rsidRDefault="00B02E21" w:rsidP="005422BF">
      <w:pPr>
        <w:pStyle w:val="ListParagraph"/>
        <w:numPr>
          <w:ilvl w:val="0"/>
          <w:numId w:val="1"/>
        </w:numPr>
      </w:pPr>
      <w:r w:rsidRPr="003F2408">
        <w:t>A compliance officer at a company discovers their employer is using a prohibited AI practice (social scoring) and reports it. Trace the protections available, the enforcement chain, the penalty structure, and the right to lodge complaints</w:t>
      </w:r>
    </w:p>
    <w:p w14:paraId="6D4400AC" w14:textId="64DAC5A3" w:rsidR="00B02E21" w:rsidRPr="00E9795E" w:rsidRDefault="00B02E21" w:rsidP="005422BF">
      <w:pPr>
        <w:pStyle w:val="ListParagraph"/>
        <w:numPr>
          <w:ilvl w:val="0"/>
          <w:numId w:val="1"/>
        </w:numPr>
      </w:pPr>
      <w:r w:rsidRPr="003F2408">
        <w:t>An employer deploys a high-risk AI system for monitoring employee performance and allocating tasks. What are the overlapping obligations from: the high-risk classification, worker information rights, deployer obligations, human oversight, existing labour law preservation, and the right to explanation?</w:t>
      </w:r>
    </w:p>
    <w:p w14:paraId="05CFF4E4" w14:textId="15F27173" w:rsidR="00E9795E" w:rsidRPr="00E9795E" w:rsidRDefault="00E9795E" w:rsidP="005422BF">
      <w:pPr>
        <w:pStyle w:val="ListParagraph"/>
        <w:numPr>
          <w:ilvl w:val="0"/>
          <w:numId w:val="1"/>
        </w:numPr>
      </w:pPr>
      <w:r w:rsidRPr="003F2408">
        <w:t>Define what constitutes a 'serious incident', connect it to the post-market monitoring obligations, and trace the governance chain: who monitors, who receives reports, and how does this differ for AI systems built on general-purpose AI models?</w:t>
      </w:r>
    </w:p>
    <w:p w14:paraId="187BC4B4" w14:textId="5F35F8D8" w:rsidR="00E9795E" w:rsidRPr="00E9795E" w:rsidRDefault="00E9795E" w:rsidP="005422BF">
      <w:pPr>
        <w:pStyle w:val="ListParagraph"/>
        <w:numPr>
          <w:ilvl w:val="0"/>
          <w:numId w:val="1"/>
        </w:numPr>
      </w:pPr>
      <w:r w:rsidRPr="003F2408">
        <w:t>An AI system evaluates credit scores for natural persons to determine access to housing loans. Trace: its high-risk classification, the data governance requirements including bias mitigation, the transparency and explanation obligations to affected persons, and whether the fraud detection exception applies.</w:t>
      </w:r>
    </w:p>
    <w:p w14:paraId="1BB3D51A" w14:textId="5D02F7AC" w:rsidR="00E9795E" w:rsidRPr="000D0AA0" w:rsidRDefault="00E9795E" w:rsidP="005422BF">
      <w:pPr>
        <w:pStyle w:val="ListParagraph"/>
        <w:numPr>
          <w:ilvl w:val="0"/>
          <w:numId w:val="1"/>
        </w:numPr>
      </w:pPr>
      <w:r w:rsidRPr="003F2408">
        <w:t>A prospective provider wants to test a high-risk AI system in real-world conditions outside a regulatory sandbox. What are the complete procedural requirements, how do these interact with sandbox provisions, and what specific safeguards apply regarding informed consent, data protection, and vulnerable groups?</w:t>
      </w:r>
    </w:p>
    <w:p w14:paraId="7775DC36" w14:textId="7F8E03F7" w:rsidR="000D0AA0" w:rsidRPr="000D0AA0" w:rsidRDefault="000D0AA0" w:rsidP="005422BF">
      <w:pPr>
        <w:pStyle w:val="ListParagraph"/>
        <w:numPr>
          <w:ilvl w:val="0"/>
          <w:numId w:val="1"/>
        </w:numPr>
      </w:pPr>
      <w:r w:rsidRPr="003F2408">
        <w:t>An AI system is deployed to assess asylum applications. Trace the complete regulatory framework: high-risk classification, the non-refoulement obligation, the human oversight requirements, the EU database registration requirements, and the market surveillance authority's investigative powers.</w:t>
      </w:r>
    </w:p>
    <w:p w14:paraId="13EA6EA9" w14:textId="444CB81B" w:rsidR="000D0AA0" w:rsidRPr="000D0AA0" w:rsidRDefault="000D0AA0" w:rsidP="005422BF">
      <w:pPr>
        <w:pStyle w:val="ListParagraph"/>
        <w:numPr>
          <w:ilvl w:val="0"/>
          <w:numId w:val="1"/>
        </w:numPr>
      </w:pPr>
      <w:r w:rsidRPr="003F2408">
        <w:t>The Regulation requires human oversight of high-risk AI systems including that persons assigned have 'necessary competence, training and authority.' The Regulation promotes AI literacy but acknowledges notions 'may vary with regard to the relevant context.' Is there a tension between requiring human oversight of increasingly complex AI systems and the practical feasibility of meaningful human understanding? How does the Act attempt to resolve this, and where does it fall short?</w:t>
      </w:r>
    </w:p>
    <w:p w14:paraId="678A2B4F" w14:textId="72B24444" w:rsidR="000D0AA0" w:rsidRPr="004C1B90" w:rsidRDefault="00435EF4" w:rsidP="005422BF">
      <w:pPr>
        <w:pStyle w:val="ListParagraph"/>
        <w:numPr>
          <w:ilvl w:val="0"/>
          <w:numId w:val="1"/>
        </w:numPr>
      </w:pPr>
      <w:r w:rsidRPr="003F2408">
        <w:t>The Regulation states that changes from pre-determined continuous learning after market placement do not constitute substantial modification if pre-assessed at conformity assessment. But it requires risk management throughout the 'entire lifecycle' including 'reasonably foreseeable misuse.' If an AI system's continuous learning produces behaviour that was pre-determined in type but not in outcome, does this create a regulatory gap where a system can evolve beyond its assessed scope without triggering new conformity assessment?</w:t>
      </w:r>
    </w:p>
    <w:p w14:paraId="689FCE80" w14:textId="55C1E1EF" w:rsidR="004C1B90" w:rsidRPr="004C1B90" w:rsidRDefault="004C1B90" w:rsidP="005422BF">
      <w:pPr>
        <w:pStyle w:val="ListParagraph"/>
        <w:numPr>
          <w:ilvl w:val="0"/>
          <w:numId w:val="1"/>
        </w:numPr>
      </w:pPr>
      <w:r w:rsidRPr="003F2408">
        <w:t>The Regulation states that penalties should be 'effective, proportionate and dissuasive' and must respect the 'ne bis in idem principle.' However, a single AI system deployment could simultaneously violate prohibited practice provisions, high-risk requirements, transparency obligations, and GPAI model obligations. How should cumulative penalties be assessed, and does the ne bis in idem reference create ambiguity about whether multiple fines can be imposed for violations arising from the same AI system?</w:t>
      </w:r>
    </w:p>
    <w:p w14:paraId="465AB3AC" w14:textId="20ABA23B" w:rsidR="004C1B90" w:rsidRPr="004C1B90" w:rsidRDefault="004C1B90" w:rsidP="005422BF">
      <w:pPr>
        <w:pStyle w:val="ListParagraph"/>
        <w:numPr>
          <w:ilvl w:val="0"/>
          <w:numId w:val="1"/>
        </w:numPr>
      </w:pPr>
      <w:r w:rsidRPr="003F2408">
        <w:t>The Regulation states that AI Act obligations should be 'presumed to be fulfilled' for very large online platforms subject to the DSA risk-management framework, 'unless significant systemic risks not covered by Regulation (EU) 2022/2065 emerge.' Construct a scenario where this presumption creates a compliance gap: an AI-powered recommendation system on a very large online platform that meets DSA obligations but violates AI Act transparency requirements. Who is responsible, and how does the Act resolve the overlap?</w:t>
      </w:r>
    </w:p>
    <w:p w14:paraId="612CF245" w14:textId="14571C2F" w:rsidR="004C1B90" w:rsidRDefault="004C1B90" w:rsidP="005422BF">
      <w:pPr>
        <w:pStyle w:val="ListParagraph"/>
        <w:numPr>
          <w:ilvl w:val="0"/>
          <w:numId w:val="1"/>
        </w:numPr>
      </w:pPr>
      <w:r w:rsidRPr="003F2408">
        <w:t>The Regulation excludes biometric categorisation systems that are 'purely ancillary' to another commercial service, provided the integration is 'not a means to circumvent the applicability of the rules.' But how would a compliance officer determine whether a company has genuinely designed a feature as ancillary versus strategically bundled a prohibited categorisation system with a commercial service to exploit this exception? Identify the interpretive gaps and what additional guidance the Act would need to provide.</w:t>
      </w:r>
    </w:p>
    <w:sectPr w:rsidR="004C1B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740C1"/>
    <w:multiLevelType w:val="hybridMultilevel"/>
    <w:tmpl w:val="94A631E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06282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BF2365"/>
    <w:rsid w:val="0009352C"/>
    <w:rsid w:val="000D0AA0"/>
    <w:rsid w:val="001F7848"/>
    <w:rsid w:val="002E11A5"/>
    <w:rsid w:val="003F2408"/>
    <w:rsid w:val="00435EF4"/>
    <w:rsid w:val="00461E7E"/>
    <w:rsid w:val="004C1B90"/>
    <w:rsid w:val="00533BD7"/>
    <w:rsid w:val="005422BF"/>
    <w:rsid w:val="0055722E"/>
    <w:rsid w:val="00597605"/>
    <w:rsid w:val="005A4255"/>
    <w:rsid w:val="007E7EA6"/>
    <w:rsid w:val="00810806"/>
    <w:rsid w:val="00AE2137"/>
    <w:rsid w:val="00B02E21"/>
    <w:rsid w:val="00B92E07"/>
    <w:rsid w:val="00BF2365"/>
    <w:rsid w:val="00E20AE4"/>
    <w:rsid w:val="00E552DF"/>
    <w:rsid w:val="00E9795E"/>
    <w:rsid w:val="00EC011B"/>
    <w:rsid w:val="00F370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485FD"/>
  <w15:chartTrackingRefBased/>
  <w15:docId w15:val="{07D6CA05-C6DD-470A-9E06-3D944C0E7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23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23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23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23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23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23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3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3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3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3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23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23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23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23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23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3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3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365"/>
    <w:rPr>
      <w:rFonts w:eastAsiaTheme="majorEastAsia" w:cstheme="majorBidi"/>
      <w:color w:val="272727" w:themeColor="text1" w:themeTint="D8"/>
    </w:rPr>
  </w:style>
  <w:style w:type="paragraph" w:styleId="Title">
    <w:name w:val="Title"/>
    <w:basedOn w:val="Normal"/>
    <w:next w:val="Normal"/>
    <w:link w:val="TitleChar"/>
    <w:uiPriority w:val="10"/>
    <w:qFormat/>
    <w:rsid w:val="00BF23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3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3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3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365"/>
    <w:pPr>
      <w:spacing w:before="160"/>
      <w:jc w:val="center"/>
    </w:pPr>
    <w:rPr>
      <w:i/>
      <w:iCs/>
      <w:color w:val="404040" w:themeColor="text1" w:themeTint="BF"/>
    </w:rPr>
  </w:style>
  <w:style w:type="character" w:customStyle="1" w:styleId="QuoteChar">
    <w:name w:val="Quote Char"/>
    <w:basedOn w:val="DefaultParagraphFont"/>
    <w:link w:val="Quote"/>
    <w:uiPriority w:val="29"/>
    <w:rsid w:val="00BF2365"/>
    <w:rPr>
      <w:i/>
      <w:iCs/>
      <w:color w:val="404040" w:themeColor="text1" w:themeTint="BF"/>
    </w:rPr>
  </w:style>
  <w:style w:type="paragraph" w:styleId="ListParagraph">
    <w:name w:val="List Paragraph"/>
    <w:basedOn w:val="Normal"/>
    <w:uiPriority w:val="34"/>
    <w:qFormat/>
    <w:rsid w:val="00BF2365"/>
    <w:pPr>
      <w:ind w:left="720"/>
      <w:contextualSpacing/>
    </w:pPr>
  </w:style>
  <w:style w:type="character" w:styleId="IntenseEmphasis">
    <w:name w:val="Intense Emphasis"/>
    <w:basedOn w:val="DefaultParagraphFont"/>
    <w:uiPriority w:val="21"/>
    <w:qFormat/>
    <w:rsid w:val="00BF2365"/>
    <w:rPr>
      <w:i/>
      <w:iCs/>
      <w:color w:val="0F4761" w:themeColor="accent1" w:themeShade="BF"/>
    </w:rPr>
  </w:style>
  <w:style w:type="paragraph" w:styleId="IntenseQuote">
    <w:name w:val="Intense Quote"/>
    <w:basedOn w:val="Normal"/>
    <w:next w:val="Normal"/>
    <w:link w:val="IntenseQuoteChar"/>
    <w:uiPriority w:val="30"/>
    <w:qFormat/>
    <w:rsid w:val="00BF23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2365"/>
    <w:rPr>
      <w:i/>
      <w:iCs/>
      <w:color w:val="0F4761" w:themeColor="accent1" w:themeShade="BF"/>
    </w:rPr>
  </w:style>
  <w:style w:type="character" w:styleId="IntenseReference">
    <w:name w:val="Intense Reference"/>
    <w:basedOn w:val="DefaultParagraphFont"/>
    <w:uiPriority w:val="32"/>
    <w:qFormat/>
    <w:rsid w:val="00BF23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1648</Words>
  <Characters>9396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Sankarakumar</dc:creator>
  <cp:keywords/>
  <dc:description/>
  <cp:lastModifiedBy>Vishnu Sankarakumar</cp:lastModifiedBy>
  <cp:revision>3</cp:revision>
  <dcterms:created xsi:type="dcterms:W3CDTF">2026-03-16T17:31:00Z</dcterms:created>
  <dcterms:modified xsi:type="dcterms:W3CDTF">2026-03-17T18:01:00Z</dcterms:modified>
</cp:coreProperties>
</file>