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4668" w14:textId="1C812138" w:rsidR="002B22EF" w:rsidRDefault="002B22EF" w:rsidP="006C641B">
      <w:pPr>
        <w:ind w:left="720" w:hanging="360"/>
      </w:pPr>
      <w:proofErr w:type="gramStart"/>
      <w:r>
        <w:t>NAME :</w:t>
      </w:r>
      <w:proofErr w:type="gramEnd"/>
      <w:r>
        <w:t xml:space="preserve"> </w:t>
      </w:r>
      <w:proofErr w:type="gramStart"/>
      <w:r>
        <w:t>Priyanka .P</w:t>
      </w:r>
      <w:proofErr w:type="gramEnd"/>
    </w:p>
    <w:p w14:paraId="6B5852EE" w14:textId="6B96EDAC" w:rsidR="002B22EF" w:rsidRDefault="002B22EF" w:rsidP="006C641B">
      <w:pPr>
        <w:ind w:left="720" w:hanging="360"/>
      </w:pPr>
      <w:proofErr w:type="gramStart"/>
      <w:r>
        <w:t>CLASS :</w:t>
      </w:r>
      <w:proofErr w:type="gramEnd"/>
      <w:r>
        <w:t xml:space="preserve"> III BCOM </w:t>
      </w:r>
      <w:proofErr w:type="gramStart"/>
      <w:r>
        <w:t>CA”B</w:t>
      </w:r>
      <w:proofErr w:type="gramEnd"/>
      <w:r>
        <w:t>”</w:t>
      </w:r>
    </w:p>
    <w:p w14:paraId="6BAE2F19" w14:textId="601D3CA1" w:rsidR="002B22EF" w:rsidRDefault="002B22EF" w:rsidP="006C641B">
      <w:pPr>
        <w:ind w:left="720" w:hanging="360"/>
      </w:pPr>
      <w:r>
        <w:t>REG NO: 232AC2363</w:t>
      </w:r>
    </w:p>
    <w:p w14:paraId="3FB0FF8F" w14:textId="31FB76F1" w:rsidR="006C641B" w:rsidRPr="006C641B" w:rsidRDefault="006C641B" w:rsidP="006C641B">
      <w:pPr>
        <w:pStyle w:val="ListParagraph"/>
        <w:numPr>
          <w:ilvl w:val="0"/>
          <w:numId w:val="2"/>
        </w:numPr>
        <w:rPr>
          <w:rFonts w:ascii="Cambria" w:hAnsi="Cambria"/>
          <w:b/>
          <w:bCs/>
        </w:rPr>
      </w:pPr>
      <w:r w:rsidRPr="006C641B">
        <w:rPr>
          <w:rFonts w:ascii="Cambria" w:hAnsi="Cambria"/>
          <w:b/>
          <w:bCs/>
        </w:rPr>
        <w:t>Case Laws on Intellectual Property Rights Related to Copyrights and Trademark</w:t>
      </w:r>
    </w:p>
    <w:p w14:paraId="0448DAFB" w14:textId="77777777" w:rsidR="006C641B" w:rsidRPr="006C641B" w:rsidRDefault="006C641B" w:rsidP="006C641B">
      <w:pPr>
        <w:rPr>
          <w:rFonts w:ascii="Cambria" w:hAnsi="Cambria"/>
          <w:b/>
          <w:bCs/>
        </w:rPr>
      </w:pPr>
      <w:r w:rsidRPr="006C641B">
        <w:rPr>
          <w:rFonts w:ascii="Cambria" w:hAnsi="Cambria"/>
          <w:b/>
          <w:bCs/>
        </w:rPr>
        <w:t>Introduction</w:t>
      </w:r>
    </w:p>
    <w:p w14:paraId="7A059457" w14:textId="77777777" w:rsidR="006C641B" w:rsidRPr="006C641B" w:rsidRDefault="006C641B" w:rsidP="006C641B">
      <w:pPr>
        <w:rPr>
          <w:rFonts w:ascii="Cambria" w:hAnsi="Cambria"/>
        </w:rPr>
      </w:pPr>
      <w:r w:rsidRPr="006C641B">
        <w:rPr>
          <w:rFonts w:ascii="Cambria" w:hAnsi="Cambria"/>
        </w:rPr>
        <w:t>Intellectual Property Rights are important for protecting creative works, inventions, and brand names in the modern business environment. With the growth of technology, media, and globalization, disputes relating to copyright and trademark have increased. Indian courts have played a significant role in interpreting laws and safeguarding the rights of creators and business organizations. Some more important case laws related to copyright and trademark are discussed below.</w:t>
      </w:r>
    </w:p>
    <w:p w14:paraId="4318C08C" w14:textId="57E0522E" w:rsidR="006C641B" w:rsidRPr="006C641B" w:rsidRDefault="006C641B" w:rsidP="006C641B">
      <w:pPr>
        <w:rPr>
          <w:rFonts w:ascii="Cambria" w:hAnsi="Cambria"/>
        </w:rPr>
      </w:pPr>
    </w:p>
    <w:p w14:paraId="279F86EA" w14:textId="77777777" w:rsidR="006C641B" w:rsidRPr="006C641B" w:rsidRDefault="006C641B" w:rsidP="006C641B">
      <w:pPr>
        <w:rPr>
          <w:rFonts w:ascii="Cambria" w:hAnsi="Cambria"/>
          <w:b/>
          <w:bCs/>
        </w:rPr>
      </w:pPr>
      <w:r w:rsidRPr="006C641B">
        <w:rPr>
          <w:rFonts w:ascii="Cambria" w:hAnsi="Cambria"/>
          <w:b/>
          <w:bCs/>
        </w:rPr>
        <w:t>Copyright Case Laws</w:t>
      </w:r>
    </w:p>
    <w:p w14:paraId="2E07807F" w14:textId="77777777" w:rsidR="006C641B" w:rsidRPr="006C641B" w:rsidRDefault="006C641B" w:rsidP="006C641B">
      <w:pPr>
        <w:rPr>
          <w:rFonts w:ascii="Cambria" w:hAnsi="Cambria"/>
          <w:b/>
          <w:bCs/>
        </w:rPr>
      </w:pPr>
      <w:r w:rsidRPr="006C641B">
        <w:rPr>
          <w:rFonts w:ascii="Cambria" w:hAnsi="Cambria"/>
          <w:b/>
          <w:bCs/>
        </w:rPr>
        <w:t>1. Eastern Book Company v. D.B. Modak</w:t>
      </w:r>
    </w:p>
    <w:p w14:paraId="70D95888" w14:textId="77777777" w:rsidR="006C641B" w:rsidRPr="006C641B" w:rsidRDefault="006C641B" w:rsidP="006C641B">
      <w:pPr>
        <w:rPr>
          <w:rFonts w:ascii="Cambria" w:hAnsi="Cambria"/>
        </w:rPr>
      </w:pPr>
      <w:r w:rsidRPr="006C641B">
        <w:rPr>
          <w:rFonts w:ascii="Cambria" w:hAnsi="Cambria"/>
        </w:rPr>
        <w:t>This case dealt with copyright protection in law reports and judgments. Eastern Book Company published law reports containing edited versions of Supreme Court judgments. D.B. Modak reproduced the same content in electronic form.</w:t>
      </w:r>
    </w:p>
    <w:p w14:paraId="5D2655C9" w14:textId="77777777" w:rsidR="006C641B" w:rsidRPr="006C641B" w:rsidRDefault="006C641B" w:rsidP="006C641B">
      <w:pPr>
        <w:rPr>
          <w:rFonts w:ascii="Cambria" w:hAnsi="Cambria"/>
        </w:rPr>
      </w:pPr>
      <w:r w:rsidRPr="006C641B">
        <w:rPr>
          <w:rFonts w:ascii="Cambria" w:hAnsi="Cambria"/>
        </w:rPr>
        <w:t xml:space="preserve">The Supreme Court held that </w:t>
      </w:r>
      <w:r w:rsidRPr="006C641B">
        <w:rPr>
          <w:rFonts w:ascii="Cambria" w:hAnsi="Cambria"/>
          <w:b/>
          <w:bCs/>
        </w:rPr>
        <w:t>mere copying of judgments is not copyright infringement</w:t>
      </w:r>
      <w:r w:rsidRPr="006C641B">
        <w:rPr>
          <w:rFonts w:ascii="Cambria" w:hAnsi="Cambria"/>
        </w:rPr>
        <w:t xml:space="preserve">, since judgments are public documents. However, </w:t>
      </w:r>
      <w:r w:rsidRPr="006C641B">
        <w:rPr>
          <w:rFonts w:ascii="Cambria" w:hAnsi="Cambria"/>
          <w:b/>
          <w:bCs/>
        </w:rPr>
        <w:t>value addition such as editing, formatting, paragraph numbering, and headnotes can be protected</w:t>
      </w:r>
      <w:r w:rsidRPr="006C641B">
        <w:rPr>
          <w:rFonts w:ascii="Cambria" w:hAnsi="Cambria"/>
        </w:rPr>
        <w:t xml:space="preserve"> under copyright law.</w:t>
      </w:r>
    </w:p>
    <w:p w14:paraId="22B5EDF1" w14:textId="77777777" w:rsidR="006C641B" w:rsidRPr="006C641B" w:rsidRDefault="006C641B" w:rsidP="006C641B">
      <w:pPr>
        <w:rPr>
          <w:rFonts w:ascii="Cambria" w:hAnsi="Cambria"/>
        </w:rPr>
      </w:pPr>
      <w:r w:rsidRPr="006C641B">
        <w:rPr>
          <w:rFonts w:ascii="Cambria" w:hAnsi="Cambria"/>
        </w:rPr>
        <w:t xml:space="preserve">This case introduced the concept of </w:t>
      </w:r>
      <w:r w:rsidRPr="006C641B">
        <w:rPr>
          <w:rFonts w:ascii="Cambria" w:hAnsi="Cambria"/>
          <w:b/>
          <w:bCs/>
        </w:rPr>
        <w:t>“modicum of creativity”</w:t>
      </w:r>
      <w:r w:rsidRPr="006C641B">
        <w:rPr>
          <w:rFonts w:ascii="Cambria" w:hAnsi="Cambria"/>
        </w:rPr>
        <w:t>, meaning that some level of skill and judgment is required to claim copyright protection.</w:t>
      </w:r>
    </w:p>
    <w:p w14:paraId="3875FBEF" w14:textId="5F0181E0" w:rsidR="006C641B" w:rsidRPr="006C641B" w:rsidRDefault="006C641B" w:rsidP="006C641B">
      <w:pPr>
        <w:rPr>
          <w:rFonts w:ascii="Cambria" w:hAnsi="Cambria"/>
        </w:rPr>
      </w:pPr>
    </w:p>
    <w:p w14:paraId="214EE14F" w14:textId="77777777" w:rsidR="006C641B" w:rsidRPr="006C641B" w:rsidRDefault="006C641B" w:rsidP="006C641B">
      <w:pPr>
        <w:rPr>
          <w:rFonts w:ascii="Cambria" w:hAnsi="Cambria"/>
          <w:b/>
          <w:bCs/>
        </w:rPr>
      </w:pPr>
      <w:r w:rsidRPr="006C641B">
        <w:rPr>
          <w:rFonts w:ascii="Cambria" w:hAnsi="Cambria"/>
          <w:b/>
          <w:bCs/>
        </w:rPr>
        <w:t>2. Indian Performing Right Society v. Eastern Indian Motion Pictures Association</w:t>
      </w:r>
    </w:p>
    <w:p w14:paraId="6A26533C" w14:textId="77777777" w:rsidR="006C641B" w:rsidRPr="006C641B" w:rsidRDefault="006C641B" w:rsidP="006C641B">
      <w:pPr>
        <w:rPr>
          <w:rFonts w:ascii="Cambria" w:hAnsi="Cambria"/>
        </w:rPr>
      </w:pPr>
      <w:r w:rsidRPr="006C641B">
        <w:rPr>
          <w:rFonts w:ascii="Cambria" w:hAnsi="Cambria"/>
        </w:rPr>
        <w:lastRenderedPageBreak/>
        <w:t>This case focused on copyright ownership in cinematographic films and music. The issue was whether music composers and lyricists retain rights after assigning their work to film producers.</w:t>
      </w:r>
    </w:p>
    <w:p w14:paraId="5B542632" w14:textId="77777777" w:rsidR="006C641B" w:rsidRPr="006C641B" w:rsidRDefault="006C641B" w:rsidP="006C641B">
      <w:pPr>
        <w:rPr>
          <w:rFonts w:ascii="Cambria" w:hAnsi="Cambria"/>
        </w:rPr>
      </w:pPr>
      <w:r w:rsidRPr="006C641B">
        <w:rPr>
          <w:rFonts w:ascii="Cambria" w:hAnsi="Cambria"/>
        </w:rPr>
        <w:t xml:space="preserve">The Supreme Court held that once the work is incorporated into a cinematographic film, the </w:t>
      </w:r>
      <w:r w:rsidRPr="006C641B">
        <w:rPr>
          <w:rFonts w:ascii="Cambria" w:hAnsi="Cambria"/>
          <w:b/>
          <w:bCs/>
        </w:rPr>
        <w:t>producer becomes the first owner of copyright</w:t>
      </w:r>
      <w:r w:rsidRPr="006C641B">
        <w:rPr>
          <w:rFonts w:ascii="Cambria" w:hAnsi="Cambria"/>
        </w:rPr>
        <w:t>, unless there is a contract stating otherwise.</w:t>
      </w:r>
    </w:p>
    <w:p w14:paraId="464A409A" w14:textId="77777777" w:rsidR="006C641B" w:rsidRPr="006C641B" w:rsidRDefault="006C641B" w:rsidP="006C641B">
      <w:pPr>
        <w:rPr>
          <w:rFonts w:ascii="Cambria" w:hAnsi="Cambria"/>
        </w:rPr>
      </w:pPr>
      <w:r w:rsidRPr="006C641B">
        <w:rPr>
          <w:rFonts w:ascii="Cambria" w:hAnsi="Cambria"/>
        </w:rPr>
        <w:t xml:space="preserve">This judgment clarified the </w:t>
      </w:r>
      <w:r w:rsidRPr="006C641B">
        <w:rPr>
          <w:rFonts w:ascii="Cambria" w:hAnsi="Cambria"/>
          <w:b/>
          <w:bCs/>
        </w:rPr>
        <w:t>relationship between authors and producers in the film industry</w:t>
      </w:r>
      <w:r w:rsidRPr="006C641B">
        <w:rPr>
          <w:rFonts w:ascii="Cambria" w:hAnsi="Cambria"/>
        </w:rPr>
        <w:t>.</w:t>
      </w:r>
    </w:p>
    <w:p w14:paraId="299D3820" w14:textId="16C35787" w:rsidR="006C641B" w:rsidRPr="006C641B" w:rsidRDefault="006C641B" w:rsidP="006C641B">
      <w:pPr>
        <w:rPr>
          <w:rFonts w:ascii="Cambria" w:hAnsi="Cambria"/>
        </w:rPr>
      </w:pPr>
    </w:p>
    <w:p w14:paraId="0F7EF7D9" w14:textId="77777777" w:rsidR="006C641B" w:rsidRPr="006C641B" w:rsidRDefault="006C641B" w:rsidP="006C641B">
      <w:pPr>
        <w:rPr>
          <w:rFonts w:ascii="Cambria" w:hAnsi="Cambria"/>
          <w:b/>
          <w:bCs/>
        </w:rPr>
      </w:pPr>
      <w:r w:rsidRPr="006C641B">
        <w:rPr>
          <w:rFonts w:ascii="Cambria" w:hAnsi="Cambria"/>
          <w:b/>
          <w:bCs/>
        </w:rPr>
        <w:t>3. Super Cassettes Industries Ltd. v. Myspace Inc.</w:t>
      </w:r>
    </w:p>
    <w:p w14:paraId="14F6F99B" w14:textId="77777777" w:rsidR="006C641B" w:rsidRPr="006C641B" w:rsidRDefault="006C641B" w:rsidP="006C641B">
      <w:pPr>
        <w:rPr>
          <w:rFonts w:ascii="Cambria" w:hAnsi="Cambria"/>
        </w:rPr>
      </w:pPr>
      <w:r w:rsidRPr="006C641B">
        <w:rPr>
          <w:rFonts w:ascii="Cambria" w:hAnsi="Cambria"/>
        </w:rPr>
        <w:t>This case involved copyright infringement on digital platforms. Super Cassettes (T-Series) alleged that copyrighted songs were uploaded illegally on the social media platform Myspace.</w:t>
      </w:r>
    </w:p>
    <w:p w14:paraId="61D26482" w14:textId="77777777" w:rsidR="006C641B" w:rsidRPr="006C641B" w:rsidRDefault="006C641B" w:rsidP="006C641B">
      <w:pPr>
        <w:rPr>
          <w:rFonts w:ascii="Cambria" w:hAnsi="Cambria"/>
        </w:rPr>
      </w:pPr>
      <w:r w:rsidRPr="006C641B">
        <w:rPr>
          <w:rFonts w:ascii="Cambria" w:hAnsi="Cambria"/>
        </w:rPr>
        <w:t xml:space="preserve">The Court discussed the liability of </w:t>
      </w:r>
      <w:r w:rsidRPr="006C641B">
        <w:rPr>
          <w:rFonts w:ascii="Cambria" w:hAnsi="Cambria"/>
          <w:b/>
          <w:bCs/>
        </w:rPr>
        <w:t>internet intermediaries</w:t>
      </w:r>
      <w:r w:rsidRPr="006C641B">
        <w:rPr>
          <w:rFonts w:ascii="Cambria" w:hAnsi="Cambria"/>
        </w:rPr>
        <w:t xml:space="preserve"> and held that platforms must take reasonable steps to remove infringing content after receiving notice.</w:t>
      </w:r>
    </w:p>
    <w:p w14:paraId="5F66A7B7" w14:textId="77777777" w:rsidR="006C641B" w:rsidRPr="006C641B" w:rsidRDefault="006C641B" w:rsidP="006C641B">
      <w:pPr>
        <w:rPr>
          <w:rFonts w:ascii="Cambria" w:hAnsi="Cambria"/>
        </w:rPr>
      </w:pPr>
      <w:r w:rsidRPr="006C641B">
        <w:rPr>
          <w:rFonts w:ascii="Cambria" w:hAnsi="Cambria"/>
        </w:rPr>
        <w:t xml:space="preserve">This case became important in understanding </w:t>
      </w:r>
      <w:r w:rsidRPr="006C641B">
        <w:rPr>
          <w:rFonts w:ascii="Cambria" w:hAnsi="Cambria"/>
          <w:b/>
          <w:bCs/>
        </w:rPr>
        <w:t>copyright protection in the digital environment</w:t>
      </w:r>
      <w:r w:rsidRPr="006C641B">
        <w:rPr>
          <w:rFonts w:ascii="Cambria" w:hAnsi="Cambria"/>
        </w:rPr>
        <w:t>.</w:t>
      </w:r>
    </w:p>
    <w:p w14:paraId="003D052E" w14:textId="30D0BA21" w:rsidR="006C641B" w:rsidRPr="006C641B" w:rsidRDefault="006C641B" w:rsidP="006C641B">
      <w:pPr>
        <w:rPr>
          <w:rFonts w:ascii="Cambria" w:hAnsi="Cambria"/>
        </w:rPr>
      </w:pPr>
    </w:p>
    <w:p w14:paraId="3FFC6631" w14:textId="77777777" w:rsidR="006C641B" w:rsidRPr="006C641B" w:rsidRDefault="006C641B" w:rsidP="006C641B">
      <w:pPr>
        <w:rPr>
          <w:rFonts w:ascii="Cambria" w:hAnsi="Cambria"/>
          <w:b/>
          <w:bCs/>
        </w:rPr>
      </w:pPr>
      <w:r w:rsidRPr="006C641B">
        <w:rPr>
          <w:rFonts w:ascii="Cambria" w:hAnsi="Cambria"/>
          <w:b/>
          <w:bCs/>
        </w:rPr>
        <w:t>Trademark Case Laws</w:t>
      </w:r>
    </w:p>
    <w:p w14:paraId="50E92D48" w14:textId="77777777" w:rsidR="006C641B" w:rsidRPr="006C641B" w:rsidRDefault="006C641B" w:rsidP="006C641B">
      <w:pPr>
        <w:rPr>
          <w:rFonts w:ascii="Cambria" w:hAnsi="Cambria"/>
          <w:b/>
          <w:bCs/>
        </w:rPr>
      </w:pPr>
      <w:r w:rsidRPr="006C641B">
        <w:rPr>
          <w:rFonts w:ascii="Cambria" w:hAnsi="Cambria"/>
          <w:b/>
          <w:bCs/>
        </w:rPr>
        <w:t>4. Cadila Health Care Ltd. v. Cadila Pharmaceuticals Ltd.</w:t>
      </w:r>
    </w:p>
    <w:p w14:paraId="1C7B1653" w14:textId="77777777" w:rsidR="006C641B" w:rsidRPr="006C641B" w:rsidRDefault="006C641B" w:rsidP="006C641B">
      <w:pPr>
        <w:rPr>
          <w:rFonts w:ascii="Cambria" w:hAnsi="Cambria"/>
        </w:rPr>
      </w:pPr>
      <w:r w:rsidRPr="006C641B">
        <w:rPr>
          <w:rFonts w:ascii="Cambria" w:hAnsi="Cambria"/>
        </w:rPr>
        <w:t xml:space="preserve">This case dealt with </w:t>
      </w:r>
      <w:r w:rsidRPr="006C641B">
        <w:rPr>
          <w:rFonts w:ascii="Cambria" w:hAnsi="Cambria"/>
          <w:b/>
          <w:bCs/>
        </w:rPr>
        <w:t>deceptive similarity between trademarks in pharmaceutical products</w:t>
      </w:r>
      <w:r w:rsidRPr="006C641B">
        <w:rPr>
          <w:rFonts w:ascii="Cambria" w:hAnsi="Cambria"/>
        </w:rPr>
        <w:t>. Both companies used similar brand names for medicines, which could confuse consumers.</w:t>
      </w:r>
    </w:p>
    <w:p w14:paraId="39142899" w14:textId="77777777" w:rsidR="006C641B" w:rsidRPr="006C641B" w:rsidRDefault="006C641B" w:rsidP="006C641B">
      <w:pPr>
        <w:rPr>
          <w:rFonts w:ascii="Cambria" w:hAnsi="Cambria"/>
        </w:rPr>
      </w:pPr>
      <w:r w:rsidRPr="006C641B">
        <w:rPr>
          <w:rFonts w:ascii="Cambria" w:hAnsi="Cambria"/>
        </w:rPr>
        <w:t>The Supreme Court held that stricter standards must be applied in cases involving medicines because confusion can affect public health.</w:t>
      </w:r>
    </w:p>
    <w:p w14:paraId="55664322" w14:textId="77777777" w:rsidR="006C641B" w:rsidRPr="006C641B" w:rsidRDefault="006C641B" w:rsidP="006C641B">
      <w:pPr>
        <w:rPr>
          <w:rFonts w:ascii="Cambria" w:hAnsi="Cambria"/>
        </w:rPr>
      </w:pPr>
      <w:r w:rsidRPr="006C641B">
        <w:rPr>
          <w:rFonts w:ascii="Cambria" w:hAnsi="Cambria"/>
        </w:rPr>
        <w:t xml:space="preserve">The Court laid down </w:t>
      </w:r>
      <w:r w:rsidRPr="006C641B">
        <w:rPr>
          <w:rFonts w:ascii="Cambria" w:hAnsi="Cambria"/>
          <w:b/>
          <w:bCs/>
        </w:rPr>
        <w:t>guidelines to determine deceptive similarity</w:t>
      </w:r>
      <w:r w:rsidRPr="006C641B">
        <w:rPr>
          <w:rFonts w:ascii="Cambria" w:hAnsi="Cambria"/>
        </w:rPr>
        <w:t>, such as nature of marks, class of consumers, and mode of purchasing.</w:t>
      </w:r>
    </w:p>
    <w:p w14:paraId="4F2A491D" w14:textId="76F10114" w:rsidR="006C641B" w:rsidRDefault="006C641B" w:rsidP="006C641B">
      <w:pPr>
        <w:rPr>
          <w:rFonts w:ascii="Cambria" w:hAnsi="Cambria"/>
        </w:rPr>
      </w:pPr>
    </w:p>
    <w:p w14:paraId="459ADAFA" w14:textId="77777777" w:rsidR="006C641B" w:rsidRDefault="006C641B" w:rsidP="006C641B">
      <w:pPr>
        <w:rPr>
          <w:rFonts w:ascii="Cambria" w:hAnsi="Cambria"/>
        </w:rPr>
      </w:pPr>
    </w:p>
    <w:p w14:paraId="11D795F6" w14:textId="77777777" w:rsidR="006C641B" w:rsidRPr="006C641B" w:rsidRDefault="006C641B" w:rsidP="006C641B">
      <w:pPr>
        <w:rPr>
          <w:rFonts w:ascii="Cambria" w:hAnsi="Cambria"/>
        </w:rPr>
      </w:pPr>
    </w:p>
    <w:p w14:paraId="2443CE9B" w14:textId="77777777" w:rsidR="006C641B" w:rsidRPr="006C641B" w:rsidRDefault="006C641B" w:rsidP="006C641B">
      <w:pPr>
        <w:rPr>
          <w:rFonts w:ascii="Cambria" w:hAnsi="Cambria"/>
          <w:b/>
          <w:bCs/>
        </w:rPr>
      </w:pPr>
      <w:r w:rsidRPr="006C641B">
        <w:rPr>
          <w:rFonts w:ascii="Cambria" w:hAnsi="Cambria"/>
          <w:b/>
          <w:bCs/>
        </w:rPr>
        <w:t>5. Yahoo Inc. v. Akash Arora</w:t>
      </w:r>
    </w:p>
    <w:p w14:paraId="5859C774" w14:textId="77777777" w:rsidR="006C641B" w:rsidRPr="006C641B" w:rsidRDefault="006C641B" w:rsidP="006C641B">
      <w:pPr>
        <w:rPr>
          <w:rFonts w:ascii="Cambria" w:hAnsi="Cambria"/>
        </w:rPr>
      </w:pPr>
      <w:r w:rsidRPr="006C641B">
        <w:rPr>
          <w:rFonts w:ascii="Cambria" w:hAnsi="Cambria"/>
        </w:rPr>
        <w:t>This was one of the earliest Indian cases dealing with trademark protection on the internet. The defendant used a domain name similar to “Yahoo!”, which could mislead internet users.</w:t>
      </w:r>
    </w:p>
    <w:p w14:paraId="0745A15C" w14:textId="77777777" w:rsidR="006C641B" w:rsidRPr="006C641B" w:rsidRDefault="006C641B" w:rsidP="006C641B">
      <w:pPr>
        <w:rPr>
          <w:rFonts w:ascii="Cambria" w:hAnsi="Cambria"/>
        </w:rPr>
      </w:pPr>
      <w:r w:rsidRPr="006C641B">
        <w:rPr>
          <w:rFonts w:ascii="Cambria" w:hAnsi="Cambria"/>
        </w:rPr>
        <w:t>The Delhi High Court granted an injunction and held that domain names are entitled to trademark protection because they function as business identifiers.</w:t>
      </w:r>
    </w:p>
    <w:p w14:paraId="154BEF56" w14:textId="77777777" w:rsidR="006C641B" w:rsidRPr="006C641B" w:rsidRDefault="006C641B" w:rsidP="006C641B">
      <w:pPr>
        <w:rPr>
          <w:rFonts w:ascii="Cambria" w:hAnsi="Cambria"/>
        </w:rPr>
      </w:pPr>
      <w:r w:rsidRPr="006C641B">
        <w:rPr>
          <w:rFonts w:ascii="Cambria" w:hAnsi="Cambria"/>
        </w:rPr>
        <w:t>This case became a landmark judgment in cyber trademark law in India.</w:t>
      </w:r>
    </w:p>
    <w:p w14:paraId="1D297077" w14:textId="66C38C7A" w:rsidR="006C641B" w:rsidRPr="006C641B" w:rsidRDefault="006C641B" w:rsidP="006C641B">
      <w:pPr>
        <w:rPr>
          <w:rFonts w:ascii="Cambria" w:hAnsi="Cambria"/>
        </w:rPr>
      </w:pPr>
    </w:p>
    <w:p w14:paraId="59CC3DE0" w14:textId="77777777" w:rsidR="006C641B" w:rsidRPr="006C641B" w:rsidRDefault="006C641B" w:rsidP="006C641B">
      <w:pPr>
        <w:rPr>
          <w:rFonts w:ascii="Cambria" w:hAnsi="Cambria"/>
          <w:b/>
          <w:bCs/>
        </w:rPr>
      </w:pPr>
      <w:r w:rsidRPr="006C641B">
        <w:rPr>
          <w:rFonts w:ascii="Cambria" w:hAnsi="Cambria"/>
          <w:b/>
          <w:bCs/>
        </w:rPr>
        <w:t>Conclusion</w:t>
      </w:r>
    </w:p>
    <w:p w14:paraId="0B6EA081" w14:textId="77777777" w:rsidR="006C641B" w:rsidRPr="006C641B" w:rsidRDefault="006C641B" w:rsidP="006C641B">
      <w:pPr>
        <w:rPr>
          <w:rFonts w:ascii="Cambria" w:hAnsi="Cambria"/>
        </w:rPr>
      </w:pPr>
      <w:r w:rsidRPr="006C641B">
        <w:rPr>
          <w:rFonts w:ascii="Cambria" w:hAnsi="Cambria"/>
        </w:rPr>
        <w:t>These case laws clearly show that Intellectual Property Rights are continuously evolving with technological and commercial developments. Courts have expanded protection to areas such as digital platforms, internet domain names, edited publications, and pharmaceutical trademarks.</w:t>
      </w:r>
    </w:p>
    <w:p w14:paraId="2E103E72" w14:textId="77777777" w:rsidR="006C641B" w:rsidRPr="006C641B" w:rsidRDefault="006C641B" w:rsidP="006C641B">
      <w:pPr>
        <w:rPr>
          <w:rFonts w:ascii="Cambria" w:hAnsi="Cambria"/>
        </w:rPr>
      </w:pPr>
      <w:r w:rsidRPr="006C641B">
        <w:rPr>
          <w:rFonts w:ascii="Cambria" w:hAnsi="Cambria"/>
        </w:rPr>
        <w:t>The judgments highlight important principles like:</w:t>
      </w:r>
    </w:p>
    <w:p w14:paraId="40385D20" w14:textId="77777777" w:rsidR="006C641B" w:rsidRPr="006C641B" w:rsidRDefault="006C641B" w:rsidP="006C641B">
      <w:pPr>
        <w:numPr>
          <w:ilvl w:val="0"/>
          <w:numId w:val="1"/>
        </w:numPr>
        <w:rPr>
          <w:rFonts w:ascii="Cambria" w:hAnsi="Cambria"/>
        </w:rPr>
      </w:pPr>
      <w:r w:rsidRPr="006C641B">
        <w:rPr>
          <w:rFonts w:ascii="Cambria" w:hAnsi="Cambria"/>
        </w:rPr>
        <w:t>Creativity requirement for copyright</w:t>
      </w:r>
    </w:p>
    <w:p w14:paraId="4D5979ED" w14:textId="77777777" w:rsidR="006C641B" w:rsidRPr="006C641B" w:rsidRDefault="006C641B" w:rsidP="006C641B">
      <w:pPr>
        <w:numPr>
          <w:ilvl w:val="0"/>
          <w:numId w:val="1"/>
        </w:numPr>
        <w:rPr>
          <w:rFonts w:ascii="Cambria" w:hAnsi="Cambria"/>
        </w:rPr>
      </w:pPr>
      <w:r w:rsidRPr="006C641B">
        <w:rPr>
          <w:rFonts w:ascii="Cambria" w:hAnsi="Cambria"/>
        </w:rPr>
        <w:t>Ownership rights in film and music</w:t>
      </w:r>
    </w:p>
    <w:p w14:paraId="7CA7691D" w14:textId="77777777" w:rsidR="006C641B" w:rsidRPr="006C641B" w:rsidRDefault="006C641B" w:rsidP="006C641B">
      <w:pPr>
        <w:numPr>
          <w:ilvl w:val="0"/>
          <w:numId w:val="1"/>
        </w:numPr>
        <w:rPr>
          <w:rFonts w:ascii="Cambria" w:hAnsi="Cambria"/>
        </w:rPr>
      </w:pPr>
      <w:r w:rsidRPr="006C641B">
        <w:rPr>
          <w:rFonts w:ascii="Cambria" w:hAnsi="Cambria"/>
        </w:rPr>
        <w:t>Liability of online platforms</w:t>
      </w:r>
    </w:p>
    <w:p w14:paraId="3D786C94" w14:textId="77777777" w:rsidR="006C641B" w:rsidRPr="006C641B" w:rsidRDefault="006C641B" w:rsidP="006C641B">
      <w:pPr>
        <w:numPr>
          <w:ilvl w:val="0"/>
          <w:numId w:val="1"/>
        </w:numPr>
        <w:rPr>
          <w:rFonts w:ascii="Cambria" w:hAnsi="Cambria"/>
        </w:rPr>
      </w:pPr>
      <w:r w:rsidRPr="006C641B">
        <w:rPr>
          <w:rFonts w:ascii="Cambria" w:hAnsi="Cambria"/>
        </w:rPr>
        <w:t>Protection against deceptive similarity</w:t>
      </w:r>
    </w:p>
    <w:p w14:paraId="4FEA4B19" w14:textId="77777777" w:rsidR="006C641B" w:rsidRPr="006C641B" w:rsidRDefault="006C641B" w:rsidP="006C641B">
      <w:pPr>
        <w:numPr>
          <w:ilvl w:val="0"/>
          <w:numId w:val="1"/>
        </w:numPr>
        <w:rPr>
          <w:rFonts w:ascii="Cambria" w:hAnsi="Cambria"/>
        </w:rPr>
      </w:pPr>
      <w:r w:rsidRPr="006C641B">
        <w:rPr>
          <w:rFonts w:ascii="Cambria" w:hAnsi="Cambria"/>
        </w:rPr>
        <w:t>Trademark protection in cyberspace</w:t>
      </w:r>
    </w:p>
    <w:p w14:paraId="6A4FD60C" w14:textId="77777777" w:rsidR="006C641B" w:rsidRPr="006C641B" w:rsidRDefault="006C641B" w:rsidP="006C641B">
      <w:pPr>
        <w:rPr>
          <w:rFonts w:ascii="Cambria" w:hAnsi="Cambria"/>
        </w:rPr>
      </w:pPr>
      <w:r w:rsidRPr="006C641B">
        <w:rPr>
          <w:rFonts w:ascii="Cambria" w:hAnsi="Cambria"/>
        </w:rPr>
        <w:t>Thus, Indian judiciary plays a crucial role in ensuring fair competition, consumer protection, and encouragement of creativity and innovation</w:t>
      </w:r>
    </w:p>
    <w:p w14:paraId="71C003A6" w14:textId="4CB083C6" w:rsidR="006C641B" w:rsidRPr="006C641B" w:rsidRDefault="006C641B">
      <w:pPr>
        <w:rPr>
          <w:rFonts w:ascii="Cambria" w:hAnsi="Cambria"/>
        </w:rPr>
      </w:pPr>
    </w:p>
    <w:p w14:paraId="2ABC1AF9" w14:textId="77777777" w:rsidR="006C641B" w:rsidRPr="006C641B" w:rsidRDefault="006C641B">
      <w:pPr>
        <w:rPr>
          <w:rFonts w:ascii="Cambria" w:hAnsi="Cambria"/>
        </w:rPr>
      </w:pPr>
      <w:r w:rsidRPr="006C641B">
        <w:rPr>
          <w:rFonts w:ascii="Cambria" w:hAnsi="Cambria"/>
        </w:rPr>
        <w:br w:type="page"/>
      </w:r>
    </w:p>
    <w:p w14:paraId="15C61AF0" w14:textId="28B86DCF" w:rsidR="006C641B" w:rsidRPr="006C641B" w:rsidRDefault="006C641B" w:rsidP="006C641B">
      <w:pPr>
        <w:pStyle w:val="ListParagraph"/>
        <w:numPr>
          <w:ilvl w:val="0"/>
          <w:numId w:val="2"/>
        </w:numPr>
        <w:rPr>
          <w:rFonts w:ascii="Cambria" w:hAnsi="Cambria"/>
          <w:b/>
          <w:bCs/>
        </w:rPr>
      </w:pPr>
      <w:r w:rsidRPr="006C641B">
        <w:rPr>
          <w:rFonts w:ascii="Cambria" w:hAnsi="Cambria"/>
          <w:b/>
          <w:bCs/>
        </w:rPr>
        <w:lastRenderedPageBreak/>
        <w:t>Examples of Trademark Registration</w:t>
      </w:r>
    </w:p>
    <w:p w14:paraId="6C041A1D" w14:textId="77777777" w:rsidR="006C641B" w:rsidRPr="006C641B" w:rsidRDefault="006C641B" w:rsidP="006C641B">
      <w:pPr>
        <w:rPr>
          <w:rFonts w:ascii="Cambria" w:hAnsi="Cambria"/>
          <w:b/>
          <w:bCs/>
        </w:rPr>
      </w:pPr>
      <w:r w:rsidRPr="006C641B">
        <w:rPr>
          <w:rFonts w:ascii="Cambria" w:hAnsi="Cambria"/>
          <w:b/>
          <w:bCs/>
        </w:rPr>
        <w:t>Introduction</w:t>
      </w:r>
    </w:p>
    <w:p w14:paraId="746ABBD3" w14:textId="77777777" w:rsidR="006C641B" w:rsidRPr="006C641B" w:rsidRDefault="006C641B" w:rsidP="006C641B">
      <w:pPr>
        <w:ind w:firstLine="720"/>
        <w:rPr>
          <w:rFonts w:ascii="Cambria" w:hAnsi="Cambria"/>
        </w:rPr>
      </w:pPr>
      <w:r w:rsidRPr="006C641B">
        <w:rPr>
          <w:rFonts w:ascii="Cambria" w:hAnsi="Cambria"/>
        </w:rPr>
        <w:t>Trademark registration helps businesses protect their brand name, logo, slogan, or symbol from misuse by others. It gives the owner exclusive legal rights and helps consumers easily identify genuine products. Many famous companies around the world have registered trademarks to protect their market identity.</w:t>
      </w:r>
    </w:p>
    <w:p w14:paraId="3DB48011" w14:textId="67C3DD5A" w:rsidR="006C641B" w:rsidRPr="006C641B" w:rsidRDefault="006C641B" w:rsidP="006C641B">
      <w:pPr>
        <w:rPr>
          <w:rFonts w:ascii="Cambria" w:hAnsi="Cambria"/>
        </w:rPr>
      </w:pPr>
    </w:p>
    <w:p w14:paraId="50A1F41A" w14:textId="53A16E58" w:rsidR="006C641B" w:rsidRPr="006C641B" w:rsidRDefault="006C641B" w:rsidP="006C641B">
      <w:pPr>
        <w:rPr>
          <w:rFonts w:ascii="Cambria" w:hAnsi="Cambria"/>
          <w:b/>
          <w:bCs/>
        </w:rPr>
      </w:pPr>
      <w:r w:rsidRPr="006C641B">
        <w:rPr>
          <w:rFonts w:ascii="Cambria" w:hAnsi="Cambria"/>
          <w:b/>
          <w:bCs/>
        </w:rPr>
        <w:t>Example 1 – Samsung</w:t>
      </w:r>
    </w:p>
    <w:p w14:paraId="701E60CF" w14:textId="77777777" w:rsidR="006C641B" w:rsidRPr="006C641B" w:rsidRDefault="006C641B" w:rsidP="006C641B">
      <w:pPr>
        <w:ind w:firstLine="720"/>
        <w:rPr>
          <w:rFonts w:ascii="Cambria" w:hAnsi="Cambria"/>
        </w:rPr>
      </w:pPr>
      <w:r w:rsidRPr="006C641B">
        <w:rPr>
          <w:rFonts w:ascii="Cambria" w:hAnsi="Cambria"/>
        </w:rPr>
        <w:t xml:space="preserve">The name </w:t>
      </w:r>
      <w:r w:rsidRPr="006C641B">
        <w:rPr>
          <w:rFonts w:ascii="Cambria" w:hAnsi="Cambria"/>
          <w:b/>
          <w:bCs/>
        </w:rPr>
        <w:t>Samsung</w:t>
      </w:r>
      <w:r w:rsidRPr="006C641B">
        <w:rPr>
          <w:rFonts w:ascii="Cambria" w:hAnsi="Cambria"/>
        </w:rPr>
        <w:t xml:space="preserve"> is a registered trademark used for electronic goods such as smartphones, televisions, home appliances, and semiconductors.</w:t>
      </w:r>
    </w:p>
    <w:p w14:paraId="5874DD75" w14:textId="77777777" w:rsidR="006C641B" w:rsidRPr="006C641B" w:rsidRDefault="006C641B" w:rsidP="006C641B">
      <w:pPr>
        <w:ind w:firstLine="720"/>
        <w:rPr>
          <w:rFonts w:ascii="Cambria" w:hAnsi="Cambria"/>
        </w:rPr>
      </w:pPr>
      <w:r w:rsidRPr="006C641B">
        <w:rPr>
          <w:rFonts w:ascii="Cambria" w:hAnsi="Cambria"/>
        </w:rPr>
        <w:t>Trademark registration helps the company prevent other manufacturers from using similar names or logos that may create confusion among customers.</w:t>
      </w:r>
    </w:p>
    <w:p w14:paraId="1660BFE0" w14:textId="73130A85" w:rsidR="006C641B" w:rsidRPr="006C641B" w:rsidRDefault="006C641B" w:rsidP="006C641B">
      <w:pPr>
        <w:rPr>
          <w:rFonts w:ascii="Cambria" w:hAnsi="Cambria"/>
        </w:rPr>
      </w:pPr>
    </w:p>
    <w:p w14:paraId="18ADBD35" w14:textId="3BEC7B77" w:rsidR="006C641B" w:rsidRPr="006C641B" w:rsidRDefault="006C641B" w:rsidP="006C641B">
      <w:pPr>
        <w:rPr>
          <w:rFonts w:ascii="Cambria" w:hAnsi="Cambria"/>
          <w:b/>
          <w:bCs/>
        </w:rPr>
      </w:pPr>
      <w:r w:rsidRPr="006C641B">
        <w:rPr>
          <w:rFonts w:ascii="Cambria" w:hAnsi="Cambria"/>
          <w:b/>
          <w:bCs/>
        </w:rPr>
        <w:t>Example 2– Reliance</w:t>
      </w:r>
    </w:p>
    <w:p w14:paraId="5C406302" w14:textId="77777777" w:rsidR="006C641B" w:rsidRPr="006C641B" w:rsidRDefault="006C641B" w:rsidP="006C641B">
      <w:pPr>
        <w:ind w:firstLine="720"/>
        <w:rPr>
          <w:rFonts w:ascii="Cambria" w:hAnsi="Cambria"/>
        </w:rPr>
      </w:pPr>
      <w:r w:rsidRPr="006C641B">
        <w:rPr>
          <w:rFonts w:ascii="Cambria" w:hAnsi="Cambria"/>
          <w:b/>
          <w:bCs/>
        </w:rPr>
        <w:t>Reliance</w:t>
      </w:r>
      <w:r w:rsidRPr="006C641B">
        <w:rPr>
          <w:rFonts w:ascii="Cambria" w:hAnsi="Cambria"/>
        </w:rPr>
        <w:t xml:space="preserve"> is a registered trademark used in sectors like telecommunications, retail, petrochemicals, and digital services.</w:t>
      </w:r>
    </w:p>
    <w:p w14:paraId="2D232BE1" w14:textId="77777777" w:rsidR="006C641B" w:rsidRPr="006C641B" w:rsidRDefault="006C641B" w:rsidP="006C641B">
      <w:pPr>
        <w:ind w:firstLine="720"/>
        <w:rPr>
          <w:rFonts w:ascii="Cambria" w:hAnsi="Cambria"/>
        </w:rPr>
      </w:pPr>
      <w:r w:rsidRPr="006C641B">
        <w:rPr>
          <w:rFonts w:ascii="Cambria" w:hAnsi="Cambria"/>
        </w:rPr>
        <w:t>The company protects its trademark to maintain its goodwill and business reputation in the Indian market.</w:t>
      </w:r>
    </w:p>
    <w:p w14:paraId="39571CA6" w14:textId="2715434B" w:rsidR="006C641B" w:rsidRPr="006C641B" w:rsidRDefault="006C641B" w:rsidP="006C641B">
      <w:pPr>
        <w:rPr>
          <w:rFonts w:ascii="Cambria" w:hAnsi="Cambria"/>
        </w:rPr>
      </w:pPr>
    </w:p>
    <w:p w14:paraId="5DF2D1D6" w14:textId="63BC86AC" w:rsidR="006C641B" w:rsidRPr="006C641B" w:rsidRDefault="006C641B" w:rsidP="006C641B">
      <w:pPr>
        <w:rPr>
          <w:rFonts w:ascii="Cambria" w:hAnsi="Cambria"/>
          <w:b/>
          <w:bCs/>
        </w:rPr>
      </w:pPr>
      <w:r w:rsidRPr="006C641B">
        <w:rPr>
          <w:rFonts w:ascii="Cambria" w:hAnsi="Cambria"/>
          <w:b/>
          <w:bCs/>
        </w:rPr>
        <w:t>Example 3 – Puma</w:t>
      </w:r>
    </w:p>
    <w:p w14:paraId="4768EE29" w14:textId="77777777" w:rsidR="006C641B" w:rsidRPr="006C641B" w:rsidRDefault="006C641B" w:rsidP="006C641B">
      <w:pPr>
        <w:ind w:firstLine="720"/>
        <w:rPr>
          <w:rFonts w:ascii="Cambria" w:hAnsi="Cambria"/>
        </w:rPr>
      </w:pPr>
      <w:r w:rsidRPr="006C641B">
        <w:rPr>
          <w:rFonts w:ascii="Cambria" w:hAnsi="Cambria"/>
        </w:rPr>
        <w:t xml:space="preserve">The word </w:t>
      </w:r>
      <w:r w:rsidRPr="006C641B">
        <w:rPr>
          <w:rFonts w:ascii="Cambria" w:hAnsi="Cambria"/>
          <w:b/>
          <w:bCs/>
        </w:rPr>
        <w:t>Puma</w:t>
      </w:r>
      <w:r w:rsidRPr="006C641B">
        <w:rPr>
          <w:rFonts w:ascii="Cambria" w:hAnsi="Cambria"/>
        </w:rPr>
        <w:t xml:space="preserve"> and its </w:t>
      </w:r>
      <w:r w:rsidRPr="006C641B">
        <w:rPr>
          <w:rFonts w:ascii="Cambria" w:hAnsi="Cambria"/>
          <w:b/>
          <w:bCs/>
        </w:rPr>
        <w:t>leaping cat logo</w:t>
      </w:r>
      <w:r w:rsidRPr="006C641B">
        <w:rPr>
          <w:rFonts w:ascii="Cambria" w:hAnsi="Cambria"/>
        </w:rPr>
        <w:t xml:space="preserve"> are registered trademarks used for sports shoes, clothing, and accessories.</w:t>
      </w:r>
    </w:p>
    <w:p w14:paraId="1F85788F" w14:textId="77777777" w:rsidR="006C641B" w:rsidRPr="006C641B" w:rsidRDefault="006C641B" w:rsidP="006C641B">
      <w:pPr>
        <w:ind w:firstLine="720"/>
        <w:rPr>
          <w:rFonts w:ascii="Cambria" w:hAnsi="Cambria"/>
        </w:rPr>
      </w:pPr>
      <w:r w:rsidRPr="006C641B">
        <w:rPr>
          <w:rFonts w:ascii="Cambria" w:hAnsi="Cambria"/>
        </w:rPr>
        <w:t>Trademark protection ensures that no competitor can use a similar brand identity that may mislead consumers.</w:t>
      </w:r>
    </w:p>
    <w:p w14:paraId="5E6EBB5F" w14:textId="52876C4B" w:rsidR="006C641B" w:rsidRPr="006C641B" w:rsidRDefault="006C641B" w:rsidP="006C641B">
      <w:pPr>
        <w:rPr>
          <w:rFonts w:ascii="Cambria" w:hAnsi="Cambria"/>
        </w:rPr>
      </w:pPr>
    </w:p>
    <w:p w14:paraId="63D6C74E" w14:textId="77777777" w:rsidR="006C641B" w:rsidRPr="006C641B" w:rsidRDefault="006C641B" w:rsidP="006C641B">
      <w:pPr>
        <w:rPr>
          <w:rFonts w:ascii="Cambria" w:hAnsi="Cambria"/>
        </w:rPr>
      </w:pPr>
    </w:p>
    <w:p w14:paraId="591718E8" w14:textId="1156F66D" w:rsidR="006C641B" w:rsidRPr="006C641B" w:rsidRDefault="006C641B" w:rsidP="006C641B">
      <w:pPr>
        <w:rPr>
          <w:rFonts w:ascii="Cambria" w:hAnsi="Cambria"/>
          <w:b/>
          <w:bCs/>
        </w:rPr>
      </w:pPr>
      <w:r w:rsidRPr="006C641B">
        <w:rPr>
          <w:rFonts w:ascii="Cambria" w:hAnsi="Cambria"/>
          <w:b/>
          <w:bCs/>
        </w:rPr>
        <w:lastRenderedPageBreak/>
        <w:t>Example 4 – Britannia</w:t>
      </w:r>
    </w:p>
    <w:p w14:paraId="66235D9C" w14:textId="77777777" w:rsidR="006C641B" w:rsidRPr="006C641B" w:rsidRDefault="006C641B" w:rsidP="006C641B">
      <w:pPr>
        <w:ind w:firstLine="720"/>
        <w:rPr>
          <w:rFonts w:ascii="Cambria" w:hAnsi="Cambria"/>
        </w:rPr>
      </w:pPr>
      <w:r w:rsidRPr="006C641B">
        <w:rPr>
          <w:rFonts w:ascii="Cambria" w:hAnsi="Cambria"/>
          <w:b/>
          <w:bCs/>
        </w:rPr>
        <w:t>Britannia</w:t>
      </w:r>
      <w:r w:rsidRPr="006C641B">
        <w:rPr>
          <w:rFonts w:ascii="Cambria" w:hAnsi="Cambria"/>
        </w:rPr>
        <w:t xml:space="preserve"> is a well-known registered trademark for biscuits, bread, cakes, and dairy products.</w:t>
      </w:r>
    </w:p>
    <w:p w14:paraId="75CB27FF" w14:textId="77777777" w:rsidR="006C641B" w:rsidRPr="006C641B" w:rsidRDefault="006C641B" w:rsidP="006C641B">
      <w:pPr>
        <w:ind w:firstLine="720"/>
        <w:rPr>
          <w:rFonts w:ascii="Cambria" w:hAnsi="Cambria"/>
        </w:rPr>
      </w:pPr>
      <w:r w:rsidRPr="006C641B">
        <w:rPr>
          <w:rFonts w:ascii="Cambria" w:hAnsi="Cambria"/>
        </w:rPr>
        <w:t>Trademark registration helps the company protect its packaging style, logo, and brand name from duplication.</w:t>
      </w:r>
    </w:p>
    <w:p w14:paraId="0DCA6B49" w14:textId="41A8EC54" w:rsidR="006C641B" w:rsidRPr="006C641B" w:rsidRDefault="006C641B" w:rsidP="006C641B">
      <w:pPr>
        <w:rPr>
          <w:rFonts w:ascii="Cambria" w:hAnsi="Cambria"/>
        </w:rPr>
      </w:pPr>
    </w:p>
    <w:p w14:paraId="2982768F" w14:textId="583B1DC1" w:rsidR="006C641B" w:rsidRPr="006C641B" w:rsidRDefault="006C641B" w:rsidP="006C641B">
      <w:pPr>
        <w:rPr>
          <w:rFonts w:ascii="Cambria" w:hAnsi="Cambria"/>
          <w:b/>
          <w:bCs/>
        </w:rPr>
      </w:pPr>
      <w:r w:rsidRPr="006C641B">
        <w:rPr>
          <w:rFonts w:ascii="Cambria" w:hAnsi="Cambria"/>
          <w:b/>
          <w:bCs/>
        </w:rPr>
        <w:t>Example 5 – Amazon</w:t>
      </w:r>
    </w:p>
    <w:p w14:paraId="0D0B17C8" w14:textId="77777777" w:rsidR="006C641B" w:rsidRPr="006C641B" w:rsidRDefault="006C641B" w:rsidP="006C641B">
      <w:pPr>
        <w:ind w:firstLine="720"/>
        <w:rPr>
          <w:rFonts w:ascii="Cambria" w:hAnsi="Cambria"/>
        </w:rPr>
      </w:pPr>
      <w:r w:rsidRPr="006C641B">
        <w:rPr>
          <w:rFonts w:ascii="Cambria" w:hAnsi="Cambria"/>
        </w:rPr>
        <w:t xml:space="preserve">The name </w:t>
      </w:r>
      <w:r w:rsidRPr="006C641B">
        <w:rPr>
          <w:rFonts w:ascii="Cambria" w:hAnsi="Cambria"/>
          <w:b/>
          <w:bCs/>
        </w:rPr>
        <w:t>Amazon</w:t>
      </w:r>
      <w:r w:rsidRPr="006C641B">
        <w:rPr>
          <w:rFonts w:ascii="Cambria" w:hAnsi="Cambria"/>
        </w:rPr>
        <w:t xml:space="preserve"> and its </w:t>
      </w:r>
      <w:r w:rsidRPr="006C641B">
        <w:rPr>
          <w:rFonts w:ascii="Cambria" w:hAnsi="Cambria"/>
          <w:b/>
          <w:bCs/>
        </w:rPr>
        <w:t>arrow smile logo</w:t>
      </w:r>
      <w:r w:rsidRPr="006C641B">
        <w:rPr>
          <w:rFonts w:ascii="Cambria" w:hAnsi="Cambria"/>
        </w:rPr>
        <w:t xml:space="preserve"> are registered trademarks used for online shopping, cloud computing, and digital services.</w:t>
      </w:r>
    </w:p>
    <w:p w14:paraId="64C200EB" w14:textId="19AC9991" w:rsidR="006C641B" w:rsidRPr="006C641B" w:rsidRDefault="006C641B" w:rsidP="006C641B">
      <w:pPr>
        <w:ind w:firstLine="720"/>
        <w:rPr>
          <w:rFonts w:ascii="Cambria" w:hAnsi="Cambria"/>
        </w:rPr>
      </w:pPr>
      <w:r w:rsidRPr="006C641B">
        <w:rPr>
          <w:rFonts w:ascii="Cambria" w:hAnsi="Cambria"/>
        </w:rPr>
        <w:t>Trademark protection allows the company to take legal action against fake websites or businesses using similar domain names or branding.</w:t>
      </w:r>
      <w:r w:rsidRPr="006C641B">
        <w:rPr>
          <w:rFonts w:ascii="Cambria" w:hAnsi="Cambria"/>
        </w:rPr>
        <w:tab/>
      </w:r>
    </w:p>
    <w:p w14:paraId="01AA32C8" w14:textId="77777777" w:rsidR="006C641B" w:rsidRPr="006C641B" w:rsidRDefault="006C641B" w:rsidP="006C641B">
      <w:pPr>
        <w:rPr>
          <w:rFonts w:ascii="Cambria" w:hAnsi="Cambria"/>
          <w:b/>
          <w:bCs/>
        </w:rPr>
      </w:pPr>
      <w:r w:rsidRPr="006C641B">
        <w:rPr>
          <w:rFonts w:ascii="Cambria" w:hAnsi="Cambria"/>
          <w:b/>
          <w:bCs/>
        </w:rPr>
        <w:t>Conclusion</w:t>
      </w:r>
    </w:p>
    <w:p w14:paraId="796ADC59" w14:textId="77777777" w:rsidR="006C641B" w:rsidRPr="006C641B" w:rsidRDefault="006C641B" w:rsidP="006C641B">
      <w:pPr>
        <w:ind w:firstLine="720"/>
        <w:rPr>
          <w:rFonts w:ascii="Cambria" w:hAnsi="Cambria"/>
        </w:rPr>
      </w:pPr>
      <w:r w:rsidRPr="006C641B">
        <w:rPr>
          <w:rFonts w:ascii="Cambria" w:hAnsi="Cambria"/>
        </w:rPr>
        <w:t>These examples show that trademark registration is essential for companies in different industries such as electronics, retail, sportswear, food, and e-commerce. It helps in protecting brand identity, avoiding customer confusion, and ensuring fair competition in the market.</w:t>
      </w:r>
    </w:p>
    <w:p w14:paraId="13943D4B" w14:textId="77777777" w:rsidR="006C641B" w:rsidRPr="006C641B" w:rsidRDefault="006C641B" w:rsidP="006C641B">
      <w:pPr>
        <w:ind w:firstLine="720"/>
        <w:rPr>
          <w:rFonts w:ascii="Cambria" w:hAnsi="Cambria"/>
        </w:rPr>
      </w:pPr>
      <w:r w:rsidRPr="006C641B">
        <w:rPr>
          <w:rFonts w:ascii="Cambria" w:hAnsi="Cambria"/>
        </w:rPr>
        <w:t xml:space="preserve">Therefore, trademark registration plays a key role in </w:t>
      </w:r>
      <w:r w:rsidRPr="006C641B">
        <w:rPr>
          <w:rFonts w:ascii="Cambria" w:hAnsi="Cambria"/>
          <w:b/>
          <w:bCs/>
        </w:rPr>
        <w:t>business growth, legal security, and consumer confidence</w:t>
      </w:r>
      <w:r w:rsidRPr="006C641B">
        <w:rPr>
          <w:rFonts w:ascii="Cambria" w:hAnsi="Cambria"/>
        </w:rPr>
        <w:t>.</w:t>
      </w:r>
    </w:p>
    <w:p w14:paraId="5050F414" w14:textId="3664859A" w:rsidR="006C641B" w:rsidRDefault="006C641B">
      <w:pPr>
        <w:rPr>
          <w:rFonts w:ascii="Cambria" w:hAnsi="Cambria"/>
        </w:rPr>
      </w:pPr>
    </w:p>
    <w:p w14:paraId="496625D5" w14:textId="77777777" w:rsidR="006C641B" w:rsidRDefault="006C641B">
      <w:pPr>
        <w:rPr>
          <w:rFonts w:ascii="Cambria" w:hAnsi="Cambria"/>
        </w:rPr>
      </w:pPr>
      <w:r>
        <w:rPr>
          <w:rFonts w:ascii="Cambria" w:hAnsi="Cambria"/>
        </w:rPr>
        <w:br w:type="page"/>
      </w:r>
    </w:p>
    <w:p w14:paraId="653291E5" w14:textId="26A40E1F" w:rsidR="006C641B" w:rsidRDefault="006C641B" w:rsidP="006C641B">
      <w:pPr>
        <w:pStyle w:val="ListParagraph"/>
        <w:numPr>
          <w:ilvl w:val="0"/>
          <w:numId w:val="2"/>
        </w:numPr>
        <w:rPr>
          <w:rFonts w:ascii="Cambria" w:hAnsi="Cambria"/>
          <w:b/>
          <w:bCs/>
        </w:rPr>
      </w:pPr>
      <w:r w:rsidRPr="006C641B">
        <w:rPr>
          <w:rFonts w:ascii="Cambria" w:hAnsi="Cambria"/>
          <w:b/>
          <w:bCs/>
        </w:rPr>
        <w:lastRenderedPageBreak/>
        <w:t>Organisations of Intellectual Property Rights</w:t>
      </w:r>
    </w:p>
    <w:p w14:paraId="44BC5DDC" w14:textId="77777777" w:rsidR="006C641B" w:rsidRPr="006C641B" w:rsidRDefault="006C641B" w:rsidP="006C641B">
      <w:pPr>
        <w:pStyle w:val="ListParagraph"/>
        <w:rPr>
          <w:rFonts w:ascii="Cambria" w:hAnsi="Cambria"/>
          <w:b/>
          <w:bCs/>
        </w:rPr>
      </w:pPr>
    </w:p>
    <w:p w14:paraId="6013FA92" w14:textId="77777777" w:rsidR="006C641B" w:rsidRPr="006C641B" w:rsidRDefault="006C641B" w:rsidP="006C641B">
      <w:pPr>
        <w:rPr>
          <w:rFonts w:ascii="Cambria" w:hAnsi="Cambria"/>
          <w:b/>
          <w:bCs/>
        </w:rPr>
      </w:pPr>
      <w:r w:rsidRPr="006C641B">
        <w:rPr>
          <w:rFonts w:ascii="Cambria" w:hAnsi="Cambria"/>
          <w:b/>
          <w:bCs/>
        </w:rPr>
        <w:t>Introduction</w:t>
      </w:r>
    </w:p>
    <w:p w14:paraId="7980A0F5" w14:textId="77777777" w:rsidR="006C641B" w:rsidRPr="006C641B" w:rsidRDefault="006C641B" w:rsidP="006C641B">
      <w:pPr>
        <w:rPr>
          <w:rFonts w:ascii="Cambria" w:hAnsi="Cambria"/>
        </w:rPr>
      </w:pPr>
      <w:r w:rsidRPr="006C641B">
        <w:rPr>
          <w:rFonts w:ascii="Cambria" w:hAnsi="Cambria"/>
        </w:rPr>
        <w:t>Apart from national IP offices and international agencies, there are several global organisations that help in regulating trade, patents, and intellectual property protection. These organisations create agreements, policies, and dispute-settlement systems to ensure fair use and protection of intellectual property across countries.</w:t>
      </w:r>
    </w:p>
    <w:p w14:paraId="56ABC2C0" w14:textId="297275DA" w:rsidR="006C641B" w:rsidRPr="006C641B" w:rsidRDefault="006C641B" w:rsidP="006C641B">
      <w:pPr>
        <w:rPr>
          <w:rFonts w:ascii="Cambria" w:hAnsi="Cambria"/>
        </w:rPr>
      </w:pPr>
    </w:p>
    <w:p w14:paraId="165B2162" w14:textId="0969899B" w:rsidR="006C641B" w:rsidRPr="006C641B" w:rsidRDefault="006C641B" w:rsidP="006C641B">
      <w:pPr>
        <w:rPr>
          <w:rFonts w:ascii="Cambria" w:hAnsi="Cambria"/>
          <w:b/>
          <w:bCs/>
        </w:rPr>
      </w:pPr>
      <w:r w:rsidRPr="006C641B">
        <w:rPr>
          <w:rFonts w:ascii="Cambria" w:hAnsi="Cambria"/>
          <w:b/>
          <w:bCs/>
        </w:rPr>
        <w:t xml:space="preserve">1. World Trade Organization (WTO) </w:t>
      </w:r>
    </w:p>
    <w:p w14:paraId="7C84240F" w14:textId="5B88C821" w:rsidR="006C641B" w:rsidRPr="006C641B" w:rsidRDefault="006C641B" w:rsidP="006C641B">
      <w:pPr>
        <w:ind w:firstLine="720"/>
        <w:rPr>
          <w:rFonts w:ascii="Cambria" w:hAnsi="Cambria"/>
        </w:rPr>
      </w:pPr>
      <w:r w:rsidRPr="006C641B">
        <w:rPr>
          <w:rFonts w:ascii="Cambria" w:hAnsi="Cambria"/>
        </w:rPr>
        <w:t xml:space="preserve">The World Trade Organization is an international organisation that deals with global trade rules between nations. It was established in </w:t>
      </w:r>
      <w:r w:rsidRPr="006C641B">
        <w:rPr>
          <w:rFonts w:ascii="Cambria" w:hAnsi="Cambria"/>
          <w:b/>
          <w:bCs/>
        </w:rPr>
        <w:t>1995</w:t>
      </w:r>
      <w:r w:rsidRPr="006C641B">
        <w:rPr>
          <w:rFonts w:ascii="Cambria" w:hAnsi="Cambria"/>
        </w:rPr>
        <w:t xml:space="preserve"> and is headquartered in Geneva, </w:t>
      </w:r>
      <w:proofErr w:type="spellStart"/>
      <w:r w:rsidRPr="006C641B">
        <w:rPr>
          <w:rFonts w:ascii="Cambria" w:hAnsi="Cambria"/>
        </w:rPr>
        <w:t>Switzerland.WTO</w:t>
      </w:r>
      <w:proofErr w:type="spellEnd"/>
      <w:r w:rsidRPr="006C641B">
        <w:rPr>
          <w:rFonts w:ascii="Cambria" w:hAnsi="Cambria"/>
        </w:rPr>
        <w:t xml:space="preserve"> plays an important role in Intellectual Property Rights through the </w:t>
      </w:r>
      <w:r w:rsidRPr="006C641B">
        <w:rPr>
          <w:rFonts w:ascii="Cambria" w:hAnsi="Cambria"/>
          <w:b/>
          <w:bCs/>
        </w:rPr>
        <w:t>TRIPS Agreement (Trade-Related Aspects of Intellectual Property Rights)</w:t>
      </w:r>
      <w:r w:rsidRPr="006C641B">
        <w:rPr>
          <w:rFonts w:ascii="Cambria" w:hAnsi="Cambria"/>
        </w:rPr>
        <w:t xml:space="preserve">. This agreement sets </w:t>
      </w:r>
      <w:r w:rsidRPr="006C641B">
        <w:rPr>
          <w:rFonts w:ascii="Cambria" w:hAnsi="Cambria"/>
          <w:b/>
          <w:bCs/>
        </w:rPr>
        <w:t>minimum standards for IP protection</w:t>
      </w:r>
      <w:r w:rsidRPr="006C641B">
        <w:rPr>
          <w:rFonts w:ascii="Cambria" w:hAnsi="Cambria"/>
        </w:rPr>
        <w:t xml:space="preserve"> that member countries must follow.</w:t>
      </w:r>
    </w:p>
    <w:p w14:paraId="746848A2" w14:textId="77777777" w:rsidR="006C641B" w:rsidRPr="006C641B" w:rsidRDefault="006C641B" w:rsidP="006C641B">
      <w:pPr>
        <w:rPr>
          <w:rFonts w:ascii="Cambria" w:hAnsi="Cambria"/>
        </w:rPr>
      </w:pPr>
      <w:r w:rsidRPr="006C641B">
        <w:rPr>
          <w:rFonts w:ascii="Cambria" w:hAnsi="Cambria"/>
        </w:rPr>
        <w:t xml:space="preserve">The organisation also helps in </w:t>
      </w:r>
      <w:r w:rsidRPr="006C641B">
        <w:rPr>
          <w:rFonts w:ascii="Cambria" w:hAnsi="Cambria"/>
          <w:b/>
          <w:bCs/>
        </w:rPr>
        <w:t>resolving trade disputes related to patents, copyrights, and trademarks</w:t>
      </w:r>
      <w:r w:rsidRPr="006C641B">
        <w:rPr>
          <w:rFonts w:ascii="Cambria" w:hAnsi="Cambria"/>
        </w:rPr>
        <w:t xml:space="preserve"> between countries.</w:t>
      </w:r>
    </w:p>
    <w:p w14:paraId="5FB77259" w14:textId="4EA2EDC7" w:rsidR="006C641B" w:rsidRPr="006C641B" w:rsidRDefault="006C641B" w:rsidP="006C641B">
      <w:pPr>
        <w:rPr>
          <w:rFonts w:ascii="Cambria" w:hAnsi="Cambria"/>
        </w:rPr>
      </w:pPr>
    </w:p>
    <w:p w14:paraId="1BAAB825" w14:textId="77777777" w:rsidR="006C641B" w:rsidRPr="006C641B" w:rsidRDefault="006C641B" w:rsidP="006C641B">
      <w:pPr>
        <w:rPr>
          <w:rFonts w:ascii="Cambria" w:hAnsi="Cambria"/>
          <w:b/>
          <w:bCs/>
        </w:rPr>
      </w:pPr>
      <w:r w:rsidRPr="006C641B">
        <w:rPr>
          <w:rFonts w:ascii="Cambria" w:hAnsi="Cambria"/>
          <w:b/>
          <w:bCs/>
        </w:rPr>
        <w:t xml:space="preserve">2. European Patent Office (EPO) </w:t>
      </w:r>
      <w:r w:rsidRPr="006C641B">
        <w:rPr>
          <w:rFonts w:ascii="Segoe UI Emoji" w:hAnsi="Segoe UI Emoji" w:cs="Segoe UI Emoji"/>
          <w:b/>
          <w:bCs/>
        </w:rPr>
        <w:t>🇪🇺</w:t>
      </w:r>
    </w:p>
    <w:p w14:paraId="337389B0" w14:textId="242C6BAD" w:rsidR="006C641B" w:rsidRPr="006C641B" w:rsidRDefault="006C641B" w:rsidP="006C641B">
      <w:pPr>
        <w:ind w:firstLine="720"/>
        <w:rPr>
          <w:rFonts w:ascii="Cambria" w:hAnsi="Cambria"/>
        </w:rPr>
      </w:pPr>
      <w:r w:rsidRPr="006C641B">
        <w:rPr>
          <w:rFonts w:ascii="Cambria" w:hAnsi="Cambria"/>
        </w:rPr>
        <w:t xml:space="preserve">The European Patent Office is responsible for granting patents in European countries under the </w:t>
      </w:r>
      <w:r w:rsidRPr="006C641B">
        <w:rPr>
          <w:rFonts w:ascii="Cambria" w:hAnsi="Cambria"/>
          <w:b/>
          <w:bCs/>
        </w:rPr>
        <w:t xml:space="preserve">European Patent </w:t>
      </w:r>
      <w:proofErr w:type="spellStart"/>
      <w:r w:rsidRPr="006C641B">
        <w:rPr>
          <w:rFonts w:ascii="Cambria" w:hAnsi="Cambria"/>
          <w:b/>
          <w:bCs/>
        </w:rPr>
        <w:t>Convention</w:t>
      </w:r>
      <w:r w:rsidRPr="006C641B">
        <w:rPr>
          <w:rFonts w:ascii="Cambria" w:hAnsi="Cambria"/>
        </w:rPr>
        <w:t>.Inventors</w:t>
      </w:r>
      <w:proofErr w:type="spellEnd"/>
      <w:r w:rsidRPr="006C641B">
        <w:rPr>
          <w:rFonts w:ascii="Cambria" w:hAnsi="Cambria"/>
        </w:rPr>
        <w:t xml:space="preserve"> can file a </w:t>
      </w:r>
      <w:r w:rsidRPr="006C641B">
        <w:rPr>
          <w:rFonts w:ascii="Cambria" w:hAnsi="Cambria"/>
          <w:b/>
          <w:bCs/>
        </w:rPr>
        <w:t>single patent application</w:t>
      </w:r>
      <w:r w:rsidRPr="006C641B">
        <w:rPr>
          <w:rFonts w:ascii="Cambria" w:hAnsi="Cambria"/>
        </w:rPr>
        <w:t xml:space="preserve"> through this office to obtain protection in multiple European nations. This makes the patent registration process easier and more efficient.</w:t>
      </w:r>
    </w:p>
    <w:p w14:paraId="7275EFA3" w14:textId="77777777" w:rsidR="006C641B" w:rsidRPr="006C641B" w:rsidRDefault="006C641B" w:rsidP="006C641B">
      <w:pPr>
        <w:rPr>
          <w:rFonts w:ascii="Cambria" w:hAnsi="Cambria"/>
        </w:rPr>
      </w:pPr>
      <w:r w:rsidRPr="006C641B">
        <w:rPr>
          <w:rFonts w:ascii="Cambria" w:hAnsi="Cambria"/>
        </w:rPr>
        <w:t xml:space="preserve">EPO also promotes </w:t>
      </w:r>
      <w:r w:rsidRPr="006C641B">
        <w:rPr>
          <w:rFonts w:ascii="Cambria" w:hAnsi="Cambria"/>
          <w:b/>
          <w:bCs/>
        </w:rPr>
        <w:t>research, innovation, and technological development</w:t>
      </w:r>
      <w:r w:rsidRPr="006C641B">
        <w:rPr>
          <w:rFonts w:ascii="Cambria" w:hAnsi="Cambria"/>
        </w:rPr>
        <w:t xml:space="preserve"> in Europe.</w:t>
      </w:r>
    </w:p>
    <w:p w14:paraId="31774417" w14:textId="0B8FBC03" w:rsidR="006C641B" w:rsidRPr="006C641B" w:rsidRDefault="006C641B" w:rsidP="006C641B">
      <w:pPr>
        <w:rPr>
          <w:rFonts w:ascii="Cambria" w:hAnsi="Cambria"/>
        </w:rPr>
      </w:pPr>
    </w:p>
    <w:p w14:paraId="5DE4C82E" w14:textId="77777777" w:rsidR="006C641B" w:rsidRDefault="006C641B" w:rsidP="006C641B">
      <w:pPr>
        <w:rPr>
          <w:rFonts w:ascii="Cambria" w:hAnsi="Cambria"/>
          <w:b/>
          <w:bCs/>
        </w:rPr>
      </w:pPr>
    </w:p>
    <w:p w14:paraId="3B307FC8" w14:textId="77777777" w:rsidR="006C641B" w:rsidRDefault="006C641B" w:rsidP="006C641B">
      <w:pPr>
        <w:rPr>
          <w:rFonts w:ascii="Cambria" w:hAnsi="Cambria"/>
          <w:b/>
          <w:bCs/>
        </w:rPr>
      </w:pPr>
    </w:p>
    <w:p w14:paraId="39159206" w14:textId="77777777" w:rsidR="006C641B" w:rsidRDefault="006C641B" w:rsidP="006C641B">
      <w:pPr>
        <w:rPr>
          <w:rFonts w:ascii="Cambria" w:hAnsi="Cambria"/>
          <w:b/>
          <w:bCs/>
        </w:rPr>
      </w:pPr>
    </w:p>
    <w:p w14:paraId="477BF435" w14:textId="2CE06F2B" w:rsidR="006C641B" w:rsidRPr="006C641B" w:rsidRDefault="006C641B" w:rsidP="006C641B">
      <w:pPr>
        <w:rPr>
          <w:rFonts w:ascii="Cambria" w:hAnsi="Cambria"/>
          <w:b/>
          <w:bCs/>
        </w:rPr>
      </w:pPr>
      <w:r w:rsidRPr="006C641B">
        <w:rPr>
          <w:rFonts w:ascii="Cambria" w:hAnsi="Cambria"/>
          <w:b/>
          <w:bCs/>
        </w:rPr>
        <w:t xml:space="preserve">3. United States Patent and Trademark Office (USPTO) </w:t>
      </w:r>
      <w:r w:rsidRPr="006C641B">
        <w:rPr>
          <w:rFonts w:ascii="Segoe UI Emoji" w:hAnsi="Segoe UI Emoji" w:cs="Segoe UI Emoji"/>
          <w:b/>
          <w:bCs/>
        </w:rPr>
        <w:t>🇺🇸</w:t>
      </w:r>
    </w:p>
    <w:p w14:paraId="79546486" w14:textId="77777777" w:rsidR="006C641B" w:rsidRPr="006C641B" w:rsidRDefault="006C641B" w:rsidP="006C641B">
      <w:pPr>
        <w:ind w:firstLine="720"/>
        <w:rPr>
          <w:rFonts w:ascii="Cambria" w:hAnsi="Cambria"/>
        </w:rPr>
      </w:pPr>
      <w:r w:rsidRPr="006C641B">
        <w:rPr>
          <w:rFonts w:ascii="Cambria" w:hAnsi="Cambria"/>
        </w:rPr>
        <w:t xml:space="preserve">The United States Patent and Trademark Office </w:t>
      </w:r>
      <w:proofErr w:type="gramStart"/>
      <w:r w:rsidRPr="006C641B">
        <w:rPr>
          <w:rFonts w:ascii="Cambria" w:hAnsi="Cambria"/>
        </w:rPr>
        <w:t>is</w:t>
      </w:r>
      <w:proofErr w:type="gramEnd"/>
      <w:r w:rsidRPr="006C641B">
        <w:rPr>
          <w:rFonts w:ascii="Cambria" w:hAnsi="Cambria"/>
        </w:rPr>
        <w:t xml:space="preserve"> the government agency responsible for granting </w:t>
      </w:r>
      <w:r w:rsidRPr="006C641B">
        <w:rPr>
          <w:rFonts w:ascii="Cambria" w:hAnsi="Cambria"/>
          <w:b/>
          <w:bCs/>
        </w:rPr>
        <w:t>patents and registering trademarks</w:t>
      </w:r>
      <w:r w:rsidRPr="006C641B">
        <w:rPr>
          <w:rFonts w:ascii="Cambria" w:hAnsi="Cambria"/>
        </w:rPr>
        <w:t xml:space="preserve"> in the United States.</w:t>
      </w:r>
    </w:p>
    <w:p w14:paraId="0D442C36" w14:textId="27432292" w:rsidR="006C641B" w:rsidRPr="006C641B" w:rsidRDefault="006C641B" w:rsidP="006C641B">
      <w:pPr>
        <w:ind w:firstLine="720"/>
        <w:rPr>
          <w:rFonts w:ascii="Cambria" w:hAnsi="Cambria"/>
        </w:rPr>
      </w:pPr>
      <w:r w:rsidRPr="006C641B">
        <w:rPr>
          <w:rFonts w:ascii="Cambria" w:hAnsi="Cambria"/>
        </w:rPr>
        <w:t xml:space="preserve">It examines applications, provides legal protection to inventors and businesses, and maintains records of intellectual property </w:t>
      </w:r>
      <w:proofErr w:type="spellStart"/>
      <w:proofErr w:type="gramStart"/>
      <w:r w:rsidRPr="006C641B">
        <w:rPr>
          <w:rFonts w:ascii="Cambria" w:hAnsi="Cambria"/>
        </w:rPr>
        <w:t>rights.USPTO</w:t>
      </w:r>
      <w:proofErr w:type="spellEnd"/>
      <w:proofErr w:type="gramEnd"/>
      <w:r w:rsidRPr="006C641B">
        <w:rPr>
          <w:rFonts w:ascii="Cambria" w:hAnsi="Cambria"/>
        </w:rPr>
        <w:t xml:space="preserve"> also conducts </w:t>
      </w:r>
      <w:r w:rsidRPr="006C641B">
        <w:rPr>
          <w:rFonts w:ascii="Cambria" w:hAnsi="Cambria"/>
          <w:b/>
          <w:bCs/>
        </w:rPr>
        <w:t>public awareness programs and supports innovation and entrepreneurship</w:t>
      </w:r>
      <w:r w:rsidRPr="006C641B">
        <w:rPr>
          <w:rFonts w:ascii="Cambria" w:hAnsi="Cambria"/>
        </w:rPr>
        <w:t>.</w:t>
      </w:r>
    </w:p>
    <w:p w14:paraId="0B60DA5A" w14:textId="2409CE7C" w:rsidR="006C641B" w:rsidRPr="006C641B" w:rsidRDefault="006C641B" w:rsidP="006C641B">
      <w:pPr>
        <w:rPr>
          <w:rFonts w:ascii="Cambria" w:hAnsi="Cambria"/>
        </w:rPr>
      </w:pPr>
    </w:p>
    <w:p w14:paraId="1DA57428" w14:textId="77777777" w:rsidR="006C641B" w:rsidRPr="006C641B" w:rsidRDefault="006C641B" w:rsidP="006C641B">
      <w:pPr>
        <w:rPr>
          <w:rFonts w:ascii="Cambria" w:hAnsi="Cambria"/>
          <w:b/>
          <w:bCs/>
        </w:rPr>
      </w:pPr>
      <w:r w:rsidRPr="006C641B">
        <w:rPr>
          <w:rFonts w:ascii="Cambria" w:hAnsi="Cambria"/>
          <w:b/>
          <w:bCs/>
        </w:rPr>
        <w:t>Conclusion</w:t>
      </w:r>
    </w:p>
    <w:p w14:paraId="6F65E49E" w14:textId="77777777" w:rsidR="006C641B" w:rsidRPr="006C641B" w:rsidRDefault="006C641B" w:rsidP="006C641B">
      <w:pPr>
        <w:ind w:firstLine="720"/>
        <w:rPr>
          <w:rFonts w:ascii="Cambria" w:hAnsi="Cambria"/>
        </w:rPr>
      </w:pPr>
      <w:r w:rsidRPr="006C641B">
        <w:rPr>
          <w:rFonts w:ascii="Cambria" w:hAnsi="Cambria"/>
        </w:rPr>
        <w:t xml:space="preserve">These organisations play a major role in the </w:t>
      </w:r>
      <w:r w:rsidRPr="006C641B">
        <w:rPr>
          <w:rFonts w:ascii="Cambria" w:hAnsi="Cambria"/>
          <w:b/>
          <w:bCs/>
        </w:rPr>
        <w:t>global protection and management of intellectual property rights</w:t>
      </w:r>
      <w:r w:rsidRPr="006C641B">
        <w:rPr>
          <w:rFonts w:ascii="Cambria" w:hAnsi="Cambria"/>
        </w:rPr>
        <w:t>. WTO ensures international IP standards through trade agreements, while regional and national offices like EPO and USPTO provide direct registration and legal protection.</w:t>
      </w:r>
    </w:p>
    <w:p w14:paraId="3300632E" w14:textId="77777777" w:rsidR="006C641B" w:rsidRPr="006C641B" w:rsidRDefault="006C641B" w:rsidP="006C641B">
      <w:pPr>
        <w:ind w:firstLine="720"/>
        <w:rPr>
          <w:rFonts w:ascii="Cambria" w:hAnsi="Cambria"/>
        </w:rPr>
      </w:pPr>
      <w:r w:rsidRPr="006C641B">
        <w:rPr>
          <w:rFonts w:ascii="Cambria" w:hAnsi="Cambria"/>
        </w:rPr>
        <w:t xml:space="preserve">Therefore, such organisations help in </w:t>
      </w:r>
      <w:r w:rsidRPr="006C641B">
        <w:rPr>
          <w:rFonts w:ascii="Cambria" w:hAnsi="Cambria"/>
          <w:b/>
          <w:bCs/>
        </w:rPr>
        <w:t>encouraging innovation, protecting creators’ rights, and promoting fair international trade</w:t>
      </w:r>
      <w:r w:rsidRPr="006C641B">
        <w:rPr>
          <w:rFonts w:ascii="Cambria" w:hAnsi="Cambria"/>
        </w:rPr>
        <w:t xml:space="preserve">. </w:t>
      </w:r>
    </w:p>
    <w:p w14:paraId="44DEE784" w14:textId="77777777" w:rsidR="009D3874" w:rsidRPr="006C641B" w:rsidRDefault="009D3874">
      <w:pPr>
        <w:rPr>
          <w:rFonts w:ascii="Cambria" w:hAnsi="Cambria"/>
        </w:rPr>
      </w:pPr>
    </w:p>
    <w:sectPr w:rsidR="009D3874" w:rsidRPr="006C6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D0C9C"/>
    <w:multiLevelType w:val="hybridMultilevel"/>
    <w:tmpl w:val="6E7A9D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B17641"/>
    <w:multiLevelType w:val="multilevel"/>
    <w:tmpl w:val="F89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362505">
    <w:abstractNumId w:val="1"/>
  </w:num>
  <w:num w:numId="2" w16cid:durableId="52706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1B"/>
    <w:rsid w:val="002B22EF"/>
    <w:rsid w:val="006A2CA2"/>
    <w:rsid w:val="006C641B"/>
    <w:rsid w:val="009D3874"/>
    <w:rsid w:val="00E60C7B"/>
    <w:rsid w:val="00EA3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931D"/>
  <w15:chartTrackingRefBased/>
  <w15:docId w15:val="{6750CE5B-3932-4219-BF3F-C77E0F23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4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4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4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4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1B"/>
    <w:rPr>
      <w:rFonts w:eastAsiaTheme="majorEastAsia" w:cstheme="majorBidi"/>
      <w:color w:val="272727" w:themeColor="text1" w:themeTint="D8"/>
    </w:rPr>
  </w:style>
  <w:style w:type="paragraph" w:styleId="Title">
    <w:name w:val="Title"/>
    <w:basedOn w:val="Normal"/>
    <w:next w:val="Normal"/>
    <w:link w:val="TitleChar"/>
    <w:uiPriority w:val="10"/>
    <w:qFormat/>
    <w:rsid w:val="006C6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1B"/>
    <w:pPr>
      <w:spacing w:before="160"/>
      <w:jc w:val="center"/>
    </w:pPr>
    <w:rPr>
      <w:i/>
      <w:iCs/>
      <w:color w:val="404040" w:themeColor="text1" w:themeTint="BF"/>
    </w:rPr>
  </w:style>
  <w:style w:type="character" w:customStyle="1" w:styleId="QuoteChar">
    <w:name w:val="Quote Char"/>
    <w:basedOn w:val="DefaultParagraphFont"/>
    <w:link w:val="Quote"/>
    <w:uiPriority w:val="29"/>
    <w:rsid w:val="006C641B"/>
    <w:rPr>
      <w:i/>
      <w:iCs/>
      <w:color w:val="404040" w:themeColor="text1" w:themeTint="BF"/>
    </w:rPr>
  </w:style>
  <w:style w:type="paragraph" w:styleId="ListParagraph">
    <w:name w:val="List Paragraph"/>
    <w:basedOn w:val="Normal"/>
    <w:uiPriority w:val="34"/>
    <w:qFormat/>
    <w:rsid w:val="006C641B"/>
    <w:pPr>
      <w:ind w:left="720"/>
      <w:contextualSpacing/>
    </w:pPr>
  </w:style>
  <w:style w:type="character" w:styleId="IntenseEmphasis">
    <w:name w:val="Intense Emphasis"/>
    <w:basedOn w:val="DefaultParagraphFont"/>
    <w:uiPriority w:val="21"/>
    <w:qFormat/>
    <w:rsid w:val="006C641B"/>
    <w:rPr>
      <w:i/>
      <w:iCs/>
      <w:color w:val="2F5496" w:themeColor="accent1" w:themeShade="BF"/>
    </w:rPr>
  </w:style>
  <w:style w:type="paragraph" w:styleId="IntenseQuote">
    <w:name w:val="Intense Quote"/>
    <w:basedOn w:val="Normal"/>
    <w:next w:val="Normal"/>
    <w:link w:val="IntenseQuoteChar"/>
    <w:uiPriority w:val="30"/>
    <w:qFormat/>
    <w:rsid w:val="006C6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41B"/>
    <w:rPr>
      <w:i/>
      <w:iCs/>
      <w:color w:val="2F5496" w:themeColor="accent1" w:themeShade="BF"/>
    </w:rPr>
  </w:style>
  <w:style w:type="character" w:styleId="IntenseReference">
    <w:name w:val="Intense Reference"/>
    <w:basedOn w:val="DefaultParagraphFont"/>
    <w:uiPriority w:val="32"/>
    <w:qFormat/>
    <w:rsid w:val="006C64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1242</Words>
  <Characters>7086</Characters>
  <Application>Microsoft Office Word</Application>
  <DocSecurity>0</DocSecurity>
  <Lines>59</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vishnu</dc:creator>
  <cp:keywords/>
  <dc:description/>
  <cp:lastModifiedBy>vishnu vishnu</cp:lastModifiedBy>
  <cp:revision>2</cp:revision>
  <dcterms:created xsi:type="dcterms:W3CDTF">2026-03-16T13:52:00Z</dcterms:created>
  <dcterms:modified xsi:type="dcterms:W3CDTF">2026-03-16T13:52:00Z</dcterms:modified>
</cp:coreProperties>
</file>