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6"/>
        <w:gridCol w:w="406"/>
        <w:gridCol w:w="6"/>
        <w:gridCol w:w="2705"/>
        <w:gridCol w:w="400"/>
        <w:gridCol w:w="1856"/>
        <w:gridCol w:w="418"/>
        <w:gridCol w:w="832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51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80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108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Lean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0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Problem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Unique Value Proposition</w:t>
            </w:r>
          </w:p>
        </w:tc>
        <w:tc>
          <w:tcPr>
            <w:tcW w:w="3111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Unfair Advantage</w:t>
            </w:r>
          </w:p>
        </w:tc>
        <w:tc>
          <w:tcPr>
            <w:tcW w:w="3106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Top 3 problems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Top 3 features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Single, clear and compelling message that states why you are different and worth buying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5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Can’t be easily copied or bought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6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Target Customers</w:t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Existing Alternatives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Metrics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High-Level Concept</w:t>
            </w:r>
          </w:p>
        </w:tc>
        <w:tc>
          <w:tcPr>
            <w:tcW w:w="3105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6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Early Adopters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how these problems are solved t</w:t>
            </w:r>
            <w:bookmarkStart w:id="0" w:name="_GoBack"/>
            <w:bookmarkEnd w:id="0"/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oday.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Key activities you measure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X for Y analogy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(e.g. YouTube = Flickr for videos)</w:t>
            </w:r>
          </w:p>
        </w:tc>
        <w:tc>
          <w:tcPr>
            <w:tcW w:w="3105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Path to customers</w:t>
            </w:r>
          </w:p>
        </w:tc>
        <w:tc>
          <w:tcPr>
            <w:tcW w:w="3106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the characteristics of your ideal customers.</w:t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Revenue Structure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fixed and variable costs.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Customer acquisition costs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Distribution costs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Hosting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People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Etc.</w:t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List your sources of revenue.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Revenue Model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Life Time Value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Revenue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Gross Margin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Lean Canvas is adapted from The Business Model Canvas (</w:t>
            </w:r>
            <w:hyperlink r:id="rId2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3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4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/>
        <w:rPr/>
      </w:pPr>
      <w:r>
        <w:rPr/>
      </w:r>
    </w:p>
    <w:tbl>
      <w:tblPr>
        <w:tblStyle w:val="TableGrid"/>
        <w:tblW w:w="155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6"/>
        <w:gridCol w:w="406"/>
        <w:gridCol w:w="6"/>
        <w:gridCol w:w="3016"/>
        <w:gridCol w:w="89"/>
        <w:gridCol w:w="1856"/>
        <w:gridCol w:w="418"/>
        <w:gridCol w:w="832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for:</w:t>
            </w:r>
          </w:p>
        </w:tc>
        <w:tc>
          <w:tcPr>
            <w:tcW w:w="310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51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Designed by: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80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Date:</w:t>
            </w:r>
          </w:p>
        </w:tc>
        <w:tc>
          <w:tcPr>
            <w:tcW w:w="83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left="-108" w:right="-944"/>
              <w:jc w:val="left"/>
              <w:rPr>
                <w:rFonts w:ascii="Arial" w:hAnsi="Arial"/>
                <w:sz w:val="18"/>
              </w:rPr>
            </w:pPr>
            <w:r>
              <w:rPr>
                <w:rFonts w:eastAsia="ＭＳ 明朝" w:cs="" w:ascii="Arial" w:hAnsi="Arial"/>
                <w:kern w:val="0"/>
                <w:sz w:val="18"/>
                <w:szCs w:val="24"/>
                <w:lang w:val="en-GB" w:eastAsia="en-US" w:bidi="ar-SA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36"/>
              </w:rPr>
            </w:pPr>
            <w:r>
              <w:rPr>
                <w:rFonts w:eastAsia="ＭＳ 明朝" w:cs="" w:ascii="Arial" w:hAnsi="Arial"/>
                <w:b/>
                <w:kern w:val="0"/>
                <w:sz w:val="36"/>
                <w:szCs w:val="24"/>
                <w:lang w:val="en-GB" w:eastAsia="en-US" w:bidi="ar-SA"/>
              </w:rPr>
              <w:t>Lean Canvas</w:t>
            </w:r>
          </w:p>
        </w:tc>
        <w:tc>
          <w:tcPr>
            <w:tcW w:w="2731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Serenity Harbor</w:t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1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Vansh, Vishnu, Chaithra,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Manikantam.</w:t>
            </w:r>
          </w:p>
        </w:tc>
        <w:tc>
          <w:tcPr>
            <w:tcW w:w="8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09/01/2023</w:t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kern w:val="0"/>
                <w:sz w:val="24"/>
                <w:szCs w:val="24"/>
                <w:lang w:val="en-GB" w:eastAsia="en-US" w:bidi="ar-SA"/>
              </w:rPr>
              <w:t>1.0</w:t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3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5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6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Problem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Unique Value Proposition</w:t>
            </w:r>
          </w:p>
        </w:tc>
        <w:tc>
          <w:tcPr>
            <w:tcW w:w="3111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Unfair Advantage</w:t>
            </w:r>
          </w:p>
        </w:tc>
        <w:tc>
          <w:tcPr>
            <w:tcW w:w="3106" w:type="dxa"/>
            <w:gridSpan w:val="3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Accessibility,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waiting time.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Financial barriers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Unavailabilty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Therapist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 patient Ratio is low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  <w:t xml:space="preserve">- </w:t>
            </w:r>
            <w:r>
              <w:rPr>
                <w:rFonts w:ascii="Arial" w:hAnsi="Arial"/>
                <w:color w:themeColor="background1" w:themeShade="80" w:val="808080"/>
                <w:sz w:val="20"/>
              </w:rPr>
              <w:t xml:space="preserve">Social stigma 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 24/7 AI based mental health support.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Voice and Chat based assistant.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Also  a tool for therapists to provide enhanced treatment.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  <w:t>Our mental health app goes beyond traditional solutions by seamlessly integrating personalized AI-driven insights, evidence-based interventions, and real-time emotional support. Tailored to one’s unique needs.</w:t>
            </w:r>
          </w:p>
        </w:tc>
        <w:tc>
          <w:tcPr>
            <w:tcW w:w="3105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6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Existing customer base of therapists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Therapists /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Psychiatrists /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Counsellors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People with anxiety, depression, or stress.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Corporate Employees</w:t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Existing Alternatives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Key Metrics</w:t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High-Level Concept</w:t>
            </w:r>
          </w:p>
        </w:tc>
        <w:tc>
          <w:tcPr>
            <w:tcW w:w="3105" w:type="dxa"/>
            <w:gridSpan w:val="2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Channels</w:t>
            </w:r>
          </w:p>
        </w:tc>
        <w:tc>
          <w:tcPr>
            <w:tcW w:w="3106" w:type="dxa"/>
            <w:gridSpan w:val="3"/>
            <w:tcBorders>
              <w:top w:val="nil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Early Adopters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Psychiatrists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Wysa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Apps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Government Hotlines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User retention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Number of  Downloads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Average time spent on application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User Satisfaction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Continous feedback from Therapists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096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A mental health assistan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t which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 can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assist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 p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eople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emotionally and mentally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 when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ever required.</w:t>
            </w:r>
          </w:p>
        </w:tc>
        <w:tc>
          <w:tcPr>
            <w:tcW w:w="3105" w:type="dxa"/>
            <w:gridSpan w:val="2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Insitutes and associations.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NGO’s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Individual practioner’s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Referrals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-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Employee assistance program.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3106" w:type="dxa"/>
            <w:gridSpan w:val="3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Government hotlines.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- Mental health insitutes and    associations.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0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Cost Structure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eastAsia="ＭＳ 明朝" w:cs="" w:ascii="Arial" w:hAnsi="Arial"/>
                <w:b/>
                <w:kern w:val="0"/>
                <w:sz w:val="22"/>
                <w:szCs w:val="24"/>
                <w:lang w:val="en-GB" w:eastAsia="en-US" w:bidi="ar-SA"/>
              </w:rPr>
              <w:t>Revenue Structure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 xml:space="preserve">Intial Cost of Development and pilot project– $ 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2</w:t>
            </w: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5k dollars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Customer acquisition costs – $ 50  per psychatrist.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Employee Cost – $ 5k per month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Server and Running Cost - $ 2k per month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Office and on-premise cost - $ 2k per month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32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  <w:tc>
          <w:tcPr>
            <w:tcW w:w="7809" w:type="dxa"/>
            <w:gridSpan w:val="8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Subscrption based revenue model, $ 50-60 per month.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eastAsia="ＭＳ 明朝" w:cs="" w:ascii="Arial" w:hAnsi="Arial"/>
                <w:color w:themeColor="background1" w:themeShade="80" w:val="808080"/>
                <w:kern w:val="0"/>
                <w:sz w:val="20"/>
                <w:szCs w:val="24"/>
                <w:lang w:val="en-GB" w:eastAsia="en-US" w:bidi="ar-SA"/>
              </w:rPr>
              <w:t>Enterprise based models for companies.</w:t>
            </w:r>
          </w:p>
          <w:p>
            <w:pPr>
              <w:pStyle w:val="Normal"/>
              <w:widowControl/>
              <w:suppressAutoHyphens w:val="true"/>
              <w:spacing w:before="0" w:after="0"/>
              <w:ind w:right="-18"/>
              <w:jc w:val="left"/>
              <w:rPr>
                <w:rFonts w:ascii="Arial" w:hAnsi="Arial"/>
                <w:color w:themeColor="background1" w:themeShade="80" w:val="808080"/>
                <w:sz w:val="20"/>
              </w:rPr>
            </w:pPr>
            <w:r>
              <w:rPr>
                <w:rFonts w:ascii="Arial" w:hAnsi="Arial"/>
                <w:color w:themeColor="background1" w:themeShade="80" w:val="808080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944"/>
              <w:jc w:val="left"/>
              <w:rPr>
                <w:rFonts w:ascii="Arial" w:hAnsi="Arial"/>
                <w:sz w:val="16"/>
              </w:rPr>
            </w:pPr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Lean Canvas is adapted from The Business Model Canvas (</w:t>
            </w:r>
            <w:hyperlink r:id="rId5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www.businessmodelgeneration.com/canvas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>). Word implementation by: Neos Chronos Limited (</w:t>
            </w:r>
            <w:hyperlink r:id="rId6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en-GB" w:eastAsia="en-US" w:bidi="ar-SA"/>
                </w:rPr>
                <w:t>https://neoschronos.com</w:t>
              </w:r>
            </w:hyperlink>
            <w:r>
              <w:rPr>
                <w:rFonts w:eastAsia="ＭＳ 明朝" w:cs="" w:ascii="Arial" w:hAnsi="Arial"/>
                <w:kern w:val="0"/>
                <w:sz w:val="16"/>
                <w:szCs w:val="24"/>
                <w:lang w:val="en-GB" w:eastAsia="en-US" w:bidi="ar-SA"/>
              </w:rPr>
              <w:t xml:space="preserve">). License: </w:t>
            </w:r>
            <w:hyperlink r:id="rId7">
              <w:r>
                <w:rPr>
                  <w:rStyle w:val="Hyperlink"/>
                  <w:rFonts w:eastAsia="ＭＳ 明朝" w:cs="" w:ascii="Arial" w:hAnsi="Arial"/>
                  <w:kern w:val="0"/>
                  <w:sz w:val="16"/>
                  <w:szCs w:val="24"/>
                  <w:lang w:val="mr-IN" w:eastAsia="en-US" w:bidi="ar-SA"/>
                </w:rPr>
                <w:t>CC BY-SA 3.0</w:t>
              </w:r>
            </w:hyperlink>
          </w:p>
        </w:tc>
      </w:tr>
    </w:tbl>
    <w:p>
      <w:pPr>
        <w:pStyle w:val="Normal"/>
        <w:ind w:right="-944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6838" w:h="11906"/>
      <w:pgMar w:left="663" w:right="692" w:gutter="0" w:header="0" w:top="567" w:footer="0" w:bottom="567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shape_0" adj="10800" fillcolor="silver" stroked="f" o:allowincell="f" style="position:absolute;margin-left:0.05pt;margin-top:0pt;width:772.95pt;height:60.1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style="font-family:&quot;Cambria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1" o:spid="shape_0" adj="10800" fillcolor="silver" stroked="f" o:allowincell="f" style="position:absolute;margin-left:378.2pt;margin-top:268.6pt;width:17.65pt;height:1.3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style="font-family:&quot;Cambria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 id="PowerPlusWaterMarkObject1" o:spid="shape_0" adj="10800" fillcolor="silver" stroked="f" o:allowincell="f" style="position:absolute;margin-left:378.2pt;margin-top:268.6pt;width:17.65pt;height:1.3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Template" style="font-family:&quot;Cambria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125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316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041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041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usinessmodelgeneration.com/canvas" TargetMode="External"/><Relationship Id="rId3" Type="http://schemas.openxmlformats.org/officeDocument/2006/relationships/hyperlink" Target="https://neoschronos.com/" TargetMode="External"/><Relationship Id="rId4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://www.businessmodelgeneration.com/canvas" TargetMode="External"/><Relationship Id="rId6" Type="http://schemas.openxmlformats.org/officeDocument/2006/relationships/hyperlink" Target="https://neoschronos.com/" TargetMode="External"/><Relationship Id="rId7" Type="http://schemas.openxmlformats.org/officeDocument/2006/relationships/hyperlink" Target="https://creativecommons.org/licenses/by-sa/3.0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LibreOffice/7.6.4.1$Linux_X86_64 LibreOffice_project/60$Build-1</Application>
  <HyperlinkBase>https://neoschronos.com/assets/</HyperlinkBase>
  <AppVersion>15.0000</AppVersion>
  <Pages>3</Pages>
  <Words>412</Words>
  <Characters>2475</Characters>
  <CharactersWithSpaces>2796</CharactersWithSpaces>
  <Paragraphs>101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 Template DOC</cp:category>
  <dcterms:created xsi:type="dcterms:W3CDTF">2019-05-23T08:39:00Z</dcterms:created>
  <dc:creator>Thomas Papanikolaou</dc:creator>
  <dc:description>Lean Canvas is adapted from The Business Model Canvas (www.businessmodelgeneration.com/canvas). This work is licensed under the Creative Commons Attribution-Share Alike 3.0 Unported License.</dc:description>
  <cp:keywords>Lean Canvas Free Template Word doc docx</cp:keywords>
  <dc:language>en-IN</dc:language>
  <cp:lastModifiedBy/>
  <cp:lastPrinted>2019-05-23T09:25:00Z</cp:lastPrinted>
  <dcterms:modified xsi:type="dcterms:W3CDTF">2024-02-07T22:16:15Z</dcterms:modified>
  <cp:revision>26</cp:revision>
  <dc:subject/>
  <dc:title>Lean Canvas Template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Leanl Canvas Word Template</vt:lpwstr>
  </property>
</Properties>
</file>