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56"/>
          <w:szCs w:val="56"/>
        </w:rPr>
        <w:t xml:space="preserve">Functional Requirements Document</w:t>
      </w:r>
    </w:p>
    <w:p>
      <w:pPr>
        <w:spacing w:after="100"/>
        <w:jc w:val="center"/>
      </w:pPr>
      <w:r>
        <w:rPr>
          <w:b/>
          <w:bCs/>
          <w:color w:val="333333"/>
          <w:sz w:val="34"/>
          <w:szCs w:val="34"/>
        </w:rPr>
        <w:t xml:space="preserve">ShopSphere E-Commerce Platform</w:t>
      </w:r>
    </w:p>
    <w:p>
      <w:pPr>
        <w:spacing w:after="700"/>
        <w:jc w:val="center"/>
      </w:pPr>
      <w:r>
        <w:rPr>
          <w:i/>
          <w:iCs/>
          <w:color w:val="666666"/>
          <w:sz w:val="26"/>
          <w:szCs w:val="26"/>
        </w:rPr>
        <w:t xml:space="preserve">Release 2.0 — Unified Cart, Checkout &amp; Fulfillment Enhancement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000"/>
        <w:gridCol w:w="6240"/>
      </w:tblGrid>
      <w:tr>
        <w:tc>
          <w:tcPr>
            <w:tcW w:type="dxa" w:w="3000"/>
            <w:shd w:fill="EEF3F9" w:val="clear"/>
            <w:tcMar>
              <w:top w:type="dxa" w:w="100"/>
              <w:left w:type="dxa" w:w="120"/>
              <w:bottom w:type="dxa" w:w="100"/>
              <w:right w:type="dxa" w:w="120"/>
            </w:tcMar>
          </w:tcPr>
          <w:p>
            <w:r>
              <w:rPr>
                <w:b/>
                <w:bCs/>
              </w:rPr>
              <w:t xml:space="preserve">Document Version</w:t>
            </w:r>
          </w:p>
        </w:tc>
        <w:tc>
          <w:tcPr>
            <w:tcW w:type="dxa" w:w="6240"/>
            <w:tcMar>
              <w:top w:type="dxa" w:w="100"/>
              <w:left w:type="dxa" w:w="120"/>
              <w:bottom w:type="dxa" w:w="100"/>
              <w:right w:type="dxa" w:w="120"/>
            </w:tcMar>
          </w:tcPr>
          <w:p>
            <w:r>
              <w:t xml:space="preserve">2.0</w:t>
            </w:r>
          </w:p>
        </w:tc>
      </w:tr>
      <w:tr>
        <w:tc>
          <w:tcPr>
            <w:tcW w:type="dxa" w:w="3000"/>
            <w:shd w:fill="EEF3F9" w:val="clear"/>
            <w:tcMar>
              <w:top w:type="dxa" w:w="100"/>
              <w:left w:type="dxa" w:w="120"/>
              <w:bottom w:type="dxa" w:w="100"/>
              <w:right w:type="dxa" w:w="120"/>
            </w:tcMar>
          </w:tcPr>
          <w:p>
            <w:r>
              <w:rPr>
                <w:b/>
                <w:bCs/>
              </w:rPr>
              <w:t xml:space="preserve">Prepared By</w:t>
            </w:r>
          </w:p>
        </w:tc>
        <w:tc>
          <w:tcPr>
            <w:tcW w:type="dxa" w:w="6240"/>
            <w:tcMar>
              <w:top w:type="dxa" w:w="100"/>
              <w:left w:type="dxa" w:w="120"/>
              <w:bottom w:type="dxa" w:w="100"/>
              <w:right w:type="dxa" w:w="120"/>
            </w:tcMar>
          </w:tcPr>
          <w:p>
            <w:r>
              <w:t xml:space="preserve">Ananya Iyer, Senior Business Analyst</w:t>
            </w:r>
          </w:p>
        </w:tc>
      </w:tr>
      <w:tr>
        <w:tc>
          <w:tcPr>
            <w:tcW w:type="dxa" w:w="3000"/>
            <w:shd w:fill="EEF3F9" w:val="clear"/>
            <w:tcMar>
              <w:top w:type="dxa" w:w="100"/>
              <w:left w:type="dxa" w:w="120"/>
              <w:bottom w:type="dxa" w:w="100"/>
              <w:right w:type="dxa" w:w="120"/>
            </w:tcMar>
          </w:tcPr>
          <w:p>
            <w:r>
              <w:rPr>
                <w:b/>
                <w:bCs/>
              </w:rPr>
              <w:t xml:space="preserve">Reviewed By</w:t>
            </w:r>
          </w:p>
        </w:tc>
        <w:tc>
          <w:tcPr>
            <w:tcW w:type="dxa" w:w="6240"/>
            <w:tcMar>
              <w:top w:type="dxa" w:w="100"/>
              <w:left w:type="dxa" w:w="120"/>
              <w:bottom w:type="dxa" w:w="100"/>
              <w:right w:type="dxa" w:w="120"/>
            </w:tcMar>
          </w:tcPr>
          <w:p>
            <w:r>
              <w:t xml:space="preserve">Karthik Rao, Engineering Lead</w:t>
            </w:r>
          </w:p>
        </w:tc>
      </w:tr>
      <w:tr>
        <w:tc>
          <w:tcPr>
            <w:tcW w:type="dxa" w:w="3000"/>
            <w:shd w:fill="EEF3F9" w:val="clear"/>
            <w:tcMar>
              <w:top w:type="dxa" w:w="100"/>
              <w:left w:type="dxa" w:w="120"/>
              <w:bottom w:type="dxa" w:w="100"/>
              <w:right w:type="dxa" w:w="120"/>
            </w:tcMar>
          </w:tcPr>
          <w:p>
            <w:r>
              <w:rPr>
                <w:b/>
                <w:bCs/>
              </w:rPr>
              <w:t xml:space="preserve">Approved By</w:t>
            </w:r>
          </w:p>
        </w:tc>
        <w:tc>
          <w:tcPr>
            <w:tcW w:type="dxa" w:w="6240"/>
            <w:tcMar>
              <w:top w:type="dxa" w:w="100"/>
              <w:left w:type="dxa" w:w="120"/>
              <w:bottom w:type="dxa" w:w="100"/>
              <w:right w:type="dxa" w:w="120"/>
            </w:tcMar>
          </w:tcPr>
          <w:p>
            <w:r>
              <w:t xml:space="preserve">Meera Nair, Director of Product</w:t>
            </w:r>
          </w:p>
        </w:tc>
      </w:tr>
      <w:tr>
        <w:tc>
          <w:tcPr>
            <w:tcW w:type="dxa" w:w="3000"/>
            <w:shd w:fill="EEF3F9" w:val="clear"/>
            <w:tcMar>
              <w:top w:type="dxa" w:w="100"/>
              <w:left w:type="dxa" w:w="120"/>
              <w:bottom w:type="dxa" w:w="100"/>
              <w:right w:type="dxa" w:w="120"/>
            </w:tcMar>
          </w:tcPr>
          <w:p>
            <w:r>
              <w:rPr>
                <w:b/>
                <w:bCs/>
              </w:rPr>
              <w:t xml:space="preserve">Date</w:t>
            </w:r>
          </w:p>
        </w:tc>
        <w:tc>
          <w:tcPr>
            <w:tcW w:type="dxa" w:w="6240"/>
            <w:tcMar>
              <w:top w:type="dxa" w:w="100"/>
              <w:left w:type="dxa" w:w="120"/>
              <w:bottom w:type="dxa" w:w="100"/>
              <w:right w:type="dxa" w:w="120"/>
            </w:tcMar>
          </w:tcPr>
          <w:p>
            <w:r>
              <w:t xml:space="preserve">15-Jul-2026</w:t>
            </w:r>
          </w:p>
        </w:tc>
      </w:tr>
      <w:tr>
        <w:tc>
          <w:tcPr>
            <w:tcW w:type="dxa" w:w="3000"/>
            <w:shd w:fill="EEF3F9" w:val="clear"/>
            <w:tcMar>
              <w:top w:type="dxa" w:w="100"/>
              <w:left w:type="dxa" w:w="120"/>
              <w:bottom w:type="dxa" w:w="100"/>
              <w:right w:type="dxa" w:w="120"/>
            </w:tcMar>
          </w:tcPr>
          <w:p>
            <w:r>
              <w:rPr>
                <w:b/>
                <w:bCs/>
              </w:rPr>
              <w:t xml:space="preserve">Status</w:t>
            </w:r>
          </w:p>
        </w:tc>
        <w:tc>
          <w:tcPr>
            <w:tcW w:type="dxa" w:w="6240"/>
            <w:tcMar>
              <w:top w:type="dxa" w:w="100"/>
              <w:left w:type="dxa" w:w="120"/>
              <w:bottom w:type="dxa" w:w="100"/>
              <w:right w:type="dxa" w:w="120"/>
            </w:tcMar>
          </w:tcPr>
          <w:p>
            <w:r>
              <w:t xml:space="preserve">Final — Approved for Development</w:t>
            </w:r>
          </w:p>
        </w:tc>
      </w:tr>
      <w:tr>
        <w:tc>
          <w:tcPr>
            <w:tcW w:type="dxa" w:w="3000"/>
            <w:shd w:fill="EEF3F9" w:val="clear"/>
            <w:tcMar>
              <w:top w:type="dxa" w:w="100"/>
              <w:left w:type="dxa" w:w="120"/>
              <w:bottom w:type="dxa" w:w="100"/>
              <w:right w:type="dxa" w:w="120"/>
            </w:tcMar>
          </w:tcPr>
          <w:p>
            <w:r>
              <w:rPr>
                <w:b/>
                <w:bCs/>
              </w:rPr>
              <w:t xml:space="preserve">Confidentiality</w:t>
            </w:r>
          </w:p>
        </w:tc>
        <w:tc>
          <w:tcPr>
            <w:tcW w:type="dxa" w:w="6240"/>
            <w:tcMar>
              <w:top w:type="dxa" w:w="100"/>
              <w:left w:type="dxa" w:w="120"/>
              <w:bottom w:type="dxa" w:w="100"/>
              <w:right w:type="dxa" w:w="120"/>
            </w:tcMar>
          </w:tcPr>
          <w:p>
            <w:r>
              <w:t xml:space="preserve">Internal Use Only — ShopSphere Inc.</w:t>
            </w:r>
          </w:p>
        </w:tc>
      </w:tr>
    </w:tbl>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Purpose</w:t>
      </w:r>
    </w:p>
    <w:p>
      <w:pPr>
        <w:spacing w:after="160"/>
      </w:pPr>
      <w:r>
        <w:t xml:space="preserve">This document defines the functional and non-functional requirements for Release 2.0 of the ShopSphere e-commerce platform, covering the unified shopping cart, streamlined checkout, and order fulfillment enhancement. It serves as the single source of truth for the Engineering, QA, Product, and Customer Support teams during design, development, testing, and UAT sign-off, and forms the baseline against which the manual and automated test suites are derived.</w:t>
      </w:r>
    </w:p>
    <w:p>
      <w:pPr>
        <w:spacing w:after="160"/>
      </w:pPr>
      <w:r>
        <w:t xml:space="preserve">The intended audience includes Product Managers, Business Analysts, Software Engineers (frontend, backend, and DevOps), QA Engineers, and third-party integration partners (payments, logistics, and notification providers).</w:t>
      </w:r>
    </w:p>
    <w:p>
      <w:pPr>
        <w:pStyle w:val="Heading1"/>
        <w:spacing w:after="200" w:before="400"/>
      </w:pPr>
      <w:r>
        <w:t xml:space="preserve">2. Scope &amp; Applicability</w:t>
      </w:r>
    </w:p>
    <w:p>
      <w:pPr>
        <w:pStyle w:val="Heading2"/>
        <w:spacing w:after="120" w:before="240"/>
      </w:pPr>
      <w:r>
        <w:t xml:space="preserve">2.1 In Scope</w:t>
      </w:r>
    </w:p>
    <w:p>
      <w:pPr>
        <w:pStyle w:val="ListParagraph"/>
        <w:numPr>
          <w:ilvl w:val="0"/>
          <w:numId w:val="1"/>
        </w:numPr>
        <w:spacing w:after="80"/>
      </w:pPr>
      <w:r>
        <w:t xml:space="preserve">Customer-facing web storefront (React 18 + Redux Toolkit), fully responsive for desktop, tablet, and mobile web.</w:t>
      </w:r>
    </w:p>
    <w:p>
      <w:pPr>
        <w:pStyle w:val="ListParagraph"/>
        <w:numPr>
          <w:ilvl w:val="0"/>
          <w:numId w:val="1"/>
        </w:numPr>
        <w:spacing w:after="80"/>
      </w:pPr>
      <w:r>
        <w:t xml:space="preserve">REST API backend (Node.js / Express) exposing catalog, cart, checkout, order, and account services.</w:t>
      </w:r>
    </w:p>
    <w:p>
      <w:pPr>
        <w:pStyle w:val="ListParagraph"/>
        <w:numPr>
          <w:ilvl w:val="0"/>
          <w:numId w:val="1"/>
        </w:numPr>
        <w:spacing w:after="80"/>
      </w:pPr>
      <w:r>
        <w:t xml:space="preserve">Persistent, cross-device shopping cart backed by Redis session cache and PostgreSQL.</w:t>
      </w:r>
    </w:p>
    <w:p>
      <w:pPr>
        <w:pStyle w:val="ListParagraph"/>
        <w:numPr>
          <w:ilvl w:val="0"/>
          <w:numId w:val="1"/>
        </w:numPr>
        <w:spacing w:after="80"/>
      </w:pPr>
      <w:r>
        <w:t xml:space="preserve">Unified two-step checkout flow with guest checkout and saved payment methods (via Stripe).</w:t>
      </w:r>
    </w:p>
    <w:p>
      <w:pPr>
        <w:pStyle w:val="ListParagraph"/>
        <w:numPr>
          <w:ilvl w:val="0"/>
          <w:numId w:val="1"/>
        </w:numPr>
        <w:spacing w:after="80"/>
      </w:pPr>
      <w:r>
        <w:t xml:space="preserve">Order management module including status tracking, cancellation, and return initiation.</w:t>
      </w:r>
    </w:p>
    <w:p>
      <w:pPr>
        <w:pStyle w:val="ListParagraph"/>
        <w:numPr>
          <w:ilvl w:val="0"/>
          <w:numId w:val="1"/>
        </w:numPr>
        <w:spacing w:after="80"/>
      </w:pPr>
      <w:r>
        <w:t xml:space="preserve">Admin Portal enhancements for inventory management, order fulfillment, and sales reporting.</w:t>
      </w:r>
    </w:p>
    <w:p>
      <w:pPr>
        <w:pStyle w:val="ListParagraph"/>
        <w:numPr>
          <w:ilvl w:val="0"/>
          <w:numId w:val="1"/>
        </w:numPr>
        <w:spacing w:after="80"/>
      </w:pPr>
      <w:r>
        <w:t xml:space="preserve">Coupon and discount engine, wishlist, and product ratings &amp; reviews.</w:t>
      </w:r>
    </w:p>
    <w:p>
      <w:pPr>
        <w:pStyle w:val="ListParagraph"/>
        <w:numPr>
          <w:ilvl w:val="0"/>
          <w:numId w:val="1"/>
        </w:numPr>
        <w:spacing w:after="80"/>
      </w:pPr>
      <w:r>
        <w:t xml:space="preserve">Transactional notifications via email (SendGrid) and SMS (Twilio).</w:t>
      </w:r>
    </w:p>
    <w:p>
      <w:pPr>
        <w:pStyle w:val="Heading2"/>
        <w:spacing w:after="120" w:before="240"/>
      </w:pPr>
      <w:r>
        <w:t xml:space="preserve">2.2 Out of Scope</w:t>
      </w:r>
    </w:p>
    <w:p>
      <w:pPr>
        <w:pStyle w:val="ListParagraph"/>
        <w:numPr>
          <w:ilvl w:val="0"/>
          <w:numId w:val="1"/>
        </w:numPr>
        <w:spacing w:after="80"/>
      </w:pPr>
      <w:r>
        <w:t xml:space="preserve">Native iOS and Android mobile applications (tracked separately on the Mobile Apps roadmap).</w:t>
      </w:r>
    </w:p>
    <w:p>
      <w:pPr>
        <w:pStyle w:val="ListParagraph"/>
        <w:numPr>
          <w:ilvl w:val="0"/>
          <w:numId w:val="1"/>
        </w:numPr>
        <w:spacing w:after="80"/>
      </w:pPr>
      <w:r>
        <w:t xml:space="preserve">Multi-vendor marketplace onboarding and seller dashboards (planned for Release 3.0).</w:t>
      </w:r>
    </w:p>
    <w:p>
      <w:pPr>
        <w:pStyle w:val="ListParagraph"/>
        <w:numPr>
          <w:ilvl w:val="0"/>
          <w:numId w:val="1"/>
        </w:numPr>
        <w:spacing w:after="80"/>
      </w:pPr>
      <w:r>
        <w:t xml:space="preserve">Loyalty points and rewards program (planned for Release 3.0).</w:t>
      </w:r>
    </w:p>
    <w:p>
      <w:pPr>
        <w:pStyle w:val="ListParagraph"/>
        <w:numPr>
          <w:ilvl w:val="0"/>
          <w:numId w:val="1"/>
        </w:numPr>
        <w:spacing w:after="80"/>
      </w:pPr>
      <w:r>
        <w:t xml:space="preserve">In-store point-of-sale (POS) integration.</w:t>
      </w:r>
    </w:p>
    <w:p>
      <w:pPr>
        <w:pStyle w:val="Heading2"/>
        <w:spacing w:after="120" w:before="240"/>
      </w:pPr>
      <w:r>
        <w:t xml:space="preserve">2.3 Applicability</w:t>
      </w:r>
    </w:p>
    <w:p>
      <w:pPr>
        <w:spacing w:after="160"/>
      </w:pPr>
      <w:r>
        <w:t xml:space="preserve">This document applies to the ShopSphere web storefront (shop.shopsphere.com), the internal Admin Portal (admin.shopsphere.com), and all upstream/downstream integration partners listed in Section 7. It is binding for the Engineering and QA teams delivering Release 2.0 and informative for Customer Support and Marketing stakeholders.</w:t>
      </w:r>
    </w:p>
    <w:p>
      <w:pPr>
        <w:pStyle w:val="Heading1"/>
        <w:spacing w:after="200" w:before="400"/>
      </w:pPr>
      <w:r>
        <w:t xml:space="preserve">3. References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600"/>
        <w:gridCol w:w="2740"/>
      </w:tblGrid>
      <w:tr>
        <w:trPr>
          <w:tblHeader/>
        </w:trPr>
        <w:tc>
          <w:tcPr>
            <w:tcW w:type="dxa" w:w="700"/>
            <w:shd w:fill="1F4E79" w:val="clear"/>
            <w:tcMar>
              <w:top w:type="dxa" w:w="100"/>
              <w:left w:type="dxa" w:w="120"/>
              <w:bottom w:type="dxa" w:w="100"/>
              <w:right w:type="dxa" w:w="120"/>
            </w:tcMar>
          </w:tcPr>
          <w:p>
            <w:r>
              <w:rPr>
                <w:b/>
                <w:bCs/>
                <w:color w:val="FFFFFF"/>
              </w:rPr>
              <w:t xml:space="preserve">#</w:t>
            </w:r>
          </w:p>
        </w:tc>
        <w:tc>
          <w:tcPr>
            <w:tcW w:type="dxa" w:w="4200"/>
            <w:shd w:fill="1F4E79" w:val="clear"/>
            <w:tcMar>
              <w:top w:type="dxa" w:w="100"/>
              <w:left w:type="dxa" w:w="120"/>
              <w:bottom w:type="dxa" w:w="100"/>
              <w:right w:type="dxa" w:w="120"/>
            </w:tcMar>
          </w:tcPr>
          <w:p>
            <w:r>
              <w:rPr>
                <w:b/>
                <w:bCs/>
                <w:color w:val="FFFFFF"/>
              </w:rPr>
              <w:t xml:space="preserve">Document / Source</w:t>
            </w:r>
          </w:p>
        </w:tc>
        <w:tc>
          <w:tcPr>
            <w:tcW w:type="dxa" w:w="1600"/>
            <w:shd w:fill="1F4E79" w:val="clear"/>
            <w:tcMar>
              <w:top w:type="dxa" w:w="100"/>
              <w:left w:type="dxa" w:w="120"/>
              <w:bottom w:type="dxa" w:w="100"/>
              <w:right w:type="dxa" w:w="120"/>
            </w:tcMar>
          </w:tcPr>
          <w:p>
            <w:r>
              <w:rPr>
                <w:b/>
                <w:bCs/>
                <w:color w:val="FFFFFF"/>
              </w:rPr>
              <w:t xml:space="preserve">Version</w:t>
            </w:r>
          </w:p>
        </w:tc>
        <w:tc>
          <w:tcPr>
            <w:tcW w:type="dxa" w:w="2740"/>
            <w:shd w:fill="1F4E79" w:val="clear"/>
            <w:tcMar>
              <w:top w:type="dxa" w:w="100"/>
              <w:left w:type="dxa" w:w="120"/>
              <w:bottom w:type="dxa" w:w="100"/>
              <w:right w:type="dxa" w:w="120"/>
            </w:tcMar>
          </w:tcPr>
          <w:p>
            <w:r>
              <w:rPr>
                <w:b/>
                <w:bCs/>
                <w:color w:val="FFFFFF"/>
              </w:rPr>
              <w:t xml:space="preserve">Location / Link</w:t>
            </w:r>
          </w:p>
        </w:tc>
      </w:tr>
      <w:tr>
        <w:tc>
          <w:tcPr>
            <w:tcW w:type="dxa" w:w="700"/>
            <w:tcMar>
              <w:top w:type="dxa" w:w="100"/>
              <w:left w:type="dxa" w:w="120"/>
              <w:bottom w:type="dxa" w:w="100"/>
              <w:right w:type="dxa" w:w="120"/>
            </w:tcMar>
          </w:tcPr>
          <w:p>
            <w:r>
              <w:t xml:space="preserve">1</w:t>
            </w:r>
          </w:p>
        </w:tc>
        <w:tc>
          <w:tcPr>
            <w:tcW w:type="dxa" w:w="4200"/>
            <w:tcMar>
              <w:top w:type="dxa" w:w="100"/>
              <w:left w:type="dxa" w:w="120"/>
              <w:bottom w:type="dxa" w:w="100"/>
              <w:right w:type="dxa" w:w="120"/>
            </w:tcMar>
          </w:tcPr>
          <w:p>
            <w:r>
              <w:t xml:space="preserve">ShopSphere Business Requirements Document (BRD)</w:t>
            </w:r>
          </w:p>
        </w:tc>
        <w:tc>
          <w:tcPr>
            <w:tcW w:type="dxa" w:w="1600"/>
            <w:tcMar>
              <w:top w:type="dxa" w:w="100"/>
              <w:left w:type="dxa" w:w="120"/>
              <w:bottom w:type="dxa" w:w="100"/>
              <w:right w:type="dxa" w:w="120"/>
            </w:tcMar>
          </w:tcPr>
          <w:p>
            <w:r>
              <w:t xml:space="preserve">v3.2</w:t>
            </w:r>
          </w:p>
        </w:tc>
        <w:tc>
          <w:tcPr>
            <w:tcW w:type="dxa" w:w="2740"/>
            <w:tcMar>
              <w:top w:type="dxa" w:w="100"/>
              <w:left w:type="dxa" w:w="120"/>
              <w:bottom w:type="dxa" w:w="100"/>
              <w:right w:type="dxa" w:w="120"/>
            </w:tcMar>
          </w:tcPr>
          <w:p>
            <w:r>
              <w:t xml:space="preserve">confluence.shopsphere.internal/BRD-320</w:t>
            </w:r>
          </w:p>
        </w:tc>
      </w:tr>
      <w:tr>
        <w:tc>
          <w:tcPr>
            <w:tcW w:type="dxa" w:w="700"/>
            <w:tcMar>
              <w:top w:type="dxa" w:w="100"/>
              <w:left w:type="dxa" w:w="120"/>
              <w:bottom w:type="dxa" w:w="100"/>
              <w:right w:type="dxa" w:w="120"/>
            </w:tcMar>
          </w:tcPr>
          <w:p>
            <w:r>
              <w:t xml:space="preserve">2</w:t>
            </w:r>
          </w:p>
        </w:tc>
        <w:tc>
          <w:tcPr>
            <w:tcW w:type="dxa" w:w="4200"/>
            <w:tcMar>
              <w:top w:type="dxa" w:w="100"/>
              <w:left w:type="dxa" w:w="120"/>
              <w:bottom w:type="dxa" w:w="100"/>
              <w:right w:type="dxa" w:w="120"/>
            </w:tcMar>
          </w:tcPr>
          <w:p>
            <w:r>
              <w:t xml:space="preserve">Checkout Revamp — UI/UX Wireframes (Figma)</w:t>
            </w:r>
          </w:p>
        </w:tc>
        <w:tc>
          <w:tcPr>
            <w:tcW w:type="dxa" w:w="1600"/>
            <w:tcMar>
              <w:top w:type="dxa" w:w="100"/>
              <w:left w:type="dxa" w:w="120"/>
              <w:bottom w:type="dxa" w:w="100"/>
              <w:right w:type="dxa" w:w="120"/>
            </w:tcMar>
          </w:tcPr>
          <w:p>
            <w:r>
              <w:t xml:space="preserve">v1.4</w:t>
            </w:r>
          </w:p>
        </w:tc>
        <w:tc>
          <w:tcPr>
            <w:tcW w:type="dxa" w:w="2740"/>
            <w:tcMar>
              <w:top w:type="dxa" w:w="100"/>
              <w:left w:type="dxa" w:w="120"/>
              <w:bottom w:type="dxa" w:w="100"/>
              <w:right w:type="dxa" w:w="120"/>
            </w:tcMar>
          </w:tcPr>
          <w:p>
            <w:r>
              <w:t xml:space="preserve">figma.com/shopsphere/checkout-revamp</w:t>
            </w:r>
          </w:p>
        </w:tc>
      </w:tr>
      <w:tr>
        <w:tc>
          <w:tcPr>
            <w:tcW w:type="dxa" w:w="700"/>
            <w:tcMar>
              <w:top w:type="dxa" w:w="100"/>
              <w:left w:type="dxa" w:w="120"/>
              <w:bottom w:type="dxa" w:w="100"/>
              <w:right w:type="dxa" w:w="120"/>
            </w:tcMar>
          </w:tcPr>
          <w:p>
            <w:r>
              <w:t xml:space="preserve">3</w:t>
            </w:r>
          </w:p>
        </w:tc>
        <w:tc>
          <w:tcPr>
            <w:tcW w:type="dxa" w:w="4200"/>
            <w:tcMar>
              <w:top w:type="dxa" w:w="100"/>
              <w:left w:type="dxa" w:w="120"/>
              <w:bottom w:type="dxa" w:w="100"/>
              <w:right w:type="dxa" w:w="120"/>
            </w:tcMar>
          </w:tcPr>
          <w:p>
            <w:r>
              <w:t xml:space="preserve">Stripe API Reference — Payment Intents</w:t>
            </w:r>
          </w:p>
        </w:tc>
        <w:tc>
          <w:tcPr>
            <w:tcW w:type="dxa" w:w="1600"/>
            <w:tcMar>
              <w:top w:type="dxa" w:w="100"/>
              <w:left w:type="dxa" w:w="120"/>
              <w:bottom w:type="dxa" w:w="100"/>
              <w:right w:type="dxa" w:w="120"/>
            </w:tcMar>
          </w:tcPr>
          <w:p>
            <w:r>
              <w:t xml:space="preserve">2024-06-20</w:t>
            </w:r>
          </w:p>
        </w:tc>
        <w:tc>
          <w:tcPr>
            <w:tcW w:type="dxa" w:w="2740"/>
            <w:tcMar>
              <w:top w:type="dxa" w:w="100"/>
              <w:left w:type="dxa" w:w="120"/>
              <w:bottom w:type="dxa" w:w="100"/>
              <w:right w:type="dxa" w:w="120"/>
            </w:tcMar>
          </w:tcPr>
          <w:p>
            <w:r>
              <w:t xml:space="preserve">stripe.com/docs/api</w:t>
            </w:r>
          </w:p>
        </w:tc>
      </w:tr>
      <w:tr>
        <w:tc>
          <w:tcPr>
            <w:tcW w:type="dxa" w:w="700"/>
            <w:tcMar>
              <w:top w:type="dxa" w:w="100"/>
              <w:left w:type="dxa" w:w="120"/>
              <w:bottom w:type="dxa" w:w="100"/>
              <w:right w:type="dxa" w:w="120"/>
            </w:tcMar>
          </w:tcPr>
          <w:p>
            <w:r>
              <w:t xml:space="preserve">4</w:t>
            </w:r>
          </w:p>
        </w:tc>
        <w:tc>
          <w:tcPr>
            <w:tcW w:type="dxa" w:w="4200"/>
            <w:tcMar>
              <w:top w:type="dxa" w:w="100"/>
              <w:left w:type="dxa" w:w="120"/>
              <w:bottom w:type="dxa" w:w="100"/>
              <w:right w:type="dxa" w:w="120"/>
            </w:tcMar>
          </w:tcPr>
          <w:p>
            <w:r>
              <w:t xml:space="preserve">PCI-DSS v4.0 Compliance Checklist</w:t>
            </w:r>
          </w:p>
        </w:tc>
        <w:tc>
          <w:tcPr>
            <w:tcW w:type="dxa" w:w="1600"/>
            <w:tcMar>
              <w:top w:type="dxa" w:w="100"/>
              <w:left w:type="dxa" w:w="120"/>
              <w:bottom w:type="dxa" w:w="100"/>
              <w:right w:type="dxa" w:w="120"/>
            </w:tcMar>
          </w:tcPr>
          <w:p>
            <w:r>
              <w:t xml:space="preserve">Internal</w:t>
            </w:r>
          </w:p>
        </w:tc>
        <w:tc>
          <w:tcPr>
            <w:tcW w:type="dxa" w:w="2740"/>
            <w:tcMar>
              <w:top w:type="dxa" w:w="100"/>
              <w:left w:type="dxa" w:w="120"/>
              <w:bottom w:type="dxa" w:w="100"/>
              <w:right w:type="dxa" w:w="120"/>
            </w:tcMar>
          </w:tcPr>
          <w:p>
            <w:r>
              <w:t xml:space="preserve">confluence.shopsphere.internal/SEC-PCI-40</w:t>
            </w:r>
          </w:p>
        </w:tc>
      </w:tr>
      <w:tr>
        <w:tc>
          <w:tcPr>
            <w:tcW w:type="dxa" w:w="700"/>
            <w:tcMar>
              <w:top w:type="dxa" w:w="100"/>
              <w:left w:type="dxa" w:w="120"/>
              <w:bottom w:type="dxa" w:w="100"/>
              <w:right w:type="dxa" w:w="120"/>
            </w:tcMar>
          </w:tcPr>
          <w:p>
            <w:r>
              <w:t xml:space="preserve">5</w:t>
            </w:r>
          </w:p>
        </w:tc>
        <w:tc>
          <w:tcPr>
            <w:tcW w:type="dxa" w:w="4200"/>
            <w:tcMar>
              <w:top w:type="dxa" w:w="100"/>
              <w:left w:type="dxa" w:w="120"/>
              <w:bottom w:type="dxa" w:w="100"/>
              <w:right w:type="dxa" w:w="120"/>
            </w:tcMar>
          </w:tcPr>
          <w:p>
            <w:r>
              <w:t xml:space="preserve">ShopSphere System Architecture Diagram</w:t>
            </w:r>
          </w:p>
        </w:tc>
        <w:tc>
          <w:tcPr>
            <w:tcW w:type="dxa" w:w="1600"/>
            <w:tcMar>
              <w:top w:type="dxa" w:w="100"/>
              <w:left w:type="dxa" w:w="120"/>
              <w:bottom w:type="dxa" w:w="100"/>
              <w:right w:type="dxa" w:w="120"/>
            </w:tcMar>
          </w:tcPr>
          <w:p>
            <w:r>
              <w:t xml:space="preserve">v2.1</w:t>
            </w:r>
          </w:p>
        </w:tc>
        <w:tc>
          <w:tcPr>
            <w:tcW w:type="dxa" w:w="2740"/>
            <w:tcMar>
              <w:top w:type="dxa" w:w="100"/>
              <w:left w:type="dxa" w:w="120"/>
              <w:bottom w:type="dxa" w:w="100"/>
              <w:right w:type="dxa" w:w="120"/>
            </w:tcMar>
          </w:tcPr>
          <w:p>
            <w:r>
              <w:t xml:space="preserve">confluence.shopsphere.internal/ARCH-210</w:t>
            </w:r>
          </w:p>
        </w:tc>
      </w:tr>
      <w:tr>
        <w:tc>
          <w:tcPr>
            <w:tcW w:type="dxa" w:w="700"/>
            <w:tcMar>
              <w:top w:type="dxa" w:w="100"/>
              <w:left w:type="dxa" w:w="120"/>
              <w:bottom w:type="dxa" w:w="100"/>
              <w:right w:type="dxa" w:w="120"/>
            </w:tcMar>
          </w:tcPr>
          <w:p>
            <w:r>
              <w:t xml:space="preserve">6</w:t>
            </w:r>
          </w:p>
        </w:tc>
        <w:tc>
          <w:tcPr>
            <w:tcW w:type="dxa" w:w="4200"/>
            <w:tcMar>
              <w:top w:type="dxa" w:w="100"/>
              <w:left w:type="dxa" w:w="120"/>
              <w:bottom w:type="dxa" w:w="100"/>
              <w:right w:type="dxa" w:w="120"/>
            </w:tcMar>
          </w:tcPr>
          <w:p>
            <w:r>
              <w:t xml:space="preserve">WCAG 2.1 Level AA Guidelines</w:t>
            </w:r>
          </w:p>
        </w:tc>
        <w:tc>
          <w:tcPr>
            <w:tcW w:type="dxa" w:w="1600"/>
            <w:tcMar>
              <w:top w:type="dxa" w:w="100"/>
              <w:left w:type="dxa" w:w="120"/>
              <w:bottom w:type="dxa" w:w="100"/>
              <w:right w:type="dxa" w:w="120"/>
            </w:tcMar>
          </w:tcPr>
          <w:p>
            <w:r>
              <w:t xml:space="preserve">2.1</w:t>
            </w:r>
          </w:p>
        </w:tc>
        <w:tc>
          <w:tcPr>
            <w:tcW w:type="dxa" w:w="2740"/>
            <w:tcMar>
              <w:top w:type="dxa" w:w="100"/>
              <w:left w:type="dxa" w:w="120"/>
              <w:bottom w:type="dxa" w:w="100"/>
              <w:right w:type="dxa" w:w="120"/>
            </w:tcMar>
          </w:tcPr>
          <w:p>
            <w:r>
              <w:t xml:space="preserve">w3.org/WAI/WCAG21/quickref</w:t>
            </w:r>
          </w:p>
        </w:tc>
      </w:tr>
      <w:tr>
        <w:tc>
          <w:tcPr>
            <w:tcW w:type="dxa" w:w="700"/>
            <w:tcMar>
              <w:top w:type="dxa" w:w="100"/>
              <w:left w:type="dxa" w:w="120"/>
              <w:bottom w:type="dxa" w:w="100"/>
              <w:right w:type="dxa" w:w="120"/>
            </w:tcMar>
          </w:tcPr>
          <w:p>
            <w:r>
              <w:t xml:space="preserve">7</w:t>
            </w:r>
          </w:p>
        </w:tc>
        <w:tc>
          <w:tcPr>
            <w:tcW w:type="dxa" w:w="4200"/>
            <w:tcMar>
              <w:top w:type="dxa" w:w="100"/>
              <w:left w:type="dxa" w:w="120"/>
              <w:bottom w:type="dxa" w:w="100"/>
              <w:right w:type="dxa" w:w="120"/>
            </w:tcMar>
          </w:tcPr>
          <w:p>
            <w:r>
              <w:t xml:space="preserve">FedEx Web Services Developer Guide</w:t>
            </w:r>
          </w:p>
        </w:tc>
        <w:tc>
          <w:tcPr>
            <w:tcW w:type="dxa" w:w="1600"/>
            <w:tcMar>
              <w:top w:type="dxa" w:w="100"/>
              <w:left w:type="dxa" w:w="120"/>
              <w:bottom w:type="dxa" w:w="100"/>
              <w:right w:type="dxa" w:w="120"/>
            </w:tcMar>
          </w:tcPr>
          <w:p>
            <w:r>
              <w:t xml:space="preserve">2025</w:t>
            </w:r>
          </w:p>
        </w:tc>
        <w:tc>
          <w:tcPr>
            <w:tcW w:type="dxa" w:w="2740"/>
            <w:tcMar>
              <w:top w:type="dxa" w:w="100"/>
              <w:left w:type="dxa" w:w="120"/>
              <w:bottom w:type="dxa" w:w="100"/>
              <w:right w:type="dxa" w:w="120"/>
            </w:tcMar>
          </w:tcPr>
          <w:p>
            <w:r>
              <w:t xml:space="preserve">developer.fedex.com</w:t>
            </w:r>
          </w:p>
        </w:tc>
      </w:tr>
    </w:tbl>
    <w:p>
      <w:pPr>
        <w:pStyle w:val="Heading1"/>
        <w:spacing w:after="200" w:before="400"/>
      </w:pPr>
      <w:r>
        <w:t xml:space="preserve">4. Enhancement Overview</w:t>
      </w:r>
    </w:p>
    <w:p>
      <w:pPr>
        <w:pStyle w:val="Heading2"/>
        <w:spacing w:after="120" w:before="240"/>
      </w:pPr>
      <w:r>
        <w:t xml:space="preserve">4.1 Background</w:t>
      </w:r>
    </w:p>
    <w:p>
      <w:pPr>
        <w:spacing w:after="160"/>
      </w:pPr>
      <w:r>
        <w:t xml:space="preserve">The existing ShopSphere checkout is a five-step, page-reload-heavy flow that requires account creation before purchase. Analytics from Q1 2026 show a 68% cart abandonment rate, with the highest drop-off occurring at the mandatory-registration step. The current cart does not persist across devices or sessions, payment details cannot be saved, and customers can only track order status via periodic email updates, driving a significant volume of "where is my order" tickets to Customer Support.</w:t>
      </w:r>
    </w:p>
    <w:p>
      <w:pPr>
        <w:pStyle w:val="Heading2"/>
        <w:spacing w:after="120" w:before="240"/>
      </w:pPr>
      <w:r>
        <w:t xml:space="preserve">4.2 Proposed Enhancement</w:t>
      </w:r>
    </w:p>
    <w:p>
      <w:pPr>
        <w:spacing w:after="160"/>
      </w:pPr>
      <w:r>
        <w:t xml:space="preserve">Release 2.0 introduces a unified two-step checkout (Shipping &amp; Payment → Review &amp; Place Order) with a guest-checkout option, a persistent server-side cart synced across devices, tokenized saved payment methods, a real-time order tracking timeline, proactive email/SMS notifications, an applied-at-checkout coupon engine, and wishlist and review functionality to improve engagement and repeat-purchase rate.</w:t>
      </w:r>
    </w:p>
    <w:p>
      <w:pPr>
        <w:pStyle w:val="Heading2"/>
        <w:spacing w:after="120" w:before="240"/>
      </w:pPr>
      <w:r>
        <w:t xml:space="preserve">4.3 Business Benefit</w:t>
      </w:r>
    </w:p>
    <w:p>
      <w:pPr>
        <w:pStyle w:val="ListParagraph"/>
        <w:numPr>
          <w:ilvl w:val="0"/>
          <w:numId w:val="1"/>
        </w:numPr>
        <w:spacing w:after="80"/>
      </w:pPr>
      <w:r>
        <w:t xml:space="preserve">Projected 25% reduction in cart abandonment based on A/B test results from the beta cohort (12% observed uplift in a 5,000-user pilot).</w:t>
      </w:r>
    </w:p>
    <w:p>
      <w:pPr>
        <w:pStyle w:val="ListParagraph"/>
        <w:numPr>
          <w:ilvl w:val="0"/>
          <w:numId w:val="1"/>
        </w:numPr>
        <w:spacing w:after="80"/>
      </w:pPr>
      <w:r>
        <w:t xml:space="preserve">Estimated 15% increase in checkout conversion rate from guest checkout alone.</w:t>
      </w:r>
    </w:p>
    <w:p>
      <w:pPr>
        <w:pStyle w:val="ListParagraph"/>
        <w:numPr>
          <w:ilvl w:val="0"/>
          <w:numId w:val="1"/>
        </w:numPr>
        <w:spacing w:after="80"/>
      </w:pPr>
      <w:r>
        <w:t xml:space="preserve">Reduction in "order status" support tickets by an estimated 30% via proactive real-time notifications.</w:t>
      </w:r>
    </w:p>
    <w:p>
      <w:pPr>
        <w:pStyle w:val="ListParagraph"/>
        <w:numPr>
          <w:ilvl w:val="0"/>
          <w:numId w:val="1"/>
        </w:numPr>
        <w:spacing w:after="80"/>
      </w:pPr>
      <w:r>
        <w:t xml:space="preserve">Improved average order value (AOV) through the coupon engine and wishlist-driven return visits.</w:t>
      </w:r>
    </w:p>
    <w:p>
      <w:pPr>
        <w:pStyle w:val="Heading1"/>
        <w:spacing w:after="200" w:before="400"/>
      </w:pPr>
      <w:r>
        <w:t xml:space="preserve">5. Functional Specifications</w:t>
      </w:r>
    </w:p>
    <w:p>
      <w:pPr>
        <w:spacing w:after="160"/>
      </w:pPr>
      <w:r>
        <w:t xml:space="preserve">The following functional requirements define the expected system behavior for Release 2.0. Each requirement is uniquely identified and prioritized for the development backlog.</w:t>
      </w:r>
    </w:p>
    <w:p>
      <w:pPr>
        <w:pStyle w:val="Heading2"/>
        <w:spacing w:after="120" w:before="240"/>
      </w:pPr>
      <w:r>
        <w:t xml:space="preserve">5.1 Requirement ID: FR-001 — User Registration &amp; Authentication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Allow new customers to create an account using email/password or federated OAuth 2.0 login (Google, Facebook), and allow returning customers to authenticate securely.</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Guest User, Registered Customer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User has a valid, unused email address (for email/password registration) or an existing Google/Facebook account.</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User selects "Sign Up" or "Log In" from the storefront header.</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User navigates to the Sign Up page and enters name, email, and password, or selects "Continue with Google/Facebook."</w:t>
            </w:r>
          </w:p>
          <w:p>
            <w:pPr>
              <w:spacing w:after="60"/>
            </w:pPr>
            <w:r>
              <w:t xml:space="preserve">2. System validates email format, password strength (min. 8 characters, 1 number, 1 special character), and email uniqueness.</w:t>
            </w:r>
          </w:p>
          <w:p>
            <w:pPr>
              <w:spacing w:after="60"/>
            </w:pPr>
            <w:r>
              <w:t xml:space="preserve">3. System creates the account, hashes the password with bcrypt (cost factor 12), and issues a JWT access token (15-min expiry) and a refresh token (7-day expiry, HttpOnly cookie).</w:t>
            </w:r>
          </w:p>
          <w:p>
            <w:pPr>
              <w:spacing w:after="60"/>
            </w:pPr>
            <w:r>
              <w:t xml:space="preserve">4. System sends a welcome email via SendGrid and redirects the user to the storefront homepage, now authenticated.</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the email already exists, the system displays "An account with this email already exists" and offers a login link. If OAuth provider returns an error, the system displays a generic retry message and logs the failure.</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A new customer record exists in the users table; the user session is authenticated and the JWT is stored client-side.</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Passwords must meet complexity rules; OAuth-created accounts do not require a password; duplicate emails are rejected at the database (unique constraint) and API validation layers.</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High</w:t>
            </w:r>
          </w:p>
        </w:tc>
      </w:tr>
    </w:tbl>
    <w:p>
      <w:pPr>
        <w:pStyle w:val="Heading2"/>
        <w:spacing w:after="120" w:before="240"/>
      </w:pPr>
      <w:r>
        <w:t xml:space="preserve">5.2 Requirement ID: FR-002 — Product Catalog &amp; Search</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Enable customers to browse the product catalog and search by keyword, with filtering by category, price range, brand, and rating, backed by an Elasticsearch index.</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Guest User, Registered Customer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Product catalog is indexed in Elasticsearch and synced from PostgreSQL via the nightly ETL job.</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User enters a search term or navigates to a category page.</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User types a keyword into the search bar; the frontend debounces input (300ms) and calls GET /api/search?q=.</w:t>
            </w:r>
          </w:p>
          <w:p>
            <w:pPr>
              <w:spacing w:after="60"/>
            </w:pPr>
            <w:r>
              <w:t xml:space="preserve">2. System queries Elasticsearch using a multi-match query across product name, description, and tags, ranked by relevance and in-stock status.</w:t>
            </w:r>
          </w:p>
          <w:p>
            <w:pPr>
              <w:spacing w:after="60"/>
            </w:pPr>
            <w:r>
              <w:t xml:space="preserve">3. System returns paginated results (24 per page) with applied facet counts for category, price band, brand, and rating.</w:t>
            </w:r>
          </w:p>
          <w:p>
            <w:pPr>
              <w:spacing w:after="60"/>
            </w:pPr>
            <w:r>
              <w:t xml:space="preserve">4. User applies one or more filters; the frontend re-queries with the additional filter parameters without a full page reload.</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zero results are found, the system displays "No products found" along with three related-category suggestions. If Elasticsearch is unavailable, the system falls back to a PostgreSQL LIKE-based search with a degraded-mode banner.</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Search results and filter facets are rendered client-side; the query is logged to the analytics pipeline (Segment).</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Out-of-stock items are shown but ranked below in-stock items unless the user explicitly filters for in-stock only.</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High</w:t>
            </w:r>
          </w:p>
        </w:tc>
      </w:tr>
    </w:tbl>
    <w:p>
      <w:pPr>
        <w:pStyle w:val="Heading2"/>
        <w:spacing w:after="120" w:before="240"/>
      </w:pPr>
      <w:r>
        <w:t xml:space="preserve">5.3 Requirement ID: FR-003 — Shopping Cart Management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Provide a persistent cart that survives login/logout, device switches, and browser sessions, backed by Redis with PostgreSQL as the durable store.</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Guest User, Registered Customer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Product is in stock (quantity &gt; 0) at the time it is added.</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User clicks "Add to Cart" on a product listing or product detail page.</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System checks real-time inventory via the Inventory Service.</w:t>
            </w:r>
          </w:p>
          <w:p>
            <w:pPr>
              <w:spacing w:after="60"/>
            </w:pPr>
            <w:r>
              <w:t xml:space="preserve">2. System adds the item to the cart, associated with a guest session ID (cookie) or the authenticated user ID.</w:t>
            </w:r>
          </w:p>
          <w:p>
            <w:pPr>
              <w:spacing w:after="60"/>
            </w:pPr>
            <w:r>
              <w:t xml:space="preserve">3. System updates the cart badge count and displays a mini-cart confirmation drawer.</w:t>
            </w:r>
          </w:p>
          <w:p>
            <w:pPr>
              <w:spacing w:after="60"/>
            </w:pPr>
            <w:r>
              <w:t xml:space="preserve">4. On login, if a guest cart exists, the system merges it with any existing saved cart for that user, combining quantities for matching SKUs.</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the requested quantity exceeds available stock, the system caps the quantity at the available stock and displays a warning. If a cart item goes out of stock before checkout, it is flagged in the cart with a "currently unavailable" label and excluded from the order total.</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The cart total (subtotal, estimated tax, item count) is recalculated and persisted to Redis with a 30-day TTL.</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Maximum 10 units per SKU per order; cart items are re-validated against live inventory at checkout initiation, not just at add-to-cart time.</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High</w:t>
            </w:r>
          </w:p>
        </w:tc>
      </w:tr>
    </w:tbl>
    <w:p>
      <w:pPr>
        <w:pStyle w:val="Heading2"/>
        <w:spacing w:after="120" w:before="240"/>
      </w:pPr>
      <w:r>
        <w:t xml:space="preserve">5.4 Requirement ID: FR-004 — Checkout &amp; Payment Processing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Provide a unified two-step checkout flow supporting guest checkout, saved addresses, and saved/new payment methods processed through Stripe.</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Guest User, Registered Customer, Payment Gateway (Stripe)</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Cart contains at least one in-stock item with a valid shipping destination supported by the platform.</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User clicks "Proceed to Checkout" from the cart page.</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Step 1 (Shipping &amp; Payment): user enters or selects a saved shipping address, selects a shipping method (rate fetched from FedEx/UPS API), and enters or selects a saved payment method.</w:t>
            </w:r>
          </w:p>
          <w:p>
            <w:pPr>
              <w:spacing w:after="60"/>
            </w:pPr>
            <w:r>
              <w:t xml:space="preserve">2. System creates a Stripe PaymentIntent for the order total using idempotency keys to prevent duplicate charges.</w:t>
            </w:r>
          </w:p>
          <w:p>
            <w:pPr>
              <w:spacing w:after="60"/>
            </w:pPr>
            <w:r>
              <w:t xml:space="preserve">3. Step 2 (Review &amp; Place Order): user reviews order summary, applies a coupon if desired, and confirms.</w:t>
            </w:r>
          </w:p>
          <w:p>
            <w:pPr>
              <w:spacing w:after="60"/>
            </w:pPr>
            <w:r>
              <w:t xml:space="preserve">4. System confirms the PaymentIntent, creates the order record with status "Confirmed," decrements inventory, and triggers order-confirmation notifications.</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the card is declined, the system surfaces the Stripe decline reason (e.g., insufficient funds, expired card) and allows the user to retry with a different method without losing cart contents. If the PaymentIntent confirmation times out, the order is placed in "Payment Pending" status and reconciled via the Stripe webhook.</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An order record exists with status "Confirmed"; inventory is decremented; the cart is cleared; a confirmation email/SMS is queued.</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All card data is tokenized client-side via Stripe.js — raw card numbers never touch ShopSphere servers (PCI-DSS SAQ-A scope). Guest checkout requires email and phone for order tracking.</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High</w:t>
            </w:r>
          </w:p>
        </w:tc>
      </w:tr>
    </w:tbl>
    <w:p>
      <w:pPr>
        <w:pStyle w:val="Heading2"/>
        <w:spacing w:after="120" w:before="240"/>
      </w:pPr>
      <w:r>
        <w:t xml:space="preserve">5.5 Requirement ID: FR-005 — Order Management &amp; Tracking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Allow customers to view order history, track real-time fulfillment status, cancel eligible orders, and initiate returns.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Registered Customer, Guest User (via order lookup), Fulfillment Service</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At least one order exists for the customer or guest order-lookup token.</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User navigates to "My Orders" or clicks a tracking link from a notification.</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System retrieves the order and its status timeline (Confirmed → Processing → Shipped → Out for Delivery → Delivered).</w:t>
            </w:r>
          </w:p>
          <w:p>
            <w:pPr>
              <w:spacing w:after="60"/>
            </w:pPr>
            <w:r>
              <w:t xml:space="preserve">2. For shipped orders, the system polls the carrier tracking API (FedEx/UPS) and caches the latest scan event for up to 15 minutes.</w:t>
            </w:r>
          </w:p>
          <w:p>
            <w:pPr>
              <w:spacing w:after="60"/>
            </w:pPr>
            <w:r>
              <w:t xml:space="preserve">3. If the order is within the cancellation window (before "Processing" status), the user may click "Cancel Order."</w:t>
            </w:r>
          </w:p>
          <w:p>
            <w:pPr>
              <w:spacing w:after="60"/>
            </w:pPr>
            <w:r>
              <w:t xml:space="preserve">4. Upon cancellation, the system reverses the payment authorization/capture via Stripe, restocks inventory, and sends a cancellation confirmation.</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the order has already moved to "Processing" or beyond, the Cancel action is disabled and a "Request Return" option is shown instead once the order reaches "Delivered."</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Order status and timeline are updated; relevant notifications are dispatched; inventory and payment ledgers are reconciled on cancellation.</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Orders can only be cancelled prior to warehouse pick-pack confirmation; returns are only eligible within 30 days of delivery per the Returns Policy.</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Medium</w:t>
            </w:r>
          </w:p>
        </w:tc>
      </w:tr>
    </w:tbl>
    <w:p>
      <w:pPr>
        <w:pStyle w:val="Heading2"/>
        <w:spacing w:after="120" w:before="240"/>
      </w:pPr>
      <w:r>
        <w:t xml:space="preserve">5.6 Requirement ID: FR-006 — Inventory Management (Admin)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Enable Admin/Warehouse staff to manage stock levels, receive low-stock alerts, and reconcile inventory against incoming purchase orders.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Admin User, Warehouse Staff</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Admin user is authenticated with the "Inventory Manager" role.</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Admin opens the Inventory module in the Admin Portal, or a scheduled stock-check job runs.</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Admin views current stock levels per SKU, filterable by warehouse location and category.</w:t>
            </w:r>
          </w:p>
          <w:p>
            <w:pPr>
              <w:spacing w:after="60"/>
            </w:pPr>
            <w:r>
              <w:t xml:space="preserve">2. Admin manually adjusts stock (receiving, damage write-off, cycle count correction) with a mandatory reason code.</w:t>
            </w:r>
          </w:p>
          <w:p>
            <w:pPr>
              <w:spacing w:after="60"/>
            </w:pPr>
            <w:r>
              <w:t xml:space="preserve">3. System recalculates available-to-sell quantity and re-syncs the Elasticsearch index within 60 seconds.</w:t>
            </w:r>
          </w:p>
          <w:p>
            <w:pPr>
              <w:spacing w:after="60"/>
            </w:pPr>
            <w:r>
              <w:t xml:space="preserve">4. When available stock falls below the configured reorder threshold, the system automatically emails the assigned category manager.</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a stock adjustment would result in a negative quantity, the system blocks the change and displays a validation error.</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Inventory ledger reflects the adjustment with a full audit entry (user, timestamp, reason, before/after quantity).</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All manual adjustments require a reason code; low-stock threshold defaults to 10 units but is configurable per SKU.</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Medium</w:t>
            </w:r>
          </w:p>
        </w:tc>
      </w:tr>
    </w:tbl>
    <w:p>
      <w:pPr>
        <w:pStyle w:val="Heading2"/>
        <w:spacing w:after="120" w:before="240"/>
      </w:pPr>
      <w:r>
        <w:t xml:space="preserve">5.7 Requirement ID: FR-007 — Admin Dashboard &amp; Reporting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Provide Admin users with a dashboard summarizing sales, order volume, and top products, with exportable reports.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Admin User, Product Manager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Admin user is authenticated with a role that has reporting access.</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Admin navigates to the Dashboard or Reports section of the Admin Portal.</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System displays key metrics (gross sales, order count, average order value, conversion rate) for a selectable date range.</w:t>
            </w:r>
          </w:p>
          <w:p>
            <w:pPr>
              <w:spacing w:after="60"/>
            </w:pPr>
            <w:r>
              <w:t xml:space="preserve">2. System renders a top-10 products chart and a sales-by-category breakdown.</w:t>
            </w:r>
          </w:p>
          <w:p>
            <w:pPr>
              <w:spacing w:after="60"/>
            </w:pPr>
            <w:r>
              <w:t xml:space="preserve">3. Admin selects "Export" to download the underlying data as a CSV or XLSX file.</w:t>
            </w:r>
          </w:p>
          <w:p>
            <w:pPr>
              <w:spacing w:after="60"/>
            </w:pPr>
            <w:r>
              <w:t xml:space="preserve">4. System generates the export asynchronously for large date ranges and emails a download link when ready.</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no orders exist for the selected range, the dashboard displays an empty state with a suggestion to widen the date range.</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Report data is rendered on screen and/or delivered as a downloadable file.</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Reporting data is refreshed hourly via a materialized view; exports larger than 10,000 rows are processed asynchronously.</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Low</w:t>
            </w:r>
          </w:p>
        </w:tc>
      </w:tr>
    </w:tbl>
    <w:p>
      <w:pPr>
        <w:pStyle w:val="Heading2"/>
        <w:spacing w:after="120" w:before="240"/>
      </w:pPr>
      <w:r>
        <w:t xml:space="preserve">5.8 Requirement ID: FR-008 — Wishlist &amp; Product Reviews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Allow registered customers to save products to a wishlist and submit star ratings with written reviews for purchased products.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Registered Customer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User is authenticated; for reviews, the user must have a delivered order containing the product.</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User clicks the heart icon on a product, or clicks "Write a Review" from an order history item.</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For wishlist: system adds the product to the user's saved list and reflects the filled-heart state across sessions.</w:t>
            </w:r>
          </w:p>
          <w:p>
            <w:pPr>
              <w:spacing w:after="60"/>
            </w:pPr>
            <w:r>
              <w:t xml:space="preserve">2. For reviews: user selects a 1–5 star rating and enters review text (max 2,000 characters).</w:t>
            </w:r>
          </w:p>
          <w:p>
            <w:pPr>
              <w:spacing w:after="60"/>
            </w:pPr>
            <w:r>
              <w:t xml:space="preserve">3. System runs the review through a profanity/spam filter before publishing.</w:t>
            </w:r>
          </w:p>
          <w:p>
            <w:pPr>
              <w:spacing w:after="60"/>
            </w:pPr>
            <w:r>
              <w:t xml:space="preserve">4. Published review updates the product's aggregate rating and review count in near real time.</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the review fails the content filter, it is routed to a manual moderation queue rather than being auto-rejected outright.</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Wishlist or review record is persisted; product aggregate rating is recalculated.</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One review per customer per product; only verified purchasers may submit a review ("Verified Purchase" badge).</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Low</w:t>
            </w:r>
          </w:p>
        </w:tc>
      </w:tr>
    </w:tbl>
    <w:p>
      <w:pPr>
        <w:pStyle w:val="Heading2"/>
        <w:spacing w:after="120" w:before="240"/>
      </w:pPr>
      <w:r>
        <w:t xml:space="preserve">5.9 Requirement ID: FR-009 — Transactional Notifications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Send timely, templated email and SMS notifications for key order lifecycle events.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System, SendGrid, Twilio, Registered Customer, Guest User</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Customer has a valid email (all orders) and, optionally, an opted-in phone number for SMS.</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An order lifecycle event occurs (order confirmed, payment failed, shipped, out for delivery, delivered, cancelled).</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System publishes an event to the internal notification queue (SQS) upon each order status change.</w:t>
            </w:r>
          </w:p>
          <w:p>
            <w:pPr>
              <w:spacing w:after="60"/>
            </w:pPr>
            <w:r>
              <w:t xml:space="preserve">2. The Notification Service consumes the event, selects the appropriate template, and renders it with order-specific data.</w:t>
            </w:r>
          </w:p>
          <w:p>
            <w:pPr>
              <w:spacing w:after="60"/>
            </w:pPr>
            <w:r>
              <w:t xml:space="preserve">3. Email notifications are dispatched via SendGrid; SMS notifications (for opted-in users) are dispatched via Twilio.</w:t>
            </w:r>
          </w:p>
          <w:p>
            <w:pPr>
              <w:spacing w:after="60"/>
            </w:pPr>
            <w:r>
              <w:t xml:space="preserve">4. Delivery status webhooks from SendGrid/Twilio are logged for deliverability monitoring.</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a notification provider returns an error, the system retries with exponential backoff (up to 3 attempts) before logging a delivery failure for support follow-up.</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Notification is sent (or failure logged); delivery status is recorded against the order for audit purposes.</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SMS is only sent to customers who have explicitly opted in during checkout or account settings.</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Medium</w:t>
            </w:r>
          </w:p>
        </w:tc>
      </w:tr>
    </w:tbl>
    <w:p>
      <w:pPr>
        <w:pStyle w:val="Heading2"/>
        <w:spacing w:after="120" w:before="240"/>
      </w:pPr>
      <w:r>
        <w:t xml:space="preserve">5.10 Requirement ID: FR-010 — Coupon &amp; Discount Engine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shd w:fill="EEF3F9" w:val="clear"/>
            <w:tcMar>
              <w:top w:type="dxa" w:w="100"/>
              <w:left w:type="dxa" w:w="120"/>
              <w:bottom w:type="dxa" w:w="100"/>
              <w:right w:type="dxa" w:w="120"/>
            </w:tcMar>
          </w:tcPr>
          <w:p>
            <w:r>
              <w:rPr>
                <w:b/>
                <w:bCs/>
              </w:rPr>
              <w:t xml:space="preserve">Description</w:t>
            </w:r>
          </w:p>
        </w:tc>
        <w:tc>
          <w:tcPr>
            <w:tcW w:type="dxa" w:w="6640"/>
            <w:tcMar>
              <w:top w:type="dxa" w:w="100"/>
              <w:left w:type="dxa" w:w="120"/>
              <w:bottom w:type="dxa" w:w="100"/>
              <w:right w:type="dxa" w:w="120"/>
            </w:tcMar>
          </w:tcPr>
          <w:p>
            <w:r>
              <w:t xml:space="preserve">Allow customers to apply promotional coupon codes at checkout, with validation of eligibility rules.</w:t>
            </w:r>
          </w:p>
        </w:tc>
      </w:tr>
      <w:tr>
        <w:tc>
          <w:tcPr>
            <w:tcW w:type="dxa" w:w="2600"/>
            <w:shd w:fill="EEF3F9" w:val="clear"/>
            <w:tcMar>
              <w:top w:type="dxa" w:w="100"/>
              <w:left w:type="dxa" w:w="120"/>
              <w:bottom w:type="dxa" w:w="100"/>
              <w:right w:type="dxa" w:w="120"/>
            </w:tcMar>
          </w:tcPr>
          <w:p>
            <w:r>
              <w:rPr>
                <w:b/>
                <w:bCs/>
              </w:rPr>
              <w:t xml:space="preserve">Actor(s)</w:t>
            </w:r>
          </w:p>
        </w:tc>
        <w:tc>
          <w:tcPr>
            <w:tcW w:type="dxa" w:w="6640"/>
            <w:tcMar>
              <w:top w:type="dxa" w:w="100"/>
              <w:left w:type="dxa" w:w="120"/>
              <w:bottom w:type="dxa" w:w="100"/>
              <w:right w:type="dxa" w:w="120"/>
            </w:tcMar>
          </w:tcPr>
          <w:p>
            <w:r>
              <w:t xml:space="preserve">Registered Customer, Guest User, Admin User (coupon creation)</w:t>
            </w:r>
          </w:p>
        </w:tc>
      </w:tr>
      <w:tr>
        <w:tc>
          <w:tcPr>
            <w:tcW w:type="dxa" w:w="2600"/>
            <w:shd w:fill="EEF3F9" w:val="clear"/>
            <w:tcMar>
              <w:top w:type="dxa" w:w="100"/>
              <w:left w:type="dxa" w:w="120"/>
              <w:bottom w:type="dxa" w:w="100"/>
              <w:right w:type="dxa" w:w="120"/>
            </w:tcMar>
          </w:tcPr>
          <w:p>
            <w:r>
              <w:rPr>
                <w:b/>
                <w:bCs/>
              </w:rPr>
              <w:t xml:space="preserve">Pre-conditions</w:t>
            </w:r>
          </w:p>
        </w:tc>
        <w:tc>
          <w:tcPr>
            <w:tcW w:type="dxa" w:w="6640"/>
            <w:tcMar>
              <w:top w:type="dxa" w:w="100"/>
              <w:left w:type="dxa" w:w="120"/>
              <w:bottom w:type="dxa" w:w="100"/>
              <w:right w:type="dxa" w:w="120"/>
            </w:tcMar>
          </w:tcPr>
          <w:p>
            <w:r>
              <w:t xml:space="preserve">A valid, active coupon code exists in the system.</w:t>
            </w:r>
          </w:p>
        </w:tc>
      </w:tr>
      <w:tr>
        <w:tc>
          <w:tcPr>
            <w:tcW w:type="dxa" w:w="2600"/>
            <w:shd w:fill="EEF3F9" w:val="clear"/>
            <w:tcMar>
              <w:top w:type="dxa" w:w="100"/>
              <w:left w:type="dxa" w:w="120"/>
              <w:bottom w:type="dxa" w:w="100"/>
              <w:right w:type="dxa" w:w="120"/>
            </w:tcMar>
          </w:tcPr>
          <w:p>
            <w:r>
              <w:rPr>
                <w:b/>
                <w:bCs/>
              </w:rPr>
              <w:t xml:space="preserve">Trigger</w:t>
            </w:r>
          </w:p>
        </w:tc>
        <w:tc>
          <w:tcPr>
            <w:tcW w:type="dxa" w:w="6640"/>
            <w:tcMar>
              <w:top w:type="dxa" w:w="100"/>
              <w:left w:type="dxa" w:w="120"/>
              <w:bottom w:type="dxa" w:w="100"/>
              <w:right w:type="dxa" w:w="120"/>
            </w:tcMar>
          </w:tcPr>
          <w:p>
            <w:r>
              <w:t xml:space="preserve">User enters a coupon code in the checkout review step and clicks "Apply."</w:t>
            </w:r>
          </w:p>
        </w:tc>
      </w:tr>
      <w:tr>
        <w:tc>
          <w:tcPr>
            <w:tcW w:type="dxa" w:w="2600"/>
            <w:shd w:fill="EEF3F9" w:val="clear"/>
            <w:tcMar>
              <w:top w:type="dxa" w:w="100"/>
              <w:left w:type="dxa" w:w="120"/>
              <w:bottom w:type="dxa" w:w="100"/>
              <w:right w:type="dxa" w:w="120"/>
            </w:tcMar>
          </w:tcPr>
          <w:p>
            <w:r>
              <w:rPr>
                <w:b/>
                <w:bCs/>
              </w:rPr>
              <w:t xml:space="preserve">Main Flow</w:t>
            </w:r>
          </w:p>
        </w:tc>
        <w:tc>
          <w:tcPr>
            <w:tcW w:type="dxa" w:w="6640"/>
            <w:tcMar>
              <w:top w:type="dxa" w:w="100"/>
              <w:left w:type="dxa" w:w="120"/>
              <w:bottom w:type="dxa" w:w="100"/>
              <w:right w:type="dxa" w:w="120"/>
            </w:tcMar>
          </w:tcPr>
          <w:p>
            <w:pPr>
              <w:spacing w:after="60"/>
            </w:pPr>
            <w:r>
              <w:t xml:space="preserve">1. System validates the code against expiry date, usage limits (global and per-customer), and minimum cart value rules.</w:t>
            </w:r>
          </w:p>
          <w:p>
            <w:pPr>
              <w:spacing w:after="60"/>
            </w:pPr>
            <w:r>
              <w:t xml:space="preserve">2. If valid, the system calculates the discount (percentage, flat amount, or free shipping) and updates the order total.</w:t>
            </w:r>
          </w:p>
          <w:p>
            <w:pPr>
              <w:spacing w:after="60"/>
            </w:pPr>
            <w:r>
              <w:t xml:space="preserve">3. The applied discount is itemized separately in the order summary.</w:t>
            </w:r>
          </w:p>
          <w:p>
            <w:pPr>
              <w:spacing w:after="60"/>
            </w:pPr>
            <w:r>
              <w:t xml:space="preserve">4. System records the coupon redemption against the order and decrements the remaining usage count.</w:t>
            </w:r>
          </w:p>
        </w:tc>
      </w:tr>
      <w:tr>
        <w:tc>
          <w:tcPr>
            <w:tcW w:type="dxa" w:w="2600"/>
            <w:shd w:fill="EEF3F9" w:val="clear"/>
            <w:tcMar>
              <w:top w:type="dxa" w:w="100"/>
              <w:left w:type="dxa" w:w="120"/>
              <w:bottom w:type="dxa" w:w="100"/>
              <w:right w:type="dxa" w:w="120"/>
            </w:tcMar>
          </w:tcPr>
          <w:p>
            <w:r>
              <w:rPr>
                <w:b/>
                <w:bCs/>
              </w:rPr>
              <w:t xml:space="preserve">Alternate / Exception Flow</w:t>
            </w:r>
          </w:p>
        </w:tc>
        <w:tc>
          <w:tcPr>
            <w:tcW w:type="dxa" w:w="6640"/>
            <w:tcMar>
              <w:top w:type="dxa" w:w="100"/>
              <w:left w:type="dxa" w:w="120"/>
              <w:bottom w:type="dxa" w:w="100"/>
              <w:right w:type="dxa" w:w="120"/>
            </w:tcMar>
          </w:tcPr>
          <w:p>
            <w:r>
              <w:t xml:space="preserve">If the code is invalid, expired, or the cart does not meet the minimum threshold, the system displays a specific inline error (e.g., "This code requires a minimum order of $50").</w:t>
            </w:r>
          </w:p>
        </w:tc>
      </w:tr>
      <w:tr>
        <w:tc>
          <w:tcPr>
            <w:tcW w:type="dxa" w:w="2600"/>
            <w:shd w:fill="EEF3F9" w:val="clear"/>
            <w:tcMar>
              <w:top w:type="dxa" w:w="100"/>
              <w:left w:type="dxa" w:w="120"/>
              <w:bottom w:type="dxa" w:w="100"/>
              <w:right w:type="dxa" w:w="120"/>
            </w:tcMar>
          </w:tcPr>
          <w:p>
            <w:r>
              <w:rPr>
                <w:b/>
                <w:bCs/>
              </w:rPr>
              <w:t xml:space="preserve">Post-conditions</w:t>
            </w:r>
          </w:p>
        </w:tc>
        <w:tc>
          <w:tcPr>
            <w:tcW w:type="dxa" w:w="6640"/>
            <w:tcMar>
              <w:top w:type="dxa" w:w="100"/>
              <w:left w:type="dxa" w:w="120"/>
              <w:bottom w:type="dxa" w:w="100"/>
              <w:right w:type="dxa" w:w="120"/>
            </w:tcMar>
          </w:tcPr>
          <w:p>
            <w:r>
              <w:t xml:space="preserve">Order total reflects the discount; coupon usage count is decremented; redemption is logged for marketing analytics.</w:t>
            </w:r>
          </w:p>
        </w:tc>
      </w:tr>
      <w:tr>
        <w:tc>
          <w:tcPr>
            <w:tcW w:type="dxa" w:w="2600"/>
            <w:shd w:fill="EEF3F9" w:val="clear"/>
            <w:tcMar>
              <w:top w:type="dxa" w:w="100"/>
              <w:left w:type="dxa" w:w="120"/>
              <w:bottom w:type="dxa" w:w="100"/>
              <w:right w:type="dxa" w:w="120"/>
            </w:tcMar>
          </w:tcPr>
          <w:p>
            <w:r>
              <w:rPr>
                <w:b/>
                <w:bCs/>
              </w:rPr>
              <w:t xml:space="preserve">Business Rules</w:t>
            </w:r>
          </w:p>
        </w:tc>
        <w:tc>
          <w:tcPr>
            <w:tcW w:type="dxa" w:w="6640"/>
            <w:tcMar>
              <w:top w:type="dxa" w:w="100"/>
              <w:left w:type="dxa" w:w="120"/>
              <w:bottom w:type="dxa" w:w="100"/>
              <w:right w:type="dxa" w:w="120"/>
            </w:tcMar>
          </w:tcPr>
          <w:p>
            <w:r>
              <w:t xml:space="preserve">Only one coupon may be applied per order; coupons cannot be combined with each other but may combine with automatic promotions unless explicitly restricted.</w:t>
            </w:r>
          </w:p>
        </w:tc>
      </w:tr>
      <w:tr>
        <w:tc>
          <w:tcPr>
            <w:tcW w:type="dxa" w:w="2600"/>
            <w:shd w:fill="EEF3F9" w:val="clear"/>
            <w:tcMar>
              <w:top w:type="dxa" w:w="100"/>
              <w:left w:type="dxa" w:w="120"/>
              <w:bottom w:type="dxa" w:w="100"/>
              <w:right w:type="dxa" w:w="120"/>
            </w:tcMar>
          </w:tcPr>
          <w:p>
            <w:r>
              <w:rPr>
                <w:b/>
                <w:bCs/>
              </w:rPr>
              <w:t xml:space="preserve">Priority</w:t>
            </w:r>
          </w:p>
        </w:tc>
        <w:tc>
          <w:tcPr>
            <w:tcW w:type="dxa" w:w="6640"/>
            <w:tcMar>
              <w:top w:type="dxa" w:w="100"/>
              <w:left w:type="dxa" w:w="120"/>
              <w:bottom w:type="dxa" w:w="100"/>
              <w:right w:type="dxa" w:w="120"/>
            </w:tcMar>
          </w:tcPr>
          <w:p>
            <w:r>
              <w:t xml:space="preserve">Medium</w:t>
            </w:r>
          </w:p>
        </w:tc>
      </w:tr>
    </w:tbl>
    <w:p>
      <w:pPr>
        <w:pStyle w:val="Heading1"/>
        <w:spacing w:after="200" w:before="400"/>
      </w:pPr>
      <w:r>
        <w:t xml:space="preserve">6. Performance</w:t>
      </w:r>
    </w:p>
    <w:p>
      <w:pPr>
        <w:spacing w:after="160"/>
      </w:pPr>
      <w:r>
        <w:t xml:space="preserve">The following non-negotiable performance targets apply to Release 2.0 under normal and peak (flash-sale) load conditions.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600"/>
        <w:gridCol w:w="4640"/>
      </w:tblGrid>
      <w:tr>
        <w:trPr>
          <w:tblHeader/>
        </w:trPr>
        <w:tc>
          <w:tcPr>
            <w:tcW w:type="dxa" w:w="4600"/>
            <w:shd w:fill="1F4E79" w:val="clear"/>
            <w:tcMar>
              <w:top w:type="dxa" w:w="100"/>
              <w:left w:type="dxa" w:w="120"/>
              <w:bottom w:type="dxa" w:w="100"/>
              <w:right w:type="dxa" w:w="120"/>
            </w:tcMar>
          </w:tcPr>
          <w:p>
            <w:r>
              <w:rPr>
                <w:b/>
                <w:bCs/>
                <w:color w:val="FFFFFF"/>
              </w:rPr>
              <w:t xml:space="preserve">Parameter</w:t>
            </w:r>
          </w:p>
        </w:tc>
        <w:tc>
          <w:tcPr>
            <w:tcW w:type="dxa" w:w="4640"/>
            <w:shd w:fill="1F4E79" w:val="clear"/>
            <w:tcMar>
              <w:top w:type="dxa" w:w="100"/>
              <w:left w:type="dxa" w:w="120"/>
              <w:bottom w:type="dxa" w:w="100"/>
              <w:right w:type="dxa" w:w="120"/>
            </w:tcMar>
          </w:tcPr>
          <w:p>
            <w:r>
              <w:rPr>
                <w:b/>
                <w:bCs/>
                <w:color w:val="FFFFFF"/>
              </w:rPr>
              <w:t xml:space="preserve">Target</w:t>
            </w:r>
          </w:p>
        </w:tc>
      </w:tr>
      <w:tr>
        <w:tc>
          <w:tcPr>
            <w:tcW w:type="dxa" w:w="4600"/>
            <w:tcMar>
              <w:top w:type="dxa" w:w="100"/>
              <w:left w:type="dxa" w:w="120"/>
              <w:bottom w:type="dxa" w:w="100"/>
              <w:right w:type="dxa" w:w="120"/>
            </w:tcMar>
          </w:tcPr>
          <w:p>
            <w:r>
              <w:t xml:space="preserve">Page Load Time (95th percentile)</w:t>
            </w:r>
          </w:p>
        </w:tc>
        <w:tc>
          <w:tcPr>
            <w:tcW w:type="dxa" w:w="4640"/>
            <w:tcMar>
              <w:top w:type="dxa" w:w="100"/>
              <w:left w:type="dxa" w:w="120"/>
              <w:bottom w:type="dxa" w:w="100"/>
              <w:right w:type="dxa" w:w="120"/>
            </w:tcMar>
          </w:tcPr>
          <w:p>
            <w:r>
              <w:t xml:space="preserve">≤ 1.5 seconds for storefront pages on a 4G connection</w:t>
            </w:r>
          </w:p>
        </w:tc>
      </w:tr>
      <w:tr>
        <w:tc>
          <w:tcPr>
            <w:tcW w:type="dxa" w:w="4600"/>
            <w:tcMar>
              <w:top w:type="dxa" w:w="100"/>
              <w:left w:type="dxa" w:w="120"/>
              <w:bottom w:type="dxa" w:w="100"/>
              <w:right w:type="dxa" w:w="120"/>
            </w:tcMar>
          </w:tcPr>
          <w:p>
            <w:r>
              <w:t xml:space="preserve">API Response Time — Cart Operations</w:t>
            </w:r>
          </w:p>
        </w:tc>
        <w:tc>
          <w:tcPr>
            <w:tcW w:type="dxa" w:w="4640"/>
            <w:tcMar>
              <w:top w:type="dxa" w:w="100"/>
              <w:left w:type="dxa" w:w="120"/>
              <w:bottom w:type="dxa" w:w="100"/>
              <w:right w:type="dxa" w:w="120"/>
            </w:tcMar>
          </w:tcPr>
          <w:p>
            <w:r>
              <w:t xml:space="preserve">≤ 500 ms (add/update/remove) at p95</w:t>
            </w:r>
          </w:p>
        </w:tc>
      </w:tr>
      <w:tr>
        <w:tc>
          <w:tcPr>
            <w:tcW w:type="dxa" w:w="4600"/>
            <w:tcMar>
              <w:top w:type="dxa" w:w="100"/>
              <w:left w:type="dxa" w:w="120"/>
              <w:bottom w:type="dxa" w:w="100"/>
              <w:right w:type="dxa" w:w="120"/>
            </w:tcMar>
          </w:tcPr>
          <w:p>
            <w:r>
              <w:t xml:space="preserve">Checkout Completion Time</w:t>
            </w:r>
          </w:p>
        </w:tc>
        <w:tc>
          <w:tcPr>
            <w:tcW w:type="dxa" w:w="4640"/>
            <w:tcMar>
              <w:top w:type="dxa" w:w="100"/>
              <w:left w:type="dxa" w:w="120"/>
              <w:bottom w:type="dxa" w:w="100"/>
              <w:right w:type="dxa" w:w="120"/>
            </w:tcMar>
          </w:tcPr>
          <w:p>
            <w:r>
              <w:t xml:space="preserve">≤ 3 seconds from "Place Order" click to confirmation screen at p95</w:t>
            </w:r>
          </w:p>
        </w:tc>
      </w:tr>
      <w:tr>
        <w:tc>
          <w:tcPr>
            <w:tcW w:type="dxa" w:w="4600"/>
            <w:tcMar>
              <w:top w:type="dxa" w:w="100"/>
              <w:left w:type="dxa" w:w="120"/>
              <w:bottom w:type="dxa" w:w="100"/>
              <w:right w:type="dxa" w:w="120"/>
            </w:tcMar>
          </w:tcPr>
          <w:p>
            <w:r>
              <w:t xml:space="preserve">Search Query Latency</w:t>
            </w:r>
          </w:p>
        </w:tc>
        <w:tc>
          <w:tcPr>
            <w:tcW w:type="dxa" w:w="4640"/>
            <w:tcMar>
              <w:top w:type="dxa" w:w="100"/>
              <w:left w:type="dxa" w:w="120"/>
              <w:bottom w:type="dxa" w:w="100"/>
              <w:right w:type="dxa" w:w="120"/>
            </w:tcMar>
          </w:tcPr>
          <w:p>
            <w:r>
              <w:t xml:space="preserve">≤ 300 ms for Elasticsearch queries across a catalog of up to 1,000,000 SKUs</w:t>
            </w:r>
          </w:p>
        </w:tc>
      </w:tr>
      <w:tr>
        <w:tc>
          <w:tcPr>
            <w:tcW w:type="dxa" w:w="4600"/>
            <w:tcMar>
              <w:top w:type="dxa" w:w="100"/>
              <w:left w:type="dxa" w:w="120"/>
              <w:bottom w:type="dxa" w:w="100"/>
              <w:right w:type="dxa" w:w="120"/>
            </w:tcMar>
          </w:tcPr>
          <w:p>
            <w:r>
              <w:t xml:space="preserve">Peak Concurrent Checkout Throughput</w:t>
            </w:r>
          </w:p>
        </w:tc>
        <w:tc>
          <w:tcPr>
            <w:tcW w:type="dxa" w:w="4640"/>
            <w:tcMar>
              <w:top w:type="dxa" w:w="100"/>
              <w:left w:type="dxa" w:w="120"/>
              <w:bottom w:type="dxa" w:w="100"/>
              <w:right w:type="dxa" w:w="120"/>
            </w:tcMar>
          </w:tcPr>
          <w:p>
            <w:r>
              <w:t xml:space="preserve">5,000 concurrent checkout transactions during flash-sale events</w:t>
            </w:r>
          </w:p>
        </w:tc>
      </w:tr>
      <w:tr>
        <w:tc>
          <w:tcPr>
            <w:tcW w:type="dxa" w:w="4600"/>
            <w:tcMar>
              <w:top w:type="dxa" w:w="100"/>
              <w:left w:type="dxa" w:w="120"/>
              <w:bottom w:type="dxa" w:w="100"/>
              <w:right w:type="dxa" w:w="120"/>
            </w:tcMar>
          </w:tcPr>
          <w:p>
            <w:r>
              <w:t xml:space="preserve">Concurrent Active Sessions</w:t>
            </w:r>
          </w:p>
        </w:tc>
        <w:tc>
          <w:tcPr>
            <w:tcW w:type="dxa" w:w="4640"/>
            <w:tcMar>
              <w:top w:type="dxa" w:w="100"/>
              <w:left w:type="dxa" w:w="120"/>
              <w:bottom w:type="dxa" w:w="100"/>
              <w:right w:type="dxa" w:w="120"/>
            </w:tcMar>
          </w:tcPr>
          <w:p>
            <w:r>
              <w:t xml:space="preserve">50,000 concurrent users without degradation</w:t>
            </w:r>
          </w:p>
        </w:tc>
      </w:tr>
      <w:tr>
        <w:tc>
          <w:tcPr>
            <w:tcW w:type="dxa" w:w="4600"/>
            <w:tcMar>
              <w:top w:type="dxa" w:w="100"/>
              <w:left w:type="dxa" w:w="120"/>
              <w:bottom w:type="dxa" w:w="100"/>
              <w:right w:type="dxa" w:w="120"/>
            </w:tcMar>
          </w:tcPr>
          <w:p>
            <w:r>
              <w:t xml:space="preserve">System Availability (SLA)</w:t>
            </w:r>
          </w:p>
        </w:tc>
        <w:tc>
          <w:tcPr>
            <w:tcW w:type="dxa" w:w="4640"/>
            <w:tcMar>
              <w:top w:type="dxa" w:w="100"/>
              <w:left w:type="dxa" w:w="120"/>
              <w:bottom w:type="dxa" w:w="100"/>
              <w:right w:type="dxa" w:w="120"/>
            </w:tcMar>
          </w:tcPr>
          <w:p>
            <w:r>
              <w:t xml:space="preserve">99.95% monthly uptime, excluding pre-announced maintenance windows</w:t>
            </w:r>
          </w:p>
        </w:tc>
      </w:tr>
      <w:tr>
        <w:tc>
          <w:tcPr>
            <w:tcW w:type="dxa" w:w="4600"/>
            <w:tcMar>
              <w:top w:type="dxa" w:w="100"/>
              <w:left w:type="dxa" w:w="120"/>
              <w:bottom w:type="dxa" w:w="100"/>
              <w:right w:type="dxa" w:w="120"/>
            </w:tcMar>
          </w:tcPr>
          <w:p>
            <w:r>
              <w:t xml:space="preserve">Nightly Inventory Sync Batch Window</w:t>
            </w:r>
          </w:p>
        </w:tc>
        <w:tc>
          <w:tcPr>
            <w:tcW w:type="dxa" w:w="4640"/>
            <w:tcMar>
              <w:top w:type="dxa" w:w="100"/>
              <w:left w:type="dxa" w:w="120"/>
              <w:bottom w:type="dxa" w:w="100"/>
              <w:right w:type="dxa" w:w="120"/>
            </w:tcMar>
          </w:tcPr>
          <w:p>
            <w:r>
              <w:t xml:space="preserve">Completes within 2 hours (02:00–04:00 IST)</w:t>
            </w:r>
          </w:p>
        </w:tc>
      </w:tr>
    </w:tbl>
    <w:p>
      <w:pPr>
        <w:pStyle w:val="Heading1"/>
        <w:spacing w:after="200" w:before="400"/>
      </w:pPr>
      <w:r>
        <w:t xml:space="preserve">7. Interfaces with Other Systems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3140"/>
        <w:gridCol w:w="1200"/>
      </w:tblGrid>
      <w:tr>
        <w:trPr>
          <w:tblHeader/>
        </w:trPr>
        <w:tc>
          <w:tcPr>
            <w:tcW w:type="dxa" w:w="2000"/>
            <w:shd w:fill="1F4E79" w:val="clear"/>
            <w:tcMar>
              <w:top w:type="dxa" w:w="100"/>
              <w:left w:type="dxa" w:w="120"/>
              <w:bottom w:type="dxa" w:w="100"/>
              <w:right w:type="dxa" w:w="120"/>
            </w:tcMar>
          </w:tcPr>
          <w:p>
            <w:r>
              <w:rPr>
                <w:b/>
                <w:bCs/>
                <w:color w:val="FFFFFF"/>
              </w:rPr>
              <w:t xml:space="preserve">Interfacing System</w:t>
            </w:r>
          </w:p>
        </w:tc>
        <w:tc>
          <w:tcPr>
            <w:tcW w:type="dxa" w:w="1600"/>
            <w:shd w:fill="1F4E79" w:val="clear"/>
            <w:tcMar>
              <w:top w:type="dxa" w:w="100"/>
              <w:left w:type="dxa" w:w="120"/>
              <w:bottom w:type="dxa" w:w="100"/>
              <w:right w:type="dxa" w:w="120"/>
            </w:tcMar>
          </w:tcPr>
          <w:p>
            <w:r>
              <w:rPr>
                <w:b/>
                <w:bCs/>
                <w:color w:val="FFFFFF"/>
              </w:rPr>
              <w:t xml:space="preserve">Interface Type</w:t>
            </w:r>
          </w:p>
        </w:tc>
        <w:tc>
          <w:tcPr>
            <w:tcW w:type="dxa" w:w="1300"/>
            <w:shd w:fill="1F4E79" w:val="clear"/>
            <w:tcMar>
              <w:top w:type="dxa" w:w="100"/>
              <w:left w:type="dxa" w:w="120"/>
              <w:bottom w:type="dxa" w:w="100"/>
              <w:right w:type="dxa" w:w="120"/>
            </w:tcMar>
          </w:tcPr>
          <w:p>
            <w:r>
              <w:rPr>
                <w:b/>
                <w:bCs/>
                <w:color w:val="FFFFFF"/>
              </w:rPr>
              <w:t xml:space="preserve">Direction</w:t>
            </w:r>
          </w:p>
        </w:tc>
        <w:tc>
          <w:tcPr>
            <w:tcW w:type="dxa" w:w="3140"/>
            <w:shd w:fill="1F4E79" w:val="clear"/>
            <w:tcMar>
              <w:top w:type="dxa" w:w="100"/>
              <w:left w:type="dxa" w:w="120"/>
              <w:bottom w:type="dxa" w:w="100"/>
              <w:right w:type="dxa" w:w="120"/>
            </w:tcMar>
          </w:tcPr>
          <w:p>
            <w:r>
              <w:rPr>
                <w:b/>
                <w:bCs/>
                <w:color w:val="FFFFFF"/>
              </w:rPr>
              <w:t xml:space="preserve">Data Exchanged</w:t>
            </w:r>
          </w:p>
        </w:tc>
        <w:tc>
          <w:tcPr>
            <w:tcW w:type="dxa" w:w="1200"/>
            <w:shd w:fill="1F4E79" w:val="clear"/>
            <w:tcMar>
              <w:top w:type="dxa" w:w="100"/>
              <w:left w:type="dxa" w:w="120"/>
              <w:bottom w:type="dxa" w:w="100"/>
              <w:right w:type="dxa" w:w="120"/>
            </w:tcMar>
          </w:tcPr>
          <w:p>
            <w:r>
              <w:rPr>
                <w:b/>
                <w:bCs/>
                <w:color w:val="FFFFFF"/>
              </w:rPr>
              <w:t xml:space="preserve">Frequency</w:t>
            </w:r>
          </w:p>
        </w:tc>
      </w:tr>
      <w:tr>
        <w:tc>
          <w:tcPr>
            <w:tcW w:type="dxa" w:w="2000"/>
            <w:tcMar>
              <w:top w:type="dxa" w:w="100"/>
              <w:left w:type="dxa" w:w="120"/>
              <w:bottom w:type="dxa" w:w="100"/>
              <w:right w:type="dxa" w:w="120"/>
            </w:tcMar>
          </w:tcPr>
          <w:p>
            <w:r>
              <w:t xml:space="preserve">Stripe</w:t>
            </w:r>
          </w:p>
        </w:tc>
        <w:tc>
          <w:tcPr>
            <w:tcW w:type="dxa" w:w="1600"/>
            <w:tcMar>
              <w:top w:type="dxa" w:w="100"/>
              <w:left w:type="dxa" w:w="120"/>
              <w:bottom w:type="dxa" w:w="100"/>
              <w:right w:type="dxa" w:w="120"/>
            </w:tcMar>
          </w:tcPr>
          <w:p>
            <w:r>
              <w:t xml:space="preserve">REST API / Webhooks</w:t>
            </w:r>
          </w:p>
        </w:tc>
        <w:tc>
          <w:tcPr>
            <w:tcW w:type="dxa" w:w="1300"/>
            <w:tcMar>
              <w:top w:type="dxa" w:w="100"/>
              <w:left w:type="dxa" w:w="120"/>
              <w:bottom w:type="dxa" w:w="100"/>
              <w:right w:type="dxa" w:w="120"/>
            </w:tcMar>
          </w:tcPr>
          <w:p>
            <w:r>
              <w:t xml:space="preserve">Bidirectional</w:t>
            </w:r>
          </w:p>
        </w:tc>
        <w:tc>
          <w:tcPr>
            <w:tcW w:type="dxa" w:w="3140"/>
            <w:tcMar>
              <w:top w:type="dxa" w:w="100"/>
              <w:left w:type="dxa" w:w="120"/>
              <w:bottom w:type="dxa" w:w="100"/>
              <w:right w:type="dxa" w:w="120"/>
            </w:tcMar>
          </w:tcPr>
          <w:p>
            <w:r>
              <w:t xml:space="preserve">Payment intents, tokens, charge &amp; refund status</w:t>
            </w:r>
          </w:p>
        </w:tc>
        <w:tc>
          <w:tcPr>
            <w:tcW w:type="dxa" w:w="1200"/>
            <w:tcMar>
              <w:top w:type="dxa" w:w="100"/>
              <w:left w:type="dxa" w:w="120"/>
              <w:bottom w:type="dxa" w:w="100"/>
              <w:right w:type="dxa" w:w="120"/>
            </w:tcMar>
          </w:tcPr>
          <w:p>
            <w:r>
              <w:t xml:space="preserve">Real-time</w:t>
            </w:r>
          </w:p>
        </w:tc>
      </w:tr>
      <w:tr>
        <w:tc>
          <w:tcPr>
            <w:tcW w:type="dxa" w:w="2000"/>
            <w:tcMar>
              <w:top w:type="dxa" w:w="100"/>
              <w:left w:type="dxa" w:w="120"/>
              <w:bottom w:type="dxa" w:w="100"/>
              <w:right w:type="dxa" w:w="120"/>
            </w:tcMar>
          </w:tcPr>
          <w:p>
            <w:r>
              <w:t xml:space="preserve">FedEx / UPS Shipping API</w:t>
            </w:r>
          </w:p>
        </w:tc>
        <w:tc>
          <w:tcPr>
            <w:tcW w:type="dxa" w:w="1600"/>
            <w:tcMar>
              <w:top w:type="dxa" w:w="100"/>
              <w:left w:type="dxa" w:w="120"/>
              <w:bottom w:type="dxa" w:w="100"/>
              <w:right w:type="dxa" w:w="120"/>
            </w:tcMar>
          </w:tcPr>
          <w:p>
            <w:r>
              <w:t xml:space="preserve">REST API</w:t>
            </w:r>
          </w:p>
        </w:tc>
        <w:tc>
          <w:tcPr>
            <w:tcW w:type="dxa" w:w="1300"/>
            <w:tcMar>
              <w:top w:type="dxa" w:w="100"/>
              <w:left w:type="dxa" w:w="120"/>
              <w:bottom w:type="dxa" w:w="100"/>
              <w:right w:type="dxa" w:w="120"/>
            </w:tcMar>
          </w:tcPr>
          <w:p>
            <w:r>
              <w:t xml:space="preserve">Bidirectional</w:t>
            </w:r>
          </w:p>
        </w:tc>
        <w:tc>
          <w:tcPr>
            <w:tcW w:type="dxa" w:w="3140"/>
            <w:tcMar>
              <w:top w:type="dxa" w:w="100"/>
              <w:left w:type="dxa" w:w="120"/>
              <w:bottom w:type="dxa" w:w="100"/>
              <w:right w:type="dxa" w:w="120"/>
            </w:tcMar>
          </w:tcPr>
          <w:p>
            <w:r>
              <w:t xml:space="preserve">Shipping rates, label generation, tracking events</w:t>
            </w:r>
          </w:p>
        </w:tc>
        <w:tc>
          <w:tcPr>
            <w:tcW w:type="dxa" w:w="1200"/>
            <w:tcMar>
              <w:top w:type="dxa" w:w="100"/>
              <w:left w:type="dxa" w:w="120"/>
              <w:bottom w:type="dxa" w:w="100"/>
              <w:right w:type="dxa" w:w="120"/>
            </w:tcMar>
          </w:tcPr>
          <w:p>
            <w:r>
              <w:t xml:space="preserve">Real-time / Batch (label gen)</w:t>
            </w:r>
          </w:p>
        </w:tc>
      </w:tr>
      <w:tr>
        <w:tc>
          <w:tcPr>
            <w:tcW w:type="dxa" w:w="2000"/>
            <w:tcMar>
              <w:top w:type="dxa" w:w="100"/>
              <w:left w:type="dxa" w:w="120"/>
              <w:bottom w:type="dxa" w:w="100"/>
              <w:right w:type="dxa" w:w="120"/>
            </w:tcMar>
          </w:tcPr>
          <w:p>
            <w:r>
              <w:t xml:space="preserve">SendGrid</w:t>
            </w:r>
          </w:p>
        </w:tc>
        <w:tc>
          <w:tcPr>
            <w:tcW w:type="dxa" w:w="1600"/>
            <w:tcMar>
              <w:top w:type="dxa" w:w="100"/>
              <w:left w:type="dxa" w:w="120"/>
              <w:bottom w:type="dxa" w:w="100"/>
              <w:right w:type="dxa" w:w="120"/>
            </w:tcMar>
          </w:tcPr>
          <w:p>
            <w:r>
              <w:t xml:space="preserve">REST API</w:t>
            </w:r>
          </w:p>
        </w:tc>
        <w:tc>
          <w:tcPr>
            <w:tcW w:type="dxa" w:w="1300"/>
            <w:tcMar>
              <w:top w:type="dxa" w:w="100"/>
              <w:left w:type="dxa" w:w="120"/>
              <w:bottom w:type="dxa" w:w="100"/>
              <w:right w:type="dxa" w:w="120"/>
            </w:tcMar>
          </w:tcPr>
          <w:p>
            <w:r>
              <w:t xml:space="preserve">Outbound</w:t>
            </w:r>
          </w:p>
        </w:tc>
        <w:tc>
          <w:tcPr>
            <w:tcW w:type="dxa" w:w="3140"/>
            <w:tcMar>
              <w:top w:type="dxa" w:w="100"/>
              <w:left w:type="dxa" w:w="120"/>
              <w:bottom w:type="dxa" w:w="100"/>
              <w:right w:type="dxa" w:w="120"/>
            </w:tcMar>
          </w:tcPr>
          <w:p>
            <w:r>
              <w:t xml:space="preserve">Transactional email content &amp; delivery status webhooks</w:t>
            </w:r>
          </w:p>
        </w:tc>
        <w:tc>
          <w:tcPr>
            <w:tcW w:type="dxa" w:w="1200"/>
            <w:tcMar>
              <w:top w:type="dxa" w:w="100"/>
              <w:left w:type="dxa" w:w="120"/>
              <w:bottom w:type="dxa" w:w="100"/>
              <w:right w:type="dxa" w:w="120"/>
            </w:tcMar>
          </w:tcPr>
          <w:p>
            <w:r>
              <w:t xml:space="preserve">Real-time, event-triggered</w:t>
            </w:r>
          </w:p>
        </w:tc>
      </w:tr>
      <w:tr>
        <w:tc>
          <w:tcPr>
            <w:tcW w:type="dxa" w:w="2000"/>
            <w:tcMar>
              <w:top w:type="dxa" w:w="100"/>
              <w:left w:type="dxa" w:w="120"/>
              <w:bottom w:type="dxa" w:w="100"/>
              <w:right w:type="dxa" w:w="120"/>
            </w:tcMar>
          </w:tcPr>
          <w:p>
            <w:r>
              <w:t xml:space="preserve">Twilio</w:t>
            </w:r>
          </w:p>
        </w:tc>
        <w:tc>
          <w:tcPr>
            <w:tcW w:type="dxa" w:w="1600"/>
            <w:tcMar>
              <w:top w:type="dxa" w:w="100"/>
              <w:left w:type="dxa" w:w="120"/>
              <w:bottom w:type="dxa" w:w="100"/>
              <w:right w:type="dxa" w:w="120"/>
            </w:tcMar>
          </w:tcPr>
          <w:p>
            <w:r>
              <w:t xml:space="preserve">REST API</w:t>
            </w:r>
          </w:p>
        </w:tc>
        <w:tc>
          <w:tcPr>
            <w:tcW w:type="dxa" w:w="1300"/>
            <w:tcMar>
              <w:top w:type="dxa" w:w="100"/>
              <w:left w:type="dxa" w:w="120"/>
              <w:bottom w:type="dxa" w:w="100"/>
              <w:right w:type="dxa" w:w="120"/>
            </w:tcMar>
          </w:tcPr>
          <w:p>
            <w:r>
              <w:t xml:space="preserve">Outbound</w:t>
            </w:r>
          </w:p>
        </w:tc>
        <w:tc>
          <w:tcPr>
            <w:tcW w:type="dxa" w:w="3140"/>
            <w:tcMar>
              <w:top w:type="dxa" w:w="100"/>
              <w:left w:type="dxa" w:w="120"/>
              <w:bottom w:type="dxa" w:w="100"/>
              <w:right w:type="dxa" w:w="120"/>
            </w:tcMar>
          </w:tcPr>
          <w:p>
            <w:r>
              <w:t xml:space="preserve">SMS notifications &amp; delivery receipts</w:t>
            </w:r>
          </w:p>
        </w:tc>
        <w:tc>
          <w:tcPr>
            <w:tcW w:type="dxa" w:w="1200"/>
            <w:tcMar>
              <w:top w:type="dxa" w:w="100"/>
              <w:left w:type="dxa" w:w="120"/>
              <w:bottom w:type="dxa" w:w="100"/>
              <w:right w:type="dxa" w:w="120"/>
            </w:tcMar>
          </w:tcPr>
          <w:p>
            <w:r>
              <w:t xml:space="preserve">Real-time, event-triggered</w:t>
            </w:r>
          </w:p>
        </w:tc>
      </w:tr>
      <w:tr>
        <w:tc>
          <w:tcPr>
            <w:tcW w:type="dxa" w:w="2000"/>
            <w:tcMar>
              <w:top w:type="dxa" w:w="100"/>
              <w:left w:type="dxa" w:w="120"/>
              <w:bottom w:type="dxa" w:w="100"/>
              <w:right w:type="dxa" w:w="120"/>
            </w:tcMar>
          </w:tcPr>
          <w:p>
            <w:r>
              <w:t xml:space="preserve">Google / Facebook OAuth</w:t>
            </w:r>
          </w:p>
        </w:tc>
        <w:tc>
          <w:tcPr>
            <w:tcW w:type="dxa" w:w="1600"/>
            <w:tcMar>
              <w:top w:type="dxa" w:w="100"/>
              <w:left w:type="dxa" w:w="120"/>
              <w:bottom w:type="dxa" w:w="100"/>
              <w:right w:type="dxa" w:w="120"/>
            </w:tcMar>
          </w:tcPr>
          <w:p>
            <w:r>
              <w:t xml:space="preserve">OAuth 2.0</w:t>
            </w:r>
          </w:p>
        </w:tc>
        <w:tc>
          <w:tcPr>
            <w:tcW w:type="dxa" w:w="1300"/>
            <w:tcMar>
              <w:top w:type="dxa" w:w="100"/>
              <w:left w:type="dxa" w:w="120"/>
              <w:bottom w:type="dxa" w:w="100"/>
              <w:right w:type="dxa" w:w="120"/>
            </w:tcMar>
          </w:tcPr>
          <w:p>
            <w:r>
              <w:t xml:space="preserve">Bidirectional</w:t>
            </w:r>
          </w:p>
        </w:tc>
        <w:tc>
          <w:tcPr>
            <w:tcW w:type="dxa" w:w="3140"/>
            <w:tcMar>
              <w:top w:type="dxa" w:w="100"/>
              <w:left w:type="dxa" w:w="120"/>
              <w:bottom w:type="dxa" w:w="100"/>
              <w:right w:type="dxa" w:w="120"/>
            </w:tcMar>
          </w:tcPr>
          <w:p>
            <w:r>
              <w:t xml:space="preserve">Identity token, basic profile (name, email)</w:t>
            </w:r>
          </w:p>
        </w:tc>
        <w:tc>
          <w:tcPr>
            <w:tcW w:type="dxa" w:w="1200"/>
            <w:tcMar>
              <w:top w:type="dxa" w:w="100"/>
              <w:left w:type="dxa" w:w="120"/>
              <w:bottom w:type="dxa" w:w="100"/>
              <w:right w:type="dxa" w:w="120"/>
            </w:tcMar>
          </w:tcPr>
          <w:p>
            <w:r>
              <w:t xml:space="preserve">Real-time, on login</w:t>
            </w:r>
          </w:p>
        </w:tc>
      </w:tr>
      <w:tr>
        <w:tc>
          <w:tcPr>
            <w:tcW w:type="dxa" w:w="2000"/>
            <w:tcMar>
              <w:top w:type="dxa" w:w="100"/>
              <w:left w:type="dxa" w:w="120"/>
              <w:bottom w:type="dxa" w:w="100"/>
              <w:right w:type="dxa" w:w="120"/>
            </w:tcMar>
          </w:tcPr>
          <w:p>
            <w:r>
              <w:t xml:space="preserve">AWS S3</w:t>
            </w:r>
          </w:p>
        </w:tc>
        <w:tc>
          <w:tcPr>
            <w:tcW w:type="dxa" w:w="1600"/>
            <w:tcMar>
              <w:top w:type="dxa" w:w="100"/>
              <w:left w:type="dxa" w:w="120"/>
              <w:bottom w:type="dxa" w:w="100"/>
              <w:right w:type="dxa" w:w="120"/>
            </w:tcMar>
          </w:tcPr>
          <w:p>
            <w:r>
              <w:t xml:space="preserve">S3 API</w:t>
            </w:r>
          </w:p>
        </w:tc>
        <w:tc>
          <w:tcPr>
            <w:tcW w:type="dxa" w:w="1300"/>
            <w:tcMar>
              <w:top w:type="dxa" w:w="100"/>
              <w:left w:type="dxa" w:w="120"/>
              <w:bottom w:type="dxa" w:w="100"/>
              <w:right w:type="dxa" w:w="120"/>
            </w:tcMar>
          </w:tcPr>
          <w:p>
            <w:r>
              <w:t xml:space="preserve">Bidirectional</w:t>
            </w:r>
          </w:p>
        </w:tc>
        <w:tc>
          <w:tcPr>
            <w:tcW w:type="dxa" w:w="3140"/>
            <w:tcMar>
              <w:top w:type="dxa" w:w="100"/>
              <w:left w:type="dxa" w:w="120"/>
              <w:bottom w:type="dxa" w:w="100"/>
              <w:right w:type="dxa" w:w="120"/>
            </w:tcMar>
          </w:tcPr>
          <w:p>
            <w:r>
              <w:t xml:space="preserve">Product images, banners, generated report files</w:t>
            </w:r>
          </w:p>
        </w:tc>
        <w:tc>
          <w:tcPr>
            <w:tcW w:type="dxa" w:w="1200"/>
            <w:tcMar>
              <w:top w:type="dxa" w:w="100"/>
              <w:left w:type="dxa" w:w="120"/>
              <w:bottom w:type="dxa" w:w="100"/>
              <w:right w:type="dxa" w:w="120"/>
            </w:tcMar>
          </w:tcPr>
          <w:p>
            <w:r>
              <w:t xml:space="preserve">On-demand</w:t>
            </w:r>
          </w:p>
        </w:tc>
      </w:tr>
      <w:tr>
        <w:tc>
          <w:tcPr>
            <w:tcW w:type="dxa" w:w="2000"/>
            <w:tcMar>
              <w:top w:type="dxa" w:w="100"/>
              <w:left w:type="dxa" w:w="120"/>
              <w:bottom w:type="dxa" w:w="100"/>
              <w:right w:type="dxa" w:w="120"/>
            </w:tcMar>
          </w:tcPr>
          <w:p>
            <w:r>
              <w:t xml:space="preserve">Elasticsearch Cluster</w:t>
            </w:r>
          </w:p>
        </w:tc>
        <w:tc>
          <w:tcPr>
            <w:tcW w:type="dxa" w:w="1600"/>
            <w:tcMar>
              <w:top w:type="dxa" w:w="100"/>
              <w:left w:type="dxa" w:w="120"/>
              <w:bottom w:type="dxa" w:w="100"/>
              <w:right w:type="dxa" w:w="120"/>
            </w:tcMar>
          </w:tcPr>
          <w:p>
            <w:r>
              <w:t xml:space="preserve">REST API</w:t>
            </w:r>
          </w:p>
        </w:tc>
        <w:tc>
          <w:tcPr>
            <w:tcW w:type="dxa" w:w="1300"/>
            <w:tcMar>
              <w:top w:type="dxa" w:w="100"/>
              <w:left w:type="dxa" w:w="120"/>
              <w:bottom w:type="dxa" w:w="100"/>
              <w:right w:type="dxa" w:w="120"/>
            </w:tcMar>
          </w:tcPr>
          <w:p>
            <w:r>
              <w:t xml:space="preserve">Bidirectional</w:t>
            </w:r>
          </w:p>
        </w:tc>
        <w:tc>
          <w:tcPr>
            <w:tcW w:type="dxa" w:w="3140"/>
            <w:tcMar>
              <w:top w:type="dxa" w:w="100"/>
              <w:left w:type="dxa" w:w="120"/>
              <w:bottom w:type="dxa" w:w="100"/>
              <w:right w:type="dxa" w:w="120"/>
            </w:tcMar>
          </w:tcPr>
          <w:p>
            <w:r>
              <w:t xml:space="preserve">Product index documents, search queries</w:t>
            </w:r>
          </w:p>
        </w:tc>
        <w:tc>
          <w:tcPr>
            <w:tcW w:type="dxa" w:w="1200"/>
            <w:tcMar>
              <w:top w:type="dxa" w:w="100"/>
              <w:left w:type="dxa" w:w="120"/>
              <w:bottom w:type="dxa" w:w="100"/>
              <w:right w:type="dxa" w:w="120"/>
            </w:tcMar>
          </w:tcPr>
          <w:p>
            <w:r>
              <w:t xml:space="preserve">Near real-time (sub-minute sync)</w:t>
            </w:r>
          </w:p>
        </w:tc>
      </w:tr>
      <w:tr>
        <w:tc>
          <w:tcPr>
            <w:tcW w:type="dxa" w:w="2000"/>
            <w:tcMar>
              <w:top w:type="dxa" w:w="100"/>
              <w:left w:type="dxa" w:w="120"/>
              <w:bottom w:type="dxa" w:w="100"/>
              <w:right w:type="dxa" w:w="120"/>
            </w:tcMar>
          </w:tcPr>
          <w:p>
            <w:r>
              <w:t xml:space="preserve">Segment / Google Analytics</w:t>
            </w:r>
          </w:p>
        </w:tc>
        <w:tc>
          <w:tcPr>
            <w:tcW w:type="dxa" w:w="1600"/>
            <w:tcMar>
              <w:top w:type="dxa" w:w="100"/>
              <w:left w:type="dxa" w:w="120"/>
              <w:bottom w:type="dxa" w:w="100"/>
              <w:right w:type="dxa" w:w="120"/>
            </w:tcMar>
          </w:tcPr>
          <w:p>
            <w:r>
              <w:t xml:space="preserve">REST API / SDK</w:t>
            </w:r>
          </w:p>
        </w:tc>
        <w:tc>
          <w:tcPr>
            <w:tcW w:type="dxa" w:w="1300"/>
            <w:tcMar>
              <w:top w:type="dxa" w:w="100"/>
              <w:left w:type="dxa" w:w="120"/>
              <w:bottom w:type="dxa" w:w="100"/>
              <w:right w:type="dxa" w:w="120"/>
            </w:tcMar>
          </w:tcPr>
          <w:p>
            <w:r>
              <w:t xml:space="preserve">Outbound</w:t>
            </w:r>
          </w:p>
        </w:tc>
        <w:tc>
          <w:tcPr>
            <w:tcW w:type="dxa" w:w="3140"/>
            <w:tcMar>
              <w:top w:type="dxa" w:w="100"/>
              <w:left w:type="dxa" w:w="120"/>
              <w:bottom w:type="dxa" w:w="100"/>
              <w:right w:type="dxa" w:w="120"/>
            </w:tcMar>
          </w:tcPr>
          <w:p>
            <w:r>
              <w:t xml:space="preserve">Clickstream and conversion events</w:t>
            </w:r>
          </w:p>
        </w:tc>
        <w:tc>
          <w:tcPr>
            <w:tcW w:type="dxa" w:w="1200"/>
            <w:tcMar>
              <w:top w:type="dxa" w:w="100"/>
              <w:left w:type="dxa" w:w="120"/>
              <w:bottom w:type="dxa" w:w="100"/>
              <w:right w:type="dxa" w:w="120"/>
            </w:tcMar>
          </w:tcPr>
          <w:p>
            <w:r>
              <w:t xml:space="preserve">Real-time, event-triggered</w:t>
            </w:r>
          </w:p>
        </w:tc>
      </w:tr>
    </w:tbl>
    <w:p>
      <w:pPr>
        <w:pStyle w:val="Heading1"/>
        <w:spacing w:after="200" w:before="400"/>
      </w:pPr>
      <w:r>
        <w:t xml:space="preserve">8. Non-Functional Attributes</w:t>
      </w:r>
    </w:p>
    <w:p>
      <w:pPr>
        <w:pStyle w:val="Heading2"/>
        <w:spacing w:after="120" w:before="240"/>
      </w:pPr>
      <w:r>
        <w:t xml:space="preserve">8.1 Security</w:t>
      </w:r>
    </w:p>
    <w:p>
      <w:pPr>
        <w:pStyle w:val="ListParagraph"/>
        <w:numPr>
          <w:ilvl w:val="0"/>
          <w:numId w:val="1"/>
        </w:numPr>
        <w:spacing w:after="80"/>
      </w:pPr>
      <w:r>
        <w:t xml:space="preserve">All traffic encrypted in transit via TLS 1.3; data at rest encrypted with AES-256 (RDS and S3).</w:t>
      </w:r>
    </w:p>
    <w:p>
      <w:pPr>
        <w:pStyle w:val="ListParagraph"/>
        <w:numPr>
          <w:ilvl w:val="0"/>
          <w:numId w:val="1"/>
        </w:numPr>
        <w:spacing w:after="80"/>
      </w:pPr>
      <w:r>
        <w:t xml:space="preserve">PCI-DSS SAQ-A compliance maintained by tokenizing all card data via Stripe.js — no raw card data touches ShopSphere servers.</w:t>
      </w:r>
    </w:p>
    <w:p>
      <w:pPr>
        <w:pStyle w:val="ListParagraph"/>
        <w:numPr>
          <w:ilvl w:val="0"/>
          <w:numId w:val="1"/>
        </w:numPr>
        <w:spacing w:after="80"/>
      </w:pPr>
      <w:r>
        <w:t xml:space="preserve">OWASP Top 10 mitigations enforced: parameterized queries, input sanitization, CSRF tokens, strict Content-Security-Policy headers.</w:t>
      </w:r>
    </w:p>
    <w:p>
      <w:pPr>
        <w:pStyle w:val="ListParagraph"/>
        <w:numPr>
          <w:ilvl w:val="0"/>
          <w:numId w:val="1"/>
        </w:numPr>
        <w:spacing w:after="80"/>
      </w:pPr>
      <w:r>
        <w:t xml:space="preserve">AWS WAF and rate limiting (100 requests/min per IP on auth endpoints) to mitigate brute-force and credential-stuffing attacks.</w:t>
      </w:r>
    </w:p>
    <w:p>
      <w:pPr>
        <w:pStyle w:val="ListParagraph"/>
        <w:numPr>
          <w:ilvl w:val="0"/>
          <w:numId w:val="1"/>
        </w:numPr>
        <w:spacing w:after="80"/>
      </w:pPr>
      <w:r>
        <w:t xml:space="preserve">JWT access tokens expire after 15 minutes; refresh tokens are HttpOnly, Secure, SameSite=Strict cookies.</w:t>
      </w:r>
    </w:p>
    <w:p>
      <w:pPr>
        <w:pStyle w:val="Heading2"/>
        <w:spacing w:after="120" w:before="240"/>
      </w:pPr>
      <w:r>
        <w:t xml:space="preserve">8.2 Usability</w:t>
      </w:r>
    </w:p>
    <w:p>
      <w:pPr>
        <w:pStyle w:val="ListParagraph"/>
        <w:numPr>
          <w:ilvl w:val="0"/>
          <w:numId w:val="1"/>
        </w:numPr>
        <w:spacing w:after="80"/>
      </w:pPr>
      <w:r>
        <w:t xml:space="preserve">WCAG 2.1 Level AA conformance across the storefront, including keyboard navigation and screen-reader labeling.</w:t>
      </w:r>
    </w:p>
    <w:p>
      <w:pPr>
        <w:pStyle w:val="ListParagraph"/>
        <w:numPr>
          <w:ilvl w:val="0"/>
          <w:numId w:val="1"/>
        </w:numPr>
        <w:spacing w:after="80"/>
      </w:pPr>
      <w:r>
        <w:t xml:space="preserve">Mobile-first responsive design validated on the latest two major versions of Chrome, Safari, Firefox, and Edge.</w:t>
      </w:r>
    </w:p>
    <w:p>
      <w:pPr>
        <w:pStyle w:val="ListParagraph"/>
        <w:numPr>
          <w:ilvl w:val="0"/>
          <w:numId w:val="1"/>
        </w:numPr>
        <w:spacing w:after="80"/>
      </w:pPr>
      <w:r>
        <w:t xml:space="preserve">Checkout reduced to a maximum of two screens / three total clicks from cart to order confirmation.</w:t>
      </w:r>
    </w:p>
    <w:p>
      <w:pPr>
        <w:pStyle w:val="Heading2"/>
        <w:spacing w:after="120" w:before="240"/>
      </w:pPr>
      <w:r>
        <w:t xml:space="preserve">8.3 Reliability</w:t>
      </w:r>
    </w:p>
    <w:p>
      <w:pPr>
        <w:pStyle w:val="ListParagraph"/>
        <w:numPr>
          <w:ilvl w:val="0"/>
          <w:numId w:val="1"/>
        </w:numPr>
        <w:spacing w:after="80"/>
      </w:pPr>
      <w:r>
        <w:t xml:space="preserve">Circuit breakers around all third-party integrations (Stripe, shipping, notifications) with graceful degradation — e.g., checkout proceeds with an estimated shipping cost if the carrier API times out.</w:t>
      </w:r>
    </w:p>
    <w:p>
      <w:pPr>
        <w:pStyle w:val="ListParagraph"/>
        <w:numPr>
          <w:ilvl w:val="0"/>
          <w:numId w:val="1"/>
        </w:numPr>
        <w:spacing w:after="80"/>
      </w:pPr>
      <w:r>
        <w:t xml:space="preserve">Automated failover for the primary PostgreSQL instance with a Recovery Time Objective (RTO) of 5 minutes and Recovery Point Objective (RPO) of 1 minute.</w:t>
      </w:r>
    </w:p>
    <w:p>
      <w:pPr>
        <w:pStyle w:val="Heading2"/>
        <w:spacing w:after="120" w:before="240"/>
      </w:pPr>
      <w:r>
        <w:t xml:space="preserve">8.4 Scalability</w:t>
      </w:r>
    </w:p>
    <w:p>
      <w:pPr>
        <w:pStyle w:val="ListParagraph"/>
        <w:numPr>
          <w:ilvl w:val="0"/>
          <w:numId w:val="1"/>
        </w:numPr>
        <w:spacing w:after="80"/>
      </w:pPr>
      <w:r>
        <w:t xml:space="preserve">Backend services containerized and deployed on Kubernetes (EKS) with horizontal pod autoscaling based on CPU and request-queue depth.</w:t>
      </w:r>
    </w:p>
    <w:p>
      <w:pPr>
        <w:pStyle w:val="ListParagraph"/>
        <w:numPr>
          <w:ilvl w:val="0"/>
          <w:numId w:val="1"/>
        </w:numPr>
        <w:spacing w:after="80"/>
      </w:pPr>
      <w:r>
        <w:t xml:space="preserve">PostgreSQL read replicas serve catalog and reporting queries; Redis Cluster handles session and cart caching to shed load from the primary database.</w:t>
      </w:r>
    </w:p>
    <w:p>
      <w:pPr>
        <w:pStyle w:val="Heading2"/>
        <w:spacing w:after="120" w:before="240"/>
      </w:pPr>
      <w:r>
        <w:t xml:space="preserve">8.5 Maintainability</w:t>
      </w:r>
    </w:p>
    <w:p>
      <w:pPr>
        <w:pStyle w:val="ListParagraph"/>
        <w:numPr>
          <w:ilvl w:val="0"/>
          <w:numId w:val="1"/>
        </w:numPr>
        <w:spacing w:after="80"/>
      </w:pPr>
      <w:r>
        <w:t xml:space="preserve">CI/CD pipeline (GitHub Actions) with mandatory unit test coverage ≥ 80% and automated linting/static analysis gating merges.</w:t>
      </w:r>
    </w:p>
    <w:p>
      <w:pPr>
        <w:pStyle w:val="ListParagraph"/>
        <w:numPr>
          <w:ilvl w:val="0"/>
          <w:numId w:val="1"/>
        </w:numPr>
        <w:spacing w:after="80"/>
      </w:pPr>
      <w:r>
        <w:t xml:space="preserve">Modular service boundaries (Catalog, Cart, Order, Payment, Notification) enabling independent deployment.</w:t>
      </w:r>
    </w:p>
    <w:p>
      <w:pPr>
        <w:pStyle w:val="ListParagraph"/>
        <w:numPr>
          <w:ilvl w:val="0"/>
          <w:numId w:val="1"/>
        </w:numPr>
        <w:spacing w:after="80"/>
      </w:pPr>
      <w:r>
        <w:t xml:space="preserve">Feature flags (LaunchDarkly) used for progressive rollout of checkout changes.</w:t>
      </w:r>
    </w:p>
    <w:p>
      <w:pPr>
        <w:pStyle w:val="Heading2"/>
        <w:spacing w:after="120" w:before="240"/>
      </w:pPr>
      <w:r>
        <w:t xml:space="preserve">8.6 Compliance</w:t>
      </w:r>
    </w:p>
    <w:p>
      <w:pPr>
        <w:pStyle w:val="ListParagraph"/>
        <w:numPr>
          <w:ilvl w:val="0"/>
          <w:numId w:val="1"/>
        </w:numPr>
        <w:spacing w:after="80"/>
      </w:pPr>
      <w:r>
        <w:t xml:space="preserve">GDPR: supports right-to-access and right-to-erasure requests for EU customers within the mandated 30-day window.</w:t>
      </w:r>
    </w:p>
    <w:p>
      <w:pPr>
        <w:pStyle w:val="ListParagraph"/>
        <w:numPr>
          <w:ilvl w:val="0"/>
          <w:numId w:val="1"/>
        </w:numPr>
        <w:spacing w:after="80"/>
      </w:pPr>
      <w:r>
        <w:t xml:space="preserve">CCPA: provides a "Do Not Sell My Personal Information" opt-out mechanism for California residents.</w:t>
      </w:r>
    </w:p>
    <w:p>
      <w:pPr>
        <w:pStyle w:val="ListParagraph"/>
        <w:numPr>
          <w:ilvl w:val="0"/>
          <w:numId w:val="1"/>
        </w:numPr>
        <w:spacing w:after="80"/>
      </w:pPr>
      <w:r>
        <w:t xml:space="preserve">PCI-DSS v4.0: annual SAQ-A self-assessment maintained by the Security team.</w:t>
      </w:r>
    </w:p>
    <w:p>
      <w:pPr>
        <w:pStyle w:val="Heading2"/>
        <w:spacing w:after="120" w:before="240"/>
      </w:pPr>
      <w:r>
        <w:t xml:space="preserve">8.7 Auditability &amp; Logging</w:t>
      </w:r>
    </w:p>
    <w:p>
      <w:pPr>
        <w:pStyle w:val="ListParagraph"/>
        <w:numPr>
          <w:ilvl w:val="0"/>
          <w:numId w:val="1"/>
        </w:numPr>
        <w:spacing w:after="80"/>
      </w:pPr>
      <w:r>
        <w:t xml:space="preserve">Centralized structured logging via the ELK stack (Elasticsearch, Logstash, Kibana) with correlation IDs across services.</w:t>
      </w:r>
    </w:p>
    <w:p>
      <w:pPr>
        <w:pStyle w:val="ListParagraph"/>
        <w:numPr>
          <w:ilvl w:val="0"/>
          <w:numId w:val="1"/>
        </w:numPr>
        <w:spacing w:after="80"/>
      </w:pPr>
      <w:r>
        <w:t xml:space="preserve">Immutable audit trail for all order and payment state transitions, retained for 1 year in cold storage.</w:t>
      </w:r>
    </w:p>
    <w:p>
      <w:pPr>
        <w:pStyle w:val="ListParagraph"/>
        <w:numPr>
          <w:ilvl w:val="0"/>
          <w:numId w:val="1"/>
        </w:numPr>
        <w:spacing w:after="80"/>
      </w:pPr>
      <w:r>
        <w:t xml:space="preserve">Admin actions (inventory adjustments, refunds, coupon creation) logged with user identity, timestamp, and before/after values.</w:t>
      </w:r>
    </w:p>
    <w:p>
      <w:pPr>
        <w:pStyle w:val="Heading1"/>
        <w:spacing w:after="200" w:before="400"/>
      </w:pPr>
      <w:r>
        <w:t xml:space="preserve">9. Glossary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rPr>
          <w:tblHeader/>
        </w:trPr>
        <w:tc>
          <w:tcPr>
            <w:tcW w:type="dxa" w:w="2600"/>
            <w:shd w:fill="1F4E79" w:val="clear"/>
            <w:tcMar>
              <w:top w:type="dxa" w:w="100"/>
              <w:left w:type="dxa" w:w="120"/>
              <w:bottom w:type="dxa" w:w="100"/>
              <w:right w:type="dxa" w:w="120"/>
            </w:tcMar>
          </w:tcPr>
          <w:p>
            <w:r>
              <w:rPr>
                <w:b/>
                <w:bCs/>
                <w:color w:val="FFFFFF"/>
              </w:rPr>
              <w:t xml:space="preserve">Term / Abbreviation</w:t>
            </w:r>
          </w:p>
        </w:tc>
        <w:tc>
          <w:tcPr>
            <w:tcW w:type="dxa" w:w="6640"/>
            <w:shd w:fill="1F4E79" w:val="clear"/>
            <w:tcMar>
              <w:top w:type="dxa" w:w="100"/>
              <w:left w:type="dxa" w:w="120"/>
              <w:bottom w:type="dxa" w:w="100"/>
              <w:right w:type="dxa" w:w="120"/>
            </w:tcMar>
          </w:tcPr>
          <w:p>
            <w:r>
              <w:rPr>
                <w:b/>
                <w:bCs/>
                <w:color w:val="FFFFFF"/>
              </w:rPr>
              <w:t xml:space="preserve">Definition</w:t>
            </w:r>
          </w:p>
        </w:tc>
      </w:tr>
      <w:tr>
        <w:tc>
          <w:tcPr>
            <w:tcW w:type="dxa" w:w="2600"/>
            <w:tcMar>
              <w:top w:type="dxa" w:w="100"/>
              <w:left w:type="dxa" w:w="120"/>
              <w:bottom w:type="dxa" w:w="100"/>
              <w:right w:type="dxa" w:w="120"/>
            </w:tcMar>
          </w:tcPr>
          <w:p>
            <w:r>
              <w:t xml:space="preserve">SKU</w:t>
            </w:r>
          </w:p>
        </w:tc>
        <w:tc>
          <w:tcPr>
            <w:tcW w:type="dxa" w:w="6640"/>
            <w:tcMar>
              <w:top w:type="dxa" w:w="100"/>
              <w:left w:type="dxa" w:w="120"/>
              <w:bottom w:type="dxa" w:w="100"/>
              <w:right w:type="dxa" w:w="120"/>
            </w:tcMar>
          </w:tcPr>
          <w:p>
            <w:r>
              <w:t xml:space="preserve">Stock Keeping Unit — a unique identifier for each distinct product/variant.</w:t>
            </w:r>
          </w:p>
        </w:tc>
      </w:tr>
      <w:tr>
        <w:tc>
          <w:tcPr>
            <w:tcW w:type="dxa" w:w="2600"/>
            <w:tcMar>
              <w:top w:type="dxa" w:w="100"/>
              <w:left w:type="dxa" w:w="120"/>
              <w:bottom w:type="dxa" w:w="100"/>
              <w:right w:type="dxa" w:w="120"/>
            </w:tcMar>
          </w:tcPr>
          <w:p>
            <w:r>
              <w:t xml:space="preserve">JWT</w:t>
            </w:r>
          </w:p>
        </w:tc>
        <w:tc>
          <w:tcPr>
            <w:tcW w:type="dxa" w:w="6640"/>
            <w:tcMar>
              <w:top w:type="dxa" w:w="100"/>
              <w:left w:type="dxa" w:w="120"/>
              <w:bottom w:type="dxa" w:w="100"/>
              <w:right w:type="dxa" w:w="120"/>
            </w:tcMar>
          </w:tcPr>
          <w:p>
            <w:r>
              <w:t xml:space="preserve">JSON Web Token — a signed token used to authenticate API requests.</w:t>
            </w:r>
          </w:p>
        </w:tc>
      </w:tr>
      <w:tr>
        <w:tc>
          <w:tcPr>
            <w:tcW w:type="dxa" w:w="2600"/>
            <w:tcMar>
              <w:top w:type="dxa" w:w="100"/>
              <w:left w:type="dxa" w:w="120"/>
              <w:bottom w:type="dxa" w:w="100"/>
              <w:right w:type="dxa" w:w="120"/>
            </w:tcMar>
          </w:tcPr>
          <w:p>
            <w:r>
              <w:t xml:space="preserve">OAuth 2.0</w:t>
            </w:r>
          </w:p>
        </w:tc>
        <w:tc>
          <w:tcPr>
            <w:tcW w:type="dxa" w:w="6640"/>
            <w:tcMar>
              <w:top w:type="dxa" w:w="100"/>
              <w:left w:type="dxa" w:w="120"/>
              <w:bottom w:type="dxa" w:w="100"/>
              <w:right w:type="dxa" w:w="120"/>
            </w:tcMar>
          </w:tcPr>
          <w:p>
            <w:r>
              <w:t xml:space="preserve">An industry-standard protocol for delegated authorization, used for "Login with Google/Facebook."</w:t>
            </w:r>
          </w:p>
        </w:tc>
      </w:tr>
      <w:tr>
        <w:tc>
          <w:tcPr>
            <w:tcW w:type="dxa" w:w="2600"/>
            <w:tcMar>
              <w:top w:type="dxa" w:w="100"/>
              <w:left w:type="dxa" w:w="120"/>
              <w:bottom w:type="dxa" w:w="100"/>
              <w:right w:type="dxa" w:w="120"/>
            </w:tcMar>
          </w:tcPr>
          <w:p>
            <w:r>
              <w:t xml:space="preserve">PCI-DSS</w:t>
            </w:r>
          </w:p>
        </w:tc>
        <w:tc>
          <w:tcPr>
            <w:tcW w:type="dxa" w:w="6640"/>
            <w:tcMar>
              <w:top w:type="dxa" w:w="100"/>
              <w:left w:type="dxa" w:w="120"/>
              <w:bottom w:type="dxa" w:w="100"/>
              <w:right w:type="dxa" w:w="120"/>
            </w:tcMar>
          </w:tcPr>
          <w:p>
            <w:r>
              <w:t xml:space="preserve">Payment Card Industry Data Security Standard — a security standard for organizations handling card data.</w:t>
            </w:r>
          </w:p>
        </w:tc>
      </w:tr>
      <w:tr>
        <w:tc>
          <w:tcPr>
            <w:tcW w:type="dxa" w:w="2600"/>
            <w:tcMar>
              <w:top w:type="dxa" w:w="100"/>
              <w:left w:type="dxa" w:w="120"/>
              <w:bottom w:type="dxa" w:w="100"/>
              <w:right w:type="dxa" w:w="120"/>
            </w:tcMar>
          </w:tcPr>
          <w:p>
            <w:r>
              <w:t xml:space="preserve">SLA</w:t>
            </w:r>
          </w:p>
        </w:tc>
        <w:tc>
          <w:tcPr>
            <w:tcW w:type="dxa" w:w="6640"/>
            <w:tcMar>
              <w:top w:type="dxa" w:w="100"/>
              <w:left w:type="dxa" w:w="120"/>
              <w:bottom w:type="dxa" w:w="100"/>
              <w:right w:type="dxa" w:w="120"/>
            </w:tcMar>
          </w:tcPr>
          <w:p>
            <w:r>
              <w:t xml:space="preserve">Service Level Agreement — a commitment to a defined level of service (e.g., uptime).</w:t>
            </w:r>
          </w:p>
        </w:tc>
      </w:tr>
      <w:tr>
        <w:tc>
          <w:tcPr>
            <w:tcW w:type="dxa" w:w="2600"/>
            <w:tcMar>
              <w:top w:type="dxa" w:w="100"/>
              <w:left w:type="dxa" w:w="120"/>
              <w:bottom w:type="dxa" w:w="100"/>
              <w:right w:type="dxa" w:w="120"/>
            </w:tcMar>
          </w:tcPr>
          <w:p>
            <w:r>
              <w:t xml:space="preserve">WAF</w:t>
            </w:r>
          </w:p>
        </w:tc>
        <w:tc>
          <w:tcPr>
            <w:tcW w:type="dxa" w:w="6640"/>
            <w:tcMar>
              <w:top w:type="dxa" w:w="100"/>
              <w:left w:type="dxa" w:w="120"/>
              <w:bottom w:type="dxa" w:w="100"/>
              <w:right w:type="dxa" w:w="120"/>
            </w:tcMar>
          </w:tcPr>
          <w:p>
            <w:r>
              <w:t xml:space="preserve">Web Application Firewall — filters and monitors HTTP traffic to protect against common exploits.</w:t>
            </w:r>
          </w:p>
        </w:tc>
      </w:tr>
      <w:tr>
        <w:tc>
          <w:tcPr>
            <w:tcW w:type="dxa" w:w="2600"/>
            <w:tcMar>
              <w:top w:type="dxa" w:w="100"/>
              <w:left w:type="dxa" w:w="120"/>
              <w:bottom w:type="dxa" w:w="100"/>
              <w:right w:type="dxa" w:w="120"/>
            </w:tcMar>
          </w:tcPr>
          <w:p>
            <w:r>
              <w:t xml:space="preserve">Idempotency Key</w:t>
            </w:r>
          </w:p>
        </w:tc>
        <w:tc>
          <w:tcPr>
            <w:tcW w:type="dxa" w:w="6640"/>
            <w:tcMar>
              <w:top w:type="dxa" w:w="100"/>
              <w:left w:type="dxa" w:w="120"/>
              <w:bottom w:type="dxa" w:w="100"/>
              <w:right w:type="dxa" w:w="120"/>
            </w:tcMar>
          </w:tcPr>
          <w:p>
            <w:r>
              <w:t xml:space="preserve">A unique key sent with a payment request to ensure it is processed only once, even if retried.</w:t>
            </w:r>
          </w:p>
        </w:tc>
      </w:tr>
      <w:tr>
        <w:tc>
          <w:tcPr>
            <w:tcW w:type="dxa" w:w="2600"/>
            <w:tcMar>
              <w:top w:type="dxa" w:w="100"/>
              <w:left w:type="dxa" w:w="120"/>
              <w:bottom w:type="dxa" w:w="100"/>
              <w:right w:type="dxa" w:w="120"/>
            </w:tcMar>
          </w:tcPr>
          <w:p>
            <w:r>
              <w:t xml:space="preserve">Webhook</w:t>
            </w:r>
          </w:p>
        </w:tc>
        <w:tc>
          <w:tcPr>
            <w:tcW w:type="dxa" w:w="6640"/>
            <w:tcMar>
              <w:top w:type="dxa" w:w="100"/>
              <w:left w:type="dxa" w:w="120"/>
              <w:bottom w:type="dxa" w:w="100"/>
              <w:right w:type="dxa" w:w="120"/>
            </w:tcMar>
          </w:tcPr>
          <w:p>
            <w:r>
              <w:t xml:space="preserve">An HTTP callback that a third-party service (e.g., Stripe) sends to notify ShopSphere of an event.</w:t>
            </w:r>
          </w:p>
        </w:tc>
      </w:tr>
      <w:tr>
        <w:tc>
          <w:tcPr>
            <w:tcW w:type="dxa" w:w="2600"/>
            <w:tcMar>
              <w:top w:type="dxa" w:w="100"/>
              <w:left w:type="dxa" w:w="120"/>
              <w:bottom w:type="dxa" w:w="100"/>
              <w:right w:type="dxa" w:w="120"/>
            </w:tcMar>
          </w:tcPr>
          <w:p>
            <w:r>
              <w:t xml:space="preserve">RTO / RPO</w:t>
            </w:r>
          </w:p>
        </w:tc>
        <w:tc>
          <w:tcPr>
            <w:tcW w:type="dxa" w:w="6640"/>
            <w:tcMar>
              <w:top w:type="dxa" w:w="100"/>
              <w:left w:type="dxa" w:w="120"/>
              <w:bottom w:type="dxa" w:w="100"/>
              <w:right w:type="dxa" w:w="120"/>
            </w:tcMar>
          </w:tcPr>
          <w:p>
            <w:r>
              <w:t xml:space="preserve">Recovery Time Objective / Recovery Point Objective — targets for disaster-recovery speed and data-loss tolerance.</w:t>
            </w:r>
          </w:p>
        </w:tc>
      </w:tr>
      <w:tr>
        <w:tc>
          <w:tcPr>
            <w:tcW w:type="dxa" w:w="2600"/>
            <w:tcMar>
              <w:top w:type="dxa" w:w="100"/>
              <w:left w:type="dxa" w:w="120"/>
              <w:bottom w:type="dxa" w:w="100"/>
              <w:right w:type="dxa" w:w="120"/>
            </w:tcMar>
          </w:tcPr>
          <w:p>
            <w:r>
              <w:t xml:space="preserve">p95</w:t>
            </w:r>
          </w:p>
        </w:tc>
        <w:tc>
          <w:tcPr>
            <w:tcW w:type="dxa" w:w="6640"/>
            <w:tcMar>
              <w:top w:type="dxa" w:w="100"/>
              <w:left w:type="dxa" w:w="120"/>
              <w:bottom w:type="dxa" w:w="100"/>
              <w:right w:type="dxa" w:w="120"/>
            </w:tcMar>
          </w:tcPr>
          <w:p>
            <w:r>
              <w:t xml:space="preserve">95th percentile — a statistical measure meaning 95% of observed values fall at or below the stated figure.</w:t>
            </w:r>
          </w:p>
        </w:tc>
      </w:tr>
    </w:tbl>
    <w:p>
      <w:pPr>
        <w:pStyle w:val="Heading1"/>
        <w:spacing w:after="200" w:before="400"/>
      </w:pPr>
      <w:r>
        <w:t xml:space="preserve">10. Attachments</w:t>
      </w:r>
    </w:p>
    <w:p>
      <w:pPr>
        <w:pStyle w:val="ListParagraph"/>
        <w:numPr>
          <w:ilvl w:val="0"/>
          <w:numId w:val="1"/>
        </w:numPr>
        <w:spacing w:after="80"/>
      </w:pPr>
      <w:r>
        <w:t xml:space="preserve">Attachment A — Checkout Revamp Wireframes (Figma export, PDF)</w:t>
      </w:r>
    </w:p>
    <w:p>
      <w:pPr>
        <w:pStyle w:val="ListParagraph"/>
        <w:numPr>
          <w:ilvl w:val="0"/>
          <w:numId w:val="1"/>
        </w:numPr>
        <w:spacing w:after="80"/>
      </w:pPr>
      <w:r>
        <w:t xml:space="preserve">Attachment B — ShopSphere Entity-Relationship Diagram (v2.1)</w:t>
      </w:r>
    </w:p>
    <w:p>
      <w:pPr>
        <w:pStyle w:val="ListParagraph"/>
        <w:numPr>
          <w:ilvl w:val="0"/>
          <w:numId w:val="1"/>
        </w:numPr>
        <w:spacing w:after="80"/>
      </w:pPr>
      <w:r>
        <w:t xml:space="preserve">Attachment C — OpenAPI 3.0 / Swagger Specification for Cart, Checkout, and Order services</w:t>
      </w:r>
    </w:p>
    <w:p>
      <w:pPr>
        <w:pStyle w:val="ListParagraph"/>
        <w:numPr>
          <w:ilvl w:val="0"/>
          <w:numId w:val="1"/>
        </w:numPr>
        <w:spacing w:after="80"/>
      </w:pPr>
      <w:r>
        <w:t xml:space="preserve">Attachment D — Stripe Payment Sequence Diagram (PaymentIntent lifecycle)</w:t>
      </w:r>
    </w:p>
    <w:p>
      <w:pPr>
        <w:pStyle w:val="ListParagraph"/>
        <w:numPr>
          <w:ilvl w:val="0"/>
          <w:numId w:val="1"/>
        </w:numPr>
        <w:spacing w:after="80"/>
      </w:pPr>
      <w:r>
        <w:t xml:space="preserve">Attachment E — Load &amp; Performance Test Plan Template (JMeter)</w:t>
      </w:r>
    </w:p>
    <w:p>
      <w:pPr>
        <w:pStyle w:val="ListParagraph"/>
        <w:numPr>
          <w:ilvl w:val="0"/>
          <w:numId w:val="1"/>
        </w:numPr>
        <w:spacing w:after="80"/>
      </w:pPr>
      <w:r>
        <w:t xml:space="preserve">Attachment F — Data Flow Diagram for GDPR/CCPA Data Subject Requests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ShopSphere FRD — Release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2026-08-06T10:44:28.804Z</dcterms:created>
  <dcterms:modified xsi:type="dcterms:W3CDTF">2026-08-06T10:44:28.819Z</dcterms:modified>
</cp:coreProperties>
</file>

<file path=docProps/custom.xml><?xml version="1.0" encoding="utf-8"?>
<Properties xmlns="http://schemas.openxmlformats.org/officeDocument/2006/custom-properties" xmlns:vt="http://schemas.openxmlformats.org/officeDocument/2006/docPropsVTypes"/>
</file>