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79"/>
          <w:sz w:val="56"/>
          <w:szCs w:val="56"/>
        </w:rPr>
        <w:t xml:space="preserve">Functional Requirements Document</w:t>
      </w:r>
    </w:p>
    <w:p>
      <w:pPr>
        <w:spacing w:after="100"/>
        <w:jc w:val="center"/>
      </w:pPr>
      <w:r>
        <w:rPr>
          <w:b/>
          <w:bCs/>
          <w:color w:val="333333"/>
          <w:sz w:val="34"/>
          <w:szCs w:val="34"/>
        </w:rPr>
        <w:t xml:space="preserve">TaskFlow — Team Project &amp; Task Management Platform</w:t>
      </w:r>
    </w:p>
    <w:p>
      <w:pPr>
        <w:spacing w:after="700"/>
        <w:jc w:val="center"/>
      </w:pPr>
      <w:r>
        <w:rPr>
          <w:i/>
          <w:iCs/>
          <w:color w:val="666666"/>
          <w:sz w:val="26"/>
          <w:szCs w:val="26"/>
        </w:rPr>
        <w:t xml:space="preserve">Release 1.5 — Real-Time Collaboration &amp; Notifications Enhancement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6240"/>
      </w:tblGrid>
      <w:tr>
        <w:tc>
          <w:tcPr>
            <w:tcW w:type="dxa" w:w="3000"/>
            <w:shd w:fill="EEF3F9" w:val="clear"/>
            <w:tcMar>
              <w:top w:type="dxa" w:w="100"/>
              <w:left w:type="dxa" w:w="120"/>
              <w:bottom w:type="dxa" w:w="100"/>
              <w:right w:type="dxa" w:w="120"/>
            </w:tcMar>
          </w:tcPr>
          <w:p>
            <w:r>
              <w:rPr>
                <w:b/>
                <w:bCs/>
              </w:rPr>
              <w:t xml:space="preserve">Document Version</w:t>
            </w:r>
          </w:p>
        </w:tc>
        <w:tc>
          <w:tcPr>
            <w:tcW w:type="dxa" w:w="6240"/>
            <w:tcMar>
              <w:top w:type="dxa" w:w="100"/>
              <w:left w:type="dxa" w:w="120"/>
              <w:bottom w:type="dxa" w:w="100"/>
              <w:right w:type="dxa" w:w="120"/>
            </w:tcMar>
          </w:tcPr>
          <w:p>
            <w:r>
              <w:rPr>
                <w:i w:val="false"/>
                <w:iCs w:val="false"/>
                <w:color w:val="000000"/>
              </w:rPr>
              <w:t xml:space="preserve">1.5</w:t>
            </w:r>
          </w:p>
        </w:tc>
      </w:tr>
      <w:tr>
        <w:tc>
          <w:tcPr>
            <w:tcW w:type="dxa" w:w="3000"/>
            <w:shd w:fill="EEF3F9" w:val="clear"/>
            <w:tcMar>
              <w:top w:type="dxa" w:w="100"/>
              <w:left w:type="dxa" w:w="120"/>
              <w:bottom w:type="dxa" w:w="100"/>
              <w:right w:type="dxa" w:w="120"/>
            </w:tcMar>
          </w:tcPr>
          <w:p>
            <w:r>
              <w:rPr>
                <w:b/>
                <w:bCs/>
              </w:rPr>
              <w:t xml:space="preserve">Prepared By</w:t>
            </w:r>
          </w:p>
        </w:tc>
        <w:tc>
          <w:tcPr>
            <w:tcW w:type="dxa" w:w="6240"/>
            <w:tcMar>
              <w:top w:type="dxa" w:w="100"/>
              <w:left w:type="dxa" w:w="120"/>
              <w:bottom w:type="dxa" w:w="100"/>
              <w:right w:type="dxa" w:w="120"/>
            </w:tcMar>
          </w:tcPr>
          <w:p>
            <w:r>
              <w:rPr>
                <w:i w:val="false"/>
                <w:iCs w:val="false"/>
                <w:color w:val="000000"/>
              </w:rPr>
              <w:t xml:space="preserve">Divya Menon, Senior Business Analyst</w:t>
            </w:r>
          </w:p>
        </w:tc>
      </w:tr>
      <w:tr>
        <w:tc>
          <w:tcPr>
            <w:tcW w:type="dxa" w:w="3000"/>
            <w:shd w:fill="EEF3F9" w:val="clear"/>
            <w:tcMar>
              <w:top w:type="dxa" w:w="100"/>
              <w:left w:type="dxa" w:w="120"/>
              <w:bottom w:type="dxa" w:w="100"/>
              <w:right w:type="dxa" w:w="120"/>
            </w:tcMar>
          </w:tcPr>
          <w:p>
            <w:r>
              <w:rPr>
                <w:b/>
                <w:bCs/>
              </w:rPr>
              <w:t xml:space="preserve">Reviewed By</w:t>
            </w:r>
          </w:p>
        </w:tc>
        <w:tc>
          <w:tcPr>
            <w:tcW w:type="dxa" w:w="6240"/>
            <w:tcMar>
              <w:top w:type="dxa" w:w="100"/>
              <w:left w:type="dxa" w:w="120"/>
              <w:bottom w:type="dxa" w:w="100"/>
              <w:right w:type="dxa" w:w="120"/>
            </w:tcMar>
          </w:tcPr>
          <w:p>
            <w:r>
              <w:rPr>
                <w:i w:val="false"/>
                <w:iCs w:val="false"/>
                <w:color w:val="000000"/>
              </w:rPr>
              <w:t xml:space="preserve">Arjun Nambiar, Engineering Lead</w:t>
            </w:r>
          </w:p>
        </w:tc>
      </w:tr>
      <w:tr>
        <w:tc>
          <w:tcPr>
            <w:tcW w:type="dxa" w:w="3000"/>
            <w:shd w:fill="EEF3F9" w:val="clear"/>
            <w:tcMar>
              <w:top w:type="dxa" w:w="100"/>
              <w:left w:type="dxa" w:w="120"/>
              <w:bottom w:type="dxa" w:w="100"/>
              <w:right w:type="dxa" w:w="120"/>
            </w:tcMar>
          </w:tcPr>
          <w:p>
            <w:r>
              <w:rPr>
                <w:b/>
                <w:bCs/>
              </w:rPr>
              <w:t xml:space="preserve">Approved By</w:t>
            </w:r>
          </w:p>
        </w:tc>
        <w:tc>
          <w:tcPr>
            <w:tcW w:type="dxa" w:w="6240"/>
            <w:tcMar>
              <w:top w:type="dxa" w:w="100"/>
              <w:left w:type="dxa" w:w="120"/>
              <w:bottom w:type="dxa" w:w="100"/>
              <w:right w:type="dxa" w:w="120"/>
            </w:tcMar>
          </w:tcPr>
          <w:p>
            <w:r>
              <w:rPr>
                <w:i w:val="false"/>
                <w:iCs w:val="false"/>
                <w:color w:val="000000"/>
              </w:rPr>
              <w:t xml:space="preserve">Farah Sheikh, Director of Product</w:t>
            </w:r>
          </w:p>
        </w:tc>
      </w:tr>
      <w:tr>
        <w:tc>
          <w:tcPr>
            <w:tcW w:type="dxa" w:w="3000"/>
            <w:shd w:fill="EEF3F9" w:val="clear"/>
            <w:tcMar>
              <w:top w:type="dxa" w:w="100"/>
              <w:left w:type="dxa" w:w="120"/>
              <w:bottom w:type="dxa" w:w="100"/>
              <w:right w:type="dxa" w:w="120"/>
            </w:tcMar>
          </w:tcPr>
          <w:p>
            <w:r>
              <w:rPr>
                <w:b/>
                <w:bCs/>
              </w:rPr>
              <w:t xml:space="preserve">Date</w:t>
            </w:r>
          </w:p>
        </w:tc>
        <w:tc>
          <w:tcPr>
            <w:tcW w:type="dxa" w:w="6240"/>
            <w:tcMar>
              <w:top w:type="dxa" w:w="100"/>
              <w:left w:type="dxa" w:w="120"/>
              <w:bottom w:type="dxa" w:w="100"/>
              <w:right w:type="dxa" w:w="120"/>
            </w:tcMar>
          </w:tcPr>
          <w:p>
            <w:r>
              <w:rPr>
                <w:i w:val="false"/>
                <w:iCs w:val="false"/>
                <w:color w:val="000000"/>
              </w:rPr>
              <w:t xml:space="preserve">22-Jul-2026</w:t>
            </w:r>
          </w:p>
        </w:tc>
      </w:tr>
      <w:tr>
        <w:tc>
          <w:tcPr>
            <w:tcW w:type="dxa" w:w="3000"/>
            <w:shd w:fill="EEF3F9" w:val="clear"/>
            <w:tcMar>
              <w:top w:type="dxa" w:w="100"/>
              <w:left w:type="dxa" w:w="120"/>
              <w:bottom w:type="dxa" w:w="100"/>
              <w:right w:type="dxa" w:w="120"/>
            </w:tcMar>
          </w:tcPr>
          <w:p>
            <w:r>
              <w:rPr>
                <w:b/>
                <w:bCs/>
              </w:rPr>
              <w:t xml:space="preserve">Status</w:t>
            </w:r>
          </w:p>
        </w:tc>
        <w:tc>
          <w:tcPr>
            <w:tcW w:type="dxa" w:w="6240"/>
            <w:tcMar>
              <w:top w:type="dxa" w:w="100"/>
              <w:left w:type="dxa" w:w="120"/>
              <w:bottom w:type="dxa" w:w="100"/>
              <w:right w:type="dxa" w:w="120"/>
            </w:tcMar>
          </w:tcPr>
          <w:p>
            <w:r>
              <w:rPr>
                <w:i w:val="false"/>
                <w:iCs w:val="false"/>
                <w:color w:val="000000"/>
              </w:rPr>
              <w:t xml:space="preserve">Final — Approved for Development</w:t>
            </w:r>
          </w:p>
        </w:tc>
      </w:tr>
      <w:tr>
        <w:tc>
          <w:tcPr>
            <w:tcW w:type="dxa" w:w="3000"/>
            <w:shd w:fill="EEF3F9" w:val="clear"/>
            <w:tcMar>
              <w:top w:type="dxa" w:w="100"/>
              <w:left w:type="dxa" w:w="120"/>
              <w:bottom w:type="dxa" w:w="100"/>
              <w:right w:type="dxa" w:w="120"/>
            </w:tcMar>
          </w:tcPr>
          <w:p>
            <w:r>
              <w:rPr>
                <w:b/>
                <w:bCs/>
              </w:rPr>
              <w:t xml:space="preserve">Confidentiality</w:t>
            </w:r>
          </w:p>
        </w:tc>
        <w:tc>
          <w:tcPr>
            <w:tcW w:type="dxa" w:w="6240"/>
            <w:tcMar>
              <w:top w:type="dxa" w:w="100"/>
              <w:left w:type="dxa" w:w="120"/>
              <w:bottom w:type="dxa" w:w="100"/>
              <w:right w:type="dxa" w:w="120"/>
            </w:tcMar>
          </w:tcPr>
          <w:p>
            <w:r>
              <w:rPr>
                <w:i w:val="false"/>
                <w:iCs w:val="false"/>
                <w:color w:val="000000"/>
              </w:rPr>
              <w:t xml:space="preserve">Internal Use Only — TaskFlow Inc.</w:t>
            </w:r>
          </w:p>
        </w:tc>
      </w:tr>
    </w:tbl>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Purpose</w:t>
      </w:r>
    </w:p>
    <w:p>
      <w:pPr>
        <w:spacing w:after="160"/>
      </w:pPr>
      <w:r>
        <w:t xml:space="preserve">This document defines the functional and non-functional requirements for Release 1.5 of the TaskFlow platform, covering real-time Kanban board collaboration, task notifications, and activity tracking. It is the baseline reference for Engineering, QA, Product, and Customer Success during design, build, and UAT, and is the source document from which the manual and automated (Selenium) test suites are derived.</w:t>
      </w:r>
    </w:p>
    <w:p>
      <w:pPr>
        <w:pStyle w:val="Heading1"/>
        <w:spacing w:after="200" w:before="400"/>
      </w:pPr>
      <w:r>
        <w:t xml:space="preserve">2. Scope &amp; Applicability</w:t>
      </w:r>
    </w:p>
    <w:p>
      <w:pPr>
        <w:pStyle w:val="Heading2"/>
        <w:spacing w:after="120" w:before="240"/>
      </w:pPr>
      <w:r>
        <w:t xml:space="preserve">2.1 In Scope</w:t>
      </w:r>
    </w:p>
    <w:p>
      <w:pPr>
        <w:pStyle w:val="ListParagraph"/>
        <w:numPr>
          <w:ilvl w:val="0"/>
          <w:numId w:val="1"/>
        </w:numPr>
        <w:spacing w:after="80"/>
      </w:pPr>
      <w:r>
        <w:rPr>
          <w:i w:val="false"/>
          <w:iCs w:val="false"/>
          <w:color w:val="000000"/>
        </w:rPr>
        <w:t xml:space="preserve">Web application (React + TypeScript) for workspace, board, and task management, responsive across desktop and tablet.</w:t>
      </w:r>
    </w:p>
    <w:p>
      <w:pPr>
        <w:pStyle w:val="ListParagraph"/>
        <w:numPr>
          <w:ilvl w:val="0"/>
          <w:numId w:val="1"/>
        </w:numPr>
        <w:spacing w:after="80"/>
      </w:pPr>
      <w:r>
        <w:rPr>
          <w:i w:val="false"/>
          <w:iCs w:val="false"/>
          <w:color w:val="000000"/>
        </w:rPr>
        <w:t xml:space="preserve">REST + WebSocket backend (Node.js / NestJS) for real-time board synchronization across connected clients.</w:t>
      </w:r>
    </w:p>
    <w:p>
      <w:pPr>
        <w:pStyle w:val="ListParagraph"/>
        <w:numPr>
          <w:ilvl w:val="0"/>
          <w:numId w:val="1"/>
        </w:numPr>
        <w:spacing w:after="80"/>
      </w:pPr>
      <w:r>
        <w:rPr>
          <w:i w:val="false"/>
          <w:iCs w:val="false"/>
          <w:color w:val="000000"/>
        </w:rPr>
        <w:t xml:space="preserve">Workspace and team management including role-based access control (Admin, Member, Viewer).</w:t>
      </w:r>
    </w:p>
    <w:p>
      <w:pPr>
        <w:pStyle w:val="ListParagraph"/>
        <w:numPr>
          <w:ilvl w:val="0"/>
          <w:numId w:val="1"/>
        </w:numPr>
        <w:spacing w:after="80"/>
      </w:pPr>
      <w:r>
        <w:rPr>
          <w:i w:val="false"/>
          <w:iCs w:val="false"/>
          <w:color w:val="000000"/>
        </w:rPr>
        <w:t xml:space="preserve">Kanban boards with drag-and-drop task cards, labels, due dates, assignees, comments, and file attachments.</w:t>
      </w:r>
    </w:p>
    <w:p>
      <w:pPr>
        <w:pStyle w:val="ListParagraph"/>
        <w:numPr>
          <w:ilvl w:val="0"/>
          <w:numId w:val="1"/>
        </w:numPr>
        <w:spacing w:after="80"/>
      </w:pPr>
      <w:r>
        <w:rPr>
          <w:i w:val="false"/>
          <w:iCs w:val="false"/>
          <w:color w:val="000000"/>
        </w:rPr>
        <w:t xml:space="preserve">In-app and email notifications for task assignments, mentions, and due-date reminders.</w:t>
      </w:r>
    </w:p>
    <w:p>
      <w:pPr>
        <w:pStyle w:val="ListParagraph"/>
        <w:numPr>
          <w:ilvl w:val="0"/>
          <w:numId w:val="1"/>
        </w:numPr>
        <w:spacing w:after="80"/>
      </w:pPr>
      <w:r>
        <w:rPr>
          <w:i w:val="false"/>
          <w:iCs w:val="false"/>
          <w:color w:val="000000"/>
        </w:rPr>
        <w:t xml:space="preserve">Basic reporting: burndown chart and task-completion velocity per board.</w:t>
      </w:r>
    </w:p>
    <w:p>
      <w:pPr>
        <w:pStyle w:val="Heading2"/>
        <w:spacing w:after="120" w:before="240"/>
      </w:pPr>
      <w:r>
        <w:t xml:space="preserve">2.2 Out of Scope</w:t>
      </w:r>
    </w:p>
    <w:p>
      <w:pPr>
        <w:pStyle w:val="ListParagraph"/>
        <w:numPr>
          <w:ilvl w:val="0"/>
          <w:numId w:val="1"/>
        </w:numPr>
        <w:spacing w:after="80"/>
      </w:pPr>
      <w:r>
        <w:rPr>
          <w:i w:val="false"/>
          <w:iCs w:val="false"/>
          <w:color w:val="000000"/>
        </w:rPr>
        <w:t xml:space="preserve">Native mobile applications (tracked separately on the Mobile roadmap).</w:t>
      </w:r>
    </w:p>
    <w:p>
      <w:pPr>
        <w:pStyle w:val="ListParagraph"/>
        <w:numPr>
          <w:ilvl w:val="0"/>
          <w:numId w:val="1"/>
        </w:numPr>
        <w:spacing w:after="80"/>
      </w:pPr>
      <w:r>
        <w:rPr>
          <w:i w:val="false"/>
          <w:iCs w:val="false"/>
          <w:color w:val="000000"/>
        </w:rPr>
        <w:t xml:space="preserve">Time tracking and billing/invoicing features (planned for Release 2.0).</w:t>
      </w:r>
    </w:p>
    <w:p>
      <w:pPr>
        <w:pStyle w:val="ListParagraph"/>
        <w:numPr>
          <w:ilvl w:val="0"/>
          <w:numId w:val="1"/>
        </w:numPr>
        <w:spacing w:after="80"/>
      </w:pPr>
      <w:r>
        <w:rPr>
          <w:i w:val="false"/>
          <w:iCs w:val="false"/>
          <w:color w:val="000000"/>
        </w:rPr>
        <w:t xml:space="preserve">Gantt-chart / timeline view (planned for Release 2.0).</w:t>
      </w:r>
    </w:p>
    <w:p>
      <w:pPr>
        <w:pStyle w:val="Heading2"/>
        <w:spacing w:after="120" w:before="240"/>
      </w:pPr>
      <w:r>
        <w:t xml:space="preserve">2.3 Applicability</w:t>
      </w:r>
    </w:p>
    <w:p>
      <w:pPr>
        <w:spacing w:after="160"/>
      </w:pPr>
      <w:r>
        <w:t xml:space="preserve">This document applies to the TaskFlow web application (app.taskflow.io), the real-time collaboration service, and all upstream/downstream integrations listed in Section 7. It is binding for Engineering and QA delivering Release 1.5 and informative for Customer Success and Sales Engineering.</w:t>
      </w:r>
    </w:p>
    <w:p>
      <w:pPr>
        <w:pStyle w:val="Heading1"/>
        <w:spacing w:after="200" w:before="400"/>
      </w:pPr>
      <w:r>
        <w:t xml:space="preserve">3. References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600"/>
        <w:gridCol w:w="2740"/>
      </w:tblGrid>
      <w:tr>
        <w:trPr>
          <w:tblHeader/>
        </w:trPr>
        <w:tc>
          <w:tcPr>
            <w:tcW w:type="dxa" w:w="700"/>
            <w:shd w:fill="1F4E79" w:val="clear"/>
            <w:tcMar>
              <w:top w:type="dxa" w:w="100"/>
              <w:left w:type="dxa" w:w="120"/>
              <w:bottom w:type="dxa" w:w="100"/>
              <w:right w:type="dxa" w:w="120"/>
            </w:tcMar>
          </w:tcPr>
          <w:p>
            <w:r>
              <w:rPr>
                <w:b/>
                <w:bCs/>
                <w:color w:val="FFFFFF"/>
              </w:rPr>
              <w:t xml:space="preserve">#</w:t>
            </w:r>
          </w:p>
        </w:tc>
        <w:tc>
          <w:tcPr>
            <w:tcW w:type="dxa" w:w="4200"/>
            <w:shd w:fill="1F4E79" w:val="clear"/>
            <w:tcMar>
              <w:top w:type="dxa" w:w="100"/>
              <w:left w:type="dxa" w:w="120"/>
              <w:bottom w:type="dxa" w:w="100"/>
              <w:right w:type="dxa" w:w="120"/>
            </w:tcMar>
          </w:tcPr>
          <w:p>
            <w:r>
              <w:rPr>
                <w:b/>
                <w:bCs/>
                <w:color w:val="FFFFFF"/>
              </w:rPr>
              <w:t xml:space="preserve">Document / Source</w:t>
            </w:r>
          </w:p>
        </w:tc>
        <w:tc>
          <w:tcPr>
            <w:tcW w:type="dxa" w:w="1600"/>
            <w:shd w:fill="1F4E79" w:val="clear"/>
            <w:tcMar>
              <w:top w:type="dxa" w:w="100"/>
              <w:left w:type="dxa" w:w="120"/>
              <w:bottom w:type="dxa" w:w="100"/>
              <w:right w:type="dxa" w:w="120"/>
            </w:tcMar>
          </w:tcPr>
          <w:p>
            <w:r>
              <w:rPr>
                <w:b/>
                <w:bCs/>
                <w:color w:val="FFFFFF"/>
              </w:rPr>
              <w:t xml:space="preserve">Version</w:t>
            </w:r>
          </w:p>
        </w:tc>
        <w:tc>
          <w:tcPr>
            <w:tcW w:type="dxa" w:w="2740"/>
            <w:shd w:fill="1F4E79" w:val="clear"/>
            <w:tcMar>
              <w:top w:type="dxa" w:w="100"/>
              <w:left w:type="dxa" w:w="120"/>
              <w:bottom w:type="dxa" w:w="100"/>
              <w:right w:type="dxa" w:w="120"/>
            </w:tcMar>
          </w:tcPr>
          <w:p>
            <w:r>
              <w:rPr>
                <w:b/>
                <w:bCs/>
                <w:color w:val="FFFFFF"/>
              </w:rPr>
              <w:t xml:space="preserve">Location / Link</w:t>
            </w:r>
          </w:p>
        </w:tc>
      </w:tr>
      <w:tr>
        <w:tc>
          <w:tcPr>
            <w:tcW w:type="dxa" w:w="700"/>
            <w:tcMar>
              <w:top w:type="dxa" w:w="100"/>
              <w:left w:type="dxa" w:w="120"/>
              <w:bottom w:type="dxa" w:w="100"/>
              <w:right w:type="dxa" w:w="120"/>
            </w:tcMar>
          </w:tcPr>
          <w:p>
            <w:r>
              <w:rPr>
                <w:i w:val="false"/>
                <w:iCs w:val="false"/>
                <w:color w:val="000000"/>
              </w:rPr>
              <w:t xml:space="preserve">1</w:t>
            </w:r>
          </w:p>
        </w:tc>
        <w:tc>
          <w:tcPr>
            <w:tcW w:type="dxa" w:w="4200"/>
            <w:tcMar>
              <w:top w:type="dxa" w:w="100"/>
              <w:left w:type="dxa" w:w="120"/>
              <w:bottom w:type="dxa" w:w="100"/>
              <w:right w:type="dxa" w:w="120"/>
            </w:tcMar>
          </w:tcPr>
          <w:p>
            <w:r>
              <w:rPr>
                <w:i w:val="false"/>
                <w:iCs w:val="false"/>
                <w:color w:val="000000"/>
              </w:rPr>
              <w:t xml:space="preserve">TaskFlow Product Requirements Document (PRD)</w:t>
            </w:r>
          </w:p>
        </w:tc>
        <w:tc>
          <w:tcPr>
            <w:tcW w:type="dxa" w:w="1600"/>
            <w:tcMar>
              <w:top w:type="dxa" w:w="100"/>
              <w:left w:type="dxa" w:w="120"/>
              <w:bottom w:type="dxa" w:w="100"/>
              <w:right w:type="dxa" w:w="120"/>
            </w:tcMar>
          </w:tcPr>
          <w:p>
            <w:r>
              <w:rPr>
                <w:i w:val="false"/>
                <w:iCs w:val="false"/>
                <w:color w:val="000000"/>
              </w:rPr>
              <w:t xml:space="preserve">v2.3</w:t>
            </w:r>
          </w:p>
        </w:tc>
        <w:tc>
          <w:tcPr>
            <w:tcW w:type="dxa" w:w="2740"/>
            <w:tcMar>
              <w:top w:type="dxa" w:w="100"/>
              <w:left w:type="dxa" w:w="120"/>
              <w:bottom w:type="dxa" w:w="100"/>
              <w:right w:type="dxa" w:w="120"/>
            </w:tcMar>
          </w:tcPr>
          <w:p>
            <w:r>
              <w:rPr>
                <w:i w:val="false"/>
                <w:iCs w:val="false"/>
                <w:color w:val="000000"/>
              </w:rPr>
              <w:t xml:space="preserve">confluence.taskflow.internal/PRD-230</w:t>
            </w:r>
          </w:p>
        </w:tc>
      </w:tr>
      <w:tr>
        <w:tc>
          <w:tcPr>
            <w:tcW w:type="dxa" w:w="700"/>
            <w:tcMar>
              <w:top w:type="dxa" w:w="100"/>
              <w:left w:type="dxa" w:w="120"/>
              <w:bottom w:type="dxa" w:w="100"/>
              <w:right w:type="dxa" w:w="120"/>
            </w:tcMar>
          </w:tcPr>
          <w:p>
            <w:r>
              <w:rPr>
                <w:i w:val="false"/>
                <w:iCs w:val="false"/>
                <w:color w:val="000000"/>
              </w:rPr>
              <w:t xml:space="preserve">2</w:t>
            </w:r>
          </w:p>
        </w:tc>
        <w:tc>
          <w:tcPr>
            <w:tcW w:type="dxa" w:w="4200"/>
            <w:tcMar>
              <w:top w:type="dxa" w:w="100"/>
              <w:left w:type="dxa" w:w="120"/>
              <w:bottom w:type="dxa" w:w="100"/>
              <w:right w:type="dxa" w:w="120"/>
            </w:tcMar>
          </w:tcPr>
          <w:p>
            <w:r>
              <w:rPr>
                <w:i w:val="false"/>
                <w:iCs w:val="false"/>
                <w:color w:val="000000"/>
              </w:rPr>
              <w:t xml:space="preserve">Board &amp; Card UI Wireframes (Figma)</w:t>
            </w:r>
          </w:p>
        </w:tc>
        <w:tc>
          <w:tcPr>
            <w:tcW w:type="dxa" w:w="1600"/>
            <w:tcMar>
              <w:top w:type="dxa" w:w="100"/>
              <w:left w:type="dxa" w:w="120"/>
              <w:bottom w:type="dxa" w:w="100"/>
              <w:right w:type="dxa" w:w="120"/>
            </w:tcMar>
          </w:tcPr>
          <w:p>
            <w:r>
              <w:rPr>
                <w:i w:val="false"/>
                <w:iCs w:val="false"/>
                <w:color w:val="000000"/>
              </w:rPr>
              <w:t xml:space="preserve">v1.1</w:t>
            </w:r>
          </w:p>
        </w:tc>
        <w:tc>
          <w:tcPr>
            <w:tcW w:type="dxa" w:w="2740"/>
            <w:tcMar>
              <w:top w:type="dxa" w:w="100"/>
              <w:left w:type="dxa" w:w="120"/>
              <w:bottom w:type="dxa" w:w="100"/>
              <w:right w:type="dxa" w:w="120"/>
            </w:tcMar>
          </w:tcPr>
          <w:p>
            <w:r>
              <w:rPr>
                <w:i w:val="false"/>
                <w:iCs w:val="false"/>
                <w:color w:val="000000"/>
              </w:rPr>
              <w:t xml:space="preserve">figma.com/taskflow/board-realtime</w:t>
            </w:r>
          </w:p>
        </w:tc>
      </w:tr>
      <w:tr>
        <w:tc>
          <w:tcPr>
            <w:tcW w:type="dxa" w:w="700"/>
            <w:tcMar>
              <w:top w:type="dxa" w:w="100"/>
              <w:left w:type="dxa" w:w="120"/>
              <w:bottom w:type="dxa" w:w="100"/>
              <w:right w:type="dxa" w:w="120"/>
            </w:tcMar>
          </w:tcPr>
          <w:p>
            <w:r>
              <w:rPr>
                <w:i w:val="false"/>
                <w:iCs w:val="false"/>
                <w:color w:val="000000"/>
              </w:rPr>
              <w:t xml:space="preserve">3</w:t>
            </w:r>
          </w:p>
        </w:tc>
        <w:tc>
          <w:tcPr>
            <w:tcW w:type="dxa" w:w="4200"/>
            <w:tcMar>
              <w:top w:type="dxa" w:w="100"/>
              <w:left w:type="dxa" w:w="120"/>
              <w:bottom w:type="dxa" w:w="100"/>
              <w:right w:type="dxa" w:w="120"/>
            </w:tcMar>
          </w:tcPr>
          <w:p>
            <w:r>
              <w:rPr>
                <w:i w:val="false"/>
                <w:iCs w:val="false"/>
                <w:color w:val="000000"/>
              </w:rPr>
              <w:t xml:space="preserve">WebSocket Event Contract Specification</w:t>
            </w:r>
          </w:p>
        </w:tc>
        <w:tc>
          <w:tcPr>
            <w:tcW w:type="dxa" w:w="1600"/>
            <w:tcMar>
              <w:top w:type="dxa" w:w="100"/>
              <w:left w:type="dxa" w:w="120"/>
              <w:bottom w:type="dxa" w:w="100"/>
              <w:right w:type="dxa" w:w="120"/>
            </w:tcMar>
          </w:tcPr>
          <w:p>
            <w:r>
              <w:rPr>
                <w:i w:val="false"/>
                <w:iCs w:val="false"/>
                <w:color w:val="000000"/>
              </w:rPr>
              <w:t xml:space="preserve">v1.0</w:t>
            </w:r>
          </w:p>
        </w:tc>
        <w:tc>
          <w:tcPr>
            <w:tcW w:type="dxa" w:w="2740"/>
            <w:tcMar>
              <w:top w:type="dxa" w:w="100"/>
              <w:left w:type="dxa" w:w="120"/>
              <w:bottom w:type="dxa" w:w="100"/>
              <w:right w:type="dxa" w:w="120"/>
            </w:tcMar>
          </w:tcPr>
          <w:p>
            <w:r>
              <w:rPr>
                <w:i w:val="false"/>
                <w:iCs w:val="false"/>
                <w:color w:val="000000"/>
              </w:rPr>
              <w:t xml:space="preserve">confluence.taskflow.internal/WS-SPEC-10</w:t>
            </w:r>
          </w:p>
        </w:tc>
      </w:tr>
      <w:tr>
        <w:tc>
          <w:tcPr>
            <w:tcW w:type="dxa" w:w="700"/>
            <w:tcMar>
              <w:top w:type="dxa" w:w="100"/>
              <w:left w:type="dxa" w:w="120"/>
              <w:bottom w:type="dxa" w:w="100"/>
              <w:right w:type="dxa" w:w="120"/>
            </w:tcMar>
          </w:tcPr>
          <w:p>
            <w:r>
              <w:rPr>
                <w:i w:val="false"/>
                <w:iCs w:val="false"/>
                <w:color w:val="000000"/>
              </w:rPr>
              <w:t xml:space="preserve">4</w:t>
            </w:r>
          </w:p>
        </w:tc>
        <w:tc>
          <w:tcPr>
            <w:tcW w:type="dxa" w:w="4200"/>
            <w:tcMar>
              <w:top w:type="dxa" w:w="100"/>
              <w:left w:type="dxa" w:w="120"/>
              <w:bottom w:type="dxa" w:w="100"/>
              <w:right w:type="dxa" w:w="120"/>
            </w:tcMar>
          </w:tcPr>
          <w:p>
            <w:r>
              <w:rPr>
                <w:i w:val="false"/>
                <w:iCs w:val="false"/>
                <w:color w:val="000000"/>
              </w:rPr>
              <w:t xml:space="preserve">TaskFlow System Architecture Diagram</w:t>
            </w:r>
          </w:p>
        </w:tc>
        <w:tc>
          <w:tcPr>
            <w:tcW w:type="dxa" w:w="1600"/>
            <w:tcMar>
              <w:top w:type="dxa" w:w="100"/>
              <w:left w:type="dxa" w:w="120"/>
              <w:bottom w:type="dxa" w:w="100"/>
              <w:right w:type="dxa" w:w="120"/>
            </w:tcMar>
          </w:tcPr>
          <w:p>
            <w:r>
              <w:rPr>
                <w:i w:val="false"/>
                <w:iCs w:val="false"/>
                <w:color w:val="000000"/>
              </w:rPr>
              <w:t xml:space="preserve">v3.0</w:t>
            </w:r>
          </w:p>
        </w:tc>
        <w:tc>
          <w:tcPr>
            <w:tcW w:type="dxa" w:w="2740"/>
            <w:tcMar>
              <w:top w:type="dxa" w:w="100"/>
              <w:left w:type="dxa" w:w="120"/>
              <w:bottom w:type="dxa" w:w="100"/>
              <w:right w:type="dxa" w:w="120"/>
            </w:tcMar>
          </w:tcPr>
          <w:p>
            <w:r>
              <w:rPr>
                <w:i w:val="false"/>
                <w:iCs w:val="false"/>
                <w:color w:val="000000"/>
              </w:rPr>
              <w:t xml:space="preserve">confluence.taskflow.internal/ARCH-300</w:t>
            </w:r>
          </w:p>
        </w:tc>
      </w:tr>
      <w:tr>
        <w:tc>
          <w:tcPr>
            <w:tcW w:type="dxa" w:w="700"/>
            <w:tcMar>
              <w:top w:type="dxa" w:w="100"/>
              <w:left w:type="dxa" w:w="120"/>
              <w:bottom w:type="dxa" w:w="100"/>
              <w:right w:type="dxa" w:w="120"/>
            </w:tcMar>
          </w:tcPr>
          <w:p>
            <w:r>
              <w:rPr>
                <w:i w:val="false"/>
                <w:iCs w:val="false"/>
                <w:color w:val="000000"/>
              </w:rPr>
              <w:t xml:space="preserve">5</w:t>
            </w:r>
          </w:p>
        </w:tc>
        <w:tc>
          <w:tcPr>
            <w:tcW w:type="dxa" w:w="4200"/>
            <w:tcMar>
              <w:top w:type="dxa" w:w="100"/>
              <w:left w:type="dxa" w:w="120"/>
              <w:bottom w:type="dxa" w:w="100"/>
              <w:right w:type="dxa" w:w="120"/>
            </w:tcMar>
          </w:tcPr>
          <w:p>
            <w:r>
              <w:rPr>
                <w:i w:val="false"/>
                <w:iCs w:val="false"/>
                <w:color w:val="000000"/>
              </w:rPr>
              <w:t xml:space="preserve">SOC 2 Type II Control Mapping</w:t>
            </w:r>
          </w:p>
        </w:tc>
        <w:tc>
          <w:tcPr>
            <w:tcW w:type="dxa" w:w="1600"/>
            <w:tcMar>
              <w:top w:type="dxa" w:w="100"/>
              <w:left w:type="dxa" w:w="120"/>
              <w:bottom w:type="dxa" w:w="100"/>
              <w:right w:type="dxa" w:w="120"/>
            </w:tcMar>
          </w:tcPr>
          <w:p>
            <w:r>
              <w:rPr>
                <w:i w:val="false"/>
                <w:iCs w:val="false"/>
                <w:color w:val="000000"/>
              </w:rPr>
              <w:t xml:space="preserve">Internal</w:t>
            </w:r>
          </w:p>
        </w:tc>
        <w:tc>
          <w:tcPr>
            <w:tcW w:type="dxa" w:w="2740"/>
            <w:tcMar>
              <w:top w:type="dxa" w:w="100"/>
              <w:left w:type="dxa" w:w="120"/>
              <w:bottom w:type="dxa" w:w="100"/>
              <w:right w:type="dxa" w:w="120"/>
            </w:tcMar>
          </w:tcPr>
          <w:p>
            <w:r>
              <w:rPr>
                <w:i w:val="false"/>
                <w:iCs w:val="false"/>
                <w:color w:val="000000"/>
              </w:rPr>
              <w:t xml:space="preserve">confluence.taskflow.internal/SEC-SOC2</w:t>
            </w:r>
          </w:p>
        </w:tc>
      </w:tr>
    </w:tbl>
    <w:p>
      <w:pPr>
        <w:pStyle w:val="Heading1"/>
        <w:spacing w:after="200" w:before="400"/>
      </w:pPr>
      <w:r>
        <w:t xml:space="preserve">4. Enhancement Overview</w:t>
      </w:r>
    </w:p>
    <w:p>
      <w:pPr>
        <w:pStyle w:val="Heading2"/>
        <w:spacing w:after="120" w:before="240"/>
      </w:pPr>
      <w:r>
        <w:t xml:space="preserve">4.1 Background</w:t>
      </w:r>
    </w:p>
    <w:p>
      <w:pPr>
        <w:spacing w:after="160"/>
      </w:pPr>
      <w:r>
        <w:t xml:space="preserve">TaskFlow boards currently require a manual page refresh to see changes made by teammates, which causes confusion during active sprint-planning sessions and duplicate task edits. Notifications are limited to a daily email digest, so time-sensitive assignments and mentions are frequently missed. Customer feedback (NPS survey, Q2 2026) ranks "real-time collaboration" as the top-requested improvement.</w:t>
      </w:r>
    </w:p>
    <w:p>
      <w:pPr>
        <w:pStyle w:val="Heading2"/>
        <w:spacing w:after="120" w:before="240"/>
      </w:pPr>
      <w:r>
        <w:t xml:space="preserve">4.2 Proposed Enhancement</w:t>
      </w:r>
    </w:p>
    <w:p>
      <w:pPr>
        <w:spacing w:after="160"/>
      </w:pPr>
      <w:r>
        <w:t xml:space="preserve">Release 1.5 introduces WebSocket-based real-time board synchronization (task moves, edits, and comments propagate to all connected clients within 500ms), an in-app notification center with instant delivery, and an activity feed per task and per board for full traceability of changes.</w:t>
      </w:r>
    </w:p>
    <w:p>
      <w:pPr>
        <w:pStyle w:val="Heading2"/>
        <w:spacing w:after="120" w:before="240"/>
      </w:pPr>
      <w:r>
        <w:t xml:space="preserve">4.3 Business Benefit</w:t>
      </w:r>
    </w:p>
    <w:p>
      <w:pPr>
        <w:pStyle w:val="ListParagraph"/>
        <w:numPr>
          <w:ilvl w:val="0"/>
          <w:numId w:val="1"/>
        </w:numPr>
        <w:spacing w:after="80"/>
      </w:pPr>
      <w:r>
        <w:rPr>
          <w:i w:val="false"/>
          <w:iCs w:val="false"/>
          <w:color w:val="000000"/>
        </w:rPr>
        <w:t xml:space="preserve">Eliminates duplicate task edits and merge conflicts caused by stale board views.</w:t>
      </w:r>
    </w:p>
    <w:p>
      <w:pPr>
        <w:pStyle w:val="ListParagraph"/>
        <w:numPr>
          <w:ilvl w:val="0"/>
          <w:numId w:val="1"/>
        </w:numPr>
        <w:spacing w:after="80"/>
      </w:pPr>
      <w:r>
        <w:rPr>
          <w:i w:val="false"/>
          <w:iCs w:val="false"/>
          <w:color w:val="000000"/>
        </w:rPr>
        <w:t xml:space="preserve">Projected 20% increase in daily active usage based on the closed beta cohort (400 workspaces).</w:t>
      </w:r>
    </w:p>
    <w:p>
      <w:pPr>
        <w:pStyle w:val="ListParagraph"/>
        <w:numPr>
          <w:ilvl w:val="0"/>
          <w:numId w:val="1"/>
        </w:numPr>
        <w:spacing w:after="80"/>
      </w:pPr>
      <w:r>
        <w:rPr>
          <w:i w:val="false"/>
          <w:iCs w:val="false"/>
          <w:color w:val="000000"/>
        </w:rPr>
        <w:t xml:space="preserve">Reduces missed assignments by delivering instant in-app and email notifications instead of a daily digest only.</w:t>
      </w:r>
    </w:p>
    <w:p>
      <w:pPr>
        <w:pStyle w:val="Heading1"/>
        <w:spacing w:after="200" w:before="400"/>
      </w:pPr>
      <w:r>
        <w:t xml:space="preserve">5. Functional Specifications</w:t>
      </w:r>
    </w:p>
    <w:p>
      <w:pPr>
        <w:spacing w:after="160"/>
      </w:pPr>
      <w:r>
        <w:t xml:space="preserve">The following functional requirements define the expected system behavior. Each requirement is uniquely identified and prioritized for the development backlog.</w:t>
      </w:r>
    </w:p>
    <w:p>
      <w:pPr>
        <w:pStyle w:val="Heading2"/>
        <w:spacing w:after="120" w:before="240"/>
      </w:pPr>
      <w:r>
        <w:t xml:space="preserve">5.1 Requirement ID: FR-001 — Workspace &amp; Team Management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Allow an Admin to create a workspace, invite team members by email, and assign roles (Admin, Member, Viewer).</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Workspace Admin, Invited Member</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Admin is authenticated and has an active TaskFlow account.</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Admin clicks "Invite Members" from Workspace Settings.</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Admin enters one or more email addresses and selects a role for each invitee.</w:t>
            </w:r>
          </w:p>
          <w:p>
            <w:pPr>
              <w:spacing w:after="60"/>
            </w:pPr>
            <w:r>
              <w:rPr>
                <w:i w:val="false"/>
                <w:iCs w:val="false"/>
                <w:color w:val="000000"/>
              </w:rPr>
              <w:t xml:space="preserve">2. System validates email format and checks for existing workspace membership.</w:t>
            </w:r>
          </w:p>
          <w:p>
            <w:pPr>
              <w:spacing w:after="60"/>
            </w:pPr>
            <w:r>
              <w:rPr>
                <w:i w:val="false"/>
                <w:iCs w:val="false"/>
                <w:color w:val="000000"/>
              </w:rPr>
              <w:t xml:space="preserve">3. System sends an invitation email via SendGrid containing a unique, time-limited join link.</w:t>
            </w:r>
          </w:p>
          <w:p>
            <w:pPr>
              <w:spacing w:after="60"/>
            </w:pPr>
            <w:r>
              <w:rPr>
                <w:i w:val="false"/>
                <w:iCs w:val="false"/>
                <w:color w:val="000000"/>
              </w:rPr>
              <w:t xml:space="preserve">4. Invitee clicks the link, creates or confirms their account, and is added to the workspace with the assigned role.</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an invited email is already a workspace member, the system skips sending a duplicate invite and flags it inline ("Already a member"). If the join link has expired (7 days), the invitee sees a "Request a new invite" prompt.</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A new membership record links the user to the workspace with the assigned role.</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Only Admins may invite members or change roles; a workspace must always have at least one Admin.</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High</w:t>
            </w:r>
          </w:p>
        </w:tc>
      </w:tr>
    </w:tbl>
    <w:p>
      <w:pPr>
        <w:pStyle w:val="Heading2"/>
        <w:spacing w:after="120" w:before="240"/>
      </w:pPr>
      <w:r>
        <w:t xml:space="preserve">5.2 Requirement ID: FR-002 — Board &amp; Task Creation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Allow Members to create Kanban boards within a workspace and add task cards to columns (lists).</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Workspace Member, Workspace Admin</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User is an authenticated member of the workspace with Member or Admin role.</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User clicks "New Board" or "Add Card" within an existing board.</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User names the board and the system creates three default columns: To Do, In Progress, Done.</w:t>
            </w:r>
          </w:p>
          <w:p>
            <w:pPr>
              <w:spacing w:after="60"/>
            </w:pPr>
            <w:r>
              <w:rPr>
                <w:i w:val="false"/>
                <w:iCs w:val="false"/>
                <w:color w:val="000000"/>
              </w:rPr>
              <w:t xml:space="preserve">2. User clicks "Add Card" within a column, enters a title, and optionally a description, due date, labels, and assignee.</w:t>
            </w:r>
          </w:p>
          <w:p>
            <w:pPr>
              <w:spacing w:after="60"/>
            </w:pPr>
            <w:r>
              <w:rPr>
                <w:i w:val="false"/>
                <w:iCs w:val="false"/>
                <w:color w:val="000000"/>
              </w:rPr>
              <w:t xml:space="preserve">3. System persists the card and broadcasts a `card:created` WebSocket event to all connected clients on that board.</w:t>
            </w:r>
          </w:p>
          <w:p>
            <w:pPr>
              <w:spacing w:after="60"/>
            </w:pPr>
            <w:r>
              <w:rPr>
                <w:i w:val="false"/>
                <w:iCs w:val="false"/>
                <w:color w:val="000000"/>
              </w:rPr>
              <w:t xml:space="preserve">4. All connected clients render the new card in real time without a page refresh.</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the WebSocket connection is unavailable, the card is still saved via the REST fallback and will sync once the client reconnects.</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New board or card record exists in PostgreSQL; connected clients reflect the change within 500ms.</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Viewers can view boards but cannot create or edit cards; board names must be unique within a workspace.</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High</w:t>
            </w:r>
          </w:p>
        </w:tc>
      </w:tr>
    </w:tbl>
    <w:p>
      <w:pPr>
        <w:pStyle w:val="Heading2"/>
        <w:spacing w:after="120" w:before="240"/>
      </w:pPr>
      <w:r>
        <w:t xml:space="preserve">5.3 Requirement ID: FR-003 — Real-Time Drag-and-Drop Task Movement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Allow users to drag a task card between columns, with the change reflected instantly for all other users viewing the same board.</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Workspace Member, Workspace Admin</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Board is open in the browser with an active WebSocket connection.</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User drags a card from one column and drops it into another.</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Frontend optimistically updates the card position in the local view.</w:t>
            </w:r>
          </w:p>
          <w:p>
            <w:pPr>
              <w:spacing w:after="60"/>
            </w:pPr>
            <w:r>
              <w:rPr>
                <w:i w:val="false"/>
                <w:iCs w:val="false"/>
                <w:color w:val="000000"/>
              </w:rPr>
              <w:t xml:space="preserve">2. Frontend sends a `card:move` event with the card ID, source column, target column, and new position index.</w:t>
            </w:r>
          </w:p>
          <w:p>
            <w:pPr>
              <w:spacing w:after="60"/>
            </w:pPr>
            <w:r>
              <w:rPr>
                <w:i w:val="false"/>
                <w:iCs w:val="false"/>
                <w:color w:val="000000"/>
              </w:rPr>
              <w:t xml:space="preserve">3. Backend validates the move, persists the new position, and broadcasts the update to all other connected clients on the board.</w:t>
            </w:r>
          </w:p>
          <w:p>
            <w:pPr>
              <w:spacing w:after="60"/>
            </w:pPr>
            <w:r>
              <w:rPr>
                <w:i w:val="false"/>
                <w:iCs w:val="false"/>
                <w:color w:val="000000"/>
              </w:rPr>
              <w:t xml:space="preserve">4. Other clients update the card position in their view within 500ms without a page refresh.</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the backend rejects the move (e.g., card was deleted by another user concurrently), the frontend reverts the optimistic update and shows a toast notification.</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Card's column and position are updated in the database; all connected clients are in sync.</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Card position changes are subject to the same role-based permissions as card editing (Viewer role cannot move cards).</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High</w:t>
            </w:r>
          </w:p>
        </w:tc>
      </w:tr>
    </w:tbl>
    <w:p>
      <w:pPr>
        <w:pStyle w:val="Heading2"/>
        <w:spacing w:after="120" w:before="240"/>
      </w:pPr>
      <w:r>
        <w:t xml:space="preserve">5.4 Requirement ID: FR-004 — Task Comments &amp; Activity Feed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Allow users to comment on a task card and view a chronological activity feed of all changes made to it.</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Workspace Member, Workspace Admin</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Task card exists and the user has at least Member access to the board.</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User opens a task card and types in the comment box, or performs an action on the card (edit, move, assign).</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User submits a comment; the system persists it and appends it to the card's activity feed with a timestamp and author.</w:t>
            </w:r>
          </w:p>
          <w:p>
            <w:pPr>
              <w:spacing w:after="60"/>
            </w:pPr>
            <w:r>
              <w:rPr>
                <w:i w:val="false"/>
                <w:iCs w:val="false"/>
                <w:color w:val="000000"/>
              </w:rPr>
              <w:t xml:space="preserve">2. System broadcasts the new comment via WebSocket to all users currently viewing that card.</w:t>
            </w:r>
          </w:p>
          <w:p>
            <w:pPr>
              <w:spacing w:after="60"/>
            </w:pPr>
            <w:r>
              <w:rPr>
                <w:i w:val="false"/>
                <w:iCs w:val="false"/>
                <w:color w:val="000000"/>
              </w:rPr>
              <w:t xml:space="preserve">3. Every card edit (assignee change, due-date change, label added/removed) is automatically logged as a system-generated activity entry.</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the comment contains an @mention of a workspace member, the system additionally triggers a notification (see FR-006) to that member.</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Comment and/or activity entries are persisted and visible in the card's activity feed.</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Comments cannot be edited after 15 minutes but can be deleted by their author or a workspace Admin.</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Medium</w:t>
            </w:r>
          </w:p>
        </w:tc>
      </w:tr>
    </w:tbl>
    <w:p>
      <w:pPr>
        <w:pStyle w:val="Heading2"/>
        <w:spacing w:after="120" w:before="240"/>
      </w:pPr>
      <w:r>
        <w:t xml:space="preserve">5.5 Requirement ID: FR-005 — Notifications (In-App &amp; Email)</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Notify users in-app and via email digest when they are assigned a task, mentioned in a comment, or a task they own becomes due soon.</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System, Workspace Member</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User has notification preferences enabled (default: on).</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A task assignment, @mention, or due-date threshold (24 hours before due) event occurs.</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System publishes a notification event to the internal queue.</w:t>
            </w:r>
          </w:p>
          <w:p>
            <w:pPr>
              <w:spacing w:after="60"/>
            </w:pPr>
            <w:r>
              <w:rPr>
                <w:i w:val="false"/>
                <w:iCs w:val="false"/>
                <w:color w:val="000000"/>
              </w:rPr>
              <w:t xml:space="preserve">2. The Notification Service creates an in-app notification, incrementing the notification-bell badge count in real time via WebSocket.</w:t>
            </w:r>
          </w:p>
          <w:p>
            <w:pPr>
              <w:spacing w:after="60"/>
            </w:pPr>
            <w:r>
              <w:rPr>
                <w:i w:val="false"/>
                <w:iCs w:val="false"/>
                <w:color w:val="000000"/>
              </w:rPr>
              <w:t xml:space="preserve">3. If the user has been offline for more than 30 minutes, an email notification is also sent via SendGrid.</w:t>
            </w:r>
          </w:p>
          <w:p>
            <w:pPr>
              <w:spacing w:after="60"/>
            </w:pPr>
            <w:r>
              <w:rPr>
                <w:i w:val="false"/>
                <w:iCs w:val="false"/>
                <w:color w:val="000000"/>
              </w:rPr>
              <w:t xml:space="preserve">4. User clicks the notification to navigate directly to the relevant task card.</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the user has muted notifications for a specific board, in-app and email notifications for that board are suppressed, but the activity feed entry is still recorded.</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Notification record is created and marked unread; badge count reflects the new unread total.</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Users may mute notifications per-board from board settings; due-date reminders are only sent once per task.</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Medium</w:t>
            </w:r>
          </w:p>
        </w:tc>
      </w:tr>
    </w:tbl>
    <w:p>
      <w:pPr>
        <w:pStyle w:val="Heading2"/>
        <w:spacing w:after="120" w:before="240"/>
      </w:pPr>
      <w:r>
        <w:t xml:space="preserve">5.6 Requirement ID: FR-006 — Search &amp; Filtering</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Allow users to search for tasks by keyword and filter the board view by assignee, label, or due date.</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Workspace Member, Workspace Admin, Workspace Viewer</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User has access to at least one board in the workspace.</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User types into the workspace search bar or applies a filter chip on a board.</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User enters a keyword; the system queries task titles, descriptions, and comments across accessible boards.</w:t>
            </w:r>
          </w:p>
          <w:p>
            <w:pPr>
              <w:spacing w:after="60"/>
            </w:pPr>
            <w:r>
              <w:rPr>
                <w:i w:val="false"/>
                <w:iCs w:val="false"/>
                <w:color w:val="000000"/>
              </w:rPr>
              <w:t xml:space="preserve">2. Results are grouped by board and displayed with a snippet showing the matching text.</w:t>
            </w:r>
          </w:p>
          <w:p>
            <w:pPr>
              <w:spacing w:after="60"/>
            </w:pPr>
            <w:r>
              <w:rPr>
                <w:i w:val="false"/>
                <w:iCs w:val="false"/>
                <w:color w:val="000000"/>
              </w:rPr>
              <w:t xml:space="preserve">3. User applies an assignee or label filter on a board view; the board re-renders showing only matching cards, dimming the rest.</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no tasks match the search, the system displays "No matching tasks found" with a suggestion to check spelling or broaden the filter.</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Filtered/search view is rendered client-side; the underlying board data is unchanged.</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Search results only include boards the user has at least Viewer access to.</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Low</w:t>
            </w:r>
          </w:p>
        </w:tc>
      </w:tr>
    </w:tbl>
    <w:p>
      <w:pPr>
        <w:pStyle w:val="Heading2"/>
        <w:spacing w:after="120" w:before="240"/>
      </w:pPr>
      <w:r>
        <w:t xml:space="preserve">5.7 Requirement ID: FR-007 — File Attachments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Allow users to attach files to a task card, stored in AWS S3 with signed URLs for secure access.</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Workspace Member, Workspace Admin</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User has Member or Admin access to the board containing the card.</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User clicks "Attach File" on a task card and selects a file.</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Frontend requests a pre-signed S3 upload URL from the backend.</w:t>
            </w:r>
          </w:p>
          <w:p>
            <w:pPr>
              <w:spacing w:after="60"/>
            </w:pPr>
            <w:r>
              <w:rPr>
                <w:i w:val="false"/>
                <w:iCs w:val="false"/>
                <w:color w:val="000000"/>
              </w:rPr>
              <w:t xml:space="preserve">2. Frontend uploads the file directly to S3 using the signed URL.</w:t>
            </w:r>
          </w:p>
          <w:p>
            <w:pPr>
              <w:spacing w:after="60"/>
            </w:pPr>
            <w:r>
              <w:rPr>
                <w:i w:val="false"/>
                <w:iCs w:val="false"/>
                <w:color w:val="000000"/>
              </w:rPr>
              <w:t xml:space="preserve">3. Backend records the attachment metadata (filename, size, uploader, S3 key) against the card.</w:t>
            </w:r>
          </w:p>
          <w:p>
            <w:pPr>
              <w:spacing w:after="60"/>
            </w:pPr>
            <w:r>
              <w:rPr>
                <w:i w:val="false"/>
                <w:iCs w:val="false"/>
                <w:color w:val="000000"/>
              </w:rPr>
              <w:t xml:space="preserve">4. Attachment appears in the card's attachment list with a thumbnail preview for images.</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the file exceeds the 25MB size limit, the upload is rejected client-side before the S3 request is made, with an inline error.</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Attachment metadata is persisted; the file is accessible via a time-limited signed URL to authorized board members only.</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Maximum file size 25MB; maximum 10 attachments per card; supported types include images, PDFs, and common office documents.</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Low</w:t>
            </w:r>
          </w:p>
        </w:tc>
      </w:tr>
    </w:tbl>
    <w:p>
      <w:pPr>
        <w:pStyle w:val="Heading2"/>
        <w:spacing w:after="120" w:before="240"/>
      </w:pPr>
      <w:r>
        <w:t xml:space="preserve">5.8 Requirement ID: FR-008 — Board Analytics (Burndown &amp; Velocity)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rPr>
                <w:i w:val="false"/>
                <w:iCs w:val="false"/>
                <w:color w:val="000000"/>
              </w:rPr>
              <w:t xml:space="preserve">Provide a lightweight analytics view per board showing a burndown chart and completion velocity over the last 4 weeks.</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rPr>
                <w:i w:val="false"/>
                <w:iCs w:val="false"/>
                <w:color w:val="000000"/>
              </w:rPr>
              <w:t xml:space="preserve">Workspace Admin, Workspace Member</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rPr>
                <w:i w:val="false"/>
                <w:iCs w:val="false"/>
                <w:color w:val="000000"/>
              </w:rPr>
              <w:t xml:space="preserve">Board has at least one completed task within the reporting window.</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rPr>
                <w:i w:val="false"/>
                <w:iCs w:val="false"/>
                <w:color w:val="000000"/>
              </w:rPr>
              <w:t xml:space="preserve">User navigates to the "Analytics" tab on a board.</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rPr>
                <w:i w:val="false"/>
                <w:iCs w:val="false"/>
                <w:color w:val="000000"/>
              </w:rPr>
              <w:t xml:space="preserve">1. System aggregates task completion counts per day over the selected date range.</w:t>
            </w:r>
          </w:p>
          <w:p>
            <w:pPr>
              <w:spacing w:after="60"/>
            </w:pPr>
            <w:r>
              <w:rPr>
                <w:i w:val="false"/>
                <w:iCs w:val="false"/>
                <w:color w:val="000000"/>
              </w:rPr>
              <w:t xml:space="preserve">2. System renders a burndown chart (remaining open tasks over time) and a velocity chart (tasks completed per week).</w:t>
            </w:r>
          </w:p>
          <w:p>
            <w:pPr>
              <w:spacing w:after="60"/>
            </w:pPr>
            <w:r>
              <w:rPr>
                <w:i w:val="false"/>
                <w:iCs w:val="false"/>
                <w:color w:val="000000"/>
              </w:rPr>
              <w:t xml:space="preserve">3. User can adjust the date range and export the chart data as CSV.</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rPr>
                <w:i w:val="false"/>
                <w:iCs w:val="false"/>
                <w:color w:val="000000"/>
              </w:rPr>
              <w:t xml:space="preserve">If the board has no completed tasks in range, the system displays an empty state suggesting a wider date range.</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rPr>
                <w:i w:val="false"/>
                <w:iCs w:val="false"/>
                <w:color w:val="000000"/>
              </w:rPr>
              <w:t xml:space="preserve">Chart is rendered client-side from aggregated, cached data (refreshed every 15 minutes).</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rPr>
                <w:i w:val="false"/>
                <w:iCs w:val="false"/>
                <w:color w:val="000000"/>
              </w:rPr>
              <w:t xml:space="preserve">Only Admins and Members can view analytics; Viewers do not have access to the Analytics tab.</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rPr>
                <w:i w:val="false"/>
                <w:iCs w:val="false"/>
                <w:color w:val="000000"/>
              </w:rPr>
              <w:t xml:space="preserve">Low</w:t>
            </w:r>
          </w:p>
        </w:tc>
      </w:tr>
    </w:tbl>
    <w:p>
      <w:pPr>
        <w:pStyle w:val="Heading1"/>
        <w:spacing w:after="200" w:before="400"/>
      </w:pPr>
      <w:r>
        <w:t xml:space="preserve">6. Performance</w:t>
      </w:r>
    </w:p>
    <w:p>
      <w:pPr>
        <w:spacing w:after="160"/>
      </w:pPr>
      <w:r>
        <w:t xml:space="preserve">The following non-negotiable performance targets apply to Release 1.5 under normal and peak collaborative-editing load.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00"/>
        <w:gridCol w:w="4640"/>
      </w:tblGrid>
      <w:tr>
        <w:trPr>
          <w:tblHeader/>
        </w:trPr>
        <w:tc>
          <w:tcPr>
            <w:tcW w:type="dxa" w:w="4600"/>
            <w:shd w:fill="1F4E79" w:val="clear"/>
            <w:tcMar>
              <w:top w:type="dxa" w:w="100"/>
              <w:left w:type="dxa" w:w="120"/>
              <w:bottom w:type="dxa" w:w="100"/>
              <w:right w:type="dxa" w:w="120"/>
            </w:tcMar>
          </w:tcPr>
          <w:p>
            <w:r>
              <w:rPr>
                <w:b/>
                <w:bCs/>
                <w:color w:val="FFFFFF"/>
              </w:rPr>
              <w:t xml:space="preserve">Parameter</w:t>
            </w:r>
          </w:p>
        </w:tc>
        <w:tc>
          <w:tcPr>
            <w:tcW w:type="dxa" w:w="4640"/>
            <w:shd w:fill="1F4E79" w:val="clear"/>
            <w:tcMar>
              <w:top w:type="dxa" w:w="100"/>
              <w:left w:type="dxa" w:w="120"/>
              <w:bottom w:type="dxa" w:w="100"/>
              <w:right w:type="dxa" w:w="120"/>
            </w:tcMar>
          </w:tcPr>
          <w:p>
            <w:r>
              <w:rPr>
                <w:b/>
                <w:bCs/>
                <w:color w:val="FFFFFF"/>
              </w:rPr>
              <w:t xml:space="preserve">Target</w:t>
            </w:r>
          </w:p>
        </w:tc>
      </w:tr>
      <w:tr>
        <w:tc>
          <w:tcPr>
            <w:tcW w:type="dxa" w:w="4600"/>
            <w:tcMar>
              <w:top w:type="dxa" w:w="100"/>
              <w:left w:type="dxa" w:w="120"/>
              <w:bottom w:type="dxa" w:w="100"/>
              <w:right w:type="dxa" w:w="120"/>
            </w:tcMar>
          </w:tcPr>
          <w:p>
            <w:r>
              <w:rPr>
                <w:i w:val="false"/>
                <w:iCs w:val="false"/>
                <w:color w:val="000000"/>
              </w:rPr>
              <w:t xml:space="preserve">Real-Time Sync Latency</w:t>
            </w:r>
          </w:p>
        </w:tc>
        <w:tc>
          <w:tcPr>
            <w:tcW w:type="dxa" w:w="4640"/>
            <w:tcMar>
              <w:top w:type="dxa" w:w="100"/>
              <w:left w:type="dxa" w:w="120"/>
              <w:bottom w:type="dxa" w:w="100"/>
              <w:right w:type="dxa" w:w="120"/>
            </w:tcMar>
          </w:tcPr>
          <w:p>
            <w:r>
              <w:rPr>
                <w:i w:val="false"/>
                <w:iCs w:val="false"/>
                <w:color w:val="000000"/>
              </w:rPr>
              <w:t xml:space="preserve">≤ 500 ms from action to all connected clients reflecting the change</w:t>
            </w:r>
          </w:p>
        </w:tc>
      </w:tr>
      <w:tr>
        <w:tc>
          <w:tcPr>
            <w:tcW w:type="dxa" w:w="4600"/>
            <w:tcMar>
              <w:top w:type="dxa" w:w="100"/>
              <w:left w:type="dxa" w:w="120"/>
              <w:bottom w:type="dxa" w:w="100"/>
              <w:right w:type="dxa" w:w="120"/>
            </w:tcMar>
          </w:tcPr>
          <w:p>
            <w:r>
              <w:rPr>
                <w:i w:val="false"/>
                <w:iCs w:val="false"/>
                <w:color w:val="000000"/>
              </w:rPr>
              <w:t xml:space="preserve">Page Load Time (95th percentile)</w:t>
            </w:r>
          </w:p>
        </w:tc>
        <w:tc>
          <w:tcPr>
            <w:tcW w:type="dxa" w:w="4640"/>
            <w:tcMar>
              <w:top w:type="dxa" w:w="100"/>
              <w:left w:type="dxa" w:w="120"/>
              <w:bottom w:type="dxa" w:w="100"/>
              <w:right w:type="dxa" w:w="120"/>
            </w:tcMar>
          </w:tcPr>
          <w:p>
            <w:r>
              <w:rPr>
                <w:i w:val="false"/>
                <w:iCs w:val="false"/>
                <w:color w:val="000000"/>
              </w:rPr>
              <w:t xml:space="preserve">≤ 1.5 seconds for the board view on a broadband connection</w:t>
            </w:r>
          </w:p>
        </w:tc>
      </w:tr>
      <w:tr>
        <w:tc>
          <w:tcPr>
            <w:tcW w:type="dxa" w:w="4600"/>
            <w:tcMar>
              <w:top w:type="dxa" w:w="100"/>
              <w:left w:type="dxa" w:w="120"/>
              <w:bottom w:type="dxa" w:w="100"/>
              <w:right w:type="dxa" w:w="120"/>
            </w:tcMar>
          </w:tcPr>
          <w:p>
            <w:r>
              <w:rPr>
                <w:i w:val="false"/>
                <w:iCs w:val="false"/>
                <w:color w:val="000000"/>
              </w:rPr>
              <w:t xml:space="preserve">API Response Time — Card Operations</w:t>
            </w:r>
          </w:p>
        </w:tc>
        <w:tc>
          <w:tcPr>
            <w:tcW w:type="dxa" w:w="4640"/>
            <w:tcMar>
              <w:top w:type="dxa" w:w="100"/>
              <w:left w:type="dxa" w:w="120"/>
              <w:bottom w:type="dxa" w:w="100"/>
              <w:right w:type="dxa" w:w="120"/>
            </w:tcMar>
          </w:tcPr>
          <w:p>
            <w:r>
              <w:rPr>
                <w:i w:val="false"/>
                <w:iCs w:val="false"/>
                <w:color w:val="000000"/>
              </w:rPr>
              <w:t xml:space="preserve">≤ 400 ms at p95 for create/update/move operations</w:t>
            </w:r>
          </w:p>
        </w:tc>
      </w:tr>
      <w:tr>
        <w:tc>
          <w:tcPr>
            <w:tcW w:type="dxa" w:w="4600"/>
            <w:tcMar>
              <w:top w:type="dxa" w:w="100"/>
              <w:left w:type="dxa" w:w="120"/>
              <w:bottom w:type="dxa" w:w="100"/>
              <w:right w:type="dxa" w:w="120"/>
            </w:tcMar>
          </w:tcPr>
          <w:p>
            <w:r>
              <w:rPr>
                <w:i w:val="false"/>
                <w:iCs w:val="false"/>
                <w:color w:val="000000"/>
              </w:rPr>
              <w:t xml:space="preserve">Concurrent Users per Board</w:t>
            </w:r>
          </w:p>
        </w:tc>
        <w:tc>
          <w:tcPr>
            <w:tcW w:type="dxa" w:w="4640"/>
            <w:tcMar>
              <w:top w:type="dxa" w:w="100"/>
              <w:left w:type="dxa" w:w="120"/>
              <w:bottom w:type="dxa" w:w="100"/>
              <w:right w:type="dxa" w:w="120"/>
            </w:tcMar>
          </w:tcPr>
          <w:p>
            <w:r>
              <w:rPr>
                <w:i w:val="false"/>
                <w:iCs w:val="false"/>
                <w:color w:val="000000"/>
              </w:rPr>
              <w:t xml:space="preserve">Supports up to 50 concurrent active users per board without perceptible lag</w:t>
            </w:r>
          </w:p>
        </w:tc>
      </w:tr>
      <w:tr>
        <w:tc>
          <w:tcPr>
            <w:tcW w:type="dxa" w:w="4600"/>
            <w:tcMar>
              <w:top w:type="dxa" w:w="100"/>
              <w:left w:type="dxa" w:w="120"/>
              <w:bottom w:type="dxa" w:w="100"/>
              <w:right w:type="dxa" w:w="120"/>
            </w:tcMar>
          </w:tcPr>
          <w:p>
            <w:r>
              <w:rPr>
                <w:i w:val="false"/>
                <w:iCs w:val="false"/>
                <w:color w:val="000000"/>
              </w:rPr>
              <w:t xml:space="preserve">Concurrent Active Sessions (Platform-wide)</w:t>
            </w:r>
          </w:p>
        </w:tc>
        <w:tc>
          <w:tcPr>
            <w:tcW w:type="dxa" w:w="4640"/>
            <w:tcMar>
              <w:top w:type="dxa" w:w="100"/>
              <w:left w:type="dxa" w:w="120"/>
              <w:bottom w:type="dxa" w:w="100"/>
              <w:right w:type="dxa" w:w="120"/>
            </w:tcMar>
          </w:tcPr>
          <w:p>
            <w:r>
              <w:rPr>
                <w:i w:val="false"/>
                <w:iCs w:val="false"/>
                <w:color w:val="000000"/>
              </w:rPr>
              <w:t xml:space="preserve">20,000 concurrent WebSocket connections</w:t>
            </w:r>
          </w:p>
        </w:tc>
      </w:tr>
      <w:tr>
        <w:tc>
          <w:tcPr>
            <w:tcW w:type="dxa" w:w="4600"/>
            <w:tcMar>
              <w:top w:type="dxa" w:w="100"/>
              <w:left w:type="dxa" w:w="120"/>
              <w:bottom w:type="dxa" w:w="100"/>
              <w:right w:type="dxa" w:w="120"/>
            </w:tcMar>
          </w:tcPr>
          <w:p>
            <w:r>
              <w:rPr>
                <w:i w:val="false"/>
                <w:iCs w:val="false"/>
                <w:color w:val="000000"/>
              </w:rPr>
              <w:t xml:space="preserve">System Availability (SLA)</w:t>
            </w:r>
          </w:p>
        </w:tc>
        <w:tc>
          <w:tcPr>
            <w:tcW w:type="dxa" w:w="4640"/>
            <w:tcMar>
              <w:top w:type="dxa" w:w="100"/>
              <w:left w:type="dxa" w:w="120"/>
              <w:bottom w:type="dxa" w:w="100"/>
              <w:right w:type="dxa" w:w="120"/>
            </w:tcMar>
          </w:tcPr>
          <w:p>
            <w:r>
              <w:rPr>
                <w:i w:val="false"/>
                <w:iCs w:val="false"/>
                <w:color w:val="000000"/>
              </w:rPr>
              <w:t xml:space="preserve">99.9% monthly uptime, excluding pre-announced maintenance windows</w:t>
            </w:r>
          </w:p>
        </w:tc>
      </w:tr>
    </w:tbl>
    <w:p>
      <w:pPr>
        <w:pStyle w:val="Heading1"/>
        <w:spacing w:after="200" w:before="400"/>
      </w:pPr>
      <w:r>
        <w:t xml:space="preserve">7. Interfaces with Other Systems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300"/>
        <w:gridCol w:w="3140"/>
        <w:gridCol w:w="1200"/>
      </w:tblGrid>
      <w:tr>
        <w:trPr>
          <w:tblHeader/>
        </w:trPr>
        <w:tc>
          <w:tcPr>
            <w:tcW w:type="dxa" w:w="2000"/>
            <w:shd w:fill="1F4E79" w:val="clear"/>
            <w:tcMar>
              <w:top w:type="dxa" w:w="100"/>
              <w:left w:type="dxa" w:w="120"/>
              <w:bottom w:type="dxa" w:w="100"/>
              <w:right w:type="dxa" w:w="120"/>
            </w:tcMar>
          </w:tcPr>
          <w:p>
            <w:r>
              <w:rPr>
                <w:b/>
                <w:bCs/>
                <w:color w:val="FFFFFF"/>
              </w:rPr>
              <w:t xml:space="preserve">Interfacing System</w:t>
            </w:r>
          </w:p>
        </w:tc>
        <w:tc>
          <w:tcPr>
            <w:tcW w:type="dxa" w:w="1600"/>
            <w:shd w:fill="1F4E79" w:val="clear"/>
            <w:tcMar>
              <w:top w:type="dxa" w:w="100"/>
              <w:left w:type="dxa" w:w="120"/>
              <w:bottom w:type="dxa" w:w="100"/>
              <w:right w:type="dxa" w:w="120"/>
            </w:tcMar>
          </w:tcPr>
          <w:p>
            <w:r>
              <w:rPr>
                <w:b/>
                <w:bCs/>
                <w:color w:val="FFFFFF"/>
              </w:rPr>
              <w:t xml:space="preserve">Interface Type</w:t>
            </w:r>
          </w:p>
        </w:tc>
        <w:tc>
          <w:tcPr>
            <w:tcW w:type="dxa" w:w="1300"/>
            <w:shd w:fill="1F4E79" w:val="clear"/>
            <w:tcMar>
              <w:top w:type="dxa" w:w="100"/>
              <w:left w:type="dxa" w:w="120"/>
              <w:bottom w:type="dxa" w:w="100"/>
              <w:right w:type="dxa" w:w="120"/>
            </w:tcMar>
          </w:tcPr>
          <w:p>
            <w:r>
              <w:rPr>
                <w:b/>
                <w:bCs/>
                <w:color w:val="FFFFFF"/>
              </w:rPr>
              <w:t xml:space="preserve">Direction</w:t>
            </w:r>
          </w:p>
        </w:tc>
        <w:tc>
          <w:tcPr>
            <w:tcW w:type="dxa" w:w="3140"/>
            <w:shd w:fill="1F4E79" w:val="clear"/>
            <w:tcMar>
              <w:top w:type="dxa" w:w="100"/>
              <w:left w:type="dxa" w:w="120"/>
              <w:bottom w:type="dxa" w:w="100"/>
              <w:right w:type="dxa" w:w="120"/>
            </w:tcMar>
          </w:tcPr>
          <w:p>
            <w:r>
              <w:rPr>
                <w:b/>
                <w:bCs/>
                <w:color w:val="FFFFFF"/>
              </w:rPr>
              <w:t xml:space="preserve">Data Exchanged</w:t>
            </w:r>
          </w:p>
        </w:tc>
        <w:tc>
          <w:tcPr>
            <w:tcW w:type="dxa" w:w="1200"/>
            <w:shd w:fill="1F4E79" w:val="clear"/>
            <w:tcMar>
              <w:top w:type="dxa" w:w="100"/>
              <w:left w:type="dxa" w:w="120"/>
              <w:bottom w:type="dxa" w:w="100"/>
              <w:right w:type="dxa" w:w="120"/>
            </w:tcMar>
          </w:tcPr>
          <w:p>
            <w:r>
              <w:rPr>
                <w:b/>
                <w:bCs/>
                <w:color w:val="FFFFFF"/>
              </w:rPr>
              <w:t xml:space="preserve">Frequency</w:t>
            </w:r>
          </w:p>
        </w:tc>
      </w:tr>
      <w:tr>
        <w:tc>
          <w:tcPr>
            <w:tcW w:type="dxa" w:w="2000"/>
            <w:tcMar>
              <w:top w:type="dxa" w:w="100"/>
              <w:left w:type="dxa" w:w="120"/>
              <w:bottom w:type="dxa" w:w="100"/>
              <w:right w:type="dxa" w:w="120"/>
            </w:tcMar>
          </w:tcPr>
          <w:p>
            <w:r>
              <w:rPr>
                <w:i w:val="false"/>
                <w:iCs w:val="false"/>
                <w:color w:val="000000"/>
              </w:rPr>
              <w:t xml:space="preserve">SendGrid</w:t>
            </w:r>
          </w:p>
        </w:tc>
        <w:tc>
          <w:tcPr>
            <w:tcW w:type="dxa" w:w="1600"/>
            <w:tcMar>
              <w:top w:type="dxa" w:w="100"/>
              <w:left w:type="dxa" w:w="120"/>
              <w:bottom w:type="dxa" w:w="100"/>
              <w:right w:type="dxa" w:w="120"/>
            </w:tcMar>
          </w:tcPr>
          <w:p>
            <w:r>
              <w:rPr>
                <w:i w:val="false"/>
                <w:iCs w:val="false"/>
                <w:color w:val="000000"/>
              </w:rPr>
              <w:t xml:space="preserve">REST API</w:t>
            </w:r>
          </w:p>
        </w:tc>
        <w:tc>
          <w:tcPr>
            <w:tcW w:type="dxa" w:w="1300"/>
            <w:tcMar>
              <w:top w:type="dxa" w:w="100"/>
              <w:left w:type="dxa" w:w="120"/>
              <w:bottom w:type="dxa" w:w="100"/>
              <w:right w:type="dxa" w:w="120"/>
            </w:tcMar>
          </w:tcPr>
          <w:p>
            <w:r>
              <w:rPr>
                <w:i w:val="false"/>
                <w:iCs w:val="false"/>
                <w:color w:val="000000"/>
              </w:rPr>
              <w:t xml:space="preserve">Outbound</w:t>
            </w:r>
          </w:p>
        </w:tc>
        <w:tc>
          <w:tcPr>
            <w:tcW w:type="dxa" w:w="3140"/>
            <w:tcMar>
              <w:top w:type="dxa" w:w="100"/>
              <w:left w:type="dxa" w:w="120"/>
              <w:bottom w:type="dxa" w:w="100"/>
              <w:right w:type="dxa" w:w="120"/>
            </w:tcMar>
          </w:tcPr>
          <w:p>
            <w:r>
              <w:rPr>
                <w:i w:val="false"/>
                <w:iCs w:val="false"/>
                <w:color w:val="000000"/>
              </w:rPr>
              <w:t xml:space="preserve">Invitation, digest, and notification email content &amp; delivery status</w:t>
            </w:r>
          </w:p>
        </w:tc>
        <w:tc>
          <w:tcPr>
            <w:tcW w:type="dxa" w:w="1200"/>
            <w:tcMar>
              <w:top w:type="dxa" w:w="100"/>
              <w:left w:type="dxa" w:w="120"/>
              <w:bottom w:type="dxa" w:w="100"/>
              <w:right w:type="dxa" w:w="120"/>
            </w:tcMar>
          </w:tcPr>
          <w:p>
            <w:r>
              <w:rPr>
                <w:i w:val="false"/>
                <w:iCs w:val="false"/>
                <w:color w:val="000000"/>
              </w:rPr>
              <w:t xml:space="preserve">Real-time, event-triggered</w:t>
            </w:r>
          </w:p>
        </w:tc>
      </w:tr>
      <w:tr>
        <w:tc>
          <w:tcPr>
            <w:tcW w:type="dxa" w:w="2000"/>
            <w:tcMar>
              <w:top w:type="dxa" w:w="100"/>
              <w:left w:type="dxa" w:w="120"/>
              <w:bottom w:type="dxa" w:w="100"/>
              <w:right w:type="dxa" w:w="120"/>
            </w:tcMar>
          </w:tcPr>
          <w:p>
            <w:r>
              <w:rPr>
                <w:i w:val="false"/>
                <w:iCs w:val="false"/>
                <w:color w:val="000000"/>
              </w:rPr>
              <w:t xml:space="preserve">AWS S3</w:t>
            </w:r>
          </w:p>
        </w:tc>
        <w:tc>
          <w:tcPr>
            <w:tcW w:type="dxa" w:w="1600"/>
            <w:tcMar>
              <w:top w:type="dxa" w:w="100"/>
              <w:left w:type="dxa" w:w="120"/>
              <w:bottom w:type="dxa" w:w="100"/>
              <w:right w:type="dxa" w:w="120"/>
            </w:tcMar>
          </w:tcPr>
          <w:p>
            <w:r>
              <w:rPr>
                <w:i w:val="false"/>
                <w:iCs w:val="false"/>
                <w:color w:val="000000"/>
              </w:rPr>
              <w:t xml:space="preserve">S3 API (pre-signed URLs)</w:t>
            </w:r>
          </w:p>
        </w:tc>
        <w:tc>
          <w:tcPr>
            <w:tcW w:type="dxa" w:w="1300"/>
            <w:tcMar>
              <w:top w:type="dxa" w:w="100"/>
              <w:left w:type="dxa" w:w="120"/>
              <w:bottom w:type="dxa" w:w="100"/>
              <w:right w:type="dxa" w:w="120"/>
            </w:tcMar>
          </w:tcPr>
          <w:p>
            <w:r>
              <w:rPr>
                <w:i w:val="false"/>
                <w:iCs w:val="false"/>
                <w:color w:val="000000"/>
              </w:rPr>
              <w:t xml:space="preserve">Bidirectional</w:t>
            </w:r>
          </w:p>
        </w:tc>
        <w:tc>
          <w:tcPr>
            <w:tcW w:type="dxa" w:w="3140"/>
            <w:tcMar>
              <w:top w:type="dxa" w:w="100"/>
              <w:left w:type="dxa" w:w="120"/>
              <w:bottom w:type="dxa" w:w="100"/>
              <w:right w:type="dxa" w:w="120"/>
            </w:tcMar>
          </w:tcPr>
          <w:p>
            <w:r>
              <w:rPr>
                <w:i w:val="false"/>
                <w:iCs w:val="false"/>
                <w:color w:val="000000"/>
              </w:rPr>
              <w:t xml:space="preserve">Task attachment files</w:t>
            </w:r>
          </w:p>
        </w:tc>
        <w:tc>
          <w:tcPr>
            <w:tcW w:type="dxa" w:w="1200"/>
            <w:tcMar>
              <w:top w:type="dxa" w:w="100"/>
              <w:left w:type="dxa" w:w="120"/>
              <w:bottom w:type="dxa" w:w="100"/>
              <w:right w:type="dxa" w:w="120"/>
            </w:tcMar>
          </w:tcPr>
          <w:p>
            <w:r>
              <w:rPr>
                <w:i w:val="false"/>
                <w:iCs w:val="false"/>
                <w:color w:val="000000"/>
              </w:rPr>
              <w:t xml:space="preserve">On-demand</w:t>
            </w:r>
          </w:p>
        </w:tc>
      </w:tr>
      <w:tr>
        <w:tc>
          <w:tcPr>
            <w:tcW w:type="dxa" w:w="2000"/>
            <w:tcMar>
              <w:top w:type="dxa" w:w="100"/>
              <w:left w:type="dxa" w:w="120"/>
              <w:bottom w:type="dxa" w:w="100"/>
              <w:right w:type="dxa" w:w="120"/>
            </w:tcMar>
          </w:tcPr>
          <w:p>
            <w:r>
              <w:rPr>
                <w:i w:val="false"/>
                <w:iCs w:val="false"/>
                <w:color w:val="000000"/>
              </w:rPr>
              <w:t xml:space="preserve">Redis Pub/Sub</w:t>
            </w:r>
          </w:p>
        </w:tc>
        <w:tc>
          <w:tcPr>
            <w:tcW w:type="dxa" w:w="1600"/>
            <w:tcMar>
              <w:top w:type="dxa" w:w="100"/>
              <w:left w:type="dxa" w:w="120"/>
              <w:bottom w:type="dxa" w:w="100"/>
              <w:right w:type="dxa" w:w="120"/>
            </w:tcMar>
          </w:tcPr>
          <w:p>
            <w:r>
              <w:rPr>
                <w:i w:val="false"/>
                <w:iCs w:val="false"/>
                <w:color w:val="000000"/>
              </w:rPr>
              <w:t xml:space="preserve">Internal messaging</w:t>
            </w:r>
          </w:p>
        </w:tc>
        <w:tc>
          <w:tcPr>
            <w:tcW w:type="dxa" w:w="1300"/>
            <w:tcMar>
              <w:top w:type="dxa" w:w="100"/>
              <w:left w:type="dxa" w:w="120"/>
              <w:bottom w:type="dxa" w:w="100"/>
              <w:right w:type="dxa" w:w="120"/>
            </w:tcMar>
          </w:tcPr>
          <w:p>
            <w:r>
              <w:rPr>
                <w:i w:val="false"/>
                <w:iCs w:val="false"/>
                <w:color w:val="000000"/>
              </w:rPr>
              <w:t xml:space="preserve">Bidirectional</w:t>
            </w:r>
          </w:p>
        </w:tc>
        <w:tc>
          <w:tcPr>
            <w:tcW w:type="dxa" w:w="3140"/>
            <w:tcMar>
              <w:top w:type="dxa" w:w="100"/>
              <w:left w:type="dxa" w:w="120"/>
              <w:bottom w:type="dxa" w:w="100"/>
              <w:right w:type="dxa" w:w="120"/>
            </w:tcMar>
          </w:tcPr>
          <w:p>
            <w:r>
              <w:rPr>
                <w:i w:val="false"/>
                <w:iCs w:val="false"/>
                <w:color w:val="000000"/>
              </w:rPr>
              <w:t xml:space="preserve">WebSocket fan-out across horizontally scaled Node instances</w:t>
            </w:r>
          </w:p>
        </w:tc>
        <w:tc>
          <w:tcPr>
            <w:tcW w:type="dxa" w:w="1200"/>
            <w:tcMar>
              <w:top w:type="dxa" w:w="100"/>
              <w:left w:type="dxa" w:w="120"/>
              <w:bottom w:type="dxa" w:w="100"/>
              <w:right w:type="dxa" w:w="120"/>
            </w:tcMar>
          </w:tcPr>
          <w:p>
            <w:r>
              <w:rPr>
                <w:i w:val="false"/>
                <w:iCs w:val="false"/>
                <w:color w:val="000000"/>
              </w:rPr>
              <w:t xml:space="preserve">Real-time</w:t>
            </w:r>
          </w:p>
        </w:tc>
      </w:tr>
      <w:tr>
        <w:tc>
          <w:tcPr>
            <w:tcW w:type="dxa" w:w="2000"/>
            <w:tcMar>
              <w:top w:type="dxa" w:w="100"/>
              <w:left w:type="dxa" w:w="120"/>
              <w:bottom w:type="dxa" w:w="100"/>
              <w:right w:type="dxa" w:w="120"/>
            </w:tcMar>
          </w:tcPr>
          <w:p>
            <w:r>
              <w:rPr>
                <w:i w:val="false"/>
                <w:iCs w:val="false"/>
                <w:color w:val="000000"/>
              </w:rPr>
              <w:t xml:space="preserve">Slack</w:t>
            </w:r>
          </w:p>
        </w:tc>
        <w:tc>
          <w:tcPr>
            <w:tcW w:type="dxa" w:w="1600"/>
            <w:tcMar>
              <w:top w:type="dxa" w:w="100"/>
              <w:left w:type="dxa" w:w="120"/>
              <w:bottom w:type="dxa" w:w="100"/>
              <w:right w:type="dxa" w:w="120"/>
            </w:tcMar>
          </w:tcPr>
          <w:p>
            <w:r>
              <w:rPr>
                <w:i w:val="false"/>
                <w:iCs w:val="false"/>
                <w:color w:val="000000"/>
              </w:rPr>
              <w:t xml:space="preserve">Incoming Webhooks</w:t>
            </w:r>
          </w:p>
        </w:tc>
        <w:tc>
          <w:tcPr>
            <w:tcW w:type="dxa" w:w="1300"/>
            <w:tcMar>
              <w:top w:type="dxa" w:w="100"/>
              <w:left w:type="dxa" w:w="120"/>
              <w:bottom w:type="dxa" w:w="100"/>
              <w:right w:type="dxa" w:w="120"/>
            </w:tcMar>
          </w:tcPr>
          <w:p>
            <w:r>
              <w:rPr>
                <w:i w:val="false"/>
                <w:iCs w:val="false"/>
                <w:color w:val="000000"/>
              </w:rPr>
              <w:t xml:space="preserve">Outbound</w:t>
            </w:r>
          </w:p>
        </w:tc>
        <w:tc>
          <w:tcPr>
            <w:tcW w:type="dxa" w:w="3140"/>
            <w:tcMar>
              <w:top w:type="dxa" w:w="100"/>
              <w:left w:type="dxa" w:w="120"/>
              <w:bottom w:type="dxa" w:w="100"/>
              <w:right w:type="dxa" w:w="120"/>
            </w:tcMar>
          </w:tcPr>
          <w:p>
            <w:r>
              <w:rPr>
                <w:i w:val="false"/>
                <w:iCs w:val="false"/>
                <w:color w:val="000000"/>
              </w:rPr>
              <w:t xml:space="preserve">Task-assignment and due-date notifications posted to a linked Slack channel</w:t>
            </w:r>
          </w:p>
        </w:tc>
        <w:tc>
          <w:tcPr>
            <w:tcW w:type="dxa" w:w="1200"/>
            <w:tcMar>
              <w:top w:type="dxa" w:w="100"/>
              <w:left w:type="dxa" w:w="120"/>
              <w:bottom w:type="dxa" w:w="100"/>
              <w:right w:type="dxa" w:w="120"/>
            </w:tcMar>
          </w:tcPr>
          <w:p>
            <w:r>
              <w:rPr>
                <w:i w:val="false"/>
                <w:iCs w:val="false"/>
                <w:color w:val="000000"/>
              </w:rPr>
              <w:t xml:space="preserve">Real-time, event-triggered</w:t>
            </w:r>
          </w:p>
        </w:tc>
      </w:tr>
      <w:tr>
        <w:tc>
          <w:tcPr>
            <w:tcW w:type="dxa" w:w="2000"/>
            <w:tcMar>
              <w:top w:type="dxa" w:w="100"/>
              <w:left w:type="dxa" w:w="120"/>
              <w:bottom w:type="dxa" w:w="100"/>
              <w:right w:type="dxa" w:w="120"/>
            </w:tcMar>
          </w:tcPr>
          <w:p>
            <w:r>
              <w:rPr>
                <w:i w:val="false"/>
                <w:iCs w:val="false"/>
                <w:color w:val="000000"/>
              </w:rPr>
              <w:t xml:space="preserve">Google Calendar API</w:t>
            </w:r>
          </w:p>
        </w:tc>
        <w:tc>
          <w:tcPr>
            <w:tcW w:type="dxa" w:w="1600"/>
            <w:tcMar>
              <w:top w:type="dxa" w:w="100"/>
              <w:left w:type="dxa" w:w="120"/>
              <w:bottom w:type="dxa" w:w="100"/>
              <w:right w:type="dxa" w:w="120"/>
            </w:tcMar>
          </w:tcPr>
          <w:p>
            <w:r>
              <w:rPr>
                <w:i w:val="false"/>
                <w:iCs w:val="false"/>
                <w:color w:val="000000"/>
              </w:rPr>
              <w:t xml:space="preserve">REST API / OAuth 2.0</w:t>
            </w:r>
          </w:p>
        </w:tc>
        <w:tc>
          <w:tcPr>
            <w:tcW w:type="dxa" w:w="1300"/>
            <w:tcMar>
              <w:top w:type="dxa" w:w="100"/>
              <w:left w:type="dxa" w:w="120"/>
              <w:bottom w:type="dxa" w:w="100"/>
              <w:right w:type="dxa" w:w="120"/>
            </w:tcMar>
          </w:tcPr>
          <w:p>
            <w:r>
              <w:rPr>
                <w:i w:val="false"/>
                <w:iCs w:val="false"/>
                <w:color w:val="000000"/>
              </w:rPr>
              <w:t xml:space="preserve">Outbound</w:t>
            </w:r>
          </w:p>
        </w:tc>
        <w:tc>
          <w:tcPr>
            <w:tcW w:type="dxa" w:w="3140"/>
            <w:tcMar>
              <w:top w:type="dxa" w:w="100"/>
              <w:left w:type="dxa" w:w="120"/>
              <w:bottom w:type="dxa" w:w="100"/>
              <w:right w:type="dxa" w:w="120"/>
            </w:tcMar>
          </w:tcPr>
          <w:p>
            <w:r>
              <w:rPr>
                <w:i w:val="false"/>
                <w:iCs w:val="false"/>
                <w:color w:val="000000"/>
              </w:rPr>
              <w:t xml:space="preserve">Task due dates synced as calendar events (opt-in)</w:t>
            </w:r>
          </w:p>
        </w:tc>
        <w:tc>
          <w:tcPr>
            <w:tcW w:type="dxa" w:w="1200"/>
            <w:tcMar>
              <w:top w:type="dxa" w:w="100"/>
              <w:left w:type="dxa" w:w="120"/>
              <w:bottom w:type="dxa" w:w="100"/>
              <w:right w:type="dxa" w:w="120"/>
            </w:tcMar>
          </w:tcPr>
          <w:p>
            <w:r>
              <w:rPr>
                <w:i w:val="false"/>
                <w:iCs w:val="false"/>
                <w:color w:val="000000"/>
              </w:rPr>
              <w:t xml:space="preserve">Near real-time, on task change</w:t>
            </w:r>
          </w:p>
        </w:tc>
      </w:tr>
      <w:tr>
        <w:tc>
          <w:tcPr>
            <w:tcW w:type="dxa" w:w="2000"/>
            <w:tcMar>
              <w:top w:type="dxa" w:w="100"/>
              <w:left w:type="dxa" w:w="120"/>
              <w:bottom w:type="dxa" w:w="100"/>
              <w:right w:type="dxa" w:w="120"/>
            </w:tcMar>
          </w:tcPr>
          <w:p>
            <w:r>
              <w:rPr>
                <w:i w:val="false"/>
                <w:iCs w:val="false"/>
                <w:color w:val="000000"/>
              </w:rPr>
              <w:t xml:space="preserve">Segment</w:t>
            </w:r>
          </w:p>
        </w:tc>
        <w:tc>
          <w:tcPr>
            <w:tcW w:type="dxa" w:w="1600"/>
            <w:tcMar>
              <w:top w:type="dxa" w:w="100"/>
              <w:left w:type="dxa" w:w="120"/>
              <w:bottom w:type="dxa" w:w="100"/>
              <w:right w:type="dxa" w:w="120"/>
            </w:tcMar>
          </w:tcPr>
          <w:p>
            <w:r>
              <w:rPr>
                <w:i w:val="false"/>
                <w:iCs w:val="false"/>
                <w:color w:val="000000"/>
              </w:rPr>
              <w:t xml:space="preserve">REST API / SDK</w:t>
            </w:r>
          </w:p>
        </w:tc>
        <w:tc>
          <w:tcPr>
            <w:tcW w:type="dxa" w:w="1300"/>
            <w:tcMar>
              <w:top w:type="dxa" w:w="100"/>
              <w:left w:type="dxa" w:w="120"/>
              <w:bottom w:type="dxa" w:w="100"/>
              <w:right w:type="dxa" w:w="120"/>
            </w:tcMar>
          </w:tcPr>
          <w:p>
            <w:r>
              <w:rPr>
                <w:i w:val="false"/>
                <w:iCs w:val="false"/>
                <w:color w:val="000000"/>
              </w:rPr>
              <w:t xml:space="preserve">Outbound</w:t>
            </w:r>
          </w:p>
        </w:tc>
        <w:tc>
          <w:tcPr>
            <w:tcW w:type="dxa" w:w="3140"/>
            <w:tcMar>
              <w:top w:type="dxa" w:w="100"/>
              <w:left w:type="dxa" w:w="120"/>
              <w:bottom w:type="dxa" w:w="100"/>
              <w:right w:type="dxa" w:w="120"/>
            </w:tcMar>
          </w:tcPr>
          <w:p>
            <w:r>
              <w:rPr>
                <w:i w:val="false"/>
                <w:iCs w:val="false"/>
                <w:color w:val="000000"/>
              </w:rPr>
              <w:t xml:space="preserve">Product usage and engagement events</w:t>
            </w:r>
          </w:p>
        </w:tc>
        <w:tc>
          <w:tcPr>
            <w:tcW w:type="dxa" w:w="1200"/>
            <w:tcMar>
              <w:top w:type="dxa" w:w="100"/>
              <w:left w:type="dxa" w:w="120"/>
              <w:bottom w:type="dxa" w:w="100"/>
              <w:right w:type="dxa" w:w="120"/>
            </w:tcMar>
          </w:tcPr>
          <w:p>
            <w:r>
              <w:rPr>
                <w:i w:val="false"/>
                <w:iCs w:val="false"/>
                <w:color w:val="000000"/>
              </w:rPr>
              <w:t xml:space="preserve">Real-time, event-triggered</w:t>
            </w:r>
          </w:p>
        </w:tc>
      </w:tr>
    </w:tbl>
    <w:p>
      <w:pPr>
        <w:pStyle w:val="Heading1"/>
        <w:spacing w:after="200" w:before="400"/>
      </w:pPr>
      <w:r>
        <w:t xml:space="preserve">8. Non-Functional Attributes</w:t>
      </w:r>
    </w:p>
    <w:p>
      <w:pPr>
        <w:pStyle w:val="Heading2"/>
        <w:spacing w:after="120" w:before="240"/>
      </w:pPr>
      <w:r>
        <w:t xml:space="preserve">8.1 Security</w:t>
      </w:r>
    </w:p>
    <w:p>
      <w:pPr>
        <w:pStyle w:val="ListParagraph"/>
        <w:numPr>
          <w:ilvl w:val="0"/>
          <w:numId w:val="1"/>
        </w:numPr>
        <w:spacing w:after="80"/>
      </w:pPr>
      <w:r>
        <w:rPr>
          <w:i w:val="false"/>
          <w:iCs w:val="false"/>
          <w:color w:val="000000"/>
        </w:rPr>
        <w:t xml:space="preserve">TLS 1.3 for all traffic, including WebSocket connections (WSS); AES-256 encryption at rest for PostgreSQL and S3.</w:t>
      </w:r>
    </w:p>
    <w:p>
      <w:pPr>
        <w:pStyle w:val="ListParagraph"/>
        <w:numPr>
          <w:ilvl w:val="0"/>
          <w:numId w:val="1"/>
        </w:numPr>
        <w:spacing w:after="80"/>
      </w:pPr>
      <w:r>
        <w:rPr>
          <w:i w:val="false"/>
          <w:iCs w:val="false"/>
          <w:color w:val="000000"/>
        </w:rPr>
        <w:t xml:space="preserve">Role-based access control enforced at both the API and WebSocket-event layers, not just in the UI.</w:t>
      </w:r>
    </w:p>
    <w:p>
      <w:pPr>
        <w:pStyle w:val="ListParagraph"/>
        <w:numPr>
          <w:ilvl w:val="0"/>
          <w:numId w:val="1"/>
        </w:numPr>
        <w:spacing w:after="80"/>
      </w:pPr>
      <w:r>
        <w:rPr>
          <w:i w:val="false"/>
          <w:iCs w:val="false"/>
          <w:color w:val="000000"/>
        </w:rPr>
        <w:t xml:space="preserve">JWT access tokens (15-minute expiry) with refresh tokens stored as HttpOnly, Secure cookies.</w:t>
      </w:r>
    </w:p>
    <w:p>
      <w:pPr>
        <w:pStyle w:val="ListParagraph"/>
        <w:numPr>
          <w:ilvl w:val="0"/>
          <w:numId w:val="1"/>
        </w:numPr>
        <w:spacing w:after="80"/>
      </w:pPr>
      <w:r>
        <w:rPr>
          <w:i w:val="false"/>
          <w:iCs w:val="false"/>
          <w:color w:val="000000"/>
        </w:rPr>
        <w:t xml:space="preserve">S3 attachments are only accessible via short-lived (15-minute) signed URLs, never public buckets.</w:t>
      </w:r>
    </w:p>
    <w:p>
      <w:pPr>
        <w:pStyle w:val="Heading2"/>
        <w:spacing w:after="120" w:before="240"/>
      </w:pPr>
      <w:r>
        <w:t xml:space="preserve">8.2 Usability</w:t>
      </w:r>
    </w:p>
    <w:p>
      <w:pPr>
        <w:pStyle w:val="ListParagraph"/>
        <w:numPr>
          <w:ilvl w:val="0"/>
          <w:numId w:val="1"/>
        </w:numPr>
        <w:spacing w:after="80"/>
      </w:pPr>
      <w:r>
        <w:rPr>
          <w:i w:val="false"/>
          <w:iCs w:val="false"/>
          <w:color w:val="000000"/>
        </w:rPr>
        <w:t xml:space="preserve">WCAG 2.1 Level AA conformance, including keyboard-operable drag-and-drop as an alternative to mouse dragging.</w:t>
      </w:r>
    </w:p>
    <w:p>
      <w:pPr>
        <w:pStyle w:val="ListParagraph"/>
        <w:numPr>
          <w:ilvl w:val="0"/>
          <w:numId w:val="1"/>
        </w:numPr>
        <w:spacing w:after="80"/>
      </w:pPr>
      <w:r>
        <w:rPr>
          <w:i w:val="false"/>
          <w:iCs w:val="false"/>
          <w:color w:val="000000"/>
        </w:rPr>
        <w:t xml:space="preserve">Real-time updates use non-disruptive visual cues (subtle highlight) rather than jarring re-renders.</w:t>
      </w:r>
    </w:p>
    <w:p>
      <w:pPr>
        <w:pStyle w:val="Heading2"/>
        <w:spacing w:after="120" w:before="240"/>
      </w:pPr>
      <w:r>
        <w:t xml:space="preserve">8.3 Reliability</w:t>
      </w:r>
    </w:p>
    <w:p>
      <w:pPr>
        <w:pStyle w:val="ListParagraph"/>
        <w:numPr>
          <w:ilvl w:val="0"/>
          <w:numId w:val="1"/>
        </w:numPr>
        <w:spacing w:after="80"/>
      </w:pPr>
      <w:r>
        <w:rPr>
          <w:i w:val="false"/>
          <w:iCs w:val="false"/>
          <w:color w:val="000000"/>
        </w:rPr>
        <w:t xml:space="preserve">WebSocket clients automatically reconnect with exponential backoff and re-sync board state on reconnect.</w:t>
      </w:r>
    </w:p>
    <w:p>
      <w:pPr>
        <w:pStyle w:val="ListParagraph"/>
        <w:numPr>
          <w:ilvl w:val="0"/>
          <w:numId w:val="1"/>
        </w:numPr>
        <w:spacing w:after="80"/>
      </w:pPr>
      <w:r>
        <w:rPr>
          <w:i w:val="false"/>
          <w:iCs w:val="false"/>
          <w:color w:val="000000"/>
        </w:rPr>
        <w:t xml:space="preserve">REST API fallback ensures core CRUD operations succeed even if the WebSocket connection is temporarily down.</w:t>
      </w:r>
    </w:p>
    <w:p>
      <w:pPr>
        <w:pStyle w:val="Heading2"/>
        <w:spacing w:after="120" w:before="240"/>
      </w:pPr>
      <w:r>
        <w:t xml:space="preserve">8.4 Scalability</w:t>
      </w:r>
    </w:p>
    <w:p>
      <w:pPr>
        <w:pStyle w:val="ListParagraph"/>
        <w:numPr>
          <w:ilvl w:val="0"/>
          <w:numId w:val="1"/>
        </w:numPr>
        <w:spacing w:after="80"/>
      </w:pPr>
      <w:r>
        <w:rPr>
          <w:i w:val="false"/>
          <w:iCs w:val="false"/>
          <w:color w:val="000000"/>
        </w:rPr>
        <w:t xml:space="preserve">Node.js WebSocket servers scale horizontally behind a load balancer with sticky sessions, using a Redis adapter for cross-instance pub/sub.</w:t>
      </w:r>
    </w:p>
    <w:p>
      <w:pPr>
        <w:pStyle w:val="ListParagraph"/>
        <w:numPr>
          <w:ilvl w:val="0"/>
          <w:numId w:val="1"/>
        </w:numPr>
        <w:spacing w:after="80"/>
      </w:pPr>
      <w:r>
        <w:rPr>
          <w:i w:val="false"/>
          <w:iCs w:val="false"/>
          <w:color w:val="000000"/>
        </w:rPr>
        <w:t xml:space="preserve">PostgreSQL read replicas serve analytics queries independently from the primary write path.</w:t>
      </w:r>
    </w:p>
    <w:p>
      <w:pPr>
        <w:pStyle w:val="Heading2"/>
        <w:spacing w:after="120" w:before="240"/>
      </w:pPr>
      <w:r>
        <w:t xml:space="preserve">8.5 Maintainability</w:t>
      </w:r>
    </w:p>
    <w:p>
      <w:pPr>
        <w:pStyle w:val="ListParagraph"/>
        <w:numPr>
          <w:ilvl w:val="0"/>
          <w:numId w:val="1"/>
        </w:numPr>
        <w:spacing w:after="80"/>
      </w:pPr>
      <w:r>
        <w:rPr>
          <w:i w:val="false"/>
          <w:iCs w:val="false"/>
          <w:color w:val="000000"/>
        </w:rPr>
        <w:t xml:space="preserve">CI/CD pipeline (GitHub Actions) with ≥ 80% unit test coverage gating merges to main.</w:t>
      </w:r>
    </w:p>
    <w:p>
      <w:pPr>
        <w:pStyle w:val="ListParagraph"/>
        <w:numPr>
          <w:ilvl w:val="0"/>
          <w:numId w:val="1"/>
        </w:numPr>
        <w:spacing w:after="80"/>
      </w:pPr>
      <w:r>
        <w:rPr>
          <w:i w:val="false"/>
          <w:iCs w:val="false"/>
          <w:color w:val="000000"/>
        </w:rPr>
        <w:t xml:space="preserve">WebSocket event contracts are versioned and documented in the shared event-contract specification (Reference #3).</w:t>
      </w:r>
    </w:p>
    <w:p>
      <w:pPr>
        <w:pStyle w:val="Heading2"/>
        <w:spacing w:after="120" w:before="240"/>
      </w:pPr>
      <w:r>
        <w:t xml:space="preserve">8.6 Compliance</w:t>
      </w:r>
    </w:p>
    <w:p>
      <w:pPr>
        <w:pStyle w:val="ListParagraph"/>
        <w:numPr>
          <w:ilvl w:val="0"/>
          <w:numId w:val="1"/>
        </w:numPr>
        <w:spacing w:after="80"/>
      </w:pPr>
      <w:r>
        <w:rPr>
          <w:i w:val="false"/>
          <w:iCs w:val="false"/>
          <w:color w:val="000000"/>
        </w:rPr>
        <w:t xml:space="preserve">SOC 2 Type II controls maintained for data handling and access logging.</w:t>
      </w:r>
    </w:p>
    <w:p>
      <w:pPr>
        <w:pStyle w:val="ListParagraph"/>
        <w:numPr>
          <w:ilvl w:val="0"/>
          <w:numId w:val="1"/>
        </w:numPr>
        <w:spacing w:after="80"/>
      </w:pPr>
      <w:r>
        <w:rPr>
          <w:i w:val="false"/>
          <w:iCs w:val="false"/>
          <w:color w:val="000000"/>
        </w:rPr>
        <w:t xml:space="preserve">GDPR: supports data export and right-to-erasure requests for EU-based workspace members within 30 days.</w:t>
      </w:r>
    </w:p>
    <w:p>
      <w:pPr>
        <w:pStyle w:val="Heading2"/>
        <w:spacing w:after="120" w:before="240"/>
      </w:pPr>
      <w:r>
        <w:t xml:space="preserve">8.7 Auditability &amp; Logging</w:t>
      </w:r>
    </w:p>
    <w:p>
      <w:pPr>
        <w:pStyle w:val="ListParagraph"/>
        <w:numPr>
          <w:ilvl w:val="0"/>
          <w:numId w:val="1"/>
        </w:numPr>
        <w:spacing w:after="80"/>
      </w:pPr>
      <w:r>
        <w:rPr>
          <w:i w:val="false"/>
          <w:iCs w:val="false"/>
          <w:color w:val="000000"/>
        </w:rPr>
        <w:t xml:space="preserve">All role changes, invitations, and deletions are logged with actor, timestamp, and before/after state.</w:t>
      </w:r>
    </w:p>
    <w:p>
      <w:pPr>
        <w:pStyle w:val="ListParagraph"/>
        <w:numPr>
          <w:ilvl w:val="0"/>
          <w:numId w:val="1"/>
        </w:numPr>
        <w:spacing w:after="80"/>
      </w:pPr>
      <w:r>
        <w:rPr>
          <w:i w:val="false"/>
          <w:iCs w:val="false"/>
          <w:color w:val="000000"/>
        </w:rPr>
        <w:t xml:space="preserve">Card activity feed provides a permanent, per-task audit trail visible to board members.</w:t>
      </w:r>
    </w:p>
    <w:p>
      <w:pPr>
        <w:pStyle w:val="Heading1"/>
        <w:spacing w:after="200" w:before="400"/>
      </w:pPr>
      <w:r>
        <w:t xml:space="preserve">9. Glossary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shd w:fill="1F4E79" w:val="clear"/>
            <w:tcMar>
              <w:top w:type="dxa" w:w="100"/>
              <w:left w:type="dxa" w:w="120"/>
              <w:bottom w:type="dxa" w:w="100"/>
              <w:right w:type="dxa" w:w="120"/>
            </w:tcMar>
          </w:tcPr>
          <w:p>
            <w:r>
              <w:rPr>
                <w:b/>
                <w:bCs/>
                <w:color w:val="FFFFFF"/>
              </w:rPr>
              <w:t xml:space="preserve">Term / Abbreviation</w:t>
            </w:r>
          </w:p>
        </w:tc>
        <w:tc>
          <w:tcPr>
            <w:tcW w:type="dxa" w:w="6640"/>
            <w:shd w:fill="1F4E79" w:val="clear"/>
            <w:tcMar>
              <w:top w:type="dxa" w:w="100"/>
              <w:left w:type="dxa" w:w="120"/>
              <w:bottom w:type="dxa" w:w="100"/>
              <w:right w:type="dxa" w:w="120"/>
            </w:tcMar>
          </w:tcPr>
          <w:p>
            <w:r>
              <w:rPr>
                <w:b/>
                <w:bCs/>
                <w:color w:val="FFFFFF"/>
              </w:rPr>
              <w:t xml:space="preserve">Definition</w:t>
            </w:r>
          </w:p>
        </w:tc>
      </w:tr>
      <w:tr>
        <w:tc>
          <w:tcPr>
            <w:tcW w:type="dxa" w:w="2600"/>
            <w:tcMar>
              <w:top w:type="dxa" w:w="100"/>
              <w:left w:type="dxa" w:w="120"/>
              <w:bottom w:type="dxa" w:w="100"/>
              <w:right w:type="dxa" w:w="120"/>
            </w:tcMar>
          </w:tcPr>
          <w:p>
            <w:r>
              <w:rPr>
                <w:i w:val="false"/>
                <w:iCs w:val="false"/>
                <w:color w:val="000000"/>
              </w:rPr>
              <w:t xml:space="preserve">Kanban</w:t>
            </w:r>
          </w:p>
        </w:tc>
        <w:tc>
          <w:tcPr>
            <w:tcW w:type="dxa" w:w="6640"/>
            <w:tcMar>
              <w:top w:type="dxa" w:w="100"/>
              <w:left w:type="dxa" w:w="120"/>
              <w:bottom w:type="dxa" w:w="100"/>
              <w:right w:type="dxa" w:w="120"/>
            </w:tcMar>
          </w:tcPr>
          <w:p>
            <w:r>
              <w:rPr>
                <w:i w:val="false"/>
                <w:iCs w:val="false"/>
                <w:color w:val="000000"/>
              </w:rPr>
              <w:t xml:space="preserve">A visual workflow method using columns (e.g., To Do, In Progress, Done) to represent task status.</w:t>
            </w:r>
          </w:p>
        </w:tc>
      </w:tr>
      <w:tr>
        <w:tc>
          <w:tcPr>
            <w:tcW w:type="dxa" w:w="2600"/>
            <w:tcMar>
              <w:top w:type="dxa" w:w="100"/>
              <w:left w:type="dxa" w:w="120"/>
              <w:bottom w:type="dxa" w:w="100"/>
              <w:right w:type="dxa" w:w="120"/>
            </w:tcMar>
          </w:tcPr>
          <w:p>
            <w:r>
              <w:rPr>
                <w:i w:val="false"/>
                <w:iCs w:val="false"/>
                <w:color w:val="000000"/>
              </w:rPr>
              <w:t xml:space="preserve">WebSocket</w:t>
            </w:r>
          </w:p>
        </w:tc>
        <w:tc>
          <w:tcPr>
            <w:tcW w:type="dxa" w:w="6640"/>
            <w:tcMar>
              <w:top w:type="dxa" w:w="100"/>
              <w:left w:type="dxa" w:w="120"/>
              <w:bottom w:type="dxa" w:w="100"/>
              <w:right w:type="dxa" w:w="120"/>
            </w:tcMar>
          </w:tcPr>
          <w:p>
            <w:r>
              <w:rPr>
                <w:i w:val="false"/>
                <w:iCs w:val="false"/>
                <w:color w:val="000000"/>
              </w:rPr>
              <w:t xml:space="preserve">A persistent, bidirectional connection protocol used here for real-time board synchronization.</w:t>
            </w:r>
          </w:p>
        </w:tc>
      </w:tr>
      <w:tr>
        <w:tc>
          <w:tcPr>
            <w:tcW w:type="dxa" w:w="2600"/>
            <w:tcMar>
              <w:top w:type="dxa" w:w="100"/>
              <w:left w:type="dxa" w:w="120"/>
              <w:bottom w:type="dxa" w:w="100"/>
              <w:right w:type="dxa" w:w="120"/>
            </w:tcMar>
          </w:tcPr>
          <w:p>
            <w:r>
              <w:rPr>
                <w:i w:val="false"/>
                <w:iCs w:val="false"/>
                <w:color w:val="000000"/>
              </w:rPr>
              <w:t xml:space="preserve">RBAC</w:t>
            </w:r>
          </w:p>
        </w:tc>
        <w:tc>
          <w:tcPr>
            <w:tcW w:type="dxa" w:w="6640"/>
            <w:tcMar>
              <w:top w:type="dxa" w:w="100"/>
              <w:left w:type="dxa" w:w="120"/>
              <w:bottom w:type="dxa" w:w="100"/>
              <w:right w:type="dxa" w:w="120"/>
            </w:tcMar>
          </w:tcPr>
          <w:p>
            <w:r>
              <w:rPr>
                <w:i w:val="false"/>
                <w:iCs w:val="false"/>
                <w:color w:val="000000"/>
              </w:rPr>
              <w:t xml:space="preserve">Role-Based Access Control — restricting system actions based on a user's assigned role.</w:t>
            </w:r>
          </w:p>
        </w:tc>
      </w:tr>
      <w:tr>
        <w:tc>
          <w:tcPr>
            <w:tcW w:type="dxa" w:w="2600"/>
            <w:tcMar>
              <w:top w:type="dxa" w:w="100"/>
              <w:left w:type="dxa" w:w="120"/>
              <w:bottom w:type="dxa" w:w="100"/>
              <w:right w:type="dxa" w:w="120"/>
            </w:tcMar>
          </w:tcPr>
          <w:p>
            <w:r>
              <w:rPr>
                <w:i w:val="false"/>
                <w:iCs w:val="false"/>
                <w:color w:val="000000"/>
              </w:rPr>
              <w:t xml:space="preserve">Burndown Chart</w:t>
            </w:r>
          </w:p>
        </w:tc>
        <w:tc>
          <w:tcPr>
            <w:tcW w:type="dxa" w:w="6640"/>
            <w:tcMar>
              <w:top w:type="dxa" w:w="100"/>
              <w:left w:type="dxa" w:w="120"/>
              <w:bottom w:type="dxa" w:w="100"/>
              <w:right w:type="dxa" w:w="120"/>
            </w:tcMar>
          </w:tcPr>
          <w:p>
            <w:r>
              <w:rPr>
                <w:i w:val="false"/>
                <w:iCs w:val="false"/>
                <w:color w:val="000000"/>
              </w:rPr>
              <w:t xml:space="preserve">A chart showing the amount of open work remaining over time.</w:t>
            </w:r>
          </w:p>
        </w:tc>
      </w:tr>
      <w:tr>
        <w:tc>
          <w:tcPr>
            <w:tcW w:type="dxa" w:w="2600"/>
            <w:tcMar>
              <w:top w:type="dxa" w:w="100"/>
              <w:left w:type="dxa" w:w="120"/>
              <w:bottom w:type="dxa" w:w="100"/>
              <w:right w:type="dxa" w:w="120"/>
            </w:tcMar>
          </w:tcPr>
          <w:p>
            <w:r>
              <w:rPr>
                <w:i w:val="false"/>
                <w:iCs w:val="false"/>
                <w:color w:val="000000"/>
              </w:rPr>
              <w:t xml:space="preserve">Velocity</w:t>
            </w:r>
          </w:p>
        </w:tc>
        <w:tc>
          <w:tcPr>
            <w:tcW w:type="dxa" w:w="6640"/>
            <w:tcMar>
              <w:top w:type="dxa" w:w="100"/>
              <w:left w:type="dxa" w:w="120"/>
              <w:bottom w:type="dxa" w:w="100"/>
              <w:right w:type="dxa" w:w="120"/>
            </w:tcMar>
          </w:tcPr>
          <w:p>
            <w:r>
              <w:rPr>
                <w:i w:val="false"/>
                <w:iCs w:val="false"/>
                <w:color w:val="000000"/>
              </w:rPr>
              <w:t xml:space="preserve">The rate at which a team completes tasks, typically measured per week or per sprint.</w:t>
            </w:r>
          </w:p>
        </w:tc>
      </w:tr>
      <w:tr>
        <w:tc>
          <w:tcPr>
            <w:tcW w:type="dxa" w:w="2600"/>
            <w:tcMar>
              <w:top w:type="dxa" w:w="100"/>
              <w:left w:type="dxa" w:w="120"/>
              <w:bottom w:type="dxa" w:w="100"/>
              <w:right w:type="dxa" w:w="120"/>
            </w:tcMar>
          </w:tcPr>
          <w:p>
            <w:r>
              <w:rPr>
                <w:i w:val="false"/>
                <w:iCs w:val="false"/>
                <w:color w:val="000000"/>
              </w:rPr>
              <w:t xml:space="preserve">Pub/Sub</w:t>
            </w:r>
          </w:p>
        </w:tc>
        <w:tc>
          <w:tcPr>
            <w:tcW w:type="dxa" w:w="6640"/>
            <w:tcMar>
              <w:top w:type="dxa" w:w="100"/>
              <w:left w:type="dxa" w:w="120"/>
              <w:bottom w:type="dxa" w:w="100"/>
              <w:right w:type="dxa" w:w="120"/>
            </w:tcMar>
          </w:tcPr>
          <w:p>
            <w:r>
              <w:rPr>
                <w:i w:val="false"/>
                <w:iCs w:val="false"/>
                <w:color w:val="000000"/>
              </w:rPr>
              <w:t xml:space="preserve">Publish/Subscribe — a messaging pattern used here (via Redis) to fan out events across servers.</w:t>
            </w:r>
          </w:p>
        </w:tc>
      </w:tr>
      <w:tr>
        <w:tc>
          <w:tcPr>
            <w:tcW w:type="dxa" w:w="2600"/>
            <w:tcMar>
              <w:top w:type="dxa" w:w="100"/>
              <w:left w:type="dxa" w:w="120"/>
              <w:bottom w:type="dxa" w:w="100"/>
              <w:right w:type="dxa" w:w="120"/>
            </w:tcMar>
          </w:tcPr>
          <w:p>
            <w:r>
              <w:rPr>
                <w:i w:val="false"/>
                <w:iCs w:val="false"/>
                <w:color w:val="000000"/>
              </w:rPr>
              <w:t xml:space="preserve">Optimistic Update</w:t>
            </w:r>
          </w:p>
        </w:tc>
        <w:tc>
          <w:tcPr>
            <w:tcW w:type="dxa" w:w="6640"/>
            <w:tcMar>
              <w:top w:type="dxa" w:w="100"/>
              <w:left w:type="dxa" w:w="120"/>
              <w:bottom w:type="dxa" w:w="100"/>
              <w:right w:type="dxa" w:w="120"/>
            </w:tcMar>
          </w:tcPr>
          <w:p>
            <w:r>
              <w:rPr>
                <w:i w:val="false"/>
                <w:iCs w:val="false"/>
                <w:color w:val="000000"/>
              </w:rPr>
              <w:t xml:space="preserve">A UI pattern that updates the interface immediately, before server confirmation, for perceived speed.</w:t>
            </w:r>
          </w:p>
        </w:tc>
      </w:tr>
    </w:tbl>
    <w:p>
      <w:pPr>
        <w:pStyle w:val="Heading1"/>
        <w:spacing w:after="200" w:before="400"/>
      </w:pPr>
      <w:r>
        <w:t xml:space="preserve">10. Attachments</w:t>
      </w:r>
    </w:p>
    <w:p>
      <w:pPr>
        <w:pStyle w:val="ListParagraph"/>
        <w:numPr>
          <w:ilvl w:val="0"/>
          <w:numId w:val="1"/>
        </w:numPr>
        <w:spacing w:after="80"/>
      </w:pPr>
      <w:r>
        <w:rPr>
          <w:i w:val="false"/>
          <w:iCs w:val="false"/>
          <w:color w:val="000000"/>
        </w:rPr>
        <w:t xml:space="preserve">Attachment A — Board &amp; Card UI Wireframes (Figma export, PDF)</w:t>
      </w:r>
    </w:p>
    <w:p>
      <w:pPr>
        <w:pStyle w:val="ListParagraph"/>
        <w:numPr>
          <w:ilvl w:val="0"/>
          <w:numId w:val="1"/>
        </w:numPr>
        <w:spacing w:after="80"/>
      </w:pPr>
      <w:r>
        <w:rPr>
          <w:i w:val="false"/>
          <w:iCs w:val="false"/>
          <w:color w:val="000000"/>
        </w:rPr>
        <w:t xml:space="preserve">Attachment B — WebSocket Event Contract Specification (card:created, card:move, comment:created, etc.)</w:t>
      </w:r>
    </w:p>
    <w:p>
      <w:pPr>
        <w:pStyle w:val="ListParagraph"/>
        <w:numPr>
          <w:ilvl w:val="0"/>
          <w:numId w:val="1"/>
        </w:numPr>
        <w:spacing w:after="80"/>
      </w:pPr>
      <w:r>
        <w:rPr>
          <w:i w:val="false"/>
          <w:iCs w:val="false"/>
          <w:color w:val="000000"/>
        </w:rPr>
        <w:t xml:space="preserve">Attachment C — TaskFlow Entity-Relationship Diagram (v3.0)</w:t>
      </w:r>
    </w:p>
    <w:p>
      <w:pPr>
        <w:pStyle w:val="ListParagraph"/>
        <w:numPr>
          <w:ilvl w:val="0"/>
          <w:numId w:val="1"/>
        </w:numPr>
        <w:spacing w:after="80"/>
      </w:pPr>
      <w:r>
        <w:rPr>
          <w:i w:val="false"/>
          <w:iCs w:val="false"/>
          <w:color w:val="000000"/>
        </w:rPr>
        <w:t xml:space="preserve">Attachment D — RBAC Permission Matrix (Admin / Member / Viewer)</w:t>
      </w:r>
    </w:p>
    <w:p>
      <w:pPr>
        <w:pStyle w:val="ListParagraph"/>
        <w:numPr>
          <w:ilvl w:val="0"/>
          <w:numId w:val="1"/>
        </w:numPr>
        <w:spacing w:after="80"/>
      </w:pPr>
      <w:r>
        <w:rPr>
          <w:i w:val="false"/>
          <w:iCs w:val="false"/>
          <w:color w:val="000000"/>
        </w:rPr>
        <w:t xml:space="preserve">Attachment E — Slack &amp; Google Calendar Integration Setup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TaskFlow FRD — Release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pPr>
    <w:rPr>
      <w:rFonts w:ascii="Calibri" w:cs="Calibri" w:eastAsia="Calibri" w:hAnsi="Calibri"/>
      <w:b/>
      <w:bCs/>
      <w:color w:val="1F4E79"/>
      <w:sz w:val="30"/>
      <w:szCs w:val="30"/>
    </w:rPr>
  </w:style>
  <w:style w:type="paragraph" w:styleId="Heading2">
    <w:name w:val="Heading 2"/>
    <w:basedOn w:val="Normal"/>
    <w:next w:val="Normal"/>
    <w:qFormat/>
    <w:pPr>
      <w:spacing w:after="120" w:before="240"/>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2026-08-10T09:27:00.746Z</dcterms:created>
  <dcterms:modified xsi:type="dcterms:W3CDTF">2026-08-10T09:27:00.746Z</dcterms:modified>
</cp:coreProperties>
</file>

<file path=docProps/custom.xml><?xml version="1.0" encoding="utf-8"?>
<Properties xmlns="http://schemas.openxmlformats.org/officeDocument/2006/custom-properties" xmlns:vt="http://schemas.openxmlformats.org/officeDocument/2006/docPropsVTypes"/>
</file>