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56"/>
          <w:szCs w:val="56"/>
        </w:rPr>
        <w:t xml:space="preserve">Functional Requirements Document</w:t>
      </w:r>
    </w:p>
    <w:p>
      <w:pPr>
        <w:spacing w:after="100"/>
        <w:jc w:val="center"/>
      </w:pPr>
      <w:r>
        <w:rPr>
          <w:b/>
          <w:bCs/>
          <w:color w:val="333333"/>
          <w:sz w:val="34"/>
          <w:szCs w:val="34"/>
        </w:rPr>
        <w:t xml:space="preserve">MediConnect — Patient Appointment &amp; Telehealth Platform</w:t>
      </w:r>
    </w:p>
    <w:p>
      <w:pPr>
        <w:spacing w:after="700"/>
        <w:jc w:val="center"/>
      </w:pPr>
      <w:r>
        <w:rPr>
          <w:i/>
          <w:iCs/>
          <w:color w:val="666666"/>
          <w:sz w:val="26"/>
          <w:szCs w:val="26"/>
        </w:rPr>
        <w:t xml:space="preserve">Release 1.2 — Telehealth Video &amp; Appointment Reminders Enhancement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3F9" w:val="clear"/>
            <w:tcMar>
              <w:top w:type="dxa" w:w="100"/>
              <w:left w:type="dxa" w:w="120"/>
              <w:bottom w:type="dxa" w:w="100"/>
              <w:right w:type="dxa" w:w="120"/>
            </w:tcMar>
          </w:tcPr>
          <w:p>
            <w:r>
              <w:rPr>
                <w:b/>
                <w:bCs/>
              </w:rPr>
              <w:t xml:space="preserve">Document Version</w:t>
            </w:r>
          </w:p>
        </w:tc>
        <w:tc>
          <w:tcPr>
            <w:tcW w:type="dxa" w:w="6240"/>
            <w:tcMar>
              <w:top w:type="dxa" w:w="100"/>
              <w:left w:type="dxa" w:w="120"/>
              <w:bottom w:type="dxa" w:w="100"/>
              <w:right w:type="dxa" w:w="120"/>
            </w:tcMar>
          </w:tcPr>
          <w:p>
            <w:r>
              <w:rPr>
                <w:i w:val="false"/>
                <w:iCs w:val="false"/>
                <w:color w:val="000000"/>
              </w:rPr>
              <w:t xml:space="preserve">1.2</w:t>
            </w:r>
          </w:p>
        </w:tc>
      </w:tr>
      <w:tr>
        <w:tc>
          <w:tcPr>
            <w:tcW w:type="dxa" w:w="3000"/>
            <w:shd w:fill="EEF3F9" w:val="clear"/>
            <w:tcMar>
              <w:top w:type="dxa" w:w="100"/>
              <w:left w:type="dxa" w:w="120"/>
              <w:bottom w:type="dxa" w:w="100"/>
              <w:right w:type="dxa" w:w="120"/>
            </w:tcMar>
          </w:tcPr>
          <w:p>
            <w:r>
              <w:rPr>
                <w:b/>
                <w:bCs/>
              </w:rPr>
              <w:t xml:space="preserve">Prepared By</w:t>
            </w:r>
          </w:p>
        </w:tc>
        <w:tc>
          <w:tcPr>
            <w:tcW w:type="dxa" w:w="6240"/>
            <w:tcMar>
              <w:top w:type="dxa" w:w="100"/>
              <w:left w:type="dxa" w:w="120"/>
              <w:bottom w:type="dxa" w:w="100"/>
              <w:right w:type="dxa" w:w="120"/>
            </w:tcMar>
          </w:tcPr>
          <w:p>
            <w:r>
              <w:rPr>
                <w:i w:val="false"/>
                <w:iCs w:val="false"/>
                <w:color w:val="000000"/>
              </w:rPr>
              <w:t xml:space="preserve">Fatima Sheikh, Senior Business Analyst</w:t>
            </w:r>
          </w:p>
        </w:tc>
      </w:tr>
      <w:tr>
        <w:tc>
          <w:tcPr>
            <w:tcW w:type="dxa" w:w="3000"/>
            <w:shd w:fill="EEF3F9" w:val="clear"/>
            <w:tcMar>
              <w:top w:type="dxa" w:w="100"/>
              <w:left w:type="dxa" w:w="120"/>
              <w:bottom w:type="dxa" w:w="100"/>
              <w:right w:type="dxa" w:w="120"/>
            </w:tcMar>
          </w:tcPr>
          <w:p>
            <w:r>
              <w:rPr>
                <w:b/>
                <w:bCs/>
              </w:rPr>
              <w:t xml:space="preserve">Reviewed By</w:t>
            </w:r>
          </w:p>
        </w:tc>
        <w:tc>
          <w:tcPr>
            <w:tcW w:type="dxa" w:w="6240"/>
            <w:tcMar>
              <w:top w:type="dxa" w:w="100"/>
              <w:left w:type="dxa" w:w="120"/>
              <w:bottom w:type="dxa" w:w="100"/>
              <w:right w:type="dxa" w:w="120"/>
            </w:tcMar>
          </w:tcPr>
          <w:p>
            <w:r>
              <w:rPr>
                <w:i w:val="false"/>
                <w:iCs w:val="false"/>
                <w:color w:val="000000"/>
              </w:rPr>
              <w:t xml:space="preserve">Vikram Sethi, Engineering Lead</w:t>
            </w:r>
          </w:p>
        </w:tc>
      </w:tr>
      <w:tr>
        <w:tc>
          <w:tcPr>
            <w:tcW w:type="dxa" w:w="3000"/>
            <w:shd w:fill="EEF3F9" w:val="clear"/>
            <w:tcMar>
              <w:top w:type="dxa" w:w="100"/>
              <w:left w:type="dxa" w:w="120"/>
              <w:bottom w:type="dxa" w:w="100"/>
              <w:right w:type="dxa" w:w="120"/>
            </w:tcMar>
          </w:tcPr>
          <w:p>
            <w:r>
              <w:rPr>
                <w:b/>
                <w:bCs/>
              </w:rPr>
              <w:t xml:space="preserve">Approved By</w:t>
            </w:r>
          </w:p>
        </w:tc>
        <w:tc>
          <w:tcPr>
            <w:tcW w:type="dxa" w:w="6240"/>
            <w:tcMar>
              <w:top w:type="dxa" w:w="100"/>
              <w:left w:type="dxa" w:w="120"/>
              <w:bottom w:type="dxa" w:w="100"/>
              <w:right w:type="dxa" w:w="120"/>
            </w:tcMar>
          </w:tcPr>
          <w:p>
            <w:r>
              <w:rPr>
                <w:i w:val="false"/>
                <w:iCs w:val="false"/>
                <w:color w:val="000000"/>
              </w:rPr>
              <w:t xml:space="preserve">Dr. Alan Cooper, Chief Medical Information Officer</w:t>
            </w:r>
          </w:p>
        </w:tc>
      </w:tr>
      <w:tr>
        <w:tc>
          <w:tcPr>
            <w:tcW w:type="dxa" w:w="3000"/>
            <w:shd w:fill="EEF3F9" w:val="clear"/>
            <w:tcMar>
              <w:top w:type="dxa" w:w="100"/>
              <w:left w:type="dxa" w:w="120"/>
              <w:bottom w:type="dxa" w:w="100"/>
              <w:right w:type="dxa" w:w="120"/>
            </w:tcMar>
          </w:tcPr>
          <w:p>
            <w:r>
              <w:rPr>
                <w:b/>
                <w:bCs/>
              </w:rPr>
              <w:t xml:space="preserve">Date</w:t>
            </w:r>
          </w:p>
        </w:tc>
        <w:tc>
          <w:tcPr>
            <w:tcW w:type="dxa" w:w="6240"/>
            <w:tcMar>
              <w:top w:type="dxa" w:w="100"/>
              <w:left w:type="dxa" w:w="120"/>
              <w:bottom w:type="dxa" w:w="100"/>
              <w:right w:type="dxa" w:w="120"/>
            </w:tcMar>
          </w:tcPr>
          <w:p>
            <w:r>
              <w:rPr>
                <w:i w:val="false"/>
                <w:iCs w:val="false"/>
                <w:color w:val="000000"/>
              </w:rPr>
              <w:t xml:space="preserve">28-Jul-2026</w:t>
            </w:r>
          </w:p>
        </w:tc>
      </w:tr>
      <w:tr>
        <w:tc>
          <w:tcPr>
            <w:tcW w:type="dxa" w:w="3000"/>
            <w:shd w:fill="EEF3F9" w:val="clear"/>
            <w:tcMar>
              <w:top w:type="dxa" w:w="100"/>
              <w:left w:type="dxa" w:w="120"/>
              <w:bottom w:type="dxa" w:w="100"/>
              <w:right w:type="dxa" w:w="120"/>
            </w:tcMar>
          </w:tcPr>
          <w:p>
            <w:r>
              <w:rPr>
                <w:b/>
                <w:bCs/>
              </w:rPr>
              <w:t xml:space="preserve">Status</w:t>
            </w:r>
          </w:p>
        </w:tc>
        <w:tc>
          <w:tcPr>
            <w:tcW w:type="dxa" w:w="6240"/>
            <w:tcMar>
              <w:top w:type="dxa" w:w="100"/>
              <w:left w:type="dxa" w:w="120"/>
              <w:bottom w:type="dxa" w:w="100"/>
              <w:right w:type="dxa" w:w="120"/>
            </w:tcMar>
          </w:tcPr>
          <w:p>
            <w:r>
              <w:rPr>
                <w:i w:val="false"/>
                <w:iCs w:val="false"/>
                <w:color w:val="000000"/>
              </w:rPr>
              <w:t xml:space="preserve">Final — Approved for Development</w:t>
            </w:r>
          </w:p>
        </w:tc>
      </w:tr>
      <w:tr>
        <w:tc>
          <w:tcPr>
            <w:tcW w:type="dxa" w:w="3000"/>
            <w:shd w:fill="EEF3F9" w:val="clear"/>
            <w:tcMar>
              <w:top w:type="dxa" w:w="100"/>
              <w:left w:type="dxa" w:w="120"/>
              <w:bottom w:type="dxa" w:w="100"/>
              <w:right w:type="dxa" w:w="120"/>
            </w:tcMar>
          </w:tcPr>
          <w:p>
            <w:r>
              <w:rPr>
                <w:b/>
                <w:bCs/>
              </w:rPr>
              <w:t xml:space="preserve">Confidentiality</w:t>
            </w:r>
          </w:p>
        </w:tc>
        <w:tc>
          <w:tcPr>
            <w:tcW w:type="dxa" w:w="6240"/>
            <w:tcMar>
              <w:top w:type="dxa" w:w="100"/>
              <w:left w:type="dxa" w:w="120"/>
              <w:bottom w:type="dxa" w:w="100"/>
              <w:right w:type="dxa" w:w="120"/>
            </w:tcMar>
          </w:tcPr>
          <w:p>
            <w:r>
              <w:rPr>
                <w:i w:val="false"/>
                <w:iCs w:val="false"/>
                <w:color w:val="000000"/>
              </w:rPr>
              <w:t xml:space="preserve">Confidential — Contains PHI-Adjacent Design Details</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Purpose</w:t>
      </w:r>
    </w:p>
    <w:p>
      <w:pPr>
        <w:spacing w:after="160"/>
      </w:pPr>
      <w:r>
        <w:t xml:space="preserve">This document defines the functional and non-functional requirements for Release 1.2 of the MediConnect platform, covering integrated telehealth video consultations and automated appointment reminders. It is the baseline reference for Engineering, QA, Clinical Operations, and Compliance teams during design, build, and UAT, and is the source document from which the manual and automated (Selenium) test suites are derived.</w:t>
      </w:r>
    </w:p>
    <w:p>
      <w:pPr>
        <w:pStyle w:val="Heading1"/>
        <w:spacing w:after="200" w:before="400"/>
      </w:pPr>
      <w:r>
        <w:t xml:space="preserve">2. Scope &amp; Applicability</w:t>
      </w:r>
    </w:p>
    <w:p>
      <w:pPr>
        <w:pStyle w:val="Heading2"/>
        <w:spacing w:after="120" w:before="240"/>
      </w:pPr>
      <w:r>
        <w:t xml:space="preserve">2.1 In Scope</w:t>
      </w:r>
    </w:p>
    <w:p>
      <w:pPr>
        <w:pStyle w:val="ListParagraph"/>
        <w:numPr>
          <w:ilvl w:val="0"/>
          <w:numId w:val="1"/>
        </w:numPr>
        <w:spacing w:after="80"/>
      </w:pPr>
      <w:r>
        <w:rPr>
          <w:i w:val="false"/>
          <w:iCs w:val="false"/>
          <w:color w:val="000000"/>
        </w:rPr>
        <w:t xml:space="preserve">Patient-facing web application (React) for registration, provider search, appointment booking, and telehealth visits.</w:t>
      </w:r>
    </w:p>
    <w:p>
      <w:pPr>
        <w:pStyle w:val="ListParagraph"/>
        <w:numPr>
          <w:ilvl w:val="0"/>
          <w:numId w:val="1"/>
        </w:numPr>
        <w:spacing w:after="80"/>
      </w:pPr>
      <w:r>
        <w:rPr>
          <w:i w:val="false"/>
          <w:iCs w:val="false"/>
          <w:color w:val="000000"/>
        </w:rPr>
        <w:t xml:space="preserve">Provider-facing web dashboard for schedule management and visit documentation.</w:t>
      </w:r>
    </w:p>
    <w:p>
      <w:pPr>
        <w:pStyle w:val="ListParagraph"/>
        <w:numPr>
          <w:ilvl w:val="0"/>
          <w:numId w:val="1"/>
        </w:numPr>
        <w:spacing w:after="80"/>
      </w:pPr>
      <w:r>
        <w:rPr>
          <w:i w:val="false"/>
          <w:iCs w:val="false"/>
          <w:color w:val="000000"/>
        </w:rPr>
        <w:t xml:space="preserve">REST API backend (Node.js / Express) with a PostgreSQL data store, deployed within a HIPAA-eligible AWS environment.</w:t>
      </w:r>
    </w:p>
    <w:p>
      <w:pPr>
        <w:pStyle w:val="ListParagraph"/>
        <w:numPr>
          <w:ilvl w:val="0"/>
          <w:numId w:val="1"/>
        </w:numPr>
        <w:spacing w:after="80"/>
      </w:pPr>
      <w:r>
        <w:rPr>
          <w:i w:val="false"/>
          <w:iCs w:val="false"/>
          <w:color w:val="000000"/>
        </w:rPr>
        <w:t xml:space="preserve">Telehealth video consultation embedded via the Twilio Video SDK.</w:t>
      </w:r>
    </w:p>
    <w:p>
      <w:pPr>
        <w:pStyle w:val="ListParagraph"/>
        <w:numPr>
          <w:ilvl w:val="0"/>
          <w:numId w:val="1"/>
        </w:numPr>
        <w:spacing w:after="80"/>
      </w:pPr>
      <w:r>
        <w:rPr>
          <w:i w:val="false"/>
          <w:iCs w:val="false"/>
          <w:color w:val="000000"/>
        </w:rPr>
        <w:t xml:space="preserve">Automated SMS and email appointment reminders.</w:t>
      </w:r>
    </w:p>
    <w:p>
      <w:pPr>
        <w:pStyle w:val="ListParagraph"/>
        <w:numPr>
          <w:ilvl w:val="0"/>
          <w:numId w:val="1"/>
        </w:numPr>
        <w:spacing w:after="80"/>
      </w:pPr>
      <w:r>
        <w:rPr>
          <w:i w:val="false"/>
          <w:iCs w:val="false"/>
          <w:color w:val="000000"/>
        </w:rPr>
        <w:t xml:space="preserve">Stripe-based copay collection at time of booking or check-in.</w:t>
      </w:r>
    </w:p>
    <w:p>
      <w:pPr>
        <w:pStyle w:val="Heading2"/>
        <w:spacing w:after="120" w:before="240"/>
      </w:pPr>
      <w:r>
        <w:t xml:space="preserve">2.2 Out of Scope</w:t>
      </w:r>
    </w:p>
    <w:p>
      <w:pPr>
        <w:pStyle w:val="ListParagraph"/>
        <w:numPr>
          <w:ilvl w:val="0"/>
          <w:numId w:val="1"/>
        </w:numPr>
        <w:spacing w:after="80"/>
      </w:pPr>
      <w:r>
        <w:rPr>
          <w:i w:val="false"/>
          <w:iCs w:val="false"/>
          <w:color w:val="000000"/>
        </w:rPr>
        <w:t xml:space="preserve">Full Electronic Health Record (EHR) authoring — MediConnect integrates with, but does not replace, the clinic's EHR system.</w:t>
      </w:r>
    </w:p>
    <w:p>
      <w:pPr>
        <w:pStyle w:val="ListParagraph"/>
        <w:numPr>
          <w:ilvl w:val="0"/>
          <w:numId w:val="1"/>
        </w:numPr>
        <w:spacing w:after="80"/>
      </w:pPr>
      <w:r>
        <w:rPr>
          <w:i w:val="false"/>
          <w:iCs w:val="false"/>
          <w:color w:val="000000"/>
        </w:rPr>
        <w:t xml:space="preserve">Native mobile applications (tracked separately on the Mobile roadmap).</w:t>
      </w:r>
    </w:p>
    <w:p>
      <w:pPr>
        <w:pStyle w:val="ListParagraph"/>
        <w:numPr>
          <w:ilvl w:val="0"/>
          <w:numId w:val="1"/>
        </w:numPr>
        <w:spacing w:after="80"/>
      </w:pPr>
      <w:r>
        <w:rPr>
          <w:i w:val="false"/>
          <w:iCs w:val="false"/>
          <w:color w:val="000000"/>
        </w:rPr>
        <w:t xml:space="preserve">Insurance claims submission and adjudication (planned for Release 2.0).</w:t>
      </w:r>
    </w:p>
    <w:p>
      <w:pPr>
        <w:pStyle w:val="Heading2"/>
        <w:spacing w:after="120" w:before="240"/>
      </w:pPr>
      <w:r>
        <w:t xml:space="preserve">2.3 Applicability</w:t>
      </w:r>
    </w:p>
    <w:p>
      <w:pPr>
        <w:spacing w:after="160"/>
      </w:pPr>
      <w:r>
        <w:t xml:space="preserve">This document applies to the MediConnect patient portal (my.mediconnect.health), the Provider Dashboard (providers.mediconnect.health), and all upstream/downstream integrations listed in Section 7. It is binding for Engineering and QA delivering Release 1.2 and informative for Clinical Operations and Compliance stakeholders.</w:t>
      </w:r>
    </w:p>
    <w:p>
      <w:pPr>
        <w:pStyle w:val="Heading1"/>
        <w:spacing w:after="200" w:before="400"/>
      </w:pPr>
      <w:r>
        <w:t xml:space="preserve">3. References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600"/>
        <w:gridCol w:w="2740"/>
      </w:tblGrid>
      <w:tr>
        <w:trPr>
          <w:tblHeader/>
        </w:trPr>
        <w:tc>
          <w:tcPr>
            <w:tcW w:type="dxa" w:w="700"/>
            <w:shd w:fill="1F4E79" w:val="clear"/>
            <w:tcMar>
              <w:top w:type="dxa" w:w="100"/>
              <w:left w:type="dxa" w:w="120"/>
              <w:bottom w:type="dxa" w:w="100"/>
              <w:right w:type="dxa" w:w="120"/>
            </w:tcMar>
          </w:tcPr>
          <w:p>
            <w:r>
              <w:rPr>
                <w:b/>
                <w:bCs/>
                <w:color w:val="FFFFFF"/>
              </w:rPr>
              <w:t xml:space="preserve">#</w:t>
            </w:r>
          </w:p>
        </w:tc>
        <w:tc>
          <w:tcPr>
            <w:tcW w:type="dxa" w:w="4200"/>
            <w:shd w:fill="1F4E79" w:val="clear"/>
            <w:tcMar>
              <w:top w:type="dxa" w:w="100"/>
              <w:left w:type="dxa" w:w="120"/>
              <w:bottom w:type="dxa" w:w="100"/>
              <w:right w:type="dxa" w:w="120"/>
            </w:tcMar>
          </w:tcPr>
          <w:p>
            <w:r>
              <w:rPr>
                <w:b/>
                <w:bCs/>
                <w:color w:val="FFFFFF"/>
              </w:rPr>
              <w:t xml:space="preserve">Document / Source</w:t>
            </w:r>
          </w:p>
        </w:tc>
        <w:tc>
          <w:tcPr>
            <w:tcW w:type="dxa" w:w="1600"/>
            <w:shd w:fill="1F4E79" w:val="clear"/>
            <w:tcMar>
              <w:top w:type="dxa" w:w="100"/>
              <w:left w:type="dxa" w:w="120"/>
              <w:bottom w:type="dxa" w:w="100"/>
              <w:right w:type="dxa" w:w="120"/>
            </w:tcMar>
          </w:tcPr>
          <w:p>
            <w:r>
              <w:rPr>
                <w:b/>
                <w:bCs/>
                <w:color w:val="FFFFFF"/>
              </w:rPr>
              <w:t xml:space="preserve">Version</w:t>
            </w:r>
          </w:p>
        </w:tc>
        <w:tc>
          <w:tcPr>
            <w:tcW w:type="dxa" w:w="2740"/>
            <w:shd w:fill="1F4E79" w:val="clear"/>
            <w:tcMar>
              <w:top w:type="dxa" w:w="100"/>
              <w:left w:type="dxa" w:w="120"/>
              <w:bottom w:type="dxa" w:w="100"/>
              <w:right w:type="dxa" w:w="120"/>
            </w:tcMar>
          </w:tcPr>
          <w:p>
            <w:r>
              <w:rPr>
                <w:b/>
                <w:bCs/>
                <w:color w:val="FFFFFF"/>
              </w:rPr>
              <w:t xml:space="preserve">Location / Link</w:t>
            </w:r>
          </w:p>
        </w:tc>
      </w:tr>
      <w:tr>
        <w:tc>
          <w:tcPr>
            <w:tcW w:type="dxa" w:w="700"/>
            <w:tcMar>
              <w:top w:type="dxa" w:w="100"/>
              <w:left w:type="dxa" w:w="120"/>
              <w:bottom w:type="dxa" w:w="100"/>
              <w:right w:type="dxa" w:w="120"/>
            </w:tcMar>
          </w:tcPr>
          <w:p>
            <w:r>
              <w:rPr>
                <w:i w:val="false"/>
                <w:iCs w:val="false"/>
                <w:color w:val="000000"/>
              </w:rPr>
              <w:t xml:space="preserve">1</w:t>
            </w:r>
          </w:p>
        </w:tc>
        <w:tc>
          <w:tcPr>
            <w:tcW w:type="dxa" w:w="4200"/>
            <w:tcMar>
              <w:top w:type="dxa" w:w="100"/>
              <w:left w:type="dxa" w:w="120"/>
              <w:bottom w:type="dxa" w:w="100"/>
              <w:right w:type="dxa" w:w="120"/>
            </w:tcMar>
          </w:tcPr>
          <w:p>
            <w:r>
              <w:rPr>
                <w:i w:val="false"/>
                <w:iCs w:val="false"/>
                <w:color w:val="000000"/>
              </w:rPr>
              <w:t xml:space="preserve">MediConnect Business Requirements Document (BRD)</w:t>
            </w:r>
          </w:p>
        </w:tc>
        <w:tc>
          <w:tcPr>
            <w:tcW w:type="dxa" w:w="1600"/>
            <w:tcMar>
              <w:top w:type="dxa" w:w="100"/>
              <w:left w:type="dxa" w:w="120"/>
              <w:bottom w:type="dxa" w:w="100"/>
              <w:right w:type="dxa" w:w="120"/>
            </w:tcMar>
          </w:tcPr>
          <w:p>
            <w:r>
              <w:rPr>
                <w:i w:val="false"/>
                <w:iCs w:val="false"/>
                <w:color w:val="000000"/>
              </w:rPr>
              <w:t xml:space="preserve">v2.1</w:t>
            </w:r>
          </w:p>
        </w:tc>
        <w:tc>
          <w:tcPr>
            <w:tcW w:type="dxa" w:w="2740"/>
            <w:tcMar>
              <w:top w:type="dxa" w:w="100"/>
              <w:left w:type="dxa" w:w="120"/>
              <w:bottom w:type="dxa" w:w="100"/>
              <w:right w:type="dxa" w:w="120"/>
            </w:tcMar>
          </w:tcPr>
          <w:p>
            <w:r>
              <w:rPr>
                <w:i w:val="false"/>
                <w:iCs w:val="false"/>
                <w:color w:val="000000"/>
              </w:rPr>
              <w:t xml:space="preserve">confluence.mediconnect.internal/BRD-210</w:t>
            </w:r>
          </w:p>
        </w:tc>
      </w:tr>
      <w:tr>
        <w:tc>
          <w:tcPr>
            <w:tcW w:type="dxa" w:w="700"/>
            <w:tcMar>
              <w:top w:type="dxa" w:w="100"/>
              <w:left w:type="dxa" w:w="120"/>
              <w:bottom w:type="dxa" w:w="100"/>
              <w:right w:type="dxa" w:w="120"/>
            </w:tcMar>
          </w:tcPr>
          <w:p>
            <w:r>
              <w:rPr>
                <w:i w:val="false"/>
                <w:iCs w:val="false"/>
                <w:color w:val="000000"/>
              </w:rPr>
              <w:t xml:space="preserve">2</w:t>
            </w:r>
          </w:p>
        </w:tc>
        <w:tc>
          <w:tcPr>
            <w:tcW w:type="dxa" w:w="4200"/>
            <w:tcMar>
              <w:top w:type="dxa" w:w="100"/>
              <w:left w:type="dxa" w:w="120"/>
              <w:bottom w:type="dxa" w:w="100"/>
              <w:right w:type="dxa" w:w="120"/>
            </w:tcMar>
          </w:tcPr>
          <w:p>
            <w:r>
              <w:rPr>
                <w:i w:val="false"/>
                <w:iCs w:val="false"/>
                <w:color w:val="000000"/>
              </w:rPr>
              <w:t xml:space="preserve">Booking &amp; Telehealth UI Wireframes (Figma)</w:t>
            </w:r>
          </w:p>
        </w:tc>
        <w:tc>
          <w:tcPr>
            <w:tcW w:type="dxa" w:w="1600"/>
            <w:tcMar>
              <w:top w:type="dxa" w:w="100"/>
              <w:left w:type="dxa" w:w="120"/>
              <w:bottom w:type="dxa" w:w="100"/>
              <w:right w:type="dxa" w:w="120"/>
            </w:tcMar>
          </w:tcPr>
          <w:p>
            <w:r>
              <w:rPr>
                <w:i w:val="false"/>
                <w:iCs w:val="false"/>
                <w:color w:val="000000"/>
              </w:rPr>
              <w:t xml:space="preserve">v1.3</w:t>
            </w:r>
          </w:p>
        </w:tc>
        <w:tc>
          <w:tcPr>
            <w:tcW w:type="dxa" w:w="2740"/>
            <w:tcMar>
              <w:top w:type="dxa" w:w="100"/>
              <w:left w:type="dxa" w:w="120"/>
              <w:bottom w:type="dxa" w:w="100"/>
              <w:right w:type="dxa" w:w="120"/>
            </w:tcMar>
          </w:tcPr>
          <w:p>
            <w:r>
              <w:rPr>
                <w:i w:val="false"/>
                <w:iCs w:val="false"/>
                <w:color w:val="000000"/>
              </w:rPr>
              <w:t xml:space="preserve">figma.com/mediconnect/telehealth-v1</w:t>
            </w:r>
          </w:p>
        </w:tc>
      </w:tr>
      <w:tr>
        <w:tc>
          <w:tcPr>
            <w:tcW w:type="dxa" w:w="700"/>
            <w:tcMar>
              <w:top w:type="dxa" w:w="100"/>
              <w:left w:type="dxa" w:w="120"/>
              <w:bottom w:type="dxa" w:w="100"/>
              <w:right w:type="dxa" w:w="120"/>
            </w:tcMar>
          </w:tcPr>
          <w:p>
            <w:r>
              <w:rPr>
                <w:i w:val="false"/>
                <w:iCs w:val="false"/>
                <w:color w:val="000000"/>
              </w:rPr>
              <w:t xml:space="preserve">3</w:t>
            </w:r>
          </w:p>
        </w:tc>
        <w:tc>
          <w:tcPr>
            <w:tcW w:type="dxa" w:w="4200"/>
            <w:tcMar>
              <w:top w:type="dxa" w:w="100"/>
              <w:left w:type="dxa" w:w="120"/>
              <w:bottom w:type="dxa" w:w="100"/>
              <w:right w:type="dxa" w:w="120"/>
            </w:tcMar>
          </w:tcPr>
          <w:p>
            <w:r>
              <w:rPr>
                <w:i w:val="false"/>
                <w:iCs w:val="false"/>
                <w:color w:val="000000"/>
              </w:rPr>
              <w:t xml:space="preserve">HIPAA Security Rule Compliance Checklist</w:t>
            </w:r>
          </w:p>
        </w:tc>
        <w:tc>
          <w:tcPr>
            <w:tcW w:type="dxa" w:w="1600"/>
            <w:tcMar>
              <w:top w:type="dxa" w:w="100"/>
              <w:left w:type="dxa" w:w="120"/>
              <w:bottom w:type="dxa" w:w="100"/>
              <w:right w:type="dxa" w:w="120"/>
            </w:tcMar>
          </w:tcPr>
          <w:p>
            <w:r>
              <w:rPr>
                <w:i w:val="false"/>
                <w:iCs w:val="false"/>
                <w:color w:val="000000"/>
              </w:rPr>
              <w:t xml:space="preserve">Internal</w:t>
            </w:r>
          </w:p>
        </w:tc>
        <w:tc>
          <w:tcPr>
            <w:tcW w:type="dxa" w:w="2740"/>
            <w:tcMar>
              <w:top w:type="dxa" w:w="100"/>
              <w:left w:type="dxa" w:w="120"/>
              <w:bottom w:type="dxa" w:w="100"/>
              <w:right w:type="dxa" w:w="120"/>
            </w:tcMar>
          </w:tcPr>
          <w:p>
            <w:r>
              <w:rPr>
                <w:i w:val="false"/>
                <w:iCs w:val="false"/>
                <w:color w:val="000000"/>
              </w:rPr>
              <w:t xml:space="preserve">confluence.mediconnect.internal/SEC-HIPAA</w:t>
            </w:r>
          </w:p>
        </w:tc>
      </w:tr>
      <w:tr>
        <w:tc>
          <w:tcPr>
            <w:tcW w:type="dxa" w:w="700"/>
            <w:tcMar>
              <w:top w:type="dxa" w:w="100"/>
              <w:left w:type="dxa" w:w="120"/>
              <w:bottom w:type="dxa" w:w="100"/>
              <w:right w:type="dxa" w:w="120"/>
            </w:tcMar>
          </w:tcPr>
          <w:p>
            <w:r>
              <w:rPr>
                <w:i w:val="false"/>
                <w:iCs w:val="false"/>
                <w:color w:val="000000"/>
              </w:rPr>
              <w:t xml:space="preserve">4</w:t>
            </w:r>
          </w:p>
        </w:tc>
        <w:tc>
          <w:tcPr>
            <w:tcW w:type="dxa" w:w="4200"/>
            <w:tcMar>
              <w:top w:type="dxa" w:w="100"/>
              <w:left w:type="dxa" w:w="120"/>
              <w:bottom w:type="dxa" w:w="100"/>
              <w:right w:type="dxa" w:w="120"/>
            </w:tcMar>
          </w:tcPr>
          <w:p>
            <w:r>
              <w:rPr>
                <w:i w:val="false"/>
                <w:iCs w:val="false"/>
                <w:color w:val="000000"/>
              </w:rPr>
              <w:t xml:space="preserve">Twilio Video SDK Integration Guide</w:t>
            </w:r>
          </w:p>
        </w:tc>
        <w:tc>
          <w:tcPr>
            <w:tcW w:type="dxa" w:w="1600"/>
            <w:tcMar>
              <w:top w:type="dxa" w:w="100"/>
              <w:left w:type="dxa" w:w="120"/>
              <w:bottom w:type="dxa" w:w="100"/>
              <w:right w:type="dxa" w:w="120"/>
            </w:tcMar>
          </w:tcPr>
          <w:p>
            <w:r>
              <w:rPr>
                <w:i w:val="false"/>
                <w:iCs w:val="false"/>
                <w:color w:val="000000"/>
              </w:rPr>
              <w:t xml:space="preserve">2025</w:t>
            </w:r>
          </w:p>
        </w:tc>
        <w:tc>
          <w:tcPr>
            <w:tcW w:type="dxa" w:w="2740"/>
            <w:tcMar>
              <w:top w:type="dxa" w:w="100"/>
              <w:left w:type="dxa" w:w="120"/>
              <w:bottom w:type="dxa" w:w="100"/>
              <w:right w:type="dxa" w:w="120"/>
            </w:tcMar>
          </w:tcPr>
          <w:p>
            <w:r>
              <w:rPr>
                <w:i w:val="false"/>
                <w:iCs w:val="false"/>
                <w:color w:val="000000"/>
              </w:rPr>
              <w:t xml:space="preserve">twilio.com/docs/video</w:t>
            </w:r>
          </w:p>
        </w:tc>
      </w:tr>
      <w:tr>
        <w:tc>
          <w:tcPr>
            <w:tcW w:type="dxa" w:w="700"/>
            <w:tcMar>
              <w:top w:type="dxa" w:w="100"/>
              <w:left w:type="dxa" w:w="120"/>
              <w:bottom w:type="dxa" w:w="100"/>
              <w:right w:type="dxa" w:w="120"/>
            </w:tcMar>
          </w:tcPr>
          <w:p>
            <w:r>
              <w:rPr>
                <w:i w:val="false"/>
                <w:iCs w:val="false"/>
                <w:color w:val="000000"/>
              </w:rPr>
              <w:t xml:space="preserve">5</w:t>
            </w:r>
          </w:p>
        </w:tc>
        <w:tc>
          <w:tcPr>
            <w:tcW w:type="dxa" w:w="4200"/>
            <w:tcMar>
              <w:top w:type="dxa" w:w="100"/>
              <w:left w:type="dxa" w:w="120"/>
              <w:bottom w:type="dxa" w:w="100"/>
              <w:right w:type="dxa" w:w="120"/>
            </w:tcMar>
          </w:tcPr>
          <w:p>
            <w:r>
              <w:rPr>
                <w:i w:val="false"/>
                <w:iCs w:val="false"/>
                <w:color w:val="000000"/>
              </w:rPr>
              <w:t xml:space="preserve">MediConnect System Architecture Diagram</w:t>
            </w:r>
          </w:p>
        </w:tc>
        <w:tc>
          <w:tcPr>
            <w:tcW w:type="dxa" w:w="1600"/>
            <w:tcMar>
              <w:top w:type="dxa" w:w="100"/>
              <w:left w:type="dxa" w:w="120"/>
              <w:bottom w:type="dxa" w:w="100"/>
              <w:right w:type="dxa" w:w="120"/>
            </w:tcMar>
          </w:tcPr>
          <w:p>
            <w:r>
              <w:rPr>
                <w:i w:val="false"/>
                <w:iCs w:val="false"/>
                <w:color w:val="000000"/>
              </w:rPr>
              <w:t xml:space="preserve">v1.4</w:t>
            </w:r>
          </w:p>
        </w:tc>
        <w:tc>
          <w:tcPr>
            <w:tcW w:type="dxa" w:w="2740"/>
            <w:tcMar>
              <w:top w:type="dxa" w:w="100"/>
              <w:left w:type="dxa" w:w="120"/>
              <w:bottom w:type="dxa" w:w="100"/>
              <w:right w:type="dxa" w:w="120"/>
            </w:tcMar>
          </w:tcPr>
          <w:p>
            <w:r>
              <w:rPr>
                <w:i w:val="false"/>
                <w:iCs w:val="false"/>
                <w:color w:val="000000"/>
              </w:rPr>
              <w:t xml:space="preserve">confluence.mediconnect.internal/ARCH-140</w:t>
            </w:r>
          </w:p>
        </w:tc>
      </w:tr>
    </w:tbl>
    <w:p>
      <w:pPr>
        <w:pStyle w:val="Heading1"/>
        <w:spacing w:after="200" w:before="400"/>
      </w:pPr>
      <w:r>
        <w:t xml:space="preserve">4. Enhancement Overview</w:t>
      </w:r>
    </w:p>
    <w:p>
      <w:pPr>
        <w:pStyle w:val="Heading2"/>
        <w:spacing w:after="120" w:before="240"/>
      </w:pPr>
      <w:r>
        <w:t xml:space="preserve">4.1 Background</w:t>
      </w:r>
    </w:p>
    <w:p>
      <w:pPr>
        <w:spacing w:after="160"/>
      </w:pPr>
      <w:r>
        <w:t xml:space="preserve">Patients currently cannot complete a visit remotely — all appointments booked through MediConnect require an in-person clinic visit, which limits access for patients with mobility constraints or in rural areas. Additionally, the current 24% no-show rate is attributed largely to the absence of automated reminders, as patients currently receive only a single confirmation email at the time of booking.</w:t>
      </w:r>
    </w:p>
    <w:p>
      <w:pPr>
        <w:pStyle w:val="Heading2"/>
        <w:spacing w:after="120" w:before="240"/>
      </w:pPr>
      <w:r>
        <w:t xml:space="preserve">4.2 Proposed Enhancement</w:t>
      </w:r>
    </w:p>
    <w:p>
      <w:pPr>
        <w:spacing w:after="160"/>
      </w:pPr>
      <w:r>
        <w:t xml:space="preserve">Release 1.2 introduces in-browser telehealth video consultations (no app download required) for eligible visit types, and a multi-touch reminder sequence (email at booking, SMS 24 hours before, SMS 1 hour before) to reduce no-shows.</w:t>
      </w:r>
    </w:p>
    <w:p>
      <w:pPr>
        <w:pStyle w:val="Heading2"/>
        <w:spacing w:after="120" w:before="240"/>
      </w:pPr>
      <w:r>
        <w:t xml:space="preserve">4.3 Business Benefit</w:t>
      </w:r>
    </w:p>
    <w:p>
      <w:pPr>
        <w:pStyle w:val="ListParagraph"/>
        <w:numPr>
          <w:ilvl w:val="0"/>
          <w:numId w:val="1"/>
        </w:numPr>
        <w:spacing w:after="80"/>
      </w:pPr>
      <w:r>
        <w:rPr>
          <w:i w:val="false"/>
          <w:iCs w:val="false"/>
          <w:color w:val="000000"/>
        </w:rPr>
        <w:t xml:space="preserve">Projected reduction in no-show rate from 24% to under 12%, based on published industry benchmarks for multi-touch reminders.</w:t>
      </w:r>
    </w:p>
    <w:p>
      <w:pPr>
        <w:pStyle w:val="ListParagraph"/>
        <w:numPr>
          <w:ilvl w:val="0"/>
          <w:numId w:val="1"/>
        </w:numPr>
        <w:spacing w:after="80"/>
      </w:pPr>
      <w:r>
        <w:rPr>
          <w:i w:val="false"/>
          <w:iCs w:val="false"/>
          <w:color w:val="000000"/>
        </w:rPr>
        <w:t xml:space="preserve">Expanded access to care for patients unable to travel to a clinic, particularly in underserved rural service areas.</w:t>
      </w:r>
    </w:p>
    <w:p>
      <w:pPr>
        <w:pStyle w:val="ListParagraph"/>
        <w:numPr>
          <w:ilvl w:val="0"/>
          <w:numId w:val="1"/>
        </w:numPr>
        <w:spacing w:after="80"/>
      </w:pPr>
      <w:r>
        <w:rPr>
          <w:i w:val="false"/>
          <w:iCs w:val="false"/>
          <w:color w:val="000000"/>
        </w:rPr>
        <w:t xml:space="preserve">Reduced administrative burden on front-desk staff for manual reminder calls.</w:t>
      </w:r>
    </w:p>
    <w:p>
      <w:pPr>
        <w:pStyle w:val="Heading1"/>
        <w:spacing w:after="200" w:before="400"/>
      </w:pPr>
      <w:r>
        <w:t xml:space="preserve">5. Functional Specifications</w:t>
      </w:r>
    </w:p>
    <w:p>
      <w:pPr>
        <w:spacing w:after="160"/>
      </w:pPr>
      <w:r>
        <w:t xml:space="preserve">The following functional requirements define the expected system behavior. Each requirement is uniquely identified and prioritized for the development backlog.</w:t>
      </w:r>
    </w:p>
    <w:p>
      <w:pPr>
        <w:pStyle w:val="Heading2"/>
        <w:spacing w:after="120" w:before="240"/>
      </w:pPr>
      <w:r>
        <w:t xml:space="preserve">5.1 Requirement ID: FR-001 — Patient Registration &amp; Profile Management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a new patient to register an account and manage their profile, including contact information and insurance details.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Patient</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Patient has a valid, unused email address.</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Patient clicks "Sign Up" on the MediConnect homepage.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Patient enters name, date of birth, email, phone number, and password.</w:t>
            </w:r>
          </w:p>
          <w:p>
            <w:pPr>
              <w:spacing w:after="60"/>
            </w:pPr>
            <w:r>
              <w:rPr>
                <w:i w:val="false"/>
                <w:iCs w:val="false"/>
                <w:color w:val="000000"/>
              </w:rPr>
              <w:t xml:space="preserve">2. System validates all required fields and email uniqueness, and sends a verification email.</w:t>
            </w:r>
          </w:p>
          <w:p>
            <w:pPr>
              <w:spacing w:after="60"/>
            </w:pPr>
            <w:r>
              <w:rPr>
                <w:i w:val="false"/>
                <w:iCs w:val="false"/>
                <w:color w:val="000000"/>
              </w:rPr>
              <w:t xml:space="preserve">3. Patient verifies their email via the link and completes their profile with address and insurance information.</w:t>
            </w:r>
          </w:p>
          <w:p>
            <w:pPr>
              <w:spacing w:after="60"/>
            </w:pPr>
            <w:r>
              <w:rPr>
                <w:i w:val="false"/>
                <w:iCs w:val="false"/>
                <w:color w:val="000000"/>
              </w:rPr>
              <w:t xml:space="preserve">4. System creates the patient record and redirects to the provider search page.</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required fields are missing or the date of birth indicates the patient is under 18, the system prompts for a guardian/parent account association instead of self-registration.</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A new patient profile is created and marked "Verified" once the email link is confirmed.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Patients under 18 require a linked parent/guardian account; all PHI fields are encrypted at rest.</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5.2 Requirement ID: FR-002 — Provider Search &amp; Filtering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patients to search for healthcare providers by specialty, location, and availability.</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Patient</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Provider directory is populated and provider availability is synced from each provider's calendar.</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Patient enters a specialty or provider name in the search bar, or applies filters on the "Find a Provider" page.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Patient selects a specialty (e.g., "Dermatology") and enters a ZIP code.</w:t>
            </w:r>
          </w:p>
          <w:p>
            <w:pPr>
              <w:spacing w:after="60"/>
            </w:pPr>
            <w:r>
              <w:rPr>
                <w:i w:val="false"/>
                <w:iCs w:val="false"/>
                <w:color w:val="000000"/>
              </w:rPr>
              <w:t xml:space="preserve">2. System returns providers within a 25-mile radius, sorted by soonest available appointment.</w:t>
            </w:r>
          </w:p>
          <w:p>
            <w:pPr>
              <w:spacing w:after="60"/>
            </w:pPr>
            <w:r>
              <w:rPr>
                <w:i w:val="false"/>
                <w:iCs w:val="false"/>
                <w:color w:val="000000"/>
              </w:rPr>
              <w:t xml:space="preserve">3. Patient applies additional filters: telehealth-eligible only, gender of provider, language spoken, insurance accepted.</w:t>
            </w:r>
          </w:p>
          <w:p>
            <w:pPr>
              <w:spacing w:after="60"/>
            </w:pPr>
            <w:r>
              <w:rPr>
                <w:i w:val="false"/>
                <w:iCs w:val="false"/>
                <w:color w:val="000000"/>
              </w:rPr>
              <w:t xml:space="preserve">4. Patient selects a provider to view their profile and open appointment slots.</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no providers match all applied filters, the system suggests relaxing the radius or removing the least critical filter.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Filtered provider list is rendered; selected provider's real-time availability is displayed.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Only providers who have opted into online booking display real-time availability; others show a "Call to Book" option.</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5.3 Requirement ID: FR-003 — Appointment Booking &amp; Scheduling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a patient to book an available appointment slot with a provider, selecting either an in-person or telehealth visit type.</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Patient, Provider Calendar Service</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Provider has at least one open slot in the next 60 days.</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Patient selects an available time slot on the provider's profile.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Patient selects visit type (in-person or telehealth, where eligible), reason for visit, and confirms insurance/copay details.</w:t>
            </w:r>
          </w:p>
          <w:p>
            <w:pPr>
              <w:spacing w:after="60"/>
            </w:pPr>
            <w:r>
              <w:rPr>
                <w:i w:val="false"/>
                <w:iCs w:val="false"/>
                <w:color w:val="000000"/>
              </w:rPr>
              <w:t xml:space="preserve">2. System places a temporary 5-minute hold on the slot while the patient completes booking.</w:t>
            </w:r>
          </w:p>
          <w:p>
            <w:pPr>
              <w:spacing w:after="60"/>
            </w:pPr>
            <w:r>
              <w:rPr>
                <w:i w:val="false"/>
                <w:iCs w:val="false"/>
                <w:color w:val="000000"/>
              </w:rPr>
              <w:t xml:space="preserve">3. Patient confirms the booking; the system creates the appointment record and releases the hold.</w:t>
            </w:r>
          </w:p>
          <w:p>
            <w:pPr>
              <w:spacing w:after="60"/>
            </w:pPr>
            <w:r>
              <w:rPr>
                <w:i w:val="false"/>
                <w:iCs w:val="false"/>
                <w:color w:val="000000"/>
              </w:rPr>
              <w:t xml:space="preserve">4. System sends a confirmation email immediately and schedules the SMS reminder sequence.</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another patient books the same slot before the current patient confirms, the system displays "This slot is no longer available" and refreshes the available slots list.</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Appointment record is created with status "Scheduled"; the slot is removed from the provider's available list.</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A patient may not have more than 3 pending appointments with the same provider simultaneously; telehealth is only offered for visit types flagged as telehealth-eligible.</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5.4 Requirement ID: FR-004 — Appointment Rescheduling &amp; Cancellation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a patient to reschedule or cancel an upcoming appointment, subject to the clinic's cancellation policy.</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Patient</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Appointment exists with status "Scheduled" and is more than the minimum cancellation-notice period away.</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Patient clicks "Reschedule" or "Cancel" from their upcoming appointments list.</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For reschedule: patient selects a new available slot with the same provider; the original slot is released and the new slot is held.</w:t>
            </w:r>
          </w:p>
          <w:p>
            <w:pPr>
              <w:spacing w:after="60"/>
            </w:pPr>
            <w:r>
              <w:rPr>
                <w:i w:val="false"/>
                <w:iCs w:val="false"/>
                <w:color w:val="000000"/>
              </w:rPr>
              <w:t xml:space="preserve">2. For cancellation: patient confirms cancellation in a dialog explaining the clinic's cancellation policy.</w:t>
            </w:r>
          </w:p>
          <w:p>
            <w:pPr>
              <w:spacing w:after="60"/>
            </w:pPr>
            <w:r>
              <w:rPr>
                <w:i w:val="false"/>
                <w:iCs w:val="false"/>
                <w:color w:val="000000"/>
              </w:rPr>
              <w:t xml:space="preserve">3. System updates the appointment status and sends a confirmation email/SMS of the change.</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appointment is within the minimum notice window (24 hours), the system displays the late-cancellation policy and, if applicable, notes a cancellation fee before allowing the patient to proceed.</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Appointment status is updated to "Rescheduled" or "Cancelled"; the original slot becomes available to other patients.</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Late cancellations (within 24 hours) may incur a fee per clinic policy, displayed to the patient before confirmation.</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Medium</w:t>
            </w:r>
          </w:p>
        </w:tc>
      </w:tr>
    </w:tbl>
    <w:p>
      <w:pPr>
        <w:pStyle w:val="Heading2"/>
        <w:spacing w:after="120" w:before="240"/>
      </w:pPr>
      <w:r>
        <w:t xml:space="preserve">5.5 Requirement ID: FR-005 — Telehealth Video Consultation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Provide an in-browser video consultation experience for telehealth-eligible appointments, without requiring an app download.</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Patient, Provider, Twilio Video Service</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Appointment is telehealth type and the current time is within the scheduled window (or the 10-minute early-join buffer).</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Patient or Provider clicks "Join Video Visit" from their appointment details.</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Browser requests camera and microphone permissions.</w:t>
            </w:r>
          </w:p>
          <w:p>
            <w:pPr>
              <w:spacing w:after="60"/>
            </w:pPr>
            <w:r>
              <w:rPr>
                <w:i w:val="false"/>
                <w:iCs w:val="false"/>
                <w:color w:val="000000"/>
              </w:rPr>
              <w:t xml:space="preserve">2. Client establishes a connection to the Twilio Video room associated with the appointment ID.</w:t>
            </w:r>
          </w:p>
          <w:p>
            <w:pPr>
              <w:spacing w:after="60"/>
            </w:pPr>
            <w:r>
              <w:rPr>
                <w:i w:val="false"/>
                <w:iCs w:val="false"/>
                <w:color w:val="000000"/>
              </w:rPr>
              <w:t xml:space="preserve">3. Once both patient and provider have joined, the video session begins; a waiting-room state is shown if only one party has joined.</w:t>
            </w:r>
          </w:p>
          <w:p>
            <w:pPr>
              <w:spacing w:after="60"/>
            </w:pPr>
            <w:r>
              <w:rPr>
                <w:i w:val="false"/>
                <w:iCs w:val="false"/>
                <w:color w:val="000000"/>
              </w:rPr>
              <w:t xml:space="preserve">4. At the end of the visit, either party can click "End Visit," which closes the session for both parties.</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camera/microphone permission is denied, the system displays instructions for enabling permissions and offers an audio-only fallback. If connection quality degrades, the system automatically reduces video resolution before dropping to audio-only.</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Video session is closed; session duration and connection-quality metrics are logged for the visit record.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Video sessions are not recorded by default; recording requires explicit opt-in consent from both parties per clinic policy.</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5.6 Requirement ID: FR-006 — Automated Appointment Reminders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Send a multi-touch reminder sequence via email and SMS to reduce missed appointments.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System, SendGrid, Twilio, Patient</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Patient has a valid email (required) and has optionally opted in to SMS reminders.</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An appointment is booked, or a scheduled reminder threshold (24 hours, 1 hour before appointment) is reached.</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At booking: system sends an immediate confirmation email with appointment details and a calendar (.ics) attachment.</w:t>
            </w:r>
          </w:p>
          <w:p>
            <w:pPr>
              <w:spacing w:after="60"/>
            </w:pPr>
            <w:r>
              <w:rPr>
                <w:i w:val="false"/>
                <w:iCs w:val="false"/>
                <w:color w:val="000000"/>
              </w:rPr>
              <w:t xml:space="preserve">2. 24 hours before: system sends an SMS (if opted in) and email reminder with a "Reschedule" and "Confirm" quick-action link.</w:t>
            </w:r>
          </w:p>
          <w:p>
            <w:pPr>
              <w:spacing w:after="60"/>
            </w:pPr>
            <w:r>
              <w:rPr>
                <w:i w:val="false"/>
                <w:iCs w:val="false"/>
                <w:color w:val="000000"/>
              </w:rPr>
              <w:t xml:space="preserve">3. 1 hour before: system sends a final SMS reminder including the "Join Video Visit" link for telehealth appointments.</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patient cancels or reschedules after a reminder is queued but before it is sent, the system cancels the pending reminder job.</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Reminder delivery status (sent/failed) is logged against the appointment for support and compliance purposes.</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SMS reminders are only sent to patients who have explicitly opted in; reminder content never includes diagnosis or condition details, only appointment logistics.</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5.7 Requirement ID: FR-007 — Copay Payment Processing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patients to pay their estimated copay online at the time of booking or check-in, processed via Stripe.</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Patient, Stripe</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Provider/visit type has an associated estimated copay amount.</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Patient reaches the payment step during booking, or clicks "Pay Copay" before a scheduled visit.</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System displays the estimated copay amount based on the patient's insurance plan on file.</w:t>
            </w:r>
          </w:p>
          <w:p>
            <w:pPr>
              <w:spacing w:after="60"/>
            </w:pPr>
            <w:r>
              <w:rPr>
                <w:i w:val="false"/>
                <w:iCs w:val="false"/>
                <w:color w:val="000000"/>
              </w:rPr>
              <w:t xml:space="preserve">2. Patient enters or selects a saved payment method (tokenized via Stripe.js).</w:t>
            </w:r>
          </w:p>
          <w:p>
            <w:pPr>
              <w:spacing w:after="60"/>
            </w:pPr>
            <w:r>
              <w:rPr>
                <w:i w:val="false"/>
                <w:iCs w:val="false"/>
                <w:color w:val="000000"/>
              </w:rPr>
              <w:t xml:space="preserve">3. System confirms the PaymentIntent and marks the appointment as "Copay Paid."</w:t>
            </w:r>
          </w:p>
          <w:p>
            <w:pPr>
              <w:spacing w:after="60"/>
            </w:pPr>
            <w:r>
              <w:rPr>
                <w:i w:val="false"/>
                <w:iCs w:val="false"/>
                <w:color w:val="000000"/>
              </w:rPr>
              <w:t xml:space="preserve">4. Receipt is emailed to the patient immediately.</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card is declined, the patient can retry with a different payment method or choose "Pay at Clinic" to proceed with booking without prepayment.</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Payment status is recorded against the appointment; funds are captured per the clinic's configured capture timing (at booking or at check-in).</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Copay is an estimate only and subject to final adjustment after insurance adjudication; card data is tokenized and never stored on MediConnect servers.</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Medium</w:t>
            </w:r>
          </w:p>
        </w:tc>
      </w:tr>
    </w:tbl>
    <w:p>
      <w:pPr>
        <w:pStyle w:val="Heading2"/>
        <w:spacing w:after="120" w:before="240"/>
      </w:pPr>
      <w:r>
        <w:t xml:space="preserve">5.8 Requirement ID: FR-008 — Provider Dashboard &amp; Schedule Management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Provide Providers with a dashboard to view their daily schedule, manage availability, and document completed visits.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Provider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Provider is authenticated with a Provider-role account.</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Provider logs in to the Provider Dashboard.</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System displays the day's schedule with patient name, visit type, and status for each appointment.</w:t>
            </w:r>
          </w:p>
          <w:p>
            <w:pPr>
              <w:spacing w:after="60"/>
            </w:pPr>
            <w:r>
              <w:rPr>
                <w:i w:val="false"/>
                <w:iCs w:val="false"/>
                <w:color w:val="000000"/>
              </w:rPr>
              <w:t xml:space="preserve">2. Provider can click into an appointment to view intake form responses and join the telehealth session if applicable.</w:t>
            </w:r>
          </w:p>
          <w:p>
            <w:pPr>
              <w:spacing w:after="60"/>
            </w:pPr>
            <w:r>
              <w:rPr>
                <w:i w:val="false"/>
                <w:iCs w:val="false"/>
                <w:color w:val="000000"/>
              </w:rPr>
              <w:t xml:space="preserve">3. After the visit, the Provider marks the appointment "Completed" and enters a brief visit summary.</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a patient does not join a telehealth session within 15 minutes of the start time, the system flags the appointment as "No-Show" and notifies the Provider.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Appointment status and visit summary are recorded; the visit summary becomes visible to the patient in their portal.</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Only the assigned Provider (or an authorized delegate) can view intake form responses for a given appointment.</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Medium</w:t>
            </w:r>
          </w:p>
        </w:tc>
      </w:tr>
    </w:tbl>
    <w:p>
      <w:pPr>
        <w:pStyle w:val="Heading1"/>
        <w:spacing w:after="200" w:before="400"/>
      </w:pPr>
      <w:r>
        <w:t xml:space="preserve">6. Performance</w:t>
      </w:r>
    </w:p>
    <w:p>
      <w:pPr>
        <w:spacing w:after="160"/>
      </w:pPr>
      <w:r>
        <w:t xml:space="preserve">The following performance targets apply under normal and peak (Monday-morning booking rush) load conditions.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00"/>
        <w:gridCol w:w="4640"/>
      </w:tblGrid>
      <w:tr>
        <w:trPr>
          <w:tblHeader/>
        </w:trPr>
        <w:tc>
          <w:tcPr>
            <w:tcW w:type="dxa" w:w="4600"/>
            <w:shd w:fill="1F4E79" w:val="clear"/>
            <w:tcMar>
              <w:top w:type="dxa" w:w="100"/>
              <w:left w:type="dxa" w:w="120"/>
              <w:bottom w:type="dxa" w:w="100"/>
              <w:right w:type="dxa" w:w="120"/>
            </w:tcMar>
          </w:tcPr>
          <w:p>
            <w:r>
              <w:rPr>
                <w:b/>
                <w:bCs/>
                <w:color w:val="FFFFFF"/>
              </w:rPr>
              <w:t xml:space="preserve">Parameter</w:t>
            </w:r>
          </w:p>
        </w:tc>
        <w:tc>
          <w:tcPr>
            <w:tcW w:type="dxa" w:w="4640"/>
            <w:shd w:fill="1F4E79" w:val="clear"/>
            <w:tcMar>
              <w:top w:type="dxa" w:w="100"/>
              <w:left w:type="dxa" w:w="120"/>
              <w:bottom w:type="dxa" w:w="100"/>
              <w:right w:type="dxa" w:w="120"/>
            </w:tcMar>
          </w:tcPr>
          <w:p>
            <w:r>
              <w:rPr>
                <w:b/>
                <w:bCs/>
                <w:color w:val="FFFFFF"/>
              </w:rPr>
              <w:t xml:space="preserve">Target</w:t>
            </w:r>
          </w:p>
        </w:tc>
      </w:tr>
      <w:tr>
        <w:tc>
          <w:tcPr>
            <w:tcW w:type="dxa" w:w="4600"/>
            <w:tcMar>
              <w:top w:type="dxa" w:w="100"/>
              <w:left w:type="dxa" w:w="120"/>
              <w:bottom w:type="dxa" w:w="100"/>
              <w:right w:type="dxa" w:w="120"/>
            </w:tcMar>
          </w:tcPr>
          <w:p>
            <w:r>
              <w:rPr>
                <w:i w:val="false"/>
                <w:iCs w:val="false"/>
                <w:color w:val="000000"/>
              </w:rPr>
              <w:t xml:space="preserve">Page Load Time (95th percentile)</w:t>
            </w:r>
          </w:p>
        </w:tc>
        <w:tc>
          <w:tcPr>
            <w:tcW w:type="dxa" w:w="4640"/>
            <w:tcMar>
              <w:top w:type="dxa" w:w="100"/>
              <w:left w:type="dxa" w:w="120"/>
              <w:bottom w:type="dxa" w:w="100"/>
              <w:right w:type="dxa" w:w="120"/>
            </w:tcMar>
          </w:tcPr>
          <w:p>
            <w:r>
              <w:rPr>
                <w:i w:val="false"/>
                <w:iCs w:val="false"/>
                <w:color w:val="000000"/>
              </w:rPr>
              <w:t xml:space="preserve">≤ 2 seconds for the provider search and booking pages</w:t>
            </w:r>
          </w:p>
        </w:tc>
      </w:tr>
      <w:tr>
        <w:tc>
          <w:tcPr>
            <w:tcW w:type="dxa" w:w="4600"/>
            <w:tcMar>
              <w:top w:type="dxa" w:w="100"/>
              <w:left w:type="dxa" w:w="120"/>
              <w:bottom w:type="dxa" w:w="100"/>
              <w:right w:type="dxa" w:w="120"/>
            </w:tcMar>
          </w:tcPr>
          <w:p>
            <w:r>
              <w:rPr>
                <w:i w:val="false"/>
                <w:iCs w:val="false"/>
                <w:color w:val="000000"/>
              </w:rPr>
              <w:t xml:space="preserve">Appointment Booking API Response</w:t>
            </w:r>
          </w:p>
        </w:tc>
        <w:tc>
          <w:tcPr>
            <w:tcW w:type="dxa" w:w="4640"/>
            <w:tcMar>
              <w:top w:type="dxa" w:w="100"/>
              <w:left w:type="dxa" w:w="120"/>
              <w:bottom w:type="dxa" w:w="100"/>
              <w:right w:type="dxa" w:w="120"/>
            </w:tcMar>
          </w:tcPr>
          <w:p>
            <w:r>
              <w:rPr>
                <w:i w:val="false"/>
                <w:iCs w:val="false"/>
                <w:color w:val="000000"/>
              </w:rPr>
              <w:t xml:space="preserve">≤ 800 ms at p95, including the temporary slot-hold operation</w:t>
            </w:r>
          </w:p>
        </w:tc>
      </w:tr>
      <w:tr>
        <w:tc>
          <w:tcPr>
            <w:tcW w:type="dxa" w:w="4600"/>
            <w:tcMar>
              <w:top w:type="dxa" w:w="100"/>
              <w:left w:type="dxa" w:w="120"/>
              <w:bottom w:type="dxa" w:w="100"/>
              <w:right w:type="dxa" w:w="120"/>
            </w:tcMar>
          </w:tcPr>
          <w:p>
            <w:r>
              <w:rPr>
                <w:i w:val="false"/>
                <w:iCs w:val="false"/>
                <w:color w:val="000000"/>
              </w:rPr>
              <w:t xml:space="preserve">Video Session Connection Time</w:t>
            </w:r>
          </w:p>
        </w:tc>
        <w:tc>
          <w:tcPr>
            <w:tcW w:type="dxa" w:w="4640"/>
            <w:tcMar>
              <w:top w:type="dxa" w:w="100"/>
              <w:left w:type="dxa" w:w="120"/>
              <w:bottom w:type="dxa" w:w="100"/>
              <w:right w:type="dxa" w:w="120"/>
            </w:tcMar>
          </w:tcPr>
          <w:p>
            <w:r>
              <w:rPr>
                <w:i w:val="false"/>
                <w:iCs w:val="false"/>
                <w:color w:val="000000"/>
              </w:rPr>
              <w:t xml:space="preserve">≤ 5 seconds from "Join Video Visit" click to an established peer connection at p95</w:t>
            </w:r>
          </w:p>
        </w:tc>
      </w:tr>
      <w:tr>
        <w:tc>
          <w:tcPr>
            <w:tcW w:type="dxa" w:w="4600"/>
            <w:tcMar>
              <w:top w:type="dxa" w:w="100"/>
              <w:left w:type="dxa" w:w="120"/>
              <w:bottom w:type="dxa" w:w="100"/>
              <w:right w:type="dxa" w:w="120"/>
            </w:tcMar>
          </w:tcPr>
          <w:p>
            <w:r>
              <w:rPr>
                <w:i w:val="false"/>
                <w:iCs w:val="false"/>
                <w:color w:val="000000"/>
              </w:rPr>
              <w:t xml:space="preserve">Concurrent Telehealth Sessions</w:t>
            </w:r>
          </w:p>
        </w:tc>
        <w:tc>
          <w:tcPr>
            <w:tcW w:type="dxa" w:w="4640"/>
            <w:tcMar>
              <w:top w:type="dxa" w:w="100"/>
              <w:left w:type="dxa" w:w="120"/>
              <w:bottom w:type="dxa" w:w="100"/>
              <w:right w:type="dxa" w:w="120"/>
            </w:tcMar>
          </w:tcPr>
          <w:p>
            <w:r>
              <w:rPr>
                <w:i w:val="false"/>
                <w:iCs w:val="false"/>
                <w:color w:val="000000"/>
              </w:rPr>
              <w:t xml:space="preserve">Supports 500 concurrent active video sessions platform-wide</w:t>
            </w:r>
          </w:p>
        </w:tc>
      </w:tr>
      <w:tr>
        <w:tc>
          <w:tcPr>
            <w:tcW w:type="dxa" w:w="4600"/>
            <w:tcMar>
              <w:top w:type="dxa" w:w="100"/>
              <w:left w:type="dxa" w:w="120"/>
              <w:bottom w:type="dxa" w:w="100"/>
              <w:right w:type="dxa" w:w="120"/>
            </w:tcMar>
          </w:tcPr>
          <w:p>
            <w:r>
              <w:rPr>
                <w:i w:val="false"/>
                <w:iCs w:val="false"/>
                <w:color w:val="000000"/>
              </w:rPr>
              <w:t xml:space="preserve">Reminder Delivery Timeliness</w:t>
            </w:r>
          </w:p>
        </w:tc>
        <w:tc>
          <w:tcPr>
            <w:tcW w:type="dxa" w:w="4640"/>
            <w:tcMar>
              <w:top w:type="dxa" w:w="100"/>
              <w:left w:type="dxa" w:w="120"/>
              <w:bottom w:type="dxa" w:w="100"/>
              <w:right w:type="dxa" w:w="120"/>
            </w:tcMar>
          </w:tcPr>
          <w:p>
            <w:r>
              <w:rPr>
                <w:i w:val="false"/>
                <w:iCs w:val="false"/>
                <w:color w:val="000000"/>
              </w:rPr>
              <w:t xml:space="preserve">SMS/email reminders dispatched within 2 minutes of their scheduled trigger time</w:t>
            </w:r>
          </w:p>
        </w:tc>
      </w:tr>
      <w:tr>
        <w:tc>
          <w:tcPr>
            <w:tcW w:type="dxa" w:w="4600"/>
            <w:tcMar>
              <w:top w:type="dxa" w:w="100"/>
              <w:left w:type="dxa" w:w="120"/>
              <w:bottom w:type="dxa" w:w="100"/>
              <w:right w:type="dxa" w:w="120"/>
            </w:tcMar>
          </w:tcPr>
          <w:p>
            <w:r>
              <w:rPr>
                <w:i w:val="false"/>
                <w:iCs w:val="false"/>
                <w:color w:val="000000"/>
              </w:rPr>
              <w:t xml:space="preserve">System Availability (SLA)</w:t>
            </w:r>
          </w:p>
        </w:tc>
        <w:tc>
          <w:tcPr>
            <w:tcW w:type="dxa" w:w="4640"/>
            <w:tcMar>
              <w:top w:type="dxa" w:w="100"/>
              <w:left w:type="dxa" w:w="120"/>
              <w:bottom w:type="dxa" w:w="100"/>
              <w:right w:type="dxa" w:w="120"/>
            </w:tcMar>
          </w:tcPr>
          <w:p>
            <w:r>
              <w:rPr>
                <w:i w:val="false"/>
                <w:iCs w:val="false"/>
                <w:color w:val="000000"/>
              </w:rPr>
              <w:t xml:space="preserve">99.9% monthly uptime, excluding pre-announced maintenance windows</w:t>
            </w:r>
          </w:p>
        </w:tc>
      </w:tr>
    </w:tbl>
    <w:p>
      <w:pPr>
        <w:pStyle w:val="Heading1"/>
        <w:spacing w:after="200" w:before="400"/>
      </w:pPr>
      <w:r>
        <w:t xml:space="preserve">7. Interfaces with Other Systems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3140"/>
        <w:gridCol w:w="1200"/>
      </w:tblGrid>
      <w:tr>
        <w:trPr>
          <w:tblHeader/>
        </w:trPr>
        <w:tc>
          <w:tcPr>
            <w:tcW w:type="dxa" w:w="2000"/>
            <w:shd w:fill="1F4E79" w:val="clear"/>
            <w:tcMar>
              <w:top w:type="dxa" w:w="100"/>
              <w:left w:type="dxa" w:w="120"/>
              <w:bottom w:type="dxa" w:w="100"/>
              <w:right w:type="dxa" w:w="120"/>
            </w:tcMar>
          </w:tcPr>
          <w:p>
            <w:r>
              <w:rPr>
                <w:b/>
                <w:bCs/>
                <w:color w:val="FFFFFF"/>
              </w:rPr>
              <w:t xml:space="preserve">Interfacing System</w:t>
            </w:r>
          </w:p>
        </w:tc>
        <w:tc>
          <w:tcPr>
            <w:tcW w:type="dxa" w:w="1600"/>
            <w:shd w:fill="1F4E79" w:val="clear"/>
            <w:tcMar>
              <w:top w:type="dxa" w:w="100"/>
              <w:left w:type="dxa" w:w="120"/>
              <w:bottom w:type="dxa" w:w="100"/>
              <w:right w:type="dxa" w:w="120"/>
            </w:tcMar>
          </w:tcPr>
          <w:p>
            <w:r>
              <w:rPr>
                <w:b/>
                <w:bCs/>
                <w:color w:val="FFFFFF"/>
              </w:rPr>
              <w:t xml:space="preserve">Interface Type</w:t>
            </w:r>
          </w:p>
        </w:tc>
        <w:tc>
          <w:tcPr>
            <w:tcW w:type="dxa" w:w="1300"/>
            <w:shd w:fill="1F4E79" w:val="clear"/>
            <w:tcMar>
              <w:top w:type="dxa" w:w="100"/>
              <w:left w:type="dxa" w:w="120"/>
              <w:bottom w:type="dxa" w:w="100"/>
              <w:right w:type="dxa" w:w="120"/>
            </w:tcMar>
          </w:tcPr>
          <w:p>
            <w:r>
              <w:rPr>
                <w:b/>
                <w:bCs/>
                <w:color w:val="FFFFFF"/>
              </w:rPr>
              <w:t xml:space="preserve">Direction</w:t>
            </w:r>
          </w:p>
        </w:tc>
        <w:tc>
          <w:tcPr>
            <w:tcW w:type="dxa" w:w="3140"/>
            <w:shd w:fill="1F4E79" w:val="clear"/>
            <w:tcMar>
              <w:top w:type="dxa" w:w="100"/>
              <w:left w:type="dxa" w:w="120"/>
              <w:bottom w:type="dxa" w:w="100"/>
              <w:right w:type="dxa" w:w="120"/>
            </w:tcMar>
          </w:tcPr>
          <w:p>
            <w:r>
              <w:rPr>
                <w:b/>
                <w:bCs/>
                <w:color w:val="FFFFFF"/>
              </w:rPr>
              <w:t xml:space="preserve">Data Exchanged</w:t>
            </w:r>
          </w:p>
        </w:tc>
        <w:tc>
          <w:tcPr>
            <w:tcW w:type="dxa" w:w="1200"/>
            <w:shd w:fill="1F4E79" w:val="clear"/>
            <w:tcMar>
              <w:top w:type="dxa" w:w="100"/>
              <w:left w:type="dxa" w:w="120"/>
              <w:bottom w:type="dxa" w:w="100"/>
              <w:right w:type="dxa" w:w="120"/>
            </w:tcMar>
          </w:tcPr>
          <w:p>
            <w:r>
              <w:rPr>
                <w:b/>
                <w:bCs/>
                <w:color w:val="FFFFFF"/>
              </w:rPr>
              <w:t xml:space="preserve">Frequency</w:t>
            </w:r>
          </w:p>
        </w:tc>
      </w:tr>
      <w:tr>
        <w:tc>
          <w:tcPr>
            <w:tcW w:type="dxa" w:w="2000"/>
            <w:tcMar>
              <w:top w:type="dxa" w:w="100"/>
              <w:left w:type="dxa" w:w="120"/>
              <w:bottom w:type="dxa" w:w="100"/>
              <w:right w:type="dxa" w:w="120"/>
            </w:tcMar>
          </w:tcPr>
          <w:p>
            <w:r>
              <w:rPr>
                <w:i w:val="false"/>
                <w:iCs w:val="false"/>
                <w:color w:val="000000"/>
              </w:rPr>
              <w:t xml:space="preserve">Stripe</w:t>
            </w:r>
          </w:p>
        </w:tc>
        <w:tc>
          <w:tcPr>
            <w:tcW w:type="dxa" w:w="1600"/>
            <w:tcMar>
              <w:top w:type="dxa" w:w="100"/>
              <w:left w:type="dxa" w:w="120"/>
              <w:bottom w:type="dxa" w:w="100"/>
              <w:right w:type="dxa" w:w="120"/>
            </w:tcMar>
          </w:tcPr>
          <w:p>
            <w:r>
              <w:rPr>
                <w:i w:val="false"/>
                <w:iCs w:val="false"/>
                <w:color w:val="000000"/>
              </w:rPr>
              <w:t xml:space="preserve">REST API / Webhooks</w:t>
            </w:r>
          </w:p>
        </w:tc>
        <w:tc>
          <w:tcPr>
            <w:tcW w:type="dxa" w:w="1300"/>
            <w:tcMar>
              <w:top w:type="dxa" w:w="100"/>
              <w:left w:type="dxa" w:w="120"/>
              <w:bottom w:type="dxa" w:w="100"/>
              <w:right w:type="dxa" w:w="120"/>
            </w:tcMar>
          </w:tcPr>
          <w:p>
            <w:r>
              <w:rPr>
                <w:i w:val="false"/>
                <w:iCs w:val="false"/>
                <w:color w:val="000000"/>
              </w:rPr>
              <w:t xml:space="preserve">Bidirectional</w:t>
            </w:r>
          </w:p>
        </w:tc>
        <w:tc>
          <w:tcPr>
            <w:tcW w:type="dxa" w:w="3140"/>
            <w:tcMar>
              <w:top w:type="dxa" w:w="100"/>
              <w:left w:type="dxa" w:w="120"/>
              <w:bottom w:type="dxa" w:w="100"/>
              <w:right w:type="dxa" w:w="120"/>
            </w:tcMar>
          </w:tcPr>
          <w:p>
            <w:r>
              <w:rPr>
                <w:i w:val="false"/>
                <w:iCs w:val="false"/>
                <w:color w:val="000000"/>
              </w:rPr>
              <w:t xml:space="preserve">Copay PaymentIntents, tokens, and payment status</w:t>
            </w:r>
          </w:p>
        </w:tc>
        <w:tc>
          <w:tcPr>
            <w:tcW w:type="dxa" w:w="1200"/>
            <w:tcMar>
              <w:top w:type="dxa" w:w="100"/>
              <w:left w:type="dxa" w:w="120"/>
              <w:bottom w:type="dxa" w:w="100"/>
              <w:right w:type="dxa" w:w="120"/>
            </w:tcMar>
          </w:tcPr>
          <w:p>
            <w:r>
              <w:rPr>
                <w:i w:val="false"/>
                <w:iCs w:val="false"/>
                <w:color w:val="000000"/>
              </w:rPr>
              <w:t xml:space="preserve">Real-time</w:t>
            </w:r>
          </w:p>
        </w:tc>
      </w:tr>
      <w:tr>
        <w:tc>
          <w:tcPr>
            <w:tcW w:type="dxa" w:w="2000"/>
            <w:tcMar>
              <w:top w:type="dxa" w:w="100"/>
              <w:left w:type="dxa" w:w="120"/>
              <w:bottom w:type="dxa" w:w="100"/>
              <w:right w:type="dxa" w:w="120"/>
            </w:tcMar>
          </w:tcPr>
          <w:p>
            <w:r>
              <w:rPr>
                <w:i w:val="false"/>
                <w:iCs w:val="false"/>
                <w:color w:val="000000"/>
              </w:rPr>
              <w:t xml:space="preserve">Twilio Video</w:t>
            </w:r>
          </w:p>
        </w:tc>
        <w:tc>
          <w:tcPr>
            <w:tcW w:type="dxa" w:w="1600"/>
            <w:tcMar>
              <w:top w:type="dxa" w:w="100"/>
              <w:left w:type="dxa" w:w="120"/>
              <w:bottom w:type="dxa" w:w="100"/>
              <w:right w:type="dxa" w:w="120"/>
            </w:tcMar>
          </w:tcPr>
          <w:p>
            <w:r>
              <w:rPr>
                <w:i w:val="false"/>
                <w:iCs w:val="false"/>
                <w:color w:val="000000"/>
              </w:rPr>
              <w:t xml:space="preserve">SDK / REST API</w:t>
            </w:r>
          </w:p>
        </w:tc>
        <w:tc>
          <w:tcPr>
            <w:tcW w:type="dxa" w:w="1300"/>
            <w:tcMar>
              <w:top w:type="dxa" w:w="100"/>
              <w:left w:type="dxa" w:w="120"/>
              <w:bottom w:type="dxa" w:w="100"/>
              <w:right w:type="dxa" w:w="120"/>
            </w:tcMar>
          </w:tcPr>
          <w:p>
            <w:r>
              <w:rPr>
                <w:i w:val="false"/>
                <w:iCs w:val="false"/>
                <w:color w:val="000000"/>
              </w:rPr>
              <w:t xml:space="preserve">Bidirectional</w:t>
            </w:r>
          </w:p>
        </w:tc>
        <w:tc>
          <w:tcPr>
            <w:tcW w:type="dxa" w:w="3140"/>
            <w:tcMar>
              <w:top w:type="dxa" w:w="100"/>
              <w:left w:type="dxa" w:w="120"/>
              <w:bottom w:type="dxa" w:w="100"/>
              <w:right w:type="dxa" w:w="120"/>
            </w:tcMar>
          </w:tcPr>
          <w:p>
            <w:r>
              <w:rPr>
                <w:i w:val="false"/>
                <w:iCs w:val="false"/>
                <w:color w:val="000000"/>
              </w:rPr>
              <w:t xml:space="preserve">Video room creation, participant tokens, session events</w:t>
            </w:r>
          </w:p>
        </w:tc>
        <w:tc>
          <w:tcPr>
            <w:tcW w:type="dxa" w:w="1200"/>
            <w:tcMar>
              <w:top w:type="dxa" w:w="100"/>
              <w:left w:type="dxa" w:w="120"/>
              <w:bottom w:type="dxa" w:w="100"/>
              <w:right w:type="dxa" w:w="120"/>
            </w:tcMar>
          </w:tcPr>
          <w:p>
            <w:r>
              <w:rPr>
                <w:i w:val="false"/>
                <w:iCs w:val="false"/>
                <w:color w:val="000000"/>
              </w:rPr>
              <w:t xml:space="preserve">Real-time</w:t>
            </w:r>
          </w:p>
        </w:tc>
      </w:tr>
      <w:tr>
        <w:tc>
          <w:tcPr>
            <w:tcW w:type="dxa" w:w="2000"/>
            <w:tcMar>
              <w:top w:type="dxa" w:w="100"/>
              <w:left w:type="dxa" w:w="120"/>
              <w:bottom w:type="dxa" w:w="100"/>
              <w:right w:type="dxa" w:w="120"/>
            </w:tcMar>
          </w:tcPr>
          <w:p>
            <w:r>
              <w:rPr>
                <w:i w:val="false"/>
                <w:iCs w:val="false"/>
                <w:color w:val="000000"/>
              </w:rPr>
              <w:t xml:space="preserve">Twilio (SMS)</w:t>
            </w:r>
          </w:p>
        </w:tc>
        <w:tc>
          <w:tcPr>
            <w:tcW w:type="dxa" w:w="1600"/>
            <w:tcMar>
              <w:top w:type="dxa" w:w="100"/>
              <w:left w:type="dxa" w:w="120"/>
              <w:bottom w:type="dxa" w:w="100"/>
              <w:right w:type="dxa" w:w="120"/>
            </w:tcMar>
          </w:tcPr>
          <w:p>
            <w:r>
              <w:rPr>
                <w:i w:val="false"/>
                <w:iCs w:val="false"/>
                <w:color w:val="000000"/>
              </w:rPr>
              <w:t xml:space="preserve">REST API</w:t>
            </w:r>
          </w:p>
        </w:tc>
        <w:tc>
          <w:tcPr>
            <w:tcW w:type="dxa" w:w="1300"/>
            <w:tcMar>
              <w:top w:type="dxa" w:w="100"/>
              <w:left w:type="dxa" w:w="120"/>
              <w:bottom w:type="dxa" w:w="100"/>
              <w:right w:type="dxa" w:w="120"/>
            </w:tcMar>
          </w:tcPr>
          <w:p>
            <w:r>
              <w:rPr>
                <w:i w:val="false"/>
                <w:iCs w:val="false"/>
                <w:color w:val="000000"/>
              </w:rPr>
              <w:t xml:space="preserve">Outbound</w:t>
            </w:r>
          </w:p>
        </w:tc>
        <w:tc>
          <w:tcPr>
            <w:tcW w:type="dxa" w:w="3140"/>
            <w:tcMar>
              <w:top w:type="dxa" w:w="100"/>
              <w:left w:type="dxa" w:w="120"/>
              <w:bottom w:type="dxa" w:w="100"/>
              <w:right w:type="dxa" w:w="120"/>
            </w:tcMar>
          </w:tcPr>
          <w:p>
            <w:r>
              <w:rPr>
                <w:i w:val="false"/>
                <w:iCs w:val="false"/>
                <w:color w:val="000000"/>
              </w:rPr>
              <w:t xml:space="preserve">Appointment reminder SMS &amp; delivery receipts</w:t>
            </w:r>
          </w:p>
        </w:tc>
        <w:tc>
          <w:tcPr>
            <w:tcW w:type="dxa" w:w="1200"/>
            <w:tcMar>
              <w:top w:type="dxa" w:w="100"/>
              <w:left w:type="dxa" w:w="120"/>
              <w:bottom w:type="dxa" w:w="100"/>
              <w:right w:type="dxa" w:w="120"/>
            </w:tcMar>
          </w:tcPr>
          <w:p>
            <w:r>
              <w:rPr>
                <w:i w:val="false"/>
                <w:iCs w:val="false"/>
                <w:color w:val="000000"/>
              </w:rPr>
              <w:t xml:space="preserve">Real-time, scheduled</w:t>
            </w:r>
          </w:p>
        </w:tc>
      </w:tr>
      <w:tr>
        <w:tc>
          <w:tcPr>
            <w:tcW w:type="dxa" w:w="2000"/>
            <w:tcMar>
              <w:top w:type="dxa" w:w="100"/>
              <w:left w:type="dxa" w:w="120"/>
              <w:bottom w:type="dxa" w:w="100"/>
              <w:right w:type="dxa" w:w="120"/>
            </w:tcMar>
          </w:tcPr>
          <w:p>
            <w:r>
              <w:rPr>
                <w:i w:val="false"/>
                <w:iCs w:val="false"/>
                <w:color w:val="000000"/>
              </w:rPr>
              <w:t xml:space="preserve">SendGrid</w:t>
            </w:r>
          </w:p>
        </w:tc>
        <w:tc>
          <w:tcPr>
            <w:tcW w:type="dxa" w:w="1600"/>
            <w:tcMar>
              <w:top w:type="dxa" w:w="100"/>
              <w:left w:type="dxa" w:w="120"/>
              <w:bottom w:type="dxa" w:w="100"/>
              <w:right w:type="dxa" w:w="120"/>
            </w:tcMar>
          </w:tcPr>
          <w:p>
            <w:r>
              <w:rPr>
                <w:i w:val="false"/>
                <w:iCs w:val="false"/>
                <w:color w:val="000000"/>
              </w:rPr>
              <w:t xml:space="preserve">REST API</w:t>
            </w:r>
          </w:p>
        </w:tc>
        <w:tc>
          <w:tcPr>
            <w:tcW w:type="dxa" w:w="1300"/>
            <w:tcMar>
              <w:top w:type="dxa" w:w="100"/>
              <w:left w:type="dxa" w:w="120"/>
              <w:bottom w:type="dxa" w:w="100"/>
              <w:right w:type="dxa" w:w="120"/>
            </w:tcMar>
          </w:tcPr>
          <w:p>
            <w:r>
              <w:rPr>
                <w:i w:val="false"/>
                <w:iCs w:val="false"/>
                <w:color w:val="000000"/>
              </w:rPr>
              <w:t xml:space="preserve">Outbound</w:t>
            </w:r>
          </w:p>
        </w:tc>
        <w:tc>
          <w:tcPr>
            <w:tcW w:type="dxa" w:w="3140"/>
            <w:tcMar>
              <w:top w:type="dxa" w:w="100"/>
              <w:left w:type="dxa" w:w="120"/>
              <w:bottom w:type="dxa" w:w="100"/>
              <w:right w:type="dxa" w:w="120"/>
            </w:tcMar>
          </w:tcPr>
          <w:p>
            <w:r>
              <w:rPr>
                <w:i w:val="false"/>
                <w:iCs w:val="false"/>
                <w:color w:val="000000"/>
              </w:rPr>
              <w:t xml:space="preserve">Confirmation, reminder, and receipt emails</w:t>
            </w:r>
          </w:p>
        </w:tc>
        <w:tc>
          <w:tcPr>
            <w:tcW w:type="dxa" w:w="1200"/>
            <w:tcMar>
              <w:top w:type="dxa" w:w="100"/>
              <w:left w:type="dxa" w:w="120"/>
              <w:bottom w:type="dxa" w:w="100"/>
              <w:right w:type="dxa" w:w="120"/>
            </w:tcMar>
          </w:tcPr>
          <w:p>
            <w:r>
              <w:rPr>
                <w:i w:val="false"/>
                <w:iCs w:val="false"/>
                <w:color w:val="000000"/>
              </w:rPr>
              <w:t xml:space="preserve">Real-time, event-triggered</w:t>
            </w:r>
          </w:p>
        </w:tc>
      </w:tr>
      <w:tr>
        <w:tc>
          <w:tcPr>
            <w:tcW w:type="dxa" w:w="2000"/>
            <w:tcMar>
              <w:top w:type="dxa" w:w="100"/>
              <w:left w:type="dxa" w:w="120"/>
              <w:bottom w:type="dxa" w:w="100"/>
              <w:right w:type="dxa" w:w="120"/>
            </w:tcMar>
          </w:tcPr>
          <w:p>
            <w:r>
              <w:rPr>
                <w:i w:val="false"/>
                <w:iCs w:val="false"/>
                <w:color w:val="000000"/>
              </w:rPr>
              <w:t xml:space="preserve">Clinic EHR System</w:t>
            </w:r>
          </w:p>
        </w:tc>
        <w:tc>
          <w:tcPr>
            <w:tcW w:type="dxa" w:w="1600"/>
            <w:tcMar>
              <w:top w:type="dxa" w:w="100"/>
              <w:left w:type="dxa" w:w="120"/>
              <w:bottom w:type="dxa" w:w="100"/>
              <w:right w:type="dxa" w:w="120"/>
            </w:tcMar>
          </w:tcPr>
          <w:p>
            <w:r>
              <w:rPr>
                <w:i w:val="false"/>
                <w:iCs w:val="false"/>
                <w:color w:val="000000"/>
              </w:rPr>
              <w:t xml:space="preserve">HL7 / FHIR API</w:t>
            </w:r>
          </w:p>
        </w:tc>
        <w:tc>
          <w:tcPr>
            <w:tcW w:type="dxa" w:w="1300"/>
            <w:tcMar>
              <w:top w:type="dxa" w:w="100"/>
              <w:left w:type="dxa" w:w="120"/>
              <w:bottom w:type="dxa" w:w="100"/>
              <w:right w:type="dxa" w:w="120"/>
            </w:tcMar>
          </w:tcPr>
          <w:p>
            <w:r>
              <w:rPr>
                <w:i w:val="false"/>
                <w:iCs w:val="false"/>
                <w:color w:val="000000"/>
              </w:rPr>
              <w:t xml:space="preserve">Bidirectional</w:t>
            </w:r>
          </w:p>
        </w:tc>
        <w:tc>
          <w:tcPr>
            <w:tcW w:type="dxa" w:w="3140"/>
            <w:tcMar>
              <w:top w:type="dxa" w:w="100"/>
              <w:left w:type="dxa" w:w="120"/>
              <w:bottom w:type="dxa" w:w="100"/>
              <w:right w:type="dxa" w:w="120"/>
            </w:tcMar>
          </w:tcPr>
          <w:p>
            <w:r>
              <w:rPr>
                <w:i w:val="false"/>
                <w:iCs w:val="false"/>
                <w:color w:val="000000"/>
              </w:rPr>
              <w:t xml:space="preserve">Patient demographics, visit summaries, appointment sync</w:t>
            </w:r>
          </w:p>
        </w:tc>
        <w:tc>
          <w:tcPr>
            <w:tcW w:type="dxa" w:w="1200"/>
            <w:tcMar>
              <w:top w:type="dxa" w:w="100"/>
              <w:left w:type="dxa" w:w="120"/>
              <w:bottom w:type="dxa" w:w="100"/>
              <w:right w:type="dxa" w:w="120"/>
            </w:tcMar>
          </w:tcPr>
          <w:p>
            <w:r>
              <w:rPr>
                <w:i w:val="false"/>
                <w:iCs w:val="false"/>
                <w:color w:val="000000"/>
              </w:rPr>
              <w:t xml:space="preserve">Near real-time</w:t>
            </w:r>
          </w:p>
        </w:tc>
      </w:tr>
      <w:tr>
        <w:tc>
          <w:tcPr>
            <w:tcW w:type="dxa" w:w="2000"/>
            <w:tcMar>
              <w:top w:type="dxa" w:w="100"/>
              <w:left w:type="dxa" w:w="120"/>
              <w:bottom w:type="dxa" w:w="100"/>
              <w:right w:type="dxa" w:w="120"/>
            </w:tcMar>
          </w:tcPr>
          <w:p>
            <w:r>
              <w:rPr>
                <w:i w:val="false"/>
                <w:iCs w:val="false"/>
                <w:color w:val="000000"/>
              </w:rPr>
              <w:t xml:space="preserve">Insurance Eligibility API</w:t>
            </w:r>
          </w:p>
        </w:tc>
        <w:tc>
          <w:tcPr>
            <w:tcW w:type="dxa" w:w="1600"/>
            <w:tcMar>
              <w:top w:type="dxa" w:w="100"/>
              <w:left w:type="dxa" w:w="120"/>
              <w:bottom w:type="dxa" w:w="100"/>
              <w:right w:type="dxa" w:w="120"/>
            </w:tcMar>
          </w:tcPr>
          <w:p>
            <w:r>
              <w:rPr>
                <w:i w:val="false"/>
                <w:iCs w:val="false"/>
                <w:color w:val="000000"/>
              </w:rPr>
              <w:t xml:space="preserve">REST API</w:t>
            </w:r>
          </w:p>
        </w:tc>
        <w:tc>
          <w:tcPr>
            <w:tcW w:type="dxa" w:w="1300"/>
            <w:tcMar>
              <w:top w:type="dxa" w:w="100"/>
              <w:left w:type="dxa" w:w="120"/>
              <w:bottom w:type="dxa" w:w="100"/>
              <w:right w:type="dxa" w:w="120"/>
            </w:tcMar>
          </w:tcPr>
          <w:p>
            <w:r>
              <w:rPr>
                <w:i w:val="false"/>
                <w:iCs w:val="false"/>
                <w:color w:val="000000"/>
              </w:rPr>
              <w:t xml:space="preserve">Outbound / Inbound</w:t>
            </w:r>
          </w:p>
        </w:tc>
        <w:tc>
          <w:tcPr>
            <w:tcW w:type="dxa" w:w="3140"/>
            <w:tcMar>
              <w:top w:type="dxa" w:w="100"/>
              <w:left w:type="dxa" w:w="120"/>
              <w:bottom w:type="dxa" w:w="100"/>
              <w:right w:type="dxa" w:w="120"/>
            </w:tcMar>
          </w:tcPr>
          <w:p>
            <w:r>
              <w:rPr>
                <w:i w:val="false"/>
                <w:iCs w:val="false"/>
                <w:color w:val="000000"/>
              </w:rPr>
              <w:t xml:space="preserve">Real-time eligibility and estimated copay lookup</w:t>
            </w:r>
          </w:p>
        </w:tc>
        <w:tc>
          <w:tcPr>
            <w:tcW w:type="dxa" w:w="1200"/>
            <w:tcMar>
              <w:top w:type="dxa" w:w="100"/>
              <w:left w:type="dxa" w:w="120"/>
              <w:bottom w:type="dxa" w:w="100"/>
              <w:right w:type="dxa" w:w="120"/>
            </w:tcMar>
          </w:tcPr>
          <w:p>
            <w:r>
              <w:rPr>
                <w:i w:val="false"/>
                <w:iCs w:val="false"/>
                <w:color w:val="000000"/>
              </w:rPr>
              <w:t xml:space="preserve">Real-time, on booking</w:t>
            </w:r>
          </w:p>
        </w:tc>
      </w:tr>
    </w:tbl>
    <w:p>
      <w:pPr>
        <w:pStyle w:val="Heading1"/>
        <w:spacing w:after="200" w:before="400"/>
      </w:pPr>
      <w:r>
        <w:t xml:space="preserve">8. Non-Functional Attributes</w:t>
      </w:r>
    </w:p>
    <w:p>
      <w:pPr>
        <w:pStyle w:val="Heading2"/>
        <w:spacing w:after="120" w:before="240"/>
      </w:pPr>
      <w:r>
        <w:t xml:space="preserve">8.1 Security</w:t>
      </w:r>
    </w:p>
    <w:p>
      <w:pPr>
        <w:pStyle w:val="ListParagraph"/>
        <w:numPr>
          <w:ilvl w:val="0"/>
          <w:numId w:val="1"/>
        </w:numPr>
        <w:spacing w:after="80"/>
      </w:pPr>
      <w:r>
        <w:rPr>
          <w:i w:val="false"/>
          <w:iCs w:val="false"/>
          <w:color w:val="000000"/>
        </w:rPr>
        <w:t xml:space="preserve">All PHI encrypted at rest (AES-256) and in transit (TLS 1.3), consistent with the HIPAA Security Rule.</w:t>
      </w:r>
    </w:p>
    <w:p>
      <w:pPr>
        <w:pStyle w:val="ListParagraph"/>
        <w:numPr>
          <w:ilvl w:val="0"/>
          <w:numId w:val="1"/>
        </w:numPr>
        <w:spacing w:after="80"/>
      </w:pPr>
      <w:r>
        <w:rPr>
          <w:i w:val="false"/>
          <w:iCs w:val="false"/>
          <w:color w:val="000000"/>
        </w:rPr>
        <w:t xml:space="preserve">Role-based access control ensures Providers only access patient data for their own assigned appointments.</w:t>
      </w:r>
    </w:p>
    <w:p>
      <w:pPr>
        <w:pStyle w:val="ListParagraph"/>
        <w:numPr>
          <w:ilvl w:val="0"/>
          <w:numId w:val="1"/>
        </w:numPr>
        <w:spacing w:after="80"/>
      </w:pPr>
      <w:r>
        <w:rPr>
          <w:i w:val="false"/>
          <w:iCs w:val="false"/>
          <w:color w:val="000000"/>
        </w:rPr>
        <w:t xml:space="preserve">Business Associate Agreements (BAAs) executed with all subprocessors handling PHI (Twilio, SendGrid, AWS, Stripe).</w:t>
      </w:r>
    </w:p>
    <w:p>
      <w:pPr>
        <w:pStyle w:val="ListParagraph"/>
        <w:numPr>
          <w:ilvl w:val="0"/>
          <w:numId w:val="1"/>
        </w:numPr>
        <w:spacing w:after="80"/>
      </w:pPr>
      <w:r>
        <w:rPr>
          <w:i w:val="false"/>
          <w:iCs w:val="false"/>
          <w:color w:val="000000"/>
        </w:rPr>
        <w:t xml:space="preserve">Video sessions use end-to-end encrypted media transport per the Twilio Video SDK's default configuration.</w:t>
      </w:r>
    </w:p>
    <w:p>
      <w:pPr>
        <w:pStyle w:val="Heading2"/>
        <w:spacing w:after="120" w:before="240"/>
      </w:pPr>
      <w:r>
        <w:t xml:space="preserve">8.2 Usability</w:t>
      </w:r>
    </w:p>
    <w:p>
      <w:pPr>
        <w:pStyle w:val="ListParagraph"/>
        <w:numPr>
          <w:ilvl w:val="0"/>
          <w:numId w:val="1"/>
        </w:numPr>
        <w:spacing w:after="80"/>
      </w:pPr>
      <w:r>
        <w:rPr>
          <w:i w:val="false"/>
          <w:iCs w:val="false"/>
          <w:color w:val="000000"/>
        </w:rPr>
        <w:t xml:space="preserve">WCAG 2.1 Level AA conformance, with particular attention to elderly and low-vision patient populations.</w:t>
      </w:r>
    </w:p>
    <w:p>
      <w:pPr>
        <w:pStyle w:val="ListParagraph"/>
        <w:numPr>
          <w:ilvl w:val="0"/>
          <w:numId w:val="1"/>
        </w:numPr>
        <w:spacing w:after="80"/>
      </w:pPr>
      <w:r>
        <w:rPr>
          <w:i w:val="false"/>
          <w:iCs w:val="false"/>
          <w:color w:val="000000"/>
        </w:rPr>
        <w:t xml:space="preserve">Telehealth join flow requires no software installation and works in the latest two versions of major browsers.</w:t>
      </w:r>
    </w:p>
    <w:p>
      <w:pPr>
        <w:pStyle w:val="Heading2"/>
        <w:spacing w:after="120" w:before="240"/>
      </w:pPr>
      <w:r>
        <w:t xml:space="preserve">8.3 Reliability</w:t>
      </w:r>
    </w:p>
    <w:p>
      <w:pPr>
        <w:pStyle w:val="ListParagraph"/>
        <w:numPr>
          <w:ilvl w:val="0"/>
          <w:numId w:val="1"/>
        </w:numPr>
        <w:spacing w:after="80"/>
      </w:pPr>
      <w:r>
        <w:rPr>
          <w:i w:val="false"/>
          <w:iCs w:val="false"/>
          <w:color w:val="000000"/>
        </w:rPr>
        <w:t xml:space="preserve">Automatic fallback from video to audio-only on connection degradation, and from telehealth to a rebooking prompt if the connection cannot be established.</w:t>
      </w:r>
    </w:p>
    <w:p>
      <w:pPr>
        <w:pStyle w:val="ListParagraph"/>
        <w:numPr>
          <w:ilvl w:val="0"/>
          <w:numId w:val="1"/>
        </w:numPr>
        <w:spacing w:after="80"/>
      </w:pPr>
      <w:r>
        <w:rPr>
          <w:i w:val="false"/>
          <w:iCs w:val="false"/>
          <w:color w:val="000000"/>
        </w:rPr>
        <w:t xml:space="preserve">Reminder jobs are idempotent and retried with backoff if the SMS/email provider is temporarily unavailable.</w:t>
      </w:r>
    </w:p>
    <w:p>
      <w:pPr>
        <w:pStyle w:val="Heading2"/>
        <w:spacing w:after="120" w:before="240"/>
      </w:pPr>
      <w:r>
        <w:t xml:space="preserve">8.4 Scalability</w:t>
      </w:r>
    </w:p>
    <w:p>
      <w:pPr>
        <w:pStyle w:val="ListParagraph"/>
        <w:numPr>
          <w:ilvl w:val="0"/>
          <w:numId w:val="1"/>
        </w:numPr>
        <w:spacing w:after="80"/>
      </w:pPr>
      <w:r>
        <w:rPr>
          <w:i w:val="false"/>
          <w:iCs w:val="false"/>
          <w:color w:val="000000"/>
        </w:rPr>
        <w:t xml:space="preserve">Booking and video services are independently scalable microservices to absorb Monday-morning booking spikes without impacting active video sessions.</w:t>
      </w:r>
    </w:p>
    <w:p>
      <w:pPr>
        <w:pStyle w:val="ListParagraph"/>
        <w:numPr>
          <w:ilvl w:val="0"/>
          <w:numId w:val="1"/>
        </w:numPr>
        <w:spacing w:after="80"/>
      </w:pPr>
      <w:r>
        <w:rPr>
          <w:i w:val="false"/>
          <w:iCs w:val="false"/>
          <w:color w:val="000000"/>
        </w:rPr>
        <w:t xml:space="preserve">Read replicas serve the provider-search and availability queries separately from the booking write path.</w:t>
      </w:r>
    </w:p>
    <w:p>
      <w:pPr>
        <w:pStyle w:val="Heading2"/>
        <w:spacing w:after="120" w:before="240"/>
      </w:pPr>
      <w:r>
        <w:t xml:space="preserve">8.5 Maintainability</w:t>
      </w:r>
    </w:p>
    <w:p>
      <w:pPr>
        <w:pStyle w:val="ListParagraph"/>
        <w:numPr>
          <w:ilvl w:val="0"/>
          <w:numId w:val="1"/>
        </w:numPr>
        <w:spacing w:after="80"/>
      </w:pPr>
      <w:r>
        <w:rPr>
          <w:i w:val="false"/>
          <w:iCs w:val="false"/>
          <w:color w:val="000000"/>
        </w:rPr>
        <w:t xml:space="preserve">CI/CD pipeline with mandatory security scanning (SAST/DAST) given the PHI-adjacent nature of the system.</w:t>
      </w:r>
    </w:p>
    <w:p>
      <w:pPr>
        <w:pStyle w:val="ListParagraph"/>
        <w:numPr>
          <w:ilvl w:val="0"/>
          <w:numId w:val="1"/>
        </w:numPr>
        <w:spacing w:after="80"/>
      </w:pPr>
      <w:r>
        <w:rPr>
          <w:i w:val="false"/>
          <w:iCs w:val="false"/>
          <w:color w:val="000000"/>
        </w:rPr>
        <w:t xml:space="preserve">Feature flags used for phased rollout of telehealth to individual clinic partners.</w:t>
      </w:r>
    </w:p>
    <w:p>
      <w:pPr>
        <w:pStyle w:val="Heading2"/>
        <w:spacing w:after="120" w:before="240"/>
      </w:pPr>
      <w:r>
        <w:t xml:space="preserve">8.6 Compliance</w:t>
      </w:r>
    </w:p>
    <w:p>
      <w:pPr>
        <w:pStyle w:val="ListParagraph"/>
        <w:numPr>
          <w:ilvl w:val="0"/>
          <w:numId w:val="1"/>
        </w:numPr>
        <w:spacing w:after="80"/>
      </w:pPr>
      <w:r>
        <w:rPr>
          <w:i w:val="false"/>
          <w:iCs w:val="false"/>
          <w:color w:val="000000"/>
        </w:rPr>
        <w:t xml:space="preserve">HIPAA Security and Privacy Rule compliance, validated via the checklist in Reference #3.</w:t>
      </w:r>
    </w:p>
    <w:p>
      <w:pPr>
        <w:pStyle w:val="ListParagraph"/>
        <w:numPr>
          <w:ilvl w:val="0"/>
          <w:numId w:val="1"/>
        </w:numPr>
        <w:spacing w:after="80"/>
      </w:pPr>
      <w:r>
        <w:rPr>
          <w:i w:val="false"/>
          <w:iCs w:val="false"/>
          <w:color w:val="000000"/>
        </w:rPr>
        <w:t xml:space="preserve">State-specific telehealth licensure rules are enforced by restricting provider-patient matching to permitted states.</w:t>
      </w:r>
    </w:p>
    <w:p>
      <w:pPr>
        <w:pStyle w:val="Heading2"/>
        <w:spacing w:after="120" w:before="240"/>
      </w:pPr>
      <w:r>
        <w:t xml:space="preserve">8.7 Auditability &amp; Logging</w:t>
      </w:r>
    </w:p>
    <w:p>
      <w:pPr>
        <w:pStyle w:val="ListParagraph"/>
        <w:numPr>
          <w:ilvl w:val="0"/>
          <w:numId w:val="1"/>
        </w:numPr>
        <w:spacing w:after="80"/>
      </w:pPr>
      <w:r>
        <w:rPr>
          <w:i w:val="false"/>
          <w:iCs w:val="false"/>
          <w:color w:val="000000"/>
        </w:rPr>
        <w:t xml:space="preserve">All PHI access is logged with user identity, timestamp, and accessed record ID, retained for 6 years per HIPAA requirements.</w:t>
      </w:r>
    </w:p>
    <w:p>
      <w:pPr>
        <w:pStyle w:val="ListParagraph"/>
        <w:numPr>
          <w:ilvl w:val="0"/>
          <w:numId w:val="1"/>
        </w:numPr>
        <w:spacing w:after="80"/>
      </w:pPr>
      <w:r>
        <w:rPr>
          <w:i w:val="false"/>
          <w:iCs w:val="false"/>
          <w:color w:val="000000"/>
        </w:rPr>
        <w:t xml:space="preserve">Video session metadata (start/end time, participants, connection quality) is logged for compliance and support troubleshooting, separate from any session content.</w:t>
      </w:r>
    </w:p>
    <w:p>
      <w:pPr>
        <w:pStyle w:val="Heading1"/>
        <w:spacing w:after="200" w:before="400"/>
      </w:pPr>
      <w:r>
        <w:t xml:space="preserve">9. Glossary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1F4E79" w:val="clear"/>
            <w:tcMar>
              <w:top w:type="dxa" w:w="100"/>
              <w:left w:type="dxa" w:w="120"/>
              <w:bottom w:type="dxa" w:w="100"/>
              <w:right w:type="dxa" w:w="120"/>
            </w:tcMar>
          </w:tcPr>
          <w:p>
            <w:r>
              <w:rPr>
                <w:b/>
                <w:bCs/>
                <w:color w:val="FFFFFF"/>
              </w:rPr>
              <w:t xml:space="preserve">Term / Abbreviation</w:t>
            </w:r>
          </w:p>
        </w:tc>
        <w:tc>
          <w:tcPr>
            <w:tcW w:type="dxa" w:w="6640"/>
            <w:shd w:fill="1F4E79" w:val="clear"/>
            <w:tcMar>
              <w:top w:type="dxa" w:w="100"/>
              <w:left w:type="dxa" w:w="120"/>
              <w:bottom w:type="dxa" w:w="100"/>
              <w:right w:type="dxa" w:w="120"/>
            </w:tcMar>
          </w:tcPr>
          <w:p>
            <w:r>
              <w:rPr>
                <w:b/>
                <w:bCs/>
                <w:color w:val="FFFFFF"/>
              </w:rPr>
              <w:t xml:space="preserve">Definition</w:t>
            </w:r>
          </w:p>
        </w:tc>
      </w:tr>
      <w:tr>
        <w:tc>
          <w:tcPr>
            <w:tcW w:type="dxa" w:w="2600"/>
            <w:tcMar>
              <w:top w:type="dxa" w:w="100"/>
              <w:left w:type="dxa" w:w="120"/>
              <w:bottom w:type="dxa" w:w="100"/>
              <w:right w:type="dxa" w:w="120"/>
            </w:tcMar>
          </w:tcPr>
          <w:p>
            <w:r>
              <w:rPr>
                <w:i w:val="false"/>
                <w:iCs w:val="false"/>
                <w:color w:val="000000"/>
              </w:rPr>
              <w:t xml:space="preserve">HIPAA</w:t>
            </w:r>
          </w:p>
        </w:tc>
        <w:tc>
          <w:tcPr>
            <w:tcW w:type="dxa" w:w="6640"/>
            <w:tcMar>
              <w:top w:type="dxa" w:w="100"/>
              <w:left w:type="dxa" w:w="120"/>
              <w:bottom w:type="dxa" w:w="100"/>
              <w:right w:type="dxa" w:w="120"/>
            </w:tcMar>
          </w:tcPr>
          <w:p>
            <w:r>
              <w:rPr>
                <w:i w:val="false"/>
                <w:iCs w:val="false"/>
                <w:color w:val="000000"/>
              </w:rPr>
              <w:t xml:space="preserve">Health Insurance Portability and Accountability Act — U.S. law governing protection of patient health information.</w:t>
            </w:r>
          </w:p>
        </w:tc>
      </w:tr>
      <w:tr>
        <w:tc>
          <w:tcPr>
            <w:tcW w:type="dxa" w:w="2600"/>
            <w:tcMar>
              <w:top w:type="dxa" w:w="100"/>
              <w:left w:type="dxa" w:w="120"/>
              <w:bottom w:type="dxa" w:w="100"/>
              <w:right w:type="dxa" w:w="120"/>
            </w:tcMar>
          </w:tcPr>
          <w:p>
            <w:r>
              <w:rPr>
                <w:i w:val="false"/>
                <w:iCs w:val="false"/>
                <w:color w:val="000000"/>
              </w:rPr>
              <w:t xml:space="preserve">PHI</w:t>
            </w:r>
          </w:p>
        </w:tc>
        <w:tc>
          <w:tcPr>
            <w:tcW w:type="dxa" w:w="6640"/>
            <w:tcMar>
              <w:top w:type="dxa" w:w="100"/>
              <w:left w:type="dxa" w:w="120"/>
              <w:bottom w:type="dxa" w:w="100"/>
              <w:right w:type="dxa" w:w="120"/>
            </w:tcMar>
          </w:tcPr>
          <w:p>
            <w:r>
              <w:rPr>
                <w:i w:val="false"/>
                <w:iCs w:val="false"/>
                <w:color w:val="000000"/>
              </w:rPr>
              <w:t xml:space="preserve">Protected Health Information — individually identifiable health data covered under HIPAA.</w:t>
            </w:r>
          </w:p>
        </w:tc>
      </w:tr>
      <w:tr>
        <w:tc>
          <w:tcPr>
            <w:tcW w:type="dxa" w:w="2600"/>
            <w:tcMar>
              <w:top w:type="dxa" w:w="100"/>
              <w:left w:type="dxa" w:w="120"/>
              <w:bottom w:type="dxa" w:w="100"/>
              <w:right w:type="dxa" w:w="120"/>
            </w:tcMar>
          </w:tcPr>
          <w:p>
            <w:r>
              <w:rPr>
                <w:i w:val="false"/>
                <w:iCs w:val="false"/>
                <w:color w:val="000000"/>
              </w:rPr>
              <w:t xml:space="preserve">EHR</w:t>
            </w:r>
          </w:p>
        </w:tc>
        <w:tc>
          <w:tcPr>
            <w:tcW w:type="dxa" w:w="6640"/>
            <w:tcMar>
              <w:top w:type="dxa" w:w="100"/>
              <w:left w:type="dxa" w:w="120"/>
              <w:bottom w:type="dxa" w:w="100"/>
              <w:right w:type="dxa" w:w="120"/>
            </w:tcMar>
          </w:tcPr>
          <w:p>
            <w:r>
              <w:rPr>
                <w:i w:val="false"/>
                <w:iCs w:val="false"/>
                <w:color w:val="000000"/>
              </w:rPr>
              <w:t xml:space="preserve">Electronic Health Record — a clinic's system of record for patient medical history.</w:t>
            </w:r>
          </w:p>
        </w:tc>
      </w:tr>
      <w:tr>
        <w:tc>
          <w:tcPr>
            <w:tcW w:type="dxa" w:w="2600"/>
            <w:tcMar>
              <w:top w:type="dxa" w:w="100"/>
              <w:left w:type="dxa" w:w="120"/>
              <w:bottom w:type="dxa" w:w="100"/>
              <w:right w:type="dxa" w:w="120"/>
            </w:tcMar>
          </w:tcPr>
          <w:p>
            <w:r>
              <w:rPr>
                <w:i w:val="false"/>
                <w:iCs w:val="false"/>
                <w:color w:val="000000"/>
              </w:rPr>
              <w:t xml:space="preserve">FHIR</w:t>
            </w:r>
          </w:p>
        </w:tc>
        <w:tc>
          <w:tcPr>
            <w:tcW w:type="dxa" w:w="6640"/>
            <w:tcMar>
              <w:top w:type="dxa" w:w="100"/>
              <w:left w:type="dxa" w:w="120"/>
              <w:bottom w:type="dxa" w:w="100"/>
              <w:right w:type="dxa" w:w="120"/>
            </w:tcMar>
          </w:tcPr>
          <w:p>
            <w:r>
              <w:rPr>
                <w:i w:val="false"/>
                <w:iCs w:val="false"/>
                <w:color w:val="000000"/>
              </w:rPr>
              <w:t xml:space="preserve">Fast Healthcare Interoperability Resources — a standard for exchanging healthcare data electronically.</w:t>
            </w:r>
          </w:p>
        </w:tc>
      </w:tr>
      <w:tr>
        <w:tc>
          <w:tcPr>
            <w:tcW w:type="dxa" w:w="2600"/>
            <w:tcMar>
              <w:top w:type="dxa" w:w="100"/>
              <w:left w:type="dxa" w:w="120"/>
              <w:bottom w:type="dxa" w:w="100"/>
              <w:right w:type="dxa" w:w="120"/>
            </w:tcMar>
          </w:tcPr>
          <w:p>
            <w:r>
              <w:rPr>
                <w:i w:val="false"/>
                <w:iCs w:val="false"/>
                <w:color w:val="000000"/>
              </w:rPr>
              <w:t xml:space="preserve">Telehealth</w:t>
            </w:r>
          </w:p>
        </w:tc>
        <w:tc>
          <w:tcPr>
            <w:tcW w:type="dxa" w:w="6640"/>
            <w:tcMar>
              <w:top w:type="dxa" w:w="100"/>
              <w:left w:type="dxa" w:w="120"/>
              <w:bottom w:type="dxa" w:w="100"/>
              <w:right w:type="dxa" w:w="120"/>
            </w:tcMar>
          </w:tcPr>
          <w:p>
            <w:r>
              <w:rPr>
                <w:i w:val="false"/>
                <w:iCs w:val="false"/>
                <w:color w:val="000000"/>
              </w:rPr>
              <w:t xml:space="preserve">Delivery of healthcare services remotely via video or audio communication.</w:t>
            </w:r>
          </w:p>
        </w:tc>
      </w:tr>
      <w:tr>
        <w:tc>
          <w:tcPr>
            <w:tcW w:type="dxa" w:w="2600"/>
            <w:tcMar>
              <w:top w:type="dxa" w:w="100"/>
              <w:left w:type="dxa" w:w="120"/>
              <w:bottom w:type="dxa" w:w="100"/>
              <w:right w:type="dxa" w:w="120"/>
            </w:tcMar>
          </w:tcPr>
          <w:p>
            <w:r>
              <w:rPr>
                <w:i w:val="false"/>
                <w:iCs w:val="false"/>
                <w:color w:val="000000"/>
              </w:rPr>
              <w:t xml:space="preserve">Copay</w:t>
            </w:r>
          </w:p>
        </w:tc>
        <w:tc>
          <w:tcPr>
            <w:tcW w:type="dxa" w:w="6640"/>
            <w:tcMar>
              <w:top w:type="dxa" w:w="100"/>
              <w:left w:type="dxa" w:w="120"/>
              <w:bottom w:type="dxa" w:w="100"/>
              <w:right w:type="dxa" w:w="120"/>
            </w:tcMar>
          </w:tcPr>
          <w:p>
            <w:r>
              <w:rPr>
                <w:i w:val="false"/>
                <w:iCs w:val="false"/>
                <w:color w:val="000000"/>
              </w:rPr>
              <w:t xml:space="preserve">A fixed amount a patient pays for a covered healthcare service, per their insurance plan.</w:t>
            </w:r>
          </w:p>
        </w:tc>
      </w:tr>
      <w:tr>
        <w:tc>
          <w:tcPr>
            <w:tcW w:type="dxa" w:w="2600"/>
            <w:tcMar>
              <w:top w:type="dxa" w:w="100"/>
              <w:left w:type="dxa" w:w="120"/>
              <w:bottom w:type="dxa" w:w="100"/>
              <w:right w:type="dxa" w:w="120"/>
            </w:tcMar>
          </w:tcPr>
          <w:p>
            <w:r>
              <w:rPr>
                <w:i w:val="false"/>
                <w:iCs w:val="false"/>
                <w:color w:val="000000"/>
              </w:rPr>
              <w:t xml:space="preserve">BAA</w:t>
            </w:r>
          </w:p>
        </w:tc>
        <w:tc>
          <w:tcPr>
            <w:tcW w:type="dxa" w:w="6640"/>
            <w:tcMar>
              <w:top w:type="dxa" w:w="100"/>
              <w:left w:type="dxa" w:w="120"/>
              <w:bottom w:type="dxa" w:w="100"/>
              <w:right w:type="dxa" w:w="120"/>
            </w:tcMar>
          </w:tcPr>
          <w:p>
            <w:r>
              <w:rPr>
                <w:i w:val="false"/>
                <w:iCs w:val="false"/>
                <w:color w:val="000000"/>
              </w:rPr>
              <w:t xml:space="preserve">Business Associate Agreement — a HIPAA-required contract with vendors who handle PHI on a covered entity's behalf.</w:t>
            </w:r>
          </w:p>
        </w:tc>
      </w:tr>
    </w:tbl>
    <w:p>
      <w:pPr>
        <w:pStyle w:val="Heading1"/>
        <w:spacing w:after="200" w:before="400"/>
      </w:pPr>
      <w:r>
        <w:t xml:space="preserve">10. Attachments</w:t>
      </w:r>
    </w:p>
    <w:p>
      <w:pPr>
        <w:pStyle w:val="ListParagraph"/>
        <w:numPr>
          <w:ilvl w:val="0"/>
          <w:numId w:val="1"/>
        </w:numPr>
        <w:spacing w:after="80"/>
      </w:pPr>
      <w:r>
        <w:rPr>
          <w:i w:val="false"/>
          <w:iCs w:val="false"/>
          <w:color w:val="000000"/>
        </w:rPr>
        <w:t xml:space="preserve">Attachment A — Booking &amp; Telehealth UI Wireframes (Figma export, PDF)</w:t>
      </w:r>
    </w:p>
    <w:p>
      <w:pPr>
        <w:pStyle w:val="ListParagraph"/>
        <w:numPr>
          <w:ilvl w:val="0"/>
          <w:numId w:val="1"/>
        </w:numPr>
        <w:spacing w:after="80"/>
      </w:pPr>
      <w:r>
        <w:rPr>
          <w:i w:val="false"/>
          <w:iCs w:val="false"/>
          <w:color w:val="000000"/>
        </w:rPr>
        <w:t xml:space="preserve">Attachment B — MediConnect Entity-Relationship Diagram (v1.4)</w:t>
      </w:r>
    </w:p>
    <w:p>
      <w:pPr>
        <w:pStyle w:val="ListParagraph"/>
        <w:numPr>
          <w:ilvl w:val="0"/>
          <w:numId w:val="1"/>
        </w:numPr>
        <w:spacing w:after="80"/>
      </w:pPr>
      <w:r>
        <w:rPr>
          <w:i w:val="false"/>
          <w:iCs w:val="false"/>
          <w:color w:val="000000"/>
        </w:rPr>
        <w:t xml:space="preserve">Attachment C — HIPAA Security Rule Compliance Checklist (completed)</w:t>
      </w:r>
    </w:p>
    <w:p>
      <w:pPr>
        <w:pStyle w:val="ListParagraph"/>
        <w:numPr>
          <w:ilvl w:val="0"/>
          <w:numId w:val="1"/>
        </w:numPr>
        <w:spacing w:after="80"/>
      </w:pPr>
      <w:r>
        <w:rPr>
          <w:i w:val="false"/>
          <w:iCs w:val="false"/>
          <w:color w:val="000000"/>
        </w:rPr>
        <w:t xml:space="preserve">Attachment D — Twilio Video Session Sequence Diagram</w:t>
      </w:r>
    </w:p>
    <w:p>
      <w:pPr>
        <w:pStyle w:val="ListParagraph"/>
        <w:numPr>
          <w:ilvl w:val="0"/>
          <w:numId w:val="1"/>
        </w:numPr>
        <w:spacing w:after="80"/>
      </w:pPr>
      <w:r>
        <w:rPr>
          <w:i w:val="false"/>
          <w:iCs w:val="false"/>
          <w:color w:val="000000"/>
        </w:rPr>
        <w:t xml:space="preserve">Attachment E — Reminder Sequence Timing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MediConnect FRD — Release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2026-08-10T09:27:00.972Z</dcterms:created>
  <dcterms:modified xsi:type="dcterms:W3CDTF">2026-08-10T09:27:00.972Z</dcterms:modified>
</cp:coreProperties>
</file>

<file path=docProps/custom.xml><?xml version="1.0" encoding="utf-8"?>
<Properties xmlns="http://schemas.openxmlformats.org/officeDocument/2006/custom-properties" xmlns:vt="http://schemas.openxmlformats.org/officeDocument/2006/docPropsVTypes"/>
</file>