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29169341"/>
        <w:docPartObj>
          <w:docPartGallery w:val="Cover Pages"/>
          <w:docPartUnique/>
        </w:docPartObj>
      </w:sdtPr>
      <w:sdtEndPr>
        <w:rPr>
          <w:rFonts w:eastAsiaTheme="minorEastAsia"/>
        </w:rPr>
      </w:sdtEndPr>
      <w:sdtContent>
        <w:p w14:paraId="5462DF6A" w14:textId="771CD177" w:rsidR="00D457E9" w:rsidRPr="0095412B" w:rsidRDefault="00D457E9" w:rsidP="00D16F64">
          <w:pPr>
            <w:rPr>
              <w:rFonts w:ascii="Times New Roman" w:hAnsi="Times New Roman" w:cs="Times New Roman"/>
            </w:rPr>
          </w:pPr>
        </w:p>
        <w:p w14:paraId="1A4A5222" w14:textId="47E711C8" w:rsidR="0024476D" w:rsidRPr="0095412B" w:rsidRDefault="00D457E9" w:rsidP="00D16F64">
          <w:pPr>
            <w:rPr>
              <w:rFonts w:ascii="Times New Roman" w:eastAsiaTheme="minorEastAsia" w:hAnsi="Times New Roman" w:cs="Times New Roman"/>
            </w:rPr>
          </w:pPr>
          <w:r w:rsidRPr="0095412B">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43D72F61" wp14:editId="1275D22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6"/>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8B4BC9B" w14:textId="41DD4BE1" w:rsidR="00D457E9" w:rsidRDefault="00D457E9">
                                    <w:pPr>
                                      <w:pStyle w:val="NoSpacing"/>
                                      <w:jc w:val="right"/>
                                      <w:rPr>
                                        <w:caps/>
                                        <w:color w:val="262626" w:themeColor="text1" w:themeTint="D9"/>
                                        <w:sz w:val="28"/>
                                        <w:szCs w:val="28"/>
                                      </w:rPr>
                                    </w:pPr>
                                    <w:r>
                                      <w:rPr>
                                        <w:caps/>
                                        <w:color w:val="262626" w:themeColor="text1" w:themeTint="D9"/>
                                        <w:sz w:val="28"/>
                                        <w:szCs w:val="28"/>
                                      </w:rPr>
                                      <w:t>Vishnu Yannam</w:t>
                                    </w:r>
                                  </w:p>
                                </w:sdtContent>
                              </w:sdt>
                              <w:p w14:paraId="78B4792C" w14:textId="0A4973AC" w:rsidR="00D457E9" w:rsidRDefault="00D457E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z5417441</w:t>
                                    </w:r>
                                  </w:sdtContent>
                                </w:sdt>
                              </w:p>
                              <w:p w14:paraId="3E997848" w14:textId="4691C79C" w:rsidR="00D457E9" w:rsidRDefault="00D457E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43D72F61" id="_x0000_t202" coordsize="21600,21600" o:spt="202" path="m,l,21600r21600,l21600,xe">
                    <v:stroke joinstyle="miter"/>
                    <v:path gradientshapeok="t" o:connecttype="rect"/>
                  </v:shapetype>
                  <v:shape id="Text Box 26"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71RXgIAAC0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8B4BC9B" w14:textId="41DD4BE1" w:rsidR="00D457E9" w:rsidRDefault="00D457E9">
                              <w:pPr>
                                <w:pStyle w:val="NoSpacing"/>
                                <w:jc w:val="right"/>
                                <w:rPr>
                                  <w:caps/>
                                  <w:color w:val="262626" w:themeColor="text1" w:themeTint="D9"/>
                                  <w:sz w:val="28"/>
                                  <w:szCs w:val="28"/>
                                </w:rPr>
                              </w:pPr>
                              <w:r>
                                <w:rPr>
                                  <w:caps/>
                                  <w:color w:val="262626" w:themeColor="text1" w:themeTint="D9"/>
                                  <w:sz w:val="28"/>
                                  <w:szCs w:val="28"/>
                                </w:rPr>
                                <w:t>Vishnu Yannam</w:t>
                              </w:r>
                            </w:p>
                          </w:sdtContent>
                        </w:sdt>
                        <w:p w14:paraId="78B4792C" w14:textId="0A4973AC" w:rsidR="00D457E9" w:rsidRDefault="00D457E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z5417441</w:t>
                              </w:r>
                            </w:sdtContent>
                          </w:sdt>
                        </w:p>
                        <w:p w14:paraId="3E997848" w14:textId="4691C79C" w:rsidR="00D457E9" w:rsidRDefault="00D457E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95412B">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394A18B2" wp14:editId="6AA22BC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7"/>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37010" w14:textId="2D976DC3" w:rsidR="00D457E9" w:rsidRDefault="00D457E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ACTL3162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BDF14F8" w14:textId="04A2DA80" w:rsidR="00D457E9" w:rsidRDefault="00D457E9">
                                    <w:pPr>
                                      <w:pStyle w:val="NoSpacing"/>
                                      <w:jc w:val="right"/>
                                      <w:rPr>
                                        <w:smallCaps/>
                                        <w:color w:val="44546A" w:themeColor="text2"/>
                                        <w:sz w:val="36"/>
                                        <w:szCs w:val="36"/>
                                      </w:rPr>
                                    </w:pPr>
                                    <w:r>
                                      <w:rPr>
                                        <w:smallCaps/>
                                        <w:color w:val="44546A" w:themeColor="text2"/>
                                        <w:sz w:val="36"/>
                                        <w:szCs w:val="36"/>
                                      </w:rPr>
                                      <w:t>task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94A18B2" id="Text Box 27"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" filled="f" stroked="f" strokeweight=".5pt">
                    <v:textbox inset="0,0,0,0">
                      <w:txbxContent>
                        <w:p w14:paraId="71B37010" w14:textId="2D976DC3" w:rsidR="00D457E9" w:rsidRDefault="00D457E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ACTL3162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BDF14F8" w14:textId="04A2DA80" w:rsidR="00D457E9" w:rsidRDefault="00D457E9">
                              <w:pPr>
                                <w:pStyle w:val="NoSpacing"/>
                                <w:jc w:val="right"/>
                                <w:rPr>
                                  <w:smallCaps/>
                                  <w:color w:val="44546A" w:themeColor="text2"/>
                                  <w:sz w:val="36"/>
                                  <w:szCs w:val="36"/>
                                </w:rPr>
                              </w:pPr>
                              <w:r>
                                <w:rPr>
                                  <w:smallCaps/>
                                  <w:color w:val="44546A" w:themeColor="text2"/>
                                  <w:sz w:val="36"/>
                                  <w:szCs w:val="36"/>
                                </w:rPr>
                                <w:t>task 2</w:t>
                              </w:r>
                            </w:p>
                          </w:sdtContent>
                        </w:sdt>
                      </w:txbxContent>
                    </v:textbox>
                    <w10:wrap type="square" anchorx="page" anchory="page"/>
                  </v:shape>
                </w:pict>
              </mc:Fallback>
            </mc:AlternateContent>
          </w:r>
          <w:r w:rsidRPr="0095412B">
            <w:rPr>
              <w:rFonts w:ascii="Times New Roman" w:hAnsi="Times New Roman" w:cs="Times New Roman"/>
              <w:noProof/>
              <w:lang w:eastAsia="zh-CN"/>
            </w:rPr>
            <mc:AlternateContent>
              <mc:Choice Requires="wpg">
                <w:drawing>
                  <wp:anchor distT="0" distB="0" distL="114300" distR="114300" simplePos="0" relativeHeight="251659264" behindDoc="0" locked="0" layoutInCell="1" allowOverlap="1" wp14:anchorId="6A760CDD" wp14:editId="4DD8747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6C0392C" id="Group 2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rsidRPr="0095412B">
            <w:rPr>
              <w:rFonts w:ascii="Times New Roman" w:eastAsiaTheme="minorEastAsia" w:hAnsi="Times New Roman" w:cs="Times New Roman"/>
            </w:rPr>
            <w:br w:type="page"/>
          </w:r>
        </w:p>
      </w:sdtContent>
    </w:sdt>
    <w:p w14:paraId="1B4CF7A7" w14:textId="485FB25C" w:rsidR="00517076" w:rsidRPr="0095412B" w:rsidRDefault="00C328C5" w:rsidP="00952DBB">
      <w:pPr>
        <w:spacing w:line="276" w:lineRule="auto"/>
        <w:rPr>
          <w:rFonts w:ascii="Times New Roman" w:hAnsi="Times New Roman" w:cs="Times New Roman"/>
          <w:b/>
          <w:bCs/>
        </w:rPr>
      </w:pPr>
      <w:r w:rsidRPr="0095412B">
        <w:rPr>
          <w:rFonts w:ascii="Times New Roman" w:hAnsi="Times New Roman" w:cs="Times New Roman"/>
          <w:b/>
          <w:bCs/>
        </w:rPr>
        <w:lastRenderedPageBreak/>
        <w:t xml:space="preserve">1.0 </w:t>
      </w:r>
      <w:r w:rsidR="00517076" w:rsidRPr="0095412B">
        <w:rPr>
          <w:rFonts w:ascii="Times New Roman" w:hAnsi="Times New Roman" w:cs="Times New Roman"/>
          <w:b/>
          <w:bCs/>
        </w:rPr>
        <w:t xml:space="preserve">Introduction </w:t>
      </w:r>
    </w:p>
    <w:p w14:paraId="3D568E14" w14:textId="60FA8557" w:rsidR="00517076" w:rsidRPr="0095412B" w:rsidRDefault="00517076" w:rsidP="00952DBB">
      <w:pPr>
        <w:spacing w:line="276" w:lineRule="auto"/>
        <w:rPr>
          <w:rFonts w:ascii="Times New Roman" w:hAnsi="Times New Roman" w:cs="Times New Roman"/>
        </w:rPr>
      </w:pPr>
      <w:r w:rsidRPr="0095412B">
        <w:rPr>
          <w:rFonts w:ascii="Times New Roman" w:hAnsi="Times New Roman" w:cs="Times New Roman"/>
        </w:rPr>
        <w:t>A company’s net assets can be modelled by the following equation:</w:t>
      </w:r>
    </w:p>
    <w:p w14:paraId="3FAF58BF" w14:textId="77777777" w:rsidR="00517076" w:rsidRPr="0095412B" w:rsidRDefault="00517076" w:rsidP="00952DBB">
      <w:pPr>
        <w:spacing w:line="276" w:lineRule="auto"/>
        <w:rPr>
          <w:rFonts w:ascii="Times New Roman" w:hAnsi="Times New Roman" w:cs="Times New Roman"/>
        </w:rPr>
      </w:pPr>
    </w:p>
    <w:p w14:paraId="1F62A7DB" w14:textId="4FCB09B7" w:rsidR="00517076" w:rsidRPr="0095412B" w:rsidRDefault="005A24FF" w:rsidP="00952DBB">
      <w:pPr>
        <w:spacing w:line="276" w:lineRule="auto"/>
        <w:rPr>
          <w:rFonts w:ascii="Times New Roman" w:eastAsiaTheme="minorEastAsia" w:hAnsi="Times New Roman" w:cs="Times New Roman"/>
        </w:rPr>
      </w:pPr>
      <m:oMathPara>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+π</m:t>
          </m:r>
          <m:r>
            <w:rPr>
              <w:rFonts w:ascii="Cambria Math" w:hAnsi="Cambria Math" w:cs="Times New Roman"/>
            </w:rPr>
            <m:t>t-</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N(t)</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m:oMathPara>
    </w:p>
    <w:p w14:paraId="4614E9FE" w14:textId="0C86F34A" w:rsidR="00C328C5" w:rsidRPr="0095412B" w:rsidRDefault="00C328C5" w:rsidP="00952DBB">
      <w:pPr>
        <w:spacing w:line="276" w:lineRule="auto"/>
        <w:rPr>
          <w:rFonts w:ascii="Times New Roman" w:eastAsiaTheme="minorEastAsia" w:hAnsi="Times New Roman" w:cs="Times New Roman"/>
        </w:rPr>
      </w:pPr>
      <w:r w:rsidRPr="0095412B">
        <w:rPr>
          <w:rFonts w:ascii="Times New Roman" w:eastAsiaTheme="minorEastAsia" w:hAnsi="Times New Roman" w:cs="Times New Roman"/>
        </w:rPr>
        <w:t>Where:</w:t>
      </w:r>
    </w:p>
    <w:p w14:paraId="402ABBAE" w14:textId="1FE3964A" w:rsidR="00C328C5" w:rsidRPr="0095412B" w:rsidRDefault="00C328C5" w:rsidP="00952DBB">
      <w:pPr>
        <w:pStyle w:val="ListParagraph"/>
        <w:numPr>
          <w:ilvl w:val="0"/>
          <w:numId w:val="1"/>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oMath>
      <w:r w:rsidRPr="0095412B">
        <w:rPr>
          <w:rFonts w:ascii="Times New Roman" w:eastAsiaTheme="minorEastAsia" w:hAnsi="Times New Roman" w:cs="Times New Roman"/>
        </w:rPr>
        <w:t xml:space="preserve"> is the initial surplus</w:t>
      </w:r>
    </w:p>
    <w:p w14:paraId="31638305" w14:textId="76AECFF0" w:rsidR="00C328C5" w:rsidRPr="0095412B" w:rsidRDefault="00C328C5" w:rsidP="00952DBB">
      <w:pPr>
        <w:pStyle w:val="ListParagraph"/>
        <w:numPr>
          <w:ilvl w:val="0"/>
          <w:numId w:val="1"/>
        </w:numPr>
        <w:spacing w:line="276" w:lineRule="auto"/>
        <w:rPr>
          <w:rFonts w:ascii="Times New Roman" w:hAnsi="Times New Roman" w:cs="Times New Roman"/>
        </w:rPr>
      </w:pPr>
      <m:oMath>
        <m:r>
          <w:rPr>
            <w:rFonts w:ascii="Cambria Math" w:hAnsi="Cambria Math" w:cs="Times New Roman"/>
          </w:rPr>
          <m:t>π</m:t>
        </m:r>
      </m:oMath>
      <w:r w:rsidRPr="0095412B">
        <w:rPr>
          <w:rFonts w:ascii="Times New Roman" w:eastAsiaTheme="minorEastAsia" w:hAnsi="Times New Roman" w:cs="Times New Roman"/>
        </w:rPr>
        <w:t xml:space="preserve"> is the premium rate </w:t>
      </w:r>
    </w:p>
    <w:p w14:paraId="45377635" w14:textId="2678D7FB" w:rsidR="00C328C5" w:rsidRPr="0095412B" w:rsidRDefault="00C328C5" w:rsidP="00952DBB">
      <w:pPr>
        <w:pStyle w:val="ListParagraph"/>
        <w:numPr>
          <w:ilvl w:val="0"/>
          <w:numId w:val="1"/>
        </w:numPr>
        <w:spacing w:line="276" w:lineRule="auto"/>
        <w:rPr>
          <w:rFonts w:ascii="Times New Roman" w:hAnsi="Times New Roman" w:cs="Times New Roman"/>
        </w:rPr>
      </w:pP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N(t)</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w:r w:rsidRPr="0095412B">
        <w:rPr>
          <w:rFonts w:ascii="Times New Roman" w:eastAsiaTheme="minorEastAsia" w:hAnsi="Times New Roman" w:cs="Times New Roman"/>
        </w:rPr>
        <w:t xml:space="preserve"> is the aggregate amount of losses up to time </w:t>
      </w:r>
      <w:proofErr w:type="gramStart"/>
      <w:r w:rsidRPr="0095412B">
        <w:rPr>
          <w:rFonts w:ascii="Times New Roman" w:eastAsiaTheme="minorEastAsia" w:hAnsi="Times New Roman" w:cs="Times New Roman"/>
        </w:rPr>
        <w:t>t</w:t>
      </w:r>
      <w:proofErr w:type="gramEnd"/>
    </w:p>
    <w:p w14:paraId="4CF99540" w14:textId="77777777" w:rsidR="00C328C5" w:rsidRPr="0095412B" w:rsidRDefault="00C328C5" w:rsidP="00952DBB">
      <w:pPr>
        <w:spacing w:line="276" w:lineRule="auto"/>
        <w:rPr>
          <w:rFonts w:ascii="Times New Roman" w:hAnsi="Times New Roman" w:cs="Times New Roman"/>
        </w:rPr>
      </w:pPr>
    </w:p>
    <w:p w14:paraId="77850485" w14:textId="1F374350" w:rsidR="00C328C5" w:rsidRPr="0095412B" w:rsidRDefault="00C328C5" w:rsidP="00952DBB">
      <w:pPr>
        <w:spacing w:line="276" w:lineRule="auto"/>
        <w:rPr>
          <w:rFonts w:ascii="Times New Roman" w:eastAsiaTheme="minorEastAsia" w:hAnsi="Times New Roman" w:cs="Times New Roman"/>
        </w:rPr>
      </w:pPr>
      <w:r w:rsidRPr="0095412B">
        <w:rPr>
          <w:rFonts w:ascii="Times New Roman" w:hAnsi="Times New Roman" w:cs="Times New Roman"/>
        </w:rPr>
        <w:t xml:space="preserve">The Cramér-Lundberg model assumes that each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Pr="0095412B">
        <w:rPr>
          <w:rFonts w:ascii="Times New Roman" w:eastAsiaTheme="minorEastAsia" w:hAnsi="Times New Roman" w:cs="Times New Roman"/>
        </w:rPr>
        <w:t xml:space="preserve"> is independently and identically distributed. </w:t>
      </w:r>
    </w:p>
    <w:p w14:paraId="6C418634" w14:textId="77777777" w:rsidR="00C328C5" w:rsidRPr="0095412B" w:rsidRDefault="00C328C5" w:rsidP="00952DBB">
      <w:pPr>
        <w:spacing w:line="276" w:lineRule="auto"/>
        <w:rPr>
          <w:rFonts w:ascii="Times New Roman" w:eastAsiaTheme="minorEastAsia" w:hAnsi="Times New Roman" w:cs="Times New Roman"/>
        </w:rPr>
      </w:pPr>
    </w:p>
    <w:p w14:paraId="5EC1DAAD" w14:textId="790E691D" w:rsidR="00C328C5" w:rsidRPr="0095412B" w:rsidRDefault="00C328C5" w:rsidP="00952DBB">
      <w:pPr>
        <w:spacing w:line="276" w:lineRule="auto"/>
        <w:rPr>
          <w:rFonts w:ascii="Times New Roman" w:eastAsiaTheme="minorEastAsia" w:hAnsi="Times New Roman" w:cs="Times New Roman"/>
          <w:b/>
          <w:bCs/>
        </w:rPr>
      </w:pPr>
      <w:r w:rsidRPr="0095412B">
        <w:rPr>
          <w:rFonts w:ascii="Times New Roman" w:eastAsiaTheme="minorEastAsia" w:hAnsi="Times New Roman" w:cs="Times New Roman"/>
          <w:b/>
          <w:bCs/>
        </w:rPr>
        <w:t>2.0 The Probability of Ruin</w:t>
      </w:r>
    </w:p>
    <w:p w14:paraId="245F024D" w14:textId="1C668FA1" w:rsidR="00C328C5" w:rsidRPr="0095412B" w:rsidRDefault="001459A4" w:rsidP="00952DBB">
      <w:pPr>
        <w:spacing w:line="276" w:lineRule="auto"/>
        <w:rPr>
          <w:rFonts w:ascii="Times New Roman" w:hAnsi="Times New Roman" w:cs="Times New Roman"/>
        </w:rPr>
      </w:pPr>
      <w:r w:rsidRPr="0095412B">
        <w:rPr>
          <w:rFonts w:ascii="Times New Roman" w:hAnsi="Times New Roman" w:cs="Times New Roman"/>
        </w:rPr>
        <w:t>R</w:t>
      </w:r>
      <w:r w:rsidRPr="0095412B">
        <w:rPr>
          <w:rFonts w:ascii="Times New Roman" w:hAnsi="Times New Roman" w:cs="Times New Roman"/>
        </w:rPr>
        <w:t xml:space="preserve">uin Theory involves using mathematical models to assess an insurance company's risk of going bankrupt. Essentially, the 'probability of ruin' denotes the likelihood of a company, starting with an initial capital of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oMath>
      <w:r w:rsidRPr="0095412B">
        <w:rPr>
          <w:rFonts w:ascii="Times New Roman" w:hAnsi="Times New Roman" w:cs="Times New Roman"/>
        </w:rPr>
        <w:t>, heading towards insolvency and thus being incapable of sustaining itself, represented as</w:t>
      </w:r>
      <m:oMath>
        <m:r>
          <w:rPr>
            <w:rFonts w:ascii="Cambria Math" w:hAnsi="Cambria Math" w:cs="Times New Roman"/>
          </w:rPr>
          <m:t xml:space="preserve"> ψ</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0</m:t>
            </m:r>
          </m:sub>
        </m:sSub>
        <m:r>
          <w:rPr>
            <w:rFonts w:ascii="Cambria Math" w:hAnsi="Cambria Math" w:cs="Times New Roman"/>
          </w:rPr>
          <m:t>)</m:t>
        </m:r>
      </m:oMath>
      <w:r w:rsidRPr="0095412B">
        <w:rPr>
          <w:rFonts w:ascii="Times New Roman" w:eastAsiaTheme="minorEastAsia" w:hAnsi="Times New Roman" w:cs="Times New Roman"/>
        </w:rPr>
        <w:t xml:space="preserve">. </w:t>
      </w:r>
      <w:r w:rsidRPr="0095412B">
        <w:rPr>
          <w:rFonts w:ascii="Times New Roman" w:hAnsi="Times New Roman" w:cs="Times New Roman"/>
        </w:rPr>
        <w:t xml:space="preserve">However, for practical purposes, it's often more beneficial to determine this probability over a specific timeframe, represented as </w:t>
      </w:r>
      <m:oMath>
        <m:sSub>
          <m:sSubPr>
            <m:ctrlPr>
              <w:rPr>
                <w:rFonts w:ascii="Cambria Math" w:hAnsi="Cambria Math" w:cs="Times New Roman"/>
              </w:rPr>
            </m:ctrlPr>
          </m:sSubPr>
          <m:e>
            <m:r>
              <w:rPr>
                <w:rFonts w:ascii="Cambria Math" w:hAnsi="Cambria Math" w:cs="Times New Roman"/>
              </w:rPr>
              <m:t>ψ</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0</m:t>
            </m:r>
          </m:sub>
        </m:sSub>
        <m:r>
          <w:rPr>
            <w:rFonts w:ascii="Cambria Math" w:hAnsi="Cambria Math" w:cs="Times New Roman"/>
          </w:rPr>
          <m:t>)</m:t>
        </m:r>
      </m:oMath>
      <w:r w:rsidRPr="0095412B">
        <w:rPr>
          <w:rFonts w:ascii="Times New Roman" w:eastAsiaTheme="minorEastAsia" w:hAnsi="Times New Roman" w:cs="Times New Roman"/>
        </w:rPr>
        <w:t>.</w:t>
      </w:r>
    </w:p>
    <w:p w14:paraId="36489BCC" w14:textId="77777777" w:rsidR="00BA2424" w:rsidRPr="0095412B" w:rsidRDefault="00BA2424" w:rsidP="00952DBB">
      <w:pPr>
        <w:spacing w:line="276" w:lineRule="auto"/>
        <w:rPr>
          <w:rFonts w:ascii="Times New Roman" w:hAnsi="Times New Roman" w:cs="Times New Roman"/>
        </w:rPr>
      </w:pPr>
    </w:p>
    <w:p w14:paraId="3DE3FE31" w14:textId="4AF10CD1" w:rsidR="00F80438" w:rsidRPr="0095412B" w:rsidRDefault="00F3510E" w:rsidP="00952DBB">
      <w:pPr>
        <w:spacing w:line="276" w:lineRule="auto"/>
        <w:rPr>
          <w:rFonts w:ascii="Times New Roman" w:eastAsiaTheme="minorEastAsia" w:hAnsi="Times New Roman" w:cs="Times New Roman"/>
          <w:b/>
          <w:bCs/>
        </w:rPr>
      </w:pPr>
      <w:r w:rsidRPr="0095412B">
        <w:rPr>
          <w:rFonts w:ascii="Times New Roman" w:eastAsiaTheme="minorEastAsia" w:hAnsi="Times New Roman" w:cs="Times New Roman"/>
          <w:b/>
          <w:bCs/>
        </w:rPr>
        <w:t>3</w:t>
      </w:r>
      <w:r w:rsidR="00F80438" w:rsidRPr="0095412B">
        <w:rPr>
          <w:rFonts w:ascii="Times New Roman" w:eastAsiaTheme="minorEastAsia" w:hAnsi="Times New Roman" w:cs="Times New Roman"/>
          <w:b/>
          <w:bCs/>
        </w:rPr>
        <w:t xml:space="preserve">.0 Proportional vs Excess of Loss Reinsurance </w:t>
      </w:r>
    </w:p>
    <w:p w14:paraId="2BD98FC6" w14:textId="77777777" w:rsidR="004745C3" w:rsidRPr="0095412B" w:rsidRDefault="004745C3" w:rsidP="00952DBB">
      <w:pPr>
        <w:spacing w:line="276" w:lineRule="auto"/>
        <w:rPr>
          <w:rFonts w:ascii="Times New Roman" w:eastAsiaTheme="minorEastAsia" w:hAnsi="Times New Roman" w:cs="Times New Roman"/>
          <w:b/>
          <w:bCs/>
        </w:rPr>
      </w:pPr>
    </w:p>
    <w:p w14:paraId="04DC04F8" w14:textId="4799D430" w:rsidR="004745C3" w:rsidRPr="0095412B" w:rsidRDefault="00F3510E" w:rsidP="00952DBB">
      <w:pPr>
        <w:spacing w:line="276" w:lineRule="auto"/>
        <w:rPr>
          <w:rFonts w:ascii="Times New Roman" w:hAnsi="Times New Roman" w:cs="Times New Roman"/>
          <w:b/>
          <w:bCs/>
        </w:rPr>
      </w:pPr>
      <w:r w:rsidRPr="0095412B">
        <w:rPr>
          <w:rFonts w:ascii="Times New Roman" w:eastAsiaTheme="minorEastAsia" w:hAnsi="Times New Roman" w:cs="Times New Roman"/>
          <w:b/>
          <w:bCs/>
        </w:rPr>
        <w:t>3</w:t>
      </w:r>
      <w:r w:rsidR="004745C3" w:rsidRPr="0095412B">
        <w:rPr>
          <w:rFonts w:ascii="Times New Roman" w:eastAsiaTheme="minorEastAsia" w:hAnsi="Times New Roman" w:cs="Times New Roman"/>
          <w:b/>
          <w:bCs/>
        </w:rPr>
        <w:t>.1 Ruin Probabilities within 5 years</w:t>
      </w:r>
    </w:p>
    <w:p w14:paraId="4BD43409" w14:textId="31E4F3C1" w:rsidR="00F80438" w:rsidRPr="0095412B" w:rsidRDefault="00207764" w:rsidP="00952DBB">
      <w:pPr>
        <w:spacing w:line="276" w:lineRule="auto"/>
        <w:rPr>
          <w:rFonts w:ascii="Times New Roman" w:hAnsi="Times New Roman" w:cs="Times New Roman"/>
        </w:rPr>
      </w:pPr>
      <w:r w:rsidRPr="0095412B">
        <w:rPr>
          <w:rFonts w:ascii="Times New Roman" w:hAnsi="Times New Roman" w:cs="Times New Roman"/>
        </w:rPr>
        <w:t>Reinsurance is a strategy employed to distribute a risk, ensuring that should a claim arise, the primary insurer doesn't bear the full brunt. This principle naturally ties into the probability of ruin. By using reinsurance, the insurer isn't solely responsible for settling the entire claim, which in turn should diminish their risk of insolvency. Let's denote the amount paid by the Reinsurer as h(</w:t>
      </w:r>
      <w:r w:rsidR="00C03DB5" w:rsidRPr="0095412B">
        <w:rPr>
          <w:rFonts w:ascii="Times New Roman" w:hAnsi="Times New Roman" w:cs="Times New Roman"/>
        </w:rPr>
        <w:t>Y</w:t>
      </w:r>
      <w:r w:rsidRPr="0095412B">
        <w:rPr>
          <w:rFonts w:ascii="Times New Roman" w:hAnsi="Times New Roman" w:cs="Times New Roman"/>
        </w:rPr>
        <w:t>). With a provided loading factor ξ of 0.</w:t>
      </w:r>
      <w:r w:rsidR="00C03DB5" w:rsidRPr="0095412B">
        <w:rPr>
          <w:rFonts w:ascii="Times New Roman" w:hAnsi="Times New Roman" w:cs="Times New Roman"/>
        </w:rPr>
        <w:t>125</w:t>
      </w:r>
      <w:r w:rsidRPr="0095412B">
        <w:rPr>
          <w:rFonts w:ascii="Times New Roman" w:hAnsi="Times New Roman" w:cs="Times New Roman"/>
        </w:rPr>
        <w:t xml:space="preserve"> and a retention rate α of 0.</w:t>
      </w:r>
      <w:r w:rsidR="00C03DB5" w:rsidRPr="0095412B">
        <w:rPr>
          <w:rFonts w:ascii="Times New Roman" w:hAnsi="Times New Roman" w:cs="Times New Roman"/>
        </w:rPr>
        <w:t>7</w:t>
      </w:r>
      <w:r w:rsidRPr="0095412B">
        <w:rPr>
          <w:rFonts w:ascii="Times New Roman" w:hAnsi="Times New Roman" w:cs="Times New Roman"/>
        </w:rPr>
        <w:t>, the Cramér-Lundberg model can be reformulated as follows:</w:t>
      </w:r>
    </w:p>
    <w:p w14:paraId="7576CEFF" w14:textId="75F61B62" w:rsidR="005A50D6" w:rsidRPr="0095412B" w:rsidRDefault="002E3A9C" w:rsidP="00952DBB">
      <w:pPr>
        <w:spacing w:line="276" w:lineRule="auto"/>
        <w:rPr>
          <w:rFonts w:ascii="Times New Roman" w:eastAsiaTheme="minorEastAsia" w:hAnsi="Times New Roman" w:cs="Times New Roman"/>
        </w:rPr>
      </w:pPr>
      <m:oMathPara>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h</m:t>
                  </m:r>
                </m:sub>
              </m:sSub>
            </m:e>
          </m:d>
          <m:r>
            <w:rPr>
              <w:rFonts w:ascii="Cambria Math" w:hAnsi="Cambria Math" w:cs="Times New Roman"/>
            </w:rPr>
            <m:t>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e>
          </m:nary>
        </m:oMath>
      </m:oMathPara>
    </w:p>
    <w:p w14:paraId="42D05FB0" w14:textId="7FA051F7" w:rsidR="002E3A9C" w:rsidRPr="0095412B" w:rsidRDefault="002E3A9C" w:rsidP="00952DBB">
      <w:pPr>
        <w:spacing w:line="276" w:lineRule="auto"/>
        <w:rPr>
          <w:rFonts w:ascii="Times New Roman" w:hAnsi="Times New Roman" w:cs="Times New Roman"/>
        </w:rPr>
      </w:pPr>
      <w:r w:rsidRPr="0095412B">
        <w:rPr>
          <w:rFonts w:ascii="Times New Roman" w:hAnsi="Times New Roman" w:cs="Times New Roman"/>
        </w:rPr>
        <w:t>This can be conceptually distilled to a Cramér-Lundberg process without reinsurance, characteri</w:t>
      </w:r>
      <w:r w:rsidR="00F3510E" w:rsidRPr="0095412B">
        <w:rPr>
          <w:rFonts w:ascii="Times New Roman" w:hAnsi="Times New Roman" w:cs="Times New Roman"/>
        </w:rPr>
        <w:t>s</w:t>
      </w:r>
      <w:r w:rsidRPr="0095412B">
        <w:rPr>
          <w:rFonts w:ascii="Times New Roman" w:hAnsi="Times New Roman" w:cs="Times New Roman"/>
        </w:rPr>
        <w:t xml:space="preserve">ed by a rate of </w:t>
      </w:r>
      <w:r w:rsidRPr="0095412B">
        <w:rPr>
          <w:rFonts w:ascii="Cambria Math" w:hAnsi="Cambria Math" w:cs="Cambria Math"/>
        </w:rPr>
        <w:t>𝜋</w:t>
      </w:r>
      <w:r w:rsidRPr="0095412B">
        <w:rPr>
          <w:rFonts w:ascii="Times New Roman" w:hAnsi="Times New Roman" w:cs="Times New Roman"/>
        </w:rPr>
        <w:t xml:space="preserve"> − </w:t>
      </w:r>
      <w:r w:rsidRPr="0095412B">
        <w:rPr>
          <w:rFonts w:ascii="Cambria Math" w:hAnsi="Cambria Math" w:cs="Cambria Math"/>
        </w:rPr>
        <w:t>𝜋</w:t>
      </w:r>
      <w:r w:rsidRPr="0095412B">
        <w:rPr>
          <w:rFonts w:ascii="Times New Roman" w:hAnsi="Times New Roman" w:cs="Times New Roman"/>
        </w:rPr>
        <w:t xml:space="preserve">h and a claim severity of </w:t>
      </w:r>
      <w:r w:rsidR="00814FAF" w:rsidRPr="0095412B">
        <w:rPr>
          <w:rFonts w:ascii="Times New Roman" w:hAnsi="Times New Roman" w:cs="Times New Roman"/>
        </w:rPr>
        <w:t>Y</w:t>
      </w:r>
      <w:r w:rsidRPr="0095412B">
        <w:rPr>
          <w:rFonts w:ascii="Cambria Math" w:hAnsi="Cambria Math" w:cs="Cambria Math"/>
        </w:rPr>
        <w:t>𝑖</w:t>
      </w:r>
      <w:r w:rsidRPr="0095412B">
        <w:rPr>
          <w:rFonts w:ascii="Times New Roman" w:hAnsi="Times New Roman" w:cs="Times New Roman"/>
        </w:rPr>
        <w:t xml:space="preserve"> − h(</w:t>
      </w:r>
      <w:r w:rsidR="00814FAF" w:rsidRPr="0095412B">
        <w:rPr>
          <w:rFonts w:ascii="Times New Roman" w:hAnsi="Times New Roman" w:cs="Times New Roman"/>
        </w:rPr>
        <w:t>Y</w:t>
      </w:r>
      <w:r w:rsidR="00244321" w:rsidRPr="0095412B">
        <w:rPr>
          <w:rFonts w:ascii="Cambria Math" w:hAnsi="Cambria Math" w:cs="Cambria Math"/>
        </w:rPr>
        <w:t>𝑖</w:t>
      </w:r>
      <w:r w:rsidR="00244321" w:rsidRPr="0095412B">
        <w:rPr>
          <w:rFonts w:ascii="Times New Roman" w:hAnsi="Times New Roman" w:cs="Times New Roman"/>
        </w:rPr>
        <w:t>)</w:t>
      </w:r>
      <w:r w:rsidRPr="0095412B">
        <w:rPr>
          <w:rFonts w:ascii="Times New Roman" w:hAnsi="Times New Roman" w:cs="Times New Roman"/>
        </w:rPr>
        <w:t xml:space="preserve"> which equals </w:t>
      </w:r>
      <m:oMath>
        <m:r>
          <w:rPr>
            <w:rFonts w:ascii="Cambria Math" w:hAnsi="Cambria Math" w:cs="Times New Roman"/>
          </w:rPr>
          <m:t>α</m:t>
        </m:r>
      </m:oMath>
      <w:r w:rsidR="00814FAF" w:rsidRPr="0095412B">
        <w:rPr>
          <w:rFonts w:ascii="Times New Roman" w:hAnsi="Times New Roman" w:cs="Times New Roman"/>
        </w:rPr>
        <w:t>Y</w:t>
      </w:r>
      <w:r w:rsidRPr="0095412B">
        <w:rPr>
          <w:rFonts w:ascii="Cambria Math" w:hAnsi="Cambria Math" w:cs="Cambria Math"/>
        </w:rPr>
        <w:t>𝑖</w:t>
      </w:r>
      <w:r w:rsidRPr="0095412B">
        <w:rPr>
          <w:rFonts w:ascii="Times New Roman" w:hAnsi="Times New Roman" w:cs="Times New Roman"/>
        </w:rPr>
        <w:t>. With this understanding, we can employ R to determine the probability of ruin over a span of 5 years using the "ruin" package. The premium rate can be determined as follows:</w:t>
      </w:r>
    </w:p>
    <w:p w14:paraId="558CD4B4" w14:textId="77777777" w:rsidR="00BD3FF5" w:rsidRPr="0095412B" w:rsidRDefault="00BD3FF5" w:rsidP="00952DBB">
      <w:pPr>
        <w:spacing w:line="276" w:lineRule="auto"/>
        <w:rPr>
          <w:rFonts w:ascii="Times New Roman" w:hAnsi="Times New Roman" w:cs="Times New Roman"/>
        </w:rPr>
      </w:pPr>
    </w:p>
    <w:p w14:paraId="07C22DED" w14:textId="5B5C090A" w:rsidR="005945D1" w:rsidRPr="0095412B" w:rsidRDefault="005945D1" w:rsidP="00952DBB">
      <w:pPr>
        <w:spacing w:line="276" w:lineRule="auto"/>
        <w:rPr>
          <w:rFonts w:ascii="Times New Roman" w:eastAsiaTheme="minorEastAsia" w:hAnsi="Times New Roman" w:cs="Times New Roman"/>
        </w:rPr>
      </w:pPr>
      <m:oMathPara>
        <m:oMath>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h</m:t>
              </m:r>
            </m:sub>
          </m:sSub>
          <m:r>
            <w:rPr>
              <w:rFonts w:ascii="Cambria Math" w:eastAsiaTheme="minorEastAsia" w:hAnsi="Cambria Math" w:cs="Times New Roman"/>
            </w:rPr>
            <m:t>=17.92-</m:t>
          </m:r>
          <m:d>
            <m:dPr>
              <m:ctrlPr>
                <w:rPr>
                  <w:rFonts w:ascii="Cambria Math" w:eastAsiaTheme="minorEastAsia" w:hAnsi="Cambria Math" w:cs="Times New Roman"/>
                  <w:i/>
                </w:rPr>
              </m:ctrlPr>
            </m:dPr>
            <m:e>
              <m:r>
                <w:rPr>
                  <w:rFonts w:ascii="Cambria Math" w:eastAsiaTheme="minorEastAsia" w:hAnsi="Cambria Math" w:cs="Times New Roman"/>
                </w:rPr>
                <m:t>1+ξ</m:t>
              </m:r>
            </m:e>
          </m:d>
          <m:r>
            <w:rPr>
              <w:rFonts w:ascii="Cambria Math" w:eastAsiaTheme="minorEastAsia" w:hAnsi="Cambria Math" w:cs="Times New Roman"/>
            </w:rPr>
            <m:t>λE</m:t>
          </m:r>
          <m:d>
            <m:dPr>
              <m:begChr m:val="["/>
              <m:endChr m:val="]"/>
              <m:ctrlPr>
                <w:rPr>
                  <w:rFonts w:ascii="Cambria Math" w:eastAsiaTheme="minorEastAsia" w:hAnsi="Cambria Math" w:cs="Times New Roman"/>
                  <w:i/>
                </w:rPr>
              </m:ctrlPr>
            </m:dPr>
            <m:e>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Y</m:t>
                  </m:r>
                </m:e>
              </m:d>
            </m:e>
          </m:d>
        </m:oMath>
      </m:oMathPara>
    </w:p>
    <w:p w14:paraId="3CD0899F" w14:textId="761A1220" w:rsidR="005945D1" w:rsidRPr="0095412B" w:rsidRDefault="005945D1" w:rsidP="00952DBB">
      <w:pPr>
        <w:spacing w:line="276" w:lineRule="auto"/>
        <w:rPr>
          <w:rFonts w:ascii="Times New Roman" w:eastAsiaTheme="minorEastAsia" w:hAnsi="Times New Roman" w:cs="Times New Roman"/>
        </w:rPr>
      </w:pPr>
      <m:oMathPara>
        <m:oMath>
          <m:r>
            <w:rPr>
              <w:rFonts w:ascii="Cambria Math" w:eastAsiaTheme="minorEastAsia" w:hAnsi="Cambria Math" w:cs="Times New Roman"/>
            </w:rPr>
            <m:t>=17.92-</m:t>
          </m:r>
          <m:d>
            <m:dPr>
              <m:ctrlPr>
                <w:rPr>
                  <w:rFonts w:ascii="Cambria Math" w:eastAsiaTheme="minorEastAsia" w:hAnsi="Cambria Math" w:cs="Times New Roman"/>
                  <w:i/>
                </w:rPr>
              </m:ctrlPr>
            </m:dPr>
            <m:e>
              <m:r>
                <w:rPr>
                  <w:rFonts w:ascii="Cambria Math" w:eastAsiaTheme="minorEastAsia" w:hAnsi="Cambria Math" w:cs="Times New Roman"/>
                </w:rPr>
                <m:t>1.125</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1-α</m:t>
              </m:r>
            </m:e>
          </m:d>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oMath>
      </m:oMathPara>
    </w:p>
    <w:p w14:paraId="2A4FB977" w14:textId="3D022B38" w:rsidR="005945D1" w:rsidRPr="0095412B" w:rsidRDefault="005945D1" w:rsidP="00952DBB">
      <w:pPr>
        <w:spacing w:line="276" w:lineRule="auto"/>
        <w:rPr>
          <w:rFonts w:ascii="Times New Roman" w:eastAsiaTheme="minorEastAsia" w:hAnsi="Times New Roman" w:cs="Times New Roman"/>
        </w:rPr>
      </w:pPr>
      <m:oMathPara>
        <m:oMath>
          <m:r>
            <w:rPr>
              <w:rFonts w:ascii="Cambria Math" w:eastAsiaTheme="minorEastAsia" w:hAnsi="Cambria Math" w:cs="Times New Roman"/>
            </w:rPr>
            <m:t>=17.92-</m:t>
          </m:r>
          <m:d>
            <m:dPr>
              <m:ctrlPr>
                <w:rPr>
                  <w:rFonts w:ascii="Cambria Math" w:eastAsiaTheme="minorEastAsia" w:hAnsi="Cambria Math" w:cs="Times New Roman"/>
                  <w:i/>
                </w:rPr>
              </m:ctrlPr>
            </m:dPr>
            <m:e>
              <m:r>
                <w:rPr>
                  <w:rFonts w:ascii="Cambria Math" w:eastAsiaTheme="minorEastAsia" w:hAnsi="Cambria Math" w:cs="Times New Roman"/>
                </w:rPr>
                <m:t>1.125</m:t>
              </m:r>
            </m:e>
          </m:d>
          <m:r>
            <w:rPr>
              <w:rFonts w:ascii="Cambria Math" w:eastAsiaTheme="minorEastAsia" w:hAnsi="Cambria Math" w:cs="Times New Roman"/>
            </w:rPr>
            <m:t>×</m:t>
          </m:r>
          <m:r>
            <w:rPr>
              <w:rFonts w:ascii="Cambria Math" w:eastAsiaTheme="minorEastAsia" w:hAnsi="Cambria Math" w:cs="Times New Roman"/>
            </w:rPr>
            <m:t>0.3×</m:t>
          </m:r>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r>
            <w:rPr>
              <w:rFonts w:ascii="Cambria Math" w:eastAsiaTheme="minorEastAsia" w:hAnsi="Cambria Math" w:cs="Times New Roman"/>
            </w:rPr>
            <m:t>16.795</m:t>
          </m:r>
        </m:oMath>
      </m:oMathPara>
    </w:p>
    <w:p w14:paraId="1B5DD558" w14:textId="11E5D043" w:rsidR="00E07980" w:rsidRPr="0095412B" w:rsidRDefault="00E07980" w:rsidP="00952DBB">
      <w:pPr>
        <w:pStyle w:val="NormalWeb"/>
        <w:spacing w:line="276" w:lineRule="auto"/>
      </w:pPr>
      <w:r w:rsidRPr="0095412B">
        <w:t xml:space="preserve">The revised claim severity is represented as </w:t>
      </w:r>
      <m:oMath>
        <m:r>
          <w:rPr>
            <w:rFonts w:ascii="Cambria Math" w:hAnsi="Cambria Math"/>
          </w:rPr>
          <m:t>αY</m:t>
        </m:r>
      </m:oMath>
      <w:r w:rsidRPr="0095412B">
        <w:t xml:space="preserve">. By leveraging the scaling trait of the gamma distribution, if </w:t>
      </w:r>
      <w:r w:rsidRPr="0095412B">
        <w:t>Y</w:t>
      </w:r>
      <w:r w:rsidRPr="0095412B">
        <w:t xml:space="preserve"> </w:t>
      </w:r>
      <w:r w:rsidRPr="0095412B">
        <w:t>~</w:t>
      </w:r>
      <w:r w:rsidRPr="0095412B">
        <w:t xml:space="preserve"> </w:t>
      </w:r>
      <w:r w:rsidRPr="0095412B">
        <w:rPr>
          <w:rFonts w:ascii="Cambria Math" w:hAnsi="Cambria Math" w:cs="Cambria Math"/>
        </w:rPr>
        <w:t>𝐺𝑎𝑚𝑚𝑎</w:t>
      </w:r>
      <w:r w:rsidRPr="0095412B">
        <w:t>(</w:t>
      </w:r>
      <w:r w:rsidRPr="0095412B">
        <w:t>5</w:t>
      </w:r>
      <w:r w:rsidRPr="0095412B">
        <w:t>,</w:t>
      </w:r>
      <w:r w:rsidRPr="0095412B">
        <w:t>1</w:t>
      </w:r>
      <w:r w:rsidRPr="0095412B">
        <w:t xml:space="preserve">.5), then </w:t>
      </w:r>
      <m:oMath>
        <m:r>
          <w:rPr>
            <w:rFonts w:ascii="Cambria Math" w:hAnsi="Cambria Math"/>
          </w:rPr>
          <m:t>αY</m:t>
        </m:r>
      </m:oMath>
      <w:r w:rsidRPr="0095412B">
        <w:t xml:space="preserve"> </w:t>
      </w:r>
      <w:r w:rsidRPr="0095412B">
        <w:t>~</w:t>
      </w:r>
      <w:r w:rsidRPr="0095412B">
        <w:t xml:space="preserve"> </w:t>
      </w:r>
      <w:r w:rsidRPr="0095412B">
        <w:rPr>
          <w:rFonts w:ascii="Cambria Math" w:hAnsi="Cambria Math" w:cs="Cambria Math"/>
        </w:rPr>
        <w:t>𝐺𝑎𝑚𝑚𝑎</w:t>
      </w:r>
      <w:r w:rsidRPr="0095412B">
        <w:t>(</w:t>
      </w:r>
      <m:oMath>
        <m:r>
          <w:rPr>
            <w:rFonts w:ascii="Cambria Math" w:hAnsi="Cambria Math"/>
          </w:rPr>
          <m:t>α</m:t>
        </m:r>
        <m:r>
          <w:rPr>
            <w:rFonts w:ascii="Cambria Math" w:hAnsi="Cambria Math"/>
          </w:rPr>
          <m:t>×5</m:t>
        </m:r>
      </m:oMath>
      <w:r w:rsidRPr="0095412B">
        <w:t>,</w:t>
      </w:r>
      <w:r w:rsidRPr="0095412B">
        <w:t>1</w:t>
      </w:r>
      <w:r w:rsidRPr="0095412B">
        <w:t xml:space="preserve">.5), which is equivalent to </w:t>
      </w:r>
      <w:r w:rsidRPr="0095412B">
        <w:rPr>
          <w:rFonts w:ascii="Cambria Math" w:hAnsi="Cambria Math" w:cs="Cambria Math"/>
        </w:rPr>
        <w:lastRenderedPageBreak/>
        <w:t>𝐺𝑎𝑚𝑚𝑎</w:t>
      </w:r>
      <w:r w:rsidRPr="0095412B">
        <w:t>(</w:t>
      </w:r>
      <w:r w:rsidRPr="0095412B">
        <w:t>3.5</w:t>
      </w:r>
      <w:r w:rsidRPr="0095412B">
        <w:t>,0.5). Th</w:t>
      </w:r>
      <w:r w:rsidR="00370DE5" w:rsidRPr="0095412B">
        <w:t>e “ruin_probability”</w:t>
      </w:r>
      <w:r w:rsidRPr="0095412B">
        <w:t xml:space="preserve"> function</w:t>
      </w:r>
      <w:r w:rsidR="00370DE5" w:rsidRPr="0095412B">
        <w:t xml:space="preserve"> for a 5-year risk of ruin</w:t>
      </w:r>
      <w:r w:rsidRPr="0095412B">
        <w:t xml:space="preserve"> yields a result of</w:t>
      </w:r>
      <w:r w:rsidRPr="0095412B">
        <w:t xml:space="preserve"> </w:t>
      </w:r>
      <w:r w:rsidR="008A001A" w:rsidRPr="0095412B">
        <w:t>0.00</w:t>
      </w:r>
      <w:r w:rsidR="003E7A87" w:rsidRPr="0095412B">
        <w:t>3</w:t>
      </w:r>
      <w:r w:rsidR="00775668" w:rsidRPr="0095412B">
        <w:t>622</w:t>
      </w:r>
      <w:r w:rsidR="008A001A" w:rsidRPr="0095412B">
        <w:t>.</w:t>
      </w:r>
    </w:p>
    <w:p w14:paraId="56DD41E0" w14:textId="089E0B3D" w:rsidR="00AD2736" w:rsidRPr="0095412B" w:rsidRDefault="00E07980" w:rsidP="00952DBB">
      <w:pPr>
        <w:pStyle w:val="NormalWeb"/>
        <w:spacing w:line="276" w:lineRule="auto"/>
      </w:pPr>
      <w:r w:rsidRPr="0095412B">
        <w:t>For product B, where h(</w:t>
      </w:r>
      <w:r w:rsidR="00C8226D" w:rsidRPr="0095412B">
        <w:t>Y</w:t>
      </w:r>
      <w:r w:rsidRPr="0095412B">
        <w:t>) = (</w:t>
      </w:r>
      <w:r w:rsidR="00C8226D" w:rsidRPr="0095412B">
        <w:t>Y</w:t>
      </w:r>
      <w:r w:rsidRPr="0095412B">
        <w:t xml:space="preserve"> − </w:t>
      </w:r>
      <w:r w:rsidRPr="0095412B">
        <w:rPr>
          <w:rFonts w:ascii="Cambria Math" w:hAnsi="Cambria Math" w:cs="Cambria Math"/>
        </w:rPr>
        <w:t>𝑑</w:t>
      </w:r>
      <w:r w:rsidRPr="0095412B">
        <w:t xml:space="preserve">)+, it's specified that d = </w:t>
      </w:r>
      <w:r w:rsidRPr="0095412B">
        <w:t>2.57359</w:t>
      </w:r>
      <w:r w:rsidRPr="0095412B">
        <w:t xml:space="preserve">. As ruin only transpires when the surplus becomes negative, </w:t>
      </w:r>
      <w:r w:rsidR="00370DE5" w:rsidRPr="0095412B">
        <w:t>the</w:t>
      </w:r>
      <w:r w:rsidRPr="0095412B">
        <w:t xml:space="preserve"> strategy is to first simulate a value for </w:t>
      </w:r>
      <w:r w:rsidRPr="0095412B">
        <w:rPr>
          <w:rFonts w:ascii="Cambria Math" w:hAnsi="Cambria Math" w:cs="Cambria Math"/>
        </w:rPr>
        <w:t>𝑁</w:t>
      </w:r>
      <w:r w:rsidRPr="0095412B">
        <w:t xml:space="preserve">(60). We then simulate an equivalent number of arrival times from a uniform distribution ranging from 0 to the simulated </w:t>
      </w:r>
      <w:r w:rsidRPr="0095412B">
        <w:rPr>
          <w:rFonts w:ascii="Cambria Math" w:hAnsi="Cambria Math" w:cs="Cambria Math"/>
        </w:rPr>
        <w:t>𝑁</w:t>
      </w:r>
      <w:r w:rsidRPr="0095412B">
        <w:t>(60) value. This is conducted over 10^5 iterations. The estimated probability of ruin is then derived from the ratio of iterations resulting in ruin, giving a value of</w:t>
      </w:r>
      <w:r w:rsidR="004745C3" w:rsidRPr="0095412B">
        <w:t xml:space="preserve"> </w:t>
      </w:r>
      <w:r w:rsidR="008A001A" w:rsidRPr="0095412B">
        <w:t>0.00364.</w:t>
      </w:r>
    </w:p>
    <w:p w14:paraId="69455278" w14:textId="34CD730C" w:rsidR="004745C3" w:rsidRPr="0095412B" w:rsidRDefault="00F3510E" w:rsidP="00952DBB">
      <w:pPr>
        <w:spacing w:line="276" w:lineRule="auto"/>
        <w:rPr>
          <w:rFonts w:ascii="Times New Roman" w:eastAsiaTheme="minorEastAsia" w:hAnsi="Times New Roman" w:cs="Times New Roman"/>
          <w:b/>
          <w:bCs/>
        </w:rPr>
      </w:pPr>
      <w:r w:rsidRPr="0095412B">
        <w:rPr>
          <w:rFonts w:ascii="Times New Roman" w:eastAsiaTheme="minorEastAsia" w:hAnsi="Times New Roman" w:cs="Times New Roman"/>
          <w:b/>
          <w:bCs/>
        </w:rPr>
        <w:t>3</w:t>
      </w:r>
      <w:r w:rsidR="004745C3" w:rsidRPr="0095412B">
        <w:rPr>
          <w:rFonts w:ascii="Times New Roman" w:eastAsiaTheme="minorEastAsia" w:hAnsi="Times New Roman" w:cs="Times New Roman"/>
          <w:b/>
          <w:bCs/>
        </w:rPr>
        <w:t>.</w:t>
      </w:r>
      <w:r w:rsidR="004745C3" w:rsidRPr="0095412B">
        <w:rPr>
          <w:rFonts w:ascii="Times New Roman" w:eastAsiaTheme="minorEastAsia" w:hAnsi="Times New Roman" w:cs="Times New Roman"/>
          <w:b/>
          <w:bCs/>
        </w:rPr>
        <w:t>2</w:t>
      </w:r>
      <w:r w:rsidR="004745C3" w:rsidRPr="0095412B">
        <w:rPr>
          <w:rFonts w:ascii="Times New Roman" w:eastAsiaTheme="minorEastAsia" w:hAnsi="Times New Roman" w:cs="Times New Roman"/>
          <w:b/>
          <w:bCs/>
        </w:rPr>
        <w:t xml:space="preserve"> </w:t>
      </w:r>
      <w:r w:rsidR="00EC1661" w:rsidRPr="0095412B">
        <w:rPr>
          <w:rFonts w:ascii="Times New Roman" w:eastAsiaTheme="minorEastAsia" w:hAnsi="Times New Roman" w:cs="Times New Roman"/>
          <w:b/>
          <w:bCs/>
        </w:rPr>
        <w:t xml:space="preserve">Finding the range of </w:t>
      </w:r>
      <m:oMath>
        <m:r>
          <m:rPr>
            <m:sty m:val="bi"/>
          </m:rPr>
          <w:rPr>
            <w:rFonts w:ascii="Cambria Math" w:eastAsiaTheme="minorEastAsia" w:hAnsi="Cambria Math" w:cs="Times New Roman"/>
          </w:rPr>
          <m:t>α</m:t>
        </m:r>
      </m:oMath>
      <w:r w:rsidR="00EC1661" w:rsidRPr="0095412B">
        <w:rPr>
          <w:rFonts w:ascii="Times New Roman" w:eastAsiaTheme="minorEastAsia" w:hAnsi="Times New Roman" w:cs="Times New Roman"/>
          <w:b/>
          <w:bCs/>
        </w:rPr>
        <w:t xml:space="preserve"> and d</w:t>
      </w:r>
    </w:p>
    <w:p w14:paraId="6D6C9BBC" w14:textId="77777777" w:rsidR="00F3510E" w:rsidRPr="0095412B" w:rsidRDefault="00D8304F" w:rsidP="00952DBB">
      <w:pPr>
        <w:spacing w:line="276" w:lineRule="auto"/>
        <w:rPr>
          <w:rFonts w:ascii="Times New Roman" w:eastAsiaTheme="minorEastAsia" w:hAnsi="Times New Roman" w:cs="Times New Roman"/>
        </w:rPr>
      </w:pPr>
      <w:r w:rsidRPr="0095412B">
        <w:rPr>
          <w:rFonts w:ascii="Times New Roman" w:eastAsiaTheme="minorEastAsia" w:hAnsi="Times New Roman" w:cs="Times New Roman"/>
        </w:rPr>
        <w:t xml:space="preserve">The equations needed to solve to find </w:t>
      </w:r>
      <m:oMath>
        <m:r>
          <w:rPr>
            <w:rFonts w:ascii="Cambria Math" w:eastAsiaTheme="minorEastAsia" w:hAnsi="Cambria Math" w:cs="Times New Roman"/>
          </w:rPr>
          <m:t>α</m:t>
        </m:r>
      </m:oMath>
      <w:r w:rsidRPr="0095412B">
        <w:rPr>
          <w:rFonts w:ascii="Times New Roman" w:eastAsiaTheme="minorEastAsia" w:hAnsi="Times New Roman" w:cs="Times New Roman"/>
        </w:rPr>
        <w:t xml:space="preserve"> and d </w:t>
      </w:r>
      <w:r w:rsidR="00F3510E" w:rsidRPr="0095412B">
        <w:rPr>
          <w:rFonts w:ascii="Times New Roman" w:eastAsiaTheme="minorEastAsia" w:hAnsi="Times New Roman" w:cs="Times New Roman"/>
        </w:rPr>
        <w:t>are given below:</w:t>
      </w:r>
    </w:p>
    <w:p w14:paraId="76B49FCB" w14:textId="77777777" w:rsidR="00F3510E" w:rsidRPr="0095412B" w:rsidRDefault="00F3510E" w:rsidP="00952DBB">
      <w:pPr>
        <w:spacing w:line="276" w:lineRule="auto"/>
        <w:rPr>
          <w:rFonts w:ascii="Times New Roman" w:eastAsiaTheme="minorEastAsia" w:hAnsi="Times New Roman" w:cs="Times New Roman"/>
        </w:rPr>
      </w:pPr>
    </w:p>
    <w:p w14:paraId="0A631D0B" w14:textId="77777777" w:rsidR="00F3510E" w:rsidRPr="0095412B" w:rsidRDefault="00F3510E" w:rsidP="00952DBB">
      <w:pPr>
        <w:spacing w:line="276" w:lineRule="auto"/>
        <w:rPr>
          <w:rFonts w:ascii="Times New Roman" w:eastAsiaTheme="minorEastAsia" w:hAnsi="Times New Roman" w:cs="Times New Roman"/>
        </w:rPr>
      </w:pPr>
      <w:r w:rsidRPr="0095412B">
        <w:rPr>
          <w:rFonts w:ascii="Times New Roman" w:eastAsiaTheme="minorEastAsia" w:hAnsi="Times New Roman" w:cs="Times New Roman"/>
        </w:rPr>
        <w:t>For product A:</w:t>
      </w:r>
    </w:p>
    <w:p w14:paraId="175DF0DC" w14:textId="77777777" w:rsidR="00F3510E" w:rsidRPr="0095412B" w:rsidRDefault="00F3510E" w:rsidP="00952DBB">
      <w:pPr>
        <w:spacing w:line="276" w:lineRule="auto"/>
        <w:rPr>
          <w:rFonts w:ascii="Times New Roman" w:eastAsiaTheme="minorEastAsia" w:hAnsi="Times New Roman" w:cs="Times New Roman"/>
          <w:b/>
          <w:bCs/>
        </w:rPr>
      </w:pPr>
      <m:oMathPara>
        <m:oMath>
          <m:r>
            <w:rPr>
              <w:rFonts w:ascii="Cambria Math" w:eastAsiaTheme="minorEastAsia" w:hAnsi="Cambria Math" w:cs="Times New Roman"/>
            </w:rPr>
            <m:t>α&gt;</m:t>
          </m:r>
          <m:f>
            <m:fPr>
              <m:ctrlPr>
                <w:rPr>
                  <w:rFonts w:ascii="Cambria Math" w:eastAsiaTheme="minorEastAsia" w:hAnsi="Cambria Math" w:cs="Times New Roman"/>
                  <w:i/>
                </w:rPr>
              </m:ctrlPr>
            </m:fPr>
            <m:num>
              <m:r>
                <w:rPr>
                  <w:rFonts w:ascii="Cambria Math" w:eastAsiaTheme="minorEastAsia" w:hAnsi="Cambria Math" w:cs="Times New Roman"/>
                </w:rPr>
                <m:t>ξ-θ</m:t>
              </m:r>
            </m:num>
            <m:den>
              <m:r>
                <w:rPr>
                  <w:rFonts w:ascii="Cambria Math" w:eastAsiaTheme="minorEastAsia" w:hAnsi="Cambria Math" w:cs="Times New Roman"/>
                </w:rPr>
                <m:t>ξ</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0.125- 0.075</m:t>
              </m:r>
            </m:num>
            <m:den>
              <m:r>
                <w:rPr>
                  <w:rFonts w:ascii="Cambria Math" w:eastAsiaTheme="minorEastAsia" w:hAnsi="Cambria Math" w:cs="Times New Roman"/>
                </w:rPr>
                <m:t>0.125</m:t>
              </m:r>
            </m:den>
          </m:f>
          <m:r>
            <w:rPr>
              <w:rFonts w:ascii="Cambria Math" w:eastAsiaTheme="minorEastAsia" w:hAnsi="Cambria Math" w:cs="Times New Roman"/>
            </w:rPr>
            <m:t>&gt;0.4</m:t>
          </m:r>
        </m:oMath>
      </m:oMathPara>
    </w:p>
    <w:p w14:paraId="09EDF4CD" w14:textId="77777777" w:rsidR="00F3510E" w:rsidRPr="0095412B" w:rsidRDefault="00F3510E" w:rsidP="00952DBB">
      <w:pPr>
        <w:spacing w:line="276" w:lineRule="auto"/>
        <w:rPr>
          <w:rFonts w:ascii="Times New Roman" w:eastAsiaTheme="minorEastAsia" w:hAnsi="Times New Roman" w:cs="Times New Roman"/>
          <w:b/>
          <w:bCs/>
        </w:rPr>
      </w:pPr>
    </w:p>
    <w:p w14:paraId="08D51DE4" w14:textId="77777777" w:rsidR="00F3510E" w:rsidRPr="0095412B" w:rsidRDefault="00F3510E" w:rsidP="00952DBB">
      <w:pPr>
        <w:spacing w:line="276" w:lineRule="auto"/>
        <w:rPr>
          <w:rFonts w:ascii="Times New Roman" w:eastAsiaTheme="minorEastAsia" w:hAnsi="Times New Roman" w:cs="Times New Roman"/>
        </w:rPr>
      </w:pPr>
      <w:r w:rsidRPr="0095412B">
        <w:rPr>
          <w:rFonts w:ascii="Times New Roman" w:eastAsiaTheme="minorEastAsia" w:hAnsi="Times New Roman" w:cs="Times New Roman"/>
        </w:rPr>
        <w:t>For product B:</w:t>
      </w:r>
    </w:p>
    <w:p w14:paraId="72E856E4" w14:textId="77777777" w:rsidR="00F3510E" w:rsidRPr="0095412B" w:rsidRDefault="00F3510E" w:rsidP="00952DBB">
      <w:pPr>
        <w:spacing w:line="276" w:lineRule="auto"/>
        <w:rPr>
          <w:rFonts w:ascii="Times New Roman" w:eastAsiaTheme="minorEastAsia" w:hAnsi="Times New Roman" w:cs="Times New Roman"/>
        </w:rPr>
      </w:pPr>
      <m:oMathPara>
        <m:oMath>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h</m:t>
              </m:r>
            </m:sub>
          </m:sSub>
          <m:r>
            <w:rPr>
              <w:rFonts w:ascii="Cambria Math" w:eastAsiaTheme="minorEastAsia" w:hAnsi="Cambria Math" w:cs="Times New Roman"/>
            </w:rPr>
            <m:t>&gt;λE[Y-</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Y-d</m:t>
                  </m:r>
                </m:e>
              </m:d>
            </m:e>
            <m:sub>
              <m:r>
                <w:rPr>
                  <w:rFonts w:ascii="Cambria Math" w:eastAsiaTheme="minorEastAsia" w:hAnsi="Cambria Math" w:cs="Times New Roman"/>
                </w:rPr>
                <m:t>+</m:t>
              </m:r>
            </m:sub>
          </m:sSub>
          <m:r>
            <w:rPr>
              <w:rFonts w:ascii="Cambria Math" w:eastAsiaTheme="minorEastAsia" w:hAnsi="Cambria Math" w:cs="Times New Roman"/>
            </w:rPr>
            <m:t>]</m:t>
          </m:r>
        </m:oMath>
      </m:oMathPara>
    </w:p>
    <w:p w14:paraId="565A6954" w14:textId="77777777" w:rsidR="00F3510E" w:rsidRPr="0095412B" w:rsidRDefault="00F3510E" w:rsidP="00952DBB">
      <w:pPr>
        <w:spacing w:line="276" w:lineRule="auto"/>
        <w:rPr>
          <w:rFonts w:ascii="Times New Roman" w:eastAsiaTheme="minorEastAsia" w:hAnsi="Times New Roman" w:cs="Times New Roman"/>
          <w:b/>
          <w:bCs/>
        </w:rPr>
      </w:pPr>
      <m:oMathPara>
        <m:oMath>
          <m:d>
            <m:dPr>
              <m:ctrlPr>
                <w:rPr>
                  <w:rFonts w:ascii="Cambria Math" w:eastAsiaTheme="minorEastAsia" w:hAnsi="Cambria Math" w:cs="Times New Roman"/>
                  <w:i/>
                </w:rPr>
              </m:ctrlPr>
            </m:dPr>
            <m:e>
              <m:r>
                <w:rPr>
                  <w:rFonts w:ascii="Cambria Math" w:eastAsiaTheme="minorEastAsia" w:hAnsi="Cambria Math" w:cs="Times New Roman"/>
                </w:rPr>
                <m:t>1+θ</m:t>
              </m:r>
            </m:e>
          </m:d>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1+ξ</m:t>
              </m:r>
            </m:e>
          </m:d>
          <m:r>
            <w:rPr>
              <w:rFonts w:ascii="Cambria Math" w:eastAsiaTheme="minorEastAsia" w:hAnsi="Cambria Math" w:cs="Times New Roman"/>
            </w:rPr>
            <m:t>λ</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d</m:t>
              </m:r>
            </m:sub>
            <m:sup>
              <m:r>
                <w:rPr>
                  <w:rFonts w:ascii="Cambria Math" w:eastAsiaTheme="minorEastAsia" w:hAnsi="Cambria Math" w:cs="Times New Roman"/>
                </w:rPr>
                <m:t>∞</m:t>
              </m:r>
            </m:sup>
            <m:e>
              <m:d>
                <m:dPr>
                  <m:ctrlPr>
                    <w:rPr>
                      <w:rFonts w:ascii="Cambria Math" w:eastAsiaTheme="minorEastAsia" w:hAnsi="Cambria Math" w:cs="Times New Roman"/>
                      <w:i/>
                    </w:rPr>
                  </m:ctrlPr>
                </m:dPr>
                <m:e>
                  <m:r>
                    <w:rPr>
                      <w:rFonts w:ascii="Cambria Math" w:eastAsiaTheme="minorEastAsia" w:hAnsi="Cambria Math" w:cs="Times New Roman"/>
                    </w:rPr>
                    <m:t>y-d</m:t>
                  </m:r>
                </m:e>
              </m:d>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gamma</m:t>
                  </m:r>
                </m:sub>
              </m:sSub>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dy&gt;λ(</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d</m:t>
                  </m:r>
                </m:sup>
                <m:e>
                  <m:r>
                    <w:rPr>
                      <w:rFonts w:ascii="Cambria Math" w:eastAsiaTheme="minorEastAsia" w:hAnsi="Cambria Math" w:cs="Times New Roman"/>
                    </w:rPr>
                    <m:t>y</m:t>
                  </m:r>
                </m:e>
              </m:nary>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gamma</m:t>
                  </m:r>
                </m:sub>
              </m:sSub>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dy</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d</m:t>
              </m:r>
            </m:sub>
            <m:sup>
              <m:r>
                <w:rPr>
                  <w:rFonts w:ascii="Cambria Math" w:eastAsiaTheme="minorEastAsia" w:hAnsi="Cambria Math" w:cs="Times New Roman"/>
                </w:rPr>
                <m:t>∞</m:t>
              </m:r>
            </m:sup>
            <m:e>
              <m:r>
                <w:rPr>
                  <w:rFonts w:ascii="Cambria Math" w:eastAsiaTheme="minorEastAsia" w:hAnsi="Cambria Math" w:cs="Times New Roman"/>
                </w:rPr>
                <m:t>d</m:t>
              </m:r>
            </m:e>
          </m:nary>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gamma</m:t>
              </m:r>
            </m:sub>
          </m:sSub>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dy</m:t>
          </m:r>
        </m:oMath>
      </m:oMathPara>
    </w:p>
    <w:p w14:paraId="51FE7E82" w14:textId="77777777" w:rsidR="00F3510E" w:rsidRPr="0095412B" w:rsidRDefault="00F3510E" w:rsidP="00952DBB">
      <w:pPr>
        <w:spacing w:line="276" w:lineRule="auto"/>
        <w:rPr>
          <w:rFonts w:ascii="Times New Roman" w:eastAsiaTheme="minorEastAsia" w:hAnsi="Times New Roman" w:cs="Times New Roman"/>
        </w:rPr>
      </w:pPr>
    </w:p>
    <w:p w14:paraId="5CBBE5B5" w14:textId="347DD436" w:rsidR="00AD2736" w:rsidRPr="0095412B" w:rsidRDefault="00AD2736" w:rsidP="00952DBB">
      <w:pPr>
        <w:spacing w:line="276" w:lineRule="auto"/>
        <w:rPr>
          <w:rFonts w:ascii="Times New Roman" w:eastAsiaTheme="minorEastAsia" w:hAnsi="Times New Roman" w:cs="Times New Roman"/>
        </w:rPr>
      </w:pPr>
      <w:r w:rsidRPr="0095412B">
        <w:rPr>
          <w:rFonts w:ascii="Times New Roman" w:eastAsiaTheme="minorEastAsia" w:hAnsi="Times New Roman" w:cs="Times New Roman"/>
        </w:rPr>
        <w:t>Defining th</w:t>
      </w:r>
      <w:r w:rsidR="00D8304F" w:rsidRPr="0095412B">
        <w:rPr>
          <w:rFonts w:ascii="Times New Roman" w:eastAsiaTheme="minorEastAsia" w:hAnsi="Times New Roman" w:cs="Times New Roman"/>
        </w:rPr>
        <w:t>em</w:t>
      </w:r>
      <w:r w:rsidRPr="0095412B">
        <w:rPr>
          <w:rFonts w:ascii="Times New Roman" w:eastAsiaTheme="minorEastAsia" w:hAnsi="Times New Roman" w:cs="Times New Roman"/>
        </w:rPr>
        <w:t xml:space="preserve"> as function</w:t>
      </w:r>
      <w:r w:rsidR="00556E4B" w:rsidRPr="0095412B">
        <w:rPr>
          <w:rFonts w:ascii="Times New Roman" w:eastAsiaTheme="minorEastAsia" w:hAnsi="Times New Roman" w:cs="Times New Roman"/>
        </w:rPr>
        <w:t>s</w:t>
      </w:r>
      <w:r w:rsidRPr="0095412B">
        <w:rPr>
          <w:rFonts w:ascii="Times New Roman" w:eastAsiaTheme="minorEastAsia" w:hAnsi="Times New Roman" w:cs="Times New Roman"/>
        </w:rPr>
        <w:t xml:space="preserve"> in R and using the “uniroot” function</w:t>
      </w:r>
      <w:r w:rsidR="001E6FFB" w:rsidRPr="0095412B">
        <w:rPr>
          <w:rFonts w:ascii="Times New Roman" w:eastAsiaTheme="minorEastAsia" w:hAnsi="Times New Roman" w:cs="Times New Roman"/>
        </w:rPr>
        <w:t xml:space="preserve">, the range </w:t>
      </w:r>
      <w:r w:rsidR="0036245B" w:rsidRPr="0095412B">
        <w:rPr>
          <w:rFonts w:ascii="Times New Roman" w:eastAsiaTheme="minorEastAsia" w:hAnsi="Times New Roman" w:cs="Times New Roman"/>
        </w:rPr>
        <w:t>for d</w:t>
      </w:r>
      <w:r w:rsidR="001E6FFB" w:rsidRPr="0095412B">
        <w:rPr>
          <w:rFonts w:ascii="Times New Roman" w:eastAsiaTheme="minorEastAsia" w:hAnsi="Times New Roman" w:cs="Times New Roman"/>
        </w:rPr>
        <w:t xml:space="preserve"> is d &gt; </w:t>
      </w:r>
      <w:r w:rsidR="008A001A" w:rsidRPr="0095412B">
        <w:rPr>
          <w:rFonts w:ascii="Times New Roman" w:eastAsiaTheme="minorEastAsia" w:hAnsi="Times New Roman" w:cs="Times New Roman"/>
        </w:rPr>
        <w:t>1.349</w:t>
      </w:r>
      <w:r w:rsidR="00D8304F" w:rsidRPr="0095412B">
        <w:rPr>
          <w:rFonts w:ascii="Times New Roman" w:eastAsiaTheme="minorEastAsia" w:hAnsi="Times New Roman" w:cs="Times New Roman"/>
        </w:rPr>
        <w:t xml:space="preserve"> and the range for </w:t>
      </w:r>
      <m:oMath>
        <m:r>
          <w:rPr>
            <w:rFonts w:ascii="Cambria Math" w:eastAsiaTheme="minorEastAsia" w:hAnsi="Cambria Math" w:cs="Times New Roman"/>
          </w:rPr>
          <m:t>α</m:t>
        </m:r>
      </m:oMath>
      <w:r w:rsidR="00D8304F" w:rsidRPr="0095412B">
        <w:rPr>
          <w:rFonts w:ascii="Times New Roman" w:eastAsiaTheme="minorEastAsia" w:hAnsi="Times New Roman" w:cs="Times New Roman"/>
        </w:rPr>
        <w:t xml:space="preserve"> is </w:t>
      </w:r>
      <m:oMath>
        <m:r>
          <w:rPr>
            <w:rFonts w:ascii="Cambria Math" w:eastAsiaTheme="minorEastAsia" w:hAnsi="Cambria Math" w:cs="Times New Roman"/>
          </w:rPr>
          <m:t>α</m:t>
        </m:r>
        <m:r>
          <w:rPr>
            <w:rFonts w:ascii="Cambria Math" w:eastAsiaTheme="minorEastAsia" w:hAnsi="Cambria Math" w:cs="Times New Roman"/>
          </w:rPr>
          <m:t>&gt;0.4</m:t>
        </m:r>
      </m:oMath>
      <w:r w:rsidR="008A001A" w:rsidRPr="0095412B">
        <w:rPr>
          <w:rFonts w:ascii="Times New Roman" w:eastAsiaTheme="minorEastAsia" w:hAnsi="Times New Roman" w:cs="Times New Roman"/>
        </w:rPr>
        <w:t>.</w:t>
      </w:r>
      <w:r w:rsidR="00C03DB5" w:rsidRPr="0095412B">
        <w:rPr>
          <w:rFonts w:ascii="Times New Roman" w:eastAsiaTheme="minorEastAsia" w:hAnsi="Times New Roman" w:cs="Times New Roman"/>
        </w:rPr>
        <w:t xml:space="preserve"> Refer to Appendix A for more details.</w:t>
      </w:r>
    </w:p>
    <w:p w14:paraId="05FABC1F" w14:textId="77777777" w:rsidR="00EC1661" w:rsidRPr="0095412B" w:rsidRDefault="00EC1661" w:rsidP="00952DBB">
      <w:pPr>
        <w:spacing w:line="276" w:lineRule="auto"/>
        <w:rPr>
          <w:rFonts w:ascii="Times New Roman" w:eastAsiaTheme="minorEastAsia" w:hAnsi="Times New Roman" w:cs="Times New Roman"/>
          <w:b/>
          <w:bCs/>
        </w:rPr>
      </w:pPr>
    </w:p>
    <w:p w14:paraId="16B6D242" w14:textId="0C46CEF2" w:rsidR="00EC1661" w:rsidRPr="0095412B" w:rsidRDefault="00F3510E" w:rsidP="00952DBB">
      <w:pPr>
        <w:spacing w:line="276" w:lineRule="auto"/>
        <w:rPr>
          <w:rFonts w:ascii="Times New Roman" w:hAnsi="Times New Roman" w:cs="Times New Roman"/>
          <w:b/>
          <w:bCs/>
        </w:rPr>
      </w:pPr>
      <w:r w:rsidRPr="0095412B">
        <w:rPr>
          <w:rFonts w:ascii="Times New Roman" w:eastAsiaTheme="minorEastAsia" w:hAnsi="Times New Roman" w:cs="Times New Roman"/>
          <w:b/>
          <w:bCs/>
        </w:rPr>
        <w:t>3</w:t>
      </w:r>
      <w:r w:rsidR="00EC1661" w:rsidRPr="0095412B">
        <w:rPr>
          <w:rFonts w:ascii="Times New Roman" w:eastAsiaTheme="minorEastAsia" w:hAnsi="Times New Roman" w:cs="Times New Roman"/>
          <w:b/>
          <w:bCs/>
        </w:rPr>
        <w:t>.3 Upper Bounds for Probability of Ruin</w:t>
      </w:r>
    </w:p>
    <w:p w14:paraId="4065E718" w14:textId="0A9750FB" w:rsidR="00E07980" w:rsidRPr="0095412B" w:rsidRDefault="00FC13D8" w:rsidP="00952DBB">
      <w:pPr>
        <w:spacing w:line="276" w:lineRule="auto"/>
        <w:rPr>
          <w:rFonts w:ascii="Times New Roman" w:eastAsiaTheme="minorEastAsia" w:hAnsi="Times New Roman" w:cs="Times New Roman"/>
        </w:rPr>
      </w:pPr>
      <w:r w:rsidRPr="0095412B">
        <w:rPr>
          <w:rFonts w:ascii="Times New Roman" w:eastAsiaTheme="minorEastAsia" w:hAnsi="Times New Roman" w:cs="Times New Roman"/>
        </w:rPr>
        <w:t>In reinsurance, the adjustment coefficient 'r' should satisfy:</w:t>
      </w:r>
    </w:p>
    <w:p w14:paraId="51BCB1D8" w14:textId="77777777" w:rsidR="005945D1" w:rsidRPr="0095412B" w:rsidRDefault="005945D1" w:rsidP="00952DBB">
      <w:pPr>
        <w:spacing w:line="276" w:lineRule="auto"/>
        <w:rPr>
          <w:rFonts w:ascii="Times New Roman" w:eastAsiaTheme="minorEastAsia" w:hAnsi="Times New Roman" w:cs="Times New Roman"/>
        </w:rPr>
      </w:pPr>
    </w:p>
    <w:p w14:paraId="2F80EC30" w14:textId="0C5D8643" w:rsidR="00FC13D8" w:rsidRPr="0095412B" w:rsidRDefault="00BC1A46" w:rsidP="00952DBB">
      <w:pPr>
        <w:spacing w:line="276" w:lineRule="auto"/>
        <w:rPr>
          <w:rFonts w:ascii="Times New Roman" w:eastAsiaTheme="minorEastAsia" w:hAnsi="Times New Roman" w:cs="Times New Roman"/>
        </w:rPr>
      </w:pPr>
      <m:oMathPara>
        <m:oMath>
          <m:r>
            <w:rPr>
              <w:rFonts w:ascii="Cambria Math" w:eastAsiaTheme="minorEastAsia" w:hAnsi="Cambria Math" w:cs="Times New Roman"/>
            </w:rPr>
            <m:t>λ</m:t>
          </m:r>
          <m:d>
            <m:dPr>
              <m:ctrlPr>
                <w:rPr>
                  <w:rFonts w:ascii="Cambria Math" w:eastAsiaTheme="minorEastAsia" w:hAnsi="Cambria Math" w:cs="Times New Roman"/>
                  <w:i/>
                </w:rPr>
              </m:ctrlPr>
            </m:dPr>
            <m:e>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Y</m:t>
                              </m:r>
                            </m:e>
                          </m:d>
                        </m:e>
                      </m:d>
                    </m:sup>
                  </m:sSup>
                </m:e>
              </m:d>
              <m:r>
                <w:rPr>
                  <w:rFonts w:ascii="Cambria Math" w:eastAsiaTheme="minorEastAsia" w:hAnsi="Cambria Math" w:cs="Times New Roman"/>
                </w:rPr>
                <m:t>-1</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h</m:t>
                  </m:r>
                </m:sub>
              </m:sSub>
            </m:e>
          </m:d>
          <m:r>
            <w:rPr>
              <w:rFonts w:ascii="Cambria Math" w:eastAsiaTheme="minorEastAsia" w:hAnsi="Cambria Math" w:cs="Times New Roman"/>
            </w:rPr>
            <m:t>r</m:t>
          </m:r>
        </m:oMath>
      </m:oMathPara>
    </w:p>
    <w:p w14:paraId="7599ECF3" w14:textId="77777777" w:rsidR="00FC13D8" w:rsidRPr="0095412B" w:rsidRDefault="00FC13D8" w:rsidP="00952DBB">
      <w:pPr>
        <w:spacing w:line="276" w:lineRule="auto"/>
        <w:rPr>
          <w:rFonts w:ascii="Times New Roman" w:eastAsiaTheme="minorEastAsia" w:hAnsi="Times New Roman" w:cs="Times New Roman"/>
        </w:rPr>
      </w:pPr>
    </w:p>
    <w:p w14:paraId="7CA817CF" w14:textId="71FF74E6" w:rsidR="00FC13D8" w:rsidRPr="0095412B" w:rsidRDefault="00FC13D8" w:rsidP="00952DBB">
      <w:pPr>
        <w:spacing w:line="276" w:lineRule="auto"/>
        <w:rPr>
          <w:rFonts w:ascii="Times New Roman" w:hAnsi="Times New Roman" w:cs="Times New Roman"/>
        </w:rPr>
      </w:pPr>
      <w:r w:rsidRPr="0095412B">
        <w:rPr>
          <w:rFonts w:ascii="Times New Roman" w:hAnsi="Times New Roman" w:cs="Times New Roman"/>
        </w:rPr>
        <w:t>To minimi</w:t>
      </w:r>
      <w:r w:rsidRPr="0095412B">
        <w:rPr>
          <w:rFonts w:ascii="Times New Roman" w:hAnsi="Times New Roman" w:cs="Times New Roman"/>
        </w:rPr>
        <w:t>s</w:t>
      </w:r>
      <w:r w:rsidRPr="0095412B">
        <w:rPr>
          <w:rFonts w:ascii="Times New Roman" w:hAnsi="Times New Roman" w:cs="Times New Roman"/>
        </w:rPr>
        <w:t xml:space="preserve">e the ruin probability bound </w:t>
      </w:r>
      <m:oMath>
        <m:r>
          <w:rPr>
            <w:rFonts w:ascii="Cambria Math" w:hAnsi="Cambria Math" w:cs="Times New Roman"/>
          </w:rPr>
          <m:t>ψ</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sup>
        </m:sSup>
      </m:oMath>
      <w:r w:rsidRPr="0095412B">
        <w:rPr>
          <w:rFonts w:ascii="Times New Roman" w:hAnsi="Times New Roman" w:cs="Times New Roman"/>
        </w:rPr>
        <w:t xml:space="preserve"> we aim to maximi</w:t>
      </w:r>
      <w:r w:rsidRPr="0095412B">
        <w:rPr>
          <w:rFonts w:ascii="Times New Roman" w:hAnsi="Times New Roman" w:cs="Times New Roman"/>
        </w:rPr>
        <w:t>s</w:t>
      </w:r>
      <w:r w:rsidRPr="0095412B">
        <w:rPr>
          <w:rFonts w:ascii="Times New Roman" w:hAnsi="Times New Roman" w:cs="Times New Roman"/>
        </w:rPr>
        <w:t xml:space="preserve">e 'R'. </w:t>
      </w:r>
    </w:p>
    <w:p w14:paraId="0EE08DC8" w14:textId="77777777" w:rsidR="00FC13D8" w:rsidRPr="0095412B" w:rsidRDefault="00FC13D8" w:rsidP="00952DBB">
      <w:pPr>
        <w:spacing w:line="276" w:lineRule="auto"/>
        <w:rPr>
          <w:rFonts w:ascii="Times New Roman" w:hAnsi="Times New Roman" w:cs="Times New Roman"/>
        </w:rPr>
      </w:pPr>
    </w:p>
    <w:p w14:paraId="680C13A0" w14:textId="668D3B52" w:rsidR="0095412B" w:rsidRDefault="001C6142" w:rsidP="0095412B">
      <w:pPr>
        <w:spacing w:line="276" w:lineRule="auto"/>
        <w:rPr>
          <w:rFonts w:ascii="Times New Roman" w:eastAsiaTheme="minorEastAsia" w:hAnsi="Times New Roman" w:cs="Times New Roman"/>
        </w:rPr>
      </w:pPr>
      <w:r w:rsidRPr="0095412B">
        <w:rPr>
          <w:rFonts w:ascii="Times New Roman" w:hAnsi="Times New Roman" w:cs="Times New Roman"/>
        </w:rPr>
        <w:t xml:space="preserve">Refer to Appendix </w:t>
      </w:r>
      <w:r w:rsidR="00B8086A" w:rsidRPr="0095412B">
        <w:rPr>
          <w:rFonts w:ascii="Times New Roman" w:hAnsi="Times New Roman" w:cs="Times New Roman"/>
        </w:rPr>
        <w:t xml:space="preserve">B </w:t>
      </w:r>
      <w:r w:rsidRPr="0095412B">
        <w:rPr>
          <w:rFonts w:ascii="Times New Roman" w:hAnsi="Times New Roman" w:cs="Times New Roman"/>
        </w:rPr>
        <w:t xml:space="preserve">for the numerical calculations to find the retained proportion </w:t>
      </w:r>
      <m:oMath>
        <m:r>
          <w:rPr>
            <w:rFonts w:ascii="Cambria Math" w:hAnsi="Cambria Math" w:cs="Times New Roman"/>
          </w:rPr>
          <m:t>α</m:t>
        </m:r>
      </m:oMath>
      <w:r w:rsidRPr="0095412B">
        <w:rPr>
          <w:rFonts w:ascii="Times New Roman" w:eastAsiaTheme="minorEastAsia" w:hAnsi="Times New Roman" w:cs="Times New Roman"/>
        </w:rPr>
        <w:t xml:space="preserve"> and d which maximise the adjustment coefficient. The values obtained from R were </w:t>
      </w:r>
      <m:oMath>
        <m:r>
          <w:rPr>
            <w:rFonts w:ascii="Cambria Math" w:eastAsiaTheme="minorEastAsia" w:hAnsi="Cambria Math" w:cs="Times New Roman"/>
          </w:rPr>
          <m:t>α=</m:t>
        </m:r>
        <m:r>
          <w:rPr>
            <w:rFonts w:ascii="Cambria Math" w:eastAsiaTheme="minorEastAsia" w:hAnsi="Cambria Math" w:cs="Times New Roman"/>
          </w:rPr>
          <m:t>0.78208116</m:t>
        </m:r>
      </m:oMath>
      <w:r w:rsidRPr="0095412B">
        <w:rPr>
          <w:rFonts w:ascii="Times New Roman" w:eastAsiaTheme="minorEastAsia" w:hAnsi="Times New Roman" w:cs="Times New Roman"/>
        </w:rPr>
        <w:t xml:space="preserve"> and </w:t>
      </w:r>
      <m:oMath>
        <m:r>
          <w:rPr>
            <w:rFonts w:ascii="Cambria Math" w:eastAsiaTheme="minorEastAsia" w:hAnsi="Cambria Math" w:cs="Times New Roman"/>
          </w:rPr>
          <m:t>d</m:t>
        </m:r>
        <m:r>
          <w:rPr>
            <w:rFonts w:ascii="Cambria Math" w:eastAsiaTheme="minorEastAsia" w:hAnsi="Cambria Math" w:cs="Times New Roman"/>
          </w:rPr>
          <m:t>=</m:t>
        </m:r>
        <m:r>
          <w:rPr>
            <w:rFonts w:ascii="Cambria Math" w:eastAsiaTheme="minorEastAsia" w:hAnsi="Cambria Math" w:cs="Times New Roman"/>
          </w:rPr>
          <m:t>2.7410948</m:t>
        </m:r>
      </m:oMath>
      <w:r w:rsidRPr="0095412B">
        <w:rPr>
          <w:rFonts w:ascii="Times New Roman" w:eastAsiaTheme="minorEastAsia" w:hAnsi="Times New Roman" w:cs="Times New Roman"/>
        </w:rPr>
        <w:t xml:space="preserve"> respectively.</w:t>
      </w:r>
    </w:p>
    <w:p w14:paraId="5DF57113" w14:textId="77777777" w:rsidR="00DB09A5" w:rsidRDefault="00DB09A5" w:rsidP="0095412B">
      <w:pPr>
        <w:spacing w:line="276" w:lineRule="auto"/>
        <w:rPr>
          <w:rFonts w:ascii="Times New Roman" w:eastAsiaTheme="minorEastAsia" w:hAnsi="Times New Roman" w:cs="Times New Roman"/>
        </w:rPr>
      </w:pPr>
    </w:p>
    <w:p w14:paraId="0B494DB6" w14:textId="77777777" w:rsidR="00D6009A" w:rsidRDefault="00DB09A5" w:rsidP="0095412B">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The upper bound for the probability of ruin with this choice of </w:t>
      </w:r>
      <m:oMath>
        <m:r>
          <w:rPr>
            <w:rFonts w:ascii="Cambria Math" w:eastAsiaTheme="minorEastAsia" w:hAnsi="Cambria Math" w:cs="Times New Roman"/>
          </w:rPr>
          <m:t>α</m:t>
        </m:r>
      </m:oMath>
      <w:r>
        <w:rPr>
          <w:rFonts w:ascii="Times New Roman" w:eastAsiaTheme="minorEastAsia" w:hAnsi="Times New Roman" w:cs="Times New Roman"/>
        </w:rPr>
        <w:t xml:space="preserve"> is 0.04114744 and the upper bound for the probability of ruin with limit d is 0.04115580 (Refer to Appendix C for results).</w:t>
      </w:r>
    </w:p>
    <w:p w14:paraId="00A12E44" w14:textId="77777777" w:rsidR="001C416D" w:rsidRDefault="001C416D" w:rsidP="0095412B">
      <w:pPr>
        <w:spacing w:line="276" w:lineRule="auto"/>
        <w:rPr>
          <w:rStyle w:val="Strong"/>
          <w:rFonts w:ascii="Times New Roman" w:hAnsi="Times New Roman" w:cs="Times New Roman"/>
        </w:rPr>
      </w:pPr>
    </w:p>
    <w:p w14:paraId="27133025" w14:textId="77777777" w:rsidR="001C416D" w:rsidRDefault="001C416D" w:rsidP="0095412B">
      <w:pPr>
        <w:spacing w:line="276" w:lineRule="auto"/>
        <w:rPr>
          <w:rStyle w:val="Strong"/>
          <w:rFonts w:ascii="Times New Roman" w:hAnsi="Times New Roman" w:cs="Times New Roman"/>
        </w:rPr>
      </w:pPr>
    </w:p>
    <w:p w14:paraId="30499CCF" w14:textId="0EA56CD7" w:rsidR="00BA163C" w:rsidRPr="00D6009A" w:rsidRDefault="00BA163C" w:rsidP="0095412B">
      <w:pPr>
        <w:spacing w:line="276" w:lineRule="auto"/>
        <w:rPr>
          <w:rFonts w:ascii="Times New Roman" w:eastAsiaTheme="minorEastAsia" w:hAnsi="Times New Roman" w:cs="Times New Roman"/>
        </w:rPr>
      </w:pPr>
      <w:r w:rsidRPr="0095412B">
        <w:rPr>
          <w:rStyle w:val="Strong"/>
          <w:rFonts w:ascii="Times New Roman" w:hAnsi="Times New Roman" w:cs="Times New Roman"/>
        </w:rPr>
        <w:t>4.0 Trade-off Between Stability and Profitability</w:t>
      </w:r>
    </w:p>
    <w:p w14:paraId="13117F5A" w14:textId="70316DB8" w:rsidR="00BA163C" w:rsidRPr="0095412B" w:rsidRDefault="00BA163C" w:rsidP="00952DBB">
      <w:pPr>
        <w:pStyle w:val="NormalWeb"/>
        <w:spacing w:line="276" w:lineRule="auto"/>
      </w:pPr>
      <w:r w:rsidRPr="0095412B">
        <w:lastRenderedPageBreak/>
        <w:t>Insurance companies constantly face the challenge of balancing stability and profitability. Proportional and Excess of Loss</w:t>
      </w:r>
      <w:r w:rsidR="005D0994" w:rsidRPr="0095412B">
        <w:t xml:space="preserve"> can enhance an insurer’s stability.</w:t>
      </w:r>
    </w:p>
    <w:p w14:paraId="214F647B" w14:textId="7411BF0F" w:rsidR="00BA163C" w:rsidRPr="0095412B" w:rsidRDefault="00BA163C" w:rsidP="00952DBB">
      <w:pPr>
        <w:pStyle w:val="NormalWeb"/>
        <w:spacing w:line="276" w:lineRule="auto"/>
      </w:pPr>
      <w:r w:rsidRPr="0095412B">
        <w:rPr>
          <w:rStyle w:val="Strong"/>
        </w:rPr>
        <w:t>Proportional Reinsurance (A)</w:t>
      </w:r>
    </w:p>
    <w:p w14:paraId="7DCE92C7" w14:textId="36725DEC" w:rsidR="00BA163C" w:rsidRPr="0095412B" w:rsidRDefault="00BA163C" w:rsidP="00952DBB">
      <w:pPr>
        <w:pStyle w:val="NormalWeb"/>
        <w:spacing w:line="276" w:lineRule="auto"/>
      </w:pPr>
      <w:r w:rsidRPr="0095412B">
        <w:rPr>
          <w:rStyle w:val="Strong"/>
        </w:rPr>
        <w:t>Stability:</w:t>
      </w:r>
      <w:r w:rsidRPr="0095412B">
        <w:t xml:space="preserve"> Through sharing a predetermined percentage of premiums and claims with reinsurers, insurance companies gain a safety net. This partnership allows them to consistently achieve desired financial results and fortify their capital reserves against significant claims (Meyers, 2002).</w:t>
      </w:r>
    </w:p>
    <w:p w14:paraId="78E1E329" w14:textId="664FF53F" w:rsidR="00BA163C" w:rsidRPr="0095412B" w:rsidRDefault="00BA163C" w:rsidP="00952DBB">
      <w:pPr>
        <w:pStyle w:val="NormalWeb"/>
        <w:spacing w:line="276" w:lineRule="auto"/>
      </w:pPr>
      <w:r w:rsidRPr="0095412B">
        <w:rPr>
          <w:rStyle w:val="Strong"/>
        </w:rPr>
        <w:t>Profitability Trade-off:</w:t>
      </w:r>
      <w:r w:rsidRPr="0095412B">
        <w:t xml:space="preserve"> While the safety net minimi</w:t>
      </w:r>
      <w:r w:rsidR="005D0994" w:rsidRPr="0095412B">
        <w:t>s</w:t>
      </w:r>
      <w:r w:rsidRPr="0095412B">
        <w:t>es their risk, it also entails sharing lucrative profits with the reinsurer. This means that their financial outcomes, while more stable, might not achieve peak profitability (Schmid, 2007).</w:t>
      </w:r>
    </w:p>
    <w:p w14:paraId="0CD49A4D" w14:textId="77777777" w:rsidR="00BA163C" w:rsidRPr="0095412B" w:rsidRDefault="00BA163C" w:rsidP="00952DBB">
      <w:pPr>
        <w:pStyle w:val="NormalWeb"/>
        <w:spacing w:line="276" w:lineRule="auto"/>
      </w:pPr>
      <w:r w:rsidRPr="0095412B">
        <w:rPr>
          <w:rStyle w:val="Strong"/>
        </w:rPr>
        <w:t>Excess of Loss (EoL) Reinsurance (B)</w:t>
      </w:r>
    </w:p>
    <w:p w14:paraId="53303FEF" w14:textId="666C4ADD" w:rsidR="00BA163C" w:rsidRPr="0095412B" w:rsidRDefault="00BA163C" w:rsidP="00952DBB">
      <w:pPr>
        <w:pStyle w:val="NormalWeb"/>
        <w:spacing w:line="276" w:lineRule="auto"/>
      </w:pPr>
      <w:r w:rsidRPr="0095412B">
        <w:rPr>
          <w:rStyle w:val="Strong"/>
        </w:rPr>
        <w:t>Stability:</w:t>
      </w:r>
      <w:r w:rsidRPr="0095412B">
        <w:t xml:space="preserve"> EoL reinsurance operates with a defined claim limit. Claims exceeding this limit are the responsibility of the reinsurer, providing insurance companies with a shield against catastrophic losses that could threaten their solvency (Cummins &amp; Harrington, 2003).</w:t>
      </w:r>
    </w:p>
    <w:p w14:paraId="7D1183FE" w14:textId="47DC3865" w:rsidR="00BA163C" w:rsidRPr="0095412B" w:rsidRDefault="00BA163C" w:rsidP="00952DBB">
      <w:pPr>
        <w:pStyle w:val="NormalWeb"/>
        <w:spacing w:line="276" w:lineRule="auto"/>
      </w:pPr>
      <w:r w:rsidRPr="0095412B">
        <w:rPr>
          <w:rStyle w:val="Strong"/>
        </w:rPr>
        <w:t>Profitability Trade-off:</w:t>
      </w:r>
      <w:r w:rsidRPr="0095412B">
        <w:t xml:space="preserve"> Insurance companies benefit by retaining all profits up to the predetermined limit. However, the premiums they pay for this specialized protection could dent their profitability (Wüthrich &amp; Merz, 2008).</w:t>
      </w:r>
    </w:p>
    <w:p w14:paraId="2401B51D" w14:textId="5F1C630F" w:rsidR="00BA163C" w:rsidRPr="0095412B" w:rsidRDefault="00BA163C" w:rsidP="00952DBB">
      <w:pPr>
        <w:pStyle w:val="NormalWeb"/>
        <w:spacing w:line="276" w:lineRule="auto"/>
      </w:pPr>
      <w:r w:rsidRPr="0095412B">
        <w:rPr>
          <w:rStyle w:val="Strong"/>
        </w:rPr>
        <w:t>In conclusion:</w:t>
      </w:r>
      <w:r w:rsidRPr="0095412B">
        <w:t xml:space="preserve"> The role of reinsurance is pivotal in enhancing an insurer's </w:t>
      </w:r>
      <w:r w:rsidR="001A5D64" w:rsidRPr="0095412B">
        <w:t>defence</w:t>
      </w:r>
      <w:r w:rsidRPr="0095412B">
        <w:t xml:space="preserve"> against major claims. This added resilience, however, can come at the price of sharing profits or incurring premium costs. Consequently, insurers must make informed decisions, weighing their appetite for risk against market dynamics.</w:t>
      </w:r>
    </w:p>
    <w:p w14:paraId="708DED87" w14:textId="77777777" w:rsidR="00BA163C" w:rsidRPr="0095412B" w:rsidRDefault="00BA163C" w:rsidP="00952DBB">
      <w:pPr>
        <w:pStyle w:val="NormalWeb"/>
        <w:spacing w:line="276" w:lineRule="auto"/>
      </w:pPr>
      <w:r w:rsidRPr="0095412B">
        <w:rPr>
          <w:rStyle w:val="Strong"/>
        </w:rPr>
        <w:t>5.0 Key Scenarios Where Reinsurance is Vital</w:t>
      </w:r>
    </w:p>
    <w:p w14:paraId="0FDE45A3" w14:textId="0FA8EAE1" w:rsidR="00BA163C" w:rsidRPr="0095412B" w:rsidRDefault="00BA163C" w:rsidP="00952DBB">
      <w:pPr>
        <w:pStyle w:val="NormalWeb"/>
        <w:spacing w:line="276" w:lineRule="auto"/>
      </w:pPr>
      <w:r w:rsidRPr="0095412B">
        <w:rPr>
          <w:rStyle w:val="Strong"/>
        </w:rPr>
        <w:t>Catastrophic Events:</w:t>
      </w:r>
      <w:r w:rsidRPr="0095412B">
        <w:t xml:space="preserve"> Events such as tsunamis, earthquakes, or wildfires can generate an enormous volume of claims in a short period. Without reinsurance, such events could potentially bankrupt an insurer. Reinsurance serves as a bulwark, ensuring claims can be met without exhausting reserves (Schmid, 2007).</w:t>
      </w:r>
    </w:p>
    <w:p w14:paraId="5D223FC7" w14:textId="4FD73F6C" w:rsidR="00BA163C" w:rsidRPr="0095412B" w:rsidRDefault="00BA163C" w:rsidP="00952DBB">
      <w:pPr>
        <w:pStyle w:val="NormalWeb"/>
        <w:spacing w:line="276" w:lineRule="auto"/>
      </w:pPr>
      <w:r w:rsidRPr="0095412B">
        <w:rPr>
          <w:rStyle w:val="Strong"/>
        </w:rPr>
        <w:t>Market Expansion:</w:t>
      </w:r>
      <w:r w:rsidRPr="0095412B">
        <w:t xml:space="preserve"> For insurers eyeing growth in new regions or sectors, the landscape can be fraught with unknown risks. Here, reinsurance steps in as a safety mechanism, protecting them from these uncertainties </w:t>
      </w:r>
      <w:proofErr w:type="gramStart"/>
      <w:r w:rsidRPr="0095412B">
        <w:t>and also</w:t>
      </w:r>
      <w:proofErr w:type="gramEnd"/>
      <w:r w:rsidRPr="0095412B">
        <w:t xml:space="preserve"> providing seasoned insights to navigate these new waters (Wüthrich &amp; Merz, 2008).</w:t>
      </w:r>
    </w:p>
    <w:p w14:paraId="5AE423D5" w14:textId="77777777" w:rsidR="009F179E" w:rsidRDefault="00BA163C" w:rsidP="009F179E">
      <w:pPr>
        <w:pStyle w:val="NormalWeb"/>
        <w:spacing w:line="276" w:lineRule="auto"/>
      </w:pPr>
      <w:r w:rsidRPr="0095412B">
        <w:rPr>
          <w:rStyle w:val="Strong"/>
        </w:rPr>
        <w:t>Financial Stability:</w:t>
      </w:r>
      <w:r w:rsidRPr="0095412B">
        <w:t xml:space="preserve"> The insurance sector experiences its highs and lows. Reinsurance acts as a moderator, ironing out extreme fluctuations and ensuring steady financial performance. This not only </w:t>
      </w:r>
      <w:r w:rsidR="00FA13DB" w:rsidRPr="0095412B">
        <w:t>instils</w:t>
      </w:r>
      <w:r w:rsidRPr="0095412B">
        <w:t xml:space="preserve"> confidence in stakeholders but also aids in long-term strategic planning (Schmid, 2007).</w:t>
      </w:r>
    </w:p>
    <w:p w14:paraId="66150A1D" w14:textId="3E338E3A" w:rsidR="00F3510E" w:rsidRPr="009F179E" w:rsidRDefault="00401925" w:rsidP="009F179E">
      <w:pPr>
        <w:pStyle w:val="NormalWeb"/>
        <w:spacing w:line="276" w:lineRule="auto"/>
      </w:pPr>
      <w:r w:rsidRPr="0095412B">
        <w:rPr>
          <w:rFonts w:eastAsiaTheme="minorEastAsia"/>
          <w:b/>
          <w:bCs/>
          <w:sz w:val="32"/>
          <w:szCs w:val="32"/>
        </w:rPr>
        <w:lastRenderedPageBreak/>
        <w:t>References</w:t>
      </w:r>
    </w:p>
    <w:p w14:paraId="0D4C452C" w14:textId="77777777" w:rsidR="00401925" w:rsidRPr="0095412B" w:rsidRDefault="00401925" w:rsidP="00401925">
      <w:pPr>
        <w:pStyle w:val="NormalWeb"/>
      </w:pPr>
      <w:r w:rsidRPr="0095412B">
        <w:t xml:space="preserve">Cummins, J. D., &amp; Harrington, S. E. (2003). Risk and return in the insurance industry. </w:t>
      </w:r>
      <w:r w:rsidRPr="0095412B">
        <w:rPr>
          <w:rStyle w:val="Emphasis"/>
        </w:rPr>
        <w:t>The Journal of Risk and Insurance</w:t>
      </w:r>
      <w:r w:rsidRPr="0095412B">
        <w:t>, 70(4), 665-692.</w:t>
      </w:r>
    </w:p>
    <w:p w14:paraId="42066F7E" w14:textId="77777777" w:rsidR="00401925" w:rsidRPr="0095412B" w:rsidRDefault="00401925" w:rsidP="00401925">
      <w:pPr>
        <w:pStyle w:val="NormalWeb"/>
      </w:pPr>
      <w:r w:rsidRPr="0095412B">
        <w:t xml:space="preserve">Meyers, G. (2002). </w:t>
      </w:r>
      <w:r w:rsidRPr="0095412B">
        <w:rPr>
          <w:rStyle w:val="Emphasis"/>
        </w:rPr>
        <w:t>Insurance and reinsurance: Principles and practice</w:t>
      </w:r>
      <w:r w:rsidRPr="0095412B">
        <w:t>. Prentice Hall.</w:t>
      </w:r>
    </w:p>
    <w:p w14:paraId="0BF00BB2" w14:textId="77777777" w:rsidR="00401925" w:rsidRPr="0095412B" w:rsidRDefault="00401925" w:rsidP="00401925">
      <w:pPr>
        <w:pStyle w:val="NormalWeb"/>
      </w:pPr>
      <w:r w:rsidRPr="0095412B">
        <w:t xml:space="preserve">Schmid, J. (2007). </w:t>
      </w:r>
      <w:r w:rsidRPr="0095412B">
        <w:rPr>
          <w:rStyle w:val="Emphasis"/>
        </w:rPr>
        <w:t>Reinsurance for profitability and growth: A new approach to pricing and underwriting</w:t>
      </w:r>
      <w:r w:rsidRPr="0095412B">
        <w:t>. John Wiley &amp; Sons.</w:t>
      </w:r>
    </w:p>
    <w:p w14:paraId="12FD53C1" w14:textId="77777777" w:rsidR="00401925" w:rsidRPr="0095412B" w:rsidRDefault="00401925" w:rsidP="00401925">
      <w:pPr>
        <w:pStyle w:val="NormalWeb"/>
      </w:pPr>
      <w:r w:rsidRPr="0095412B">
        <w:t xml:space="preserve">Wüthrich, M. V., &amp; Merz, M. (2008). </w:t>
      </w:r>
      <w:r w:rsidRPr="0095412B">
        <w:rPr>
          <w:rStyle w:val="Emphasis"/>
        </w:rPr>
        <w:t>Reinsurance pricing and risk management</w:t>
      </w:r>
      <w:r w:rsidRPr="0095412B">
        <w:t>. John Wiley &amp; Sons.</w:t>
      </w:r>
    </w:p>
    <w:p w14:paraId="61858CD5" w14:textId="77777777" w:rsidR="00401925" w:rsidRPr="0095412B" w:rsidRDefault="00401925" w:rsidP="00D16F64">
      <w:pPr>
        <w:rPr>
          <w:rFonts w:ascii="Times New Roman" w:eastAsiaTheme="minorEastAsia" w:hAnsi="Times New Roman" w:cs="Times New Roman"/>
          <w:b/>
          <w:bCs/>
          <w:sz w:val="32"/>
          <w:szCs w:val="32"/>
        </w:rPr>
      </w:pPr>
    </w:p>
    <w:p w14:paraId="6ADF36C3" w14:textId="031D0744" w:rsidR="00A239EB" w:rsidRPr="0095412B" w:rsidRDefault="00A239EB" w:rsidP="00D16F64">
      <w:pPr>
        <w:rPr>
          <w:rFonts w:ascii="Times New Roman" w:eastAsiaTheme="minorEastAsia" w:hAnsi="Times New Roman" w:cs="Times New Roman"/>
          <w:b/>
          <w:bCs/>
          <w:sz w:val="32"/>
          <w:szCs w:val="32"/>
        </w:rPr>
      </w:pPr>
      <w:r w:rsidRPr="0095412B">
        <w:rPr>
          <w:rFonts w:ascii="Times New Roman" w:eastAsiaTheme="minorEastAsia" w:hAnsi="Times New Roman" w:cs="Times New Roman"/>
          <w:b/>
          <w:bCs/>
          <w:sz w:val="32"/>
          <w:szCs w:val="32"/>
        </w:rPr>
        <w:t xml:space="preserve">Appendices </w:t>
      </w:r>
    </w:p>
    <w:p w14:paraId="3C706D5E" w14:textId="77777777" w:rsidR="00A239EB" w:rsidRPr="0095412B" w:rsidRDefault="00A239EB" w:rsidP="00D16F64">
      <w:pPr>
        <w:rPr>
          <w:rFonts w:ascii="Times New Roman" w:eastAsiaTheme="minorEastAsia" w:hAnsi="Times New Roman" w:cs="Times New Roman"/>
          <w:b/>
          <w:bCs/>
        </w:rPr>
      </w:pPr>
    </w:p>
    <w:p w14:paraId="1D7FBBCF" w14:textId="01DCFC4D" w:rsidR="00A239EB" w:rsidRPr="0095412B" w:rsidRDefault="00A239EB" w:rsidP="00D16F64">
      <w:pPr>
        <w:rPr>
          <w:rFonts w:ascii="Times New Roman" w:eastAsiaTheme="minorEastAsia" w:hAnsi="Times New Roman" w:cs="Times New Roman"/>
          <w:b/>
          <w:bCs/>
        </w:rPr>
      </w:pPr>
      <w:r w:rsidRPr="0095412B">
        <w:rPr>
          <w:rFonts w:ascii="Times New Roman" w:eastAsiaTheme="minorEastAsia" w:hAnsi="Times New Roman" w:cs="Times New Roman"/>
          <w:b/>
          <w:bCs/>
        </w:rPr>
        <w:t xml:space="preserve">Appendix </w:t>
      </w:r>
      <w:r w:rsidR="00F83BC4" w:rsidRPr="0095412B">
        <w:rPr>
          <w:rFonts w:ascii="Times New Roman" w:eastAsiaTheme="minorEastAsia" w:hAnsi="Times New Roman" w:cs="Times New Roman"/>
          <w:b/>
          <w:bCs/>
        </w:rPr>
        <w:t>A</w:t>
      </w:r>
    </w:p>
    <w:p w14:paraId="520A9051" w14:textId="15C7BA64" w:rsidR="00C73781" w:rsidRPr="0095412B" w:rsidRDefault="00C73781" w:rsidP="00D16F64">
      <w:pPr>
        <w:rPr>
          <w:rFonts w:ascii="Times New Roman" w:eastAsiaTheme="minorEastAsia" w:hAnsi="Times New Roman" w:cs="Times New Roman"/>
          <w:b/>
          <w:bCs/>
        </w:rPr>
      </w:pPr>
      <w:r w:rsidRPr="0095412B">
        <w:rPr>
          <w:rFonts w:ascii="Times New Roman" w:hAnsi="Times New Roman" w:cs="Times New Roman"/>
          <w:noProof/>
        </w:rPr>
        <w:drawing>
          <wp:anchor distT="0" distB="0" distL="114300" distR="114300" simplePos="0" relativeHeight="251663360" behindDoc="0" locked="0" layoutInCell="1" allowOverlap="1" wp14:anchorId="6D01D796" wp14:editId="5CB3D179">
            <wp:simplePos x="0" y="0"/>
            <wp:positionH relativeFrom="column">
              <wp:posOffset>1741442</wp:posOffset>
            </wp:positionH>
            <wp:positionV relativeFrom="paragraph">
              <wp:posOffset>85181</wp:posOffset>
            </wp:positionV>
            <wp:extent cx="1625600" cy="533400"/>
            <wp:effectExtent l="0" t="0" r="0" b="0"/>
            <wp:wrapSquare wrapText="bothSides"/>
            <wp:docPr id="690798424"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98424" name="Picture 1" descr="A close-up of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25600" cy="533400"/>
                    </a:xfrm>
                    <a:prstGeom prst="rect">
                      <a:avLst/>
                    </a:prstGeom>
                  </pic:spPr>
                </pic:pic>
              </a:graphicData>
            </a:graphic>
            <wp14:sizeRelH relativeFrom="page">
              <wp14:pctWidth>0</wp14:pctWidth>
            </wp14:sizeRelH>
            <wp14:sizeRelV relativeFrom="page">
              <wp14:pctHeight>0</wp14:pctHeight>
            </wp14:sizeRelV>
          </wp:anchor>
        </w:drawing>
      </w:r>
      <w:r w:rsidRPr="0095412B">
        <w:rPr>
          <w:rFonts w:ascii="Times New Roman" w:hAnsi="Times New Roman" w:cs="Times New Roman"/>
          <w:noProof/>
        </w:rPr>
        <w:drawing>
          <wp:anchor distT="0" distB="0" distL="114300" distR="114300" simplePos="0" relativeHeight="251662336" behindDoc="0" locked="0" layoutInCell="1" allowOverlap="1" wp14:anchorId="7A65ACF0" wp14:editId="7A231C0D">
            <wp:simplePos x="0" y="0"/>
            <wp:positionH relativeFrom="column">
              <wp:posOffset>-41910</wp:posOffset>
            </wp:positionH>
            <wp:positionV relativeFrom="paragraph">
              <wp:posOffset>86360</wp:posOffset>
            </wp:positionV>
            <wp:extent cx="1587500" cy="444500"/>
            <wp:effectExtent l="0" t="0" r="0" b="0"/>
            <wp:wrapSquare wrapText="bothSides"/>
            <wp:docPr id="779548996" name="Picture 2"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48996" name="Picture 2" descr="A close-up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87500" cy="444500"/>
                    </a:xfrm>
                    <a:prstGeom prst="rect">
                      <a:avLst/>
                    </a:prstGeom>
                  </pic:spPr>
                </pic:pic>
              </a:graphicData>
            </a:graphic>
            <wp14:sizeRelH relativeFrom="page">
              <wp14:pctWidth>0</wp14:pctWidth>
            </wp14:sizeRelH>
            <wp14:sizeRelV relativeFrom="page">
              <wp14:pctHeight>0</wp14:pctHeight>
            </wp14:sizeRelV>
          </wp:anchor>
        </w:drawing>
      </w:r>
    </w:p>
    <w:p w14:paraId="5100481B" w14:textId="6AD10FB1" w:rsidR="00C73781" w:rsidRPr="0095412B" w:rsidRDefault="00C73781" w:rsidP="00D16F64">
      <w:pPr>
        <w:rPr>
          <w:rFonts w:ascii="Times New Roman" w:eastAsiaTheme="minorEastAsia" w:hAnsi="Times New Roman" w:cs="Times New Roman"/>
          <w:b/>
          <w:bCs/>
        </w:rPr>
      </w:pPr>
    </w:p>
    <w:p w14:paraId="78906C02" w14:textId="7321E7A5" w:rsidR="00C73781" w:rsidRPr="0095412B" w:rsidRDefault="00C73781" w:rsidP="00D16F64">
      <w:pPr>
        <w:rPr>
          <w:rFonts w:ascii="Times New Roman" w:eastAsiaTheme="minorEastAsia" w:hAnsi="Times New Roman" w:cs="Times New Roman"/>
          <w:b/>
          <w:bCs/>
        </w:rPr>
      </w:pPr>
    </w:p>
    <w:p w14:paraId="448DAE4C" w14:textId="2D51307C" w:rsidR="00C73781" w:rsidRPr="0095412B" w:rsidRDefault="00C73781" w:rsidP="00D16F64">
      <w:pPr>
        <w:rPr>
          <w:rFonts w:ascii="Times New Roman" w:eastAsiaTheme="minorEastAsia" w:hAnsi="Times New Roman" w:cs="Times New Roman"/>
          <w:b/>
          <w:bCs/>
        </w:rPr>
      </w:pPr>
    </w:p>
    <w:p w14:paraId="4815D253" w14:textId="31C826ED" w:rsidR="00C73781" w:rsidRPr="0095412B" w:rsidRDefault="00C73781" w:rsidP="00D16F64">
      <w:pPr>
        <w:rPr>
          <w:rFonts w:ascii="Times New Roman" w:eastAsiaTheme="minorEastAsia" w:hAnsi="Times New Roman" w:cs="Times New Roman"/>
          <w:b/>
          <w:bCs/>
        </w:rPr>
      </w:pPr>
    </w:p>
    <w:p w14:paraId="1641F603" w14:textId="06CF54F9" w:rsidR="00C73781" w:rsidRPr="0095412B" w:rsidRDefault="00C73781" w:rsidP="00D16F64">
      <w:pPr>
        <w:rPr>
          <w:rFonts w:ascii="Times New Roman" w:eastAsiaTheme="minorEastAsia" w:hAnsi="Times New Roman" w:cs="Times New Roman"/>
          <w:b/>
          <w:bCs/>
        </w:rPr>
      </w:pPr>
      <w:r w:rsidRPr="0095412B">
        <w:rPr>
          <w:rFonts w:ascii="Times New Roman" w:eastAsiaTheme="minorEastAsia" w:hAnsi="Times New Roman" w:cs="Times New Roman"/>
          <w:b/>
          <w:bCs/>
        </w:rPr>
        <w:t>Appendix B</w:t>
      </w:r>
    </w:p>
    <w:p w14:paraId="65EF9225" w14:textId="77777777" w:rsidR="00C73781" w:rsidRDefault="00C73781" w:rsidP="00D16F64">
      <w:pPr>
        <w:rPr>
          <w:rFonts w:ascii="Times New Roman" w:eastAsiaTheme="minorEastAsia" w:hAnsi="Times New Roman" w:cs="Times New Roman"/>
          <w:b/>
          <w:bCs/>
        </w:rPr>
      </w:pPr>
    </w:p>
    <w:p w14:paraId="33E72D94" w14:textId="21450D07" w:rsidR="00DE6165" w:rsidRDefault="00DE6165" w:rsidP="00D16F64">
      <w:pPr>
        <w:rPr>
          <w:rFonts w:ascii="Times New Roman" w:eastAsiaTheme="minorEastAsia" w:hAnsi="Times New Roman" w:cs="Times New Roman"/>
        </w:rPr>
      </w:pPr>
      <w:r>
        <w:rPr>
          <w:rFonts w:ascii="Times New Roman" w:eastAsiaTheme="minorEastAsia" w:hAnsi="Times New Roman" w:cs="Times New Roman"/>
        </w:rPr>
        <w:t>For product A:</w:t>
      </w:r>
    </w:p>
    <w:p w14:paraId="477639D0" w14:textId="77777777" w:rsidR="00DE6165" w:rsidRDefault="00DE6165" w:rsidP="00D16F64">
      <w:pPr>
        <w:rPr>
          <w:rFonts w:ascii="Times New Roman" w:eastAsiaTheme="minorEastAsia" w:hAnsi="Times New Roman" w:cs="Times New Roman"/>
        </w:rPr>
      </w:pPr>
    </w:p>
    <w:p w14:paraId="70663491" w14:textId="25C8E947" w:rsidR="00DE6165" w:rsidRPr="00DE6165" w:rsidRDefault="00DE6165" w:rsidP="00D16F64">
      <w:pPr>
        <w:rPr>
          <w:rFonts w:ascii="Times New Roman" w:eastAsiaTheme="minorEastAsia" w:hAnsi="Times New Roman" w:cs="Times New Roman"/>
        </w:rPr>
      </w:pPr>
      <m:oMathPara>
        <m:oMath>
          <m:r>
            <w:rPr>
              <w:rFonts w:ascii="Cambria Math" w:eastAsiaTheme="minorEastAsia" w:hAnsi="Cambria Math" w:cs="Times New Roman"/>
            </w:rPr>
            <m:t>Y-h</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=αY</m:t>
          </m:r>
        </m:oMath>
      </m:oMathPara>
    </w:p>
    <w:p w14:paraId="0BFCBF55" w14:textId="707C13C0" w:rsidR="00DE6165" w:rsidRDefault="00DE6165" w:rsidP="00D16F64">
      <w:pPr>
        <w:rPr>
          <w:rFonts w:ascii="Times New Roman" w:eastAsiaTheme="minorEastAsia" w:hAnsi="Times New Roman" w:cs="Times New Roman"/>
        </w:rPr>
      </w:pPr>
      <w:r>
        <w:rPr>
          <w:rFonts w:ascii="Times New Roman" w:eastAsiaTheme="minorEastAsia" w:hAnsi="Times New Roman" w:cs="Times New Roman"/>
        </w:rPr>
        <w:t>For product B:</w:t>
      </w:r>
    </w:p>
    <w:p w14:paraId="41A6E580" w14:textId="2C3C4D9D" w:rsidR="00DE6165" w:rsidRPr="00DE6165" w:rsidRDefault="00DE6165" w:rsidP="00D16F64">
      <w:pPr>
        <w:rPr>
          <w:rFonts w:ascii="Times New Roman" w:eastAsiaTheme="minorEastAsia" w:hAnsi="Times New Roman" w:cs="Times New Roman"/>
        </w:rPr>
      </w:pPr>
      <m:oMathPara>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Y-d</m:t>
                  </m:r>
                </m:e>
              </m:d>
            </m:e>
            <m:sub>
              <m:r>
                <w:rPr>
                  <w:rFonts w:ascii="Cambria Math" w:eastAsiaTheme="minorEastAsia" w:hAnsi="Cambria Math" w:cs="Times New Roman"/>
                </w:rPr>
                <m:t>+</m:t>
              </m:r>
            </m:sub>
          </m:sSub>
        </m:oMath>
      </m:oMathPara>
    </w:p>
    <w:p w14:paraId="73548D72" w14:textId="77777777" w:rsidR="00DE6165" w:rsidRDefault="00DE6165" w:rsidP="00D16F64">
      <w:pPr>
        <w:rPr>
          <w:rFonts w:ascii="Times New Roman" w:eastAsiaTheme="minorEastAsia" w:hAnsi="Times New Roman" w:cs="Times New Roman"/>
        </w:rPr>
      </w:pPr>
    </w:p>
    <w:p w14:paraId="19698C9D" w14:textId="2928BE99" w:rsidR="00DE6165" w:rsidRDefault="00DE6165" w:rsidP="00D16F64">
      <w:pPr>
        <w:rPr>
          <w:rFonts w:ascii="Times New Roman" w:eastAsiaTheme="minorEastAsia" w:hAnsi="Times New Roman" w:cs="Times New Roman"/>
        </w:rPr>
      </w:pPr>
      <w:r>
        <w:rPr>
          <w:rFonts w:ascii="Times New Roman" w:eastAsiaTheme="minorEastAsia" w:hAnsi="Times New Roman" w:cs="Times New Roman"/>
        </w:rPr>
        <w:t>For A this becomes:</w:t>
      </w:r>
    </w:p>
    <w:p w14:paraId="6A0406C8" w14:textId="77777777" w:rsidR="00DE6165" w:rsidRDefault="00DE6165" w:rsidP="00D16F64">
      <w:pPr>
        <w:rPr>
          <w:rFonts w:ascii="Times New Roman" w:eastAsiaTheme="minorEastAsia" w:hAnsi="Times New Roman" w:cs="Times New Roman"/>
        </w:rPr>
      </w:pPr>
    </w:p>
    <w:p w14:paraId="05F4E85A" w14:textId="2B9CEE87" w:rsidR="00DE6165" w:rsidRDefault="00DE6165" w:rsidP="00D16F64">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λ</m:t>
              </m:r>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a</m:t>
                  </m:r>
                </m:sup>
              </m:sSup>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b-ar</m:t>
                      </m:r>
                    </m:e>
                  </m:d>
                </m:e>
                <m:sup>
                  <m:r>
                    <w:rPr>
                      <w:rFonts w:ascii="Cambria Math" w:eastAsiaTheme="minorEastAsia" w:hAnsi="Cambria Math" w:cs="Times New Roman"/>
                    </w:rPr>
                    <m:t>a</m:t>
                  </m:r>
                </m:sup>
              </m:sSup>
            </m:den>
          </m:f>
          <m:r>
            <w:rPr>
              <w:rFonts w:ascii="Cambria Math" w:eastAsiaTheme="minorEastAsia" w:hAnsi="Cambria Math" w:cs="Times New Roman"/>
            </w:rPr>
            <m:t>-λ=</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1+θ</m:t>
                  </m:r>
                </m:e>
              </m:d>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1+ξ</m:t>
                  </m:r>
                </m:e>
              </m:d>
              <m:r>
                <w:rPr>
                  <w:rFonts w:ascii="Cambria Math" w:eastAsiaTheme="minorEastAsia" w:hAnsi="Cambria Math" w:cs="Times New Roman"/>
                </w:rPr>
                <m:t>λE</m:t>
              </m:r>
              <m:d>
                <m:dPr>
                  <m:begChr m:val="["/>
                  <m:endChr m:val="]"/>
                  <m:ctrlPr>
                    <w:rPr>
                      <w:rFonts w:ascii="Cambria Math" w:eastAsiaTheme="minorEastAsia" w:hAnsi="Cambria Math" w:cs="Times New Roman"/>
                      <w:i/>
                    </w:rPr>
                  </m:ctrlPr>
                </m:dPr>
                <m:e>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Y</m:t>
                      </m:r>
                    </m:e>
                  </m:d>
                </m:e>
              </m:d>
            </m:e>
          </m:d>
          <m:r>
            <w:rPr>
              <w:rFonts w:ascii="Cambria Math" w:eastAsiaTheme="minorEastAsia" w:hAnsi="Cambria Math" w:cs="Times New Roman"/>
            </w:rPr>
            <m:t>r</m:t>
          </m:r>
        </m:oMath>
      </m:oMathPara>
    </w:p>
    <w:p w14:paraId="6E14C174" w14:textId="77777777" w:rsidR="00DE6165" w:rsidRDefault="00DE6165" w:rsidP="00D16F64">
      <w:pPr>
        <w:rPr>
          <w:rFonts w:ascii="Times New Roman" w:eastAsiaTheme="minorEastAsia" w:hAnsi="Times New Roman" w:cs="Times New Roman"/>
        </w:rPr>
      </w:pPr>
    </w:p>
    <w:p w14:paraId="3319F6F3" w14:textId="77777777" w:rsidR="00DE6165" w:rsidRDefault="00DE6165" w:rsidP="00D16F64">
      <w:pPr>
        <w:rPr>
          <w:rFonts w:ascii="Times New Roman" w:eastAsiaTheme="minorEastAsia" w:hAnsi="Times New Roman" w:cs="Times New Roman"/>
        </w:rPr>
      </w:pPr>
    </w:p>
    <w:p w14:paraId="1EC49972" w14:textId="63D24A40" w:rsidR="00DE6165" w:rsidRPr="00DE6165" w:rsidRDefault="00DE6165" w:rsidP="00D16F64">
      <w:pPr>
        <w:rPr>
          <w:rFonts w:ascii="Times New Roman" w:eastAsiaTheme="minorEastAsia" w:hAnsi="Times New Roman" w:cs="Times New Roman"/>
        </w:rPr>
      </w:pPr>
      <w:r>
        <w:rPr>
          <w:rFonts w:ascii="Times New Roman" w:eastAsiaTheme="minorEastAsia" w:hAnsi="Times New Roman" w:cs="Times New Roman"/>
        </w:rPr>
        <w:t>For B this becomes:</w:t>
      </w:r>
    </w:p>
    <w:p w14:paraId="03FC98D2" w14:textId="0E625422" w:rsidR="00A239EB" w:rsidRPr="00DB09A5" w:rsidRDefault="00DE6165" w:rsidP="00D16F64">
      <w:pPr>
        <w:rPr>
          <w:rFonts w:ascii="Times New Roman" w:eastAsiaTheme="minorEastAsia" w:hAnsi="Times New Roman" w:cs="Times New Roman"/>
        </w:rPr>
      </w:pPr>
      <m:oMathPara>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r</m:t>
                  </m:r>
                  <m:d>
                    <m:dPr>
                      <m:ctrlPr>
                        <w:rPr>
                          <w:rFonts w:ascii="Cambria Math" w:eastAsiaTheme="minorEastAsia" w:hAnsi="Cambria Math" w:cs="Times New Roman"/>
                          <w:i/>
                        </w:rPr>
                      </m:ctrlPr>
                    </m:dPr>
                    <m:e>
                      <m:func>
                        <m:funcPr>
                          <m:ctrlPr>
                            <w:rPr>
                              <w:rFonts w:ascii="Cambria Math" w:eastAsiaTheme="minorEastAsia" w:hAnsi="Cambria Math" w:cs="Times New Roman"/>
                            </w:rPr>
                          </m:ctrlPr>
                        </m:funcPr>
                        <m:fName>
                          <m:r>
                            <m:rPr>
                              <m:sty m:val="p"/>
                            </m:rPr>
                            <w:rPr>
                              <w:rFonts w:ascii="Cambria Math" w:eastAsiaTheme="minorEastAsia" w:hAnsi="Cambria Math" w:cs="Times New Roman"/>
                            </w:rPr>
                            <m:t>min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X,d</m:t>
                              </m:r>
                            </m:e>
                          </m:d>
                        </m:e>
                      </m:func>
                    </m:e>
                  </m:d>
                </m:sup>
              </m:sSup>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d</m:t>
              </m:r>
            </m:sub>
            <m:sup>
              <m:r>
                <w:rPr>
                  <w:rFonts w:ascii="Cambria Math" w:eastAsiaTheme="minorEastAsia" w:hAnsi="Cambria Math" w:cs="Times New Roman"/>
                </w:rPr>
                <m:t>∞</m:t>
              </m:r>
            </m:sup>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rd</m:t>
                  </m:r>
                </m:sup>
              </m:sSup>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gamma</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dx+ </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d</m:t>
                  </m:r>
                </m:sup>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rx</m:t>
                      </m:r>
                    </m:sup>
                  </m:sSup>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gamma</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dx</m:t>
                  </m:r>
                </m:e>
              </m:nary>
            </m:e>
          </m:nary>
        </m:oMath>
      </m:oMathPara>
    </w:p>
    <w:p w14:paraId="4B37BC70" w14:textId="77777777" w:rsidR="00DB09A5" w:rsidRDefault="00DB09A5" w:rsidP="00D16F64">
      <w:pPr>
        <w:rPr>
          <w:rFonts w:ascii="Times New Roman" w:eastAsiaTheme="minorEastAsia" w:hAnsi="Times New Roman" w:cs="Times New Roman"/>
        </w:rPr>
      </w:pPr>
    </w:p>
    <w:p w14:paraId="532F1D57" w14:textId="77777777" w:rsidR="00DB09A5" w:rsidRDefault="00DB09A5" w:rsidP="00D16F64">
      <w:pPr>
        <w:rPr>
          <w:rFonts w:ascii="Times New Roman" w:eastAsiaTheme="minorEastAsia" w:hAnsi="Times New Roman" w:cs="Times New Roman"/>
        </w:rPr>
      </w:pPr>
    </w:p>
    <w:p w14:paraId="053C92FF" w14:textId="57E7B0BA" w:rsidR="00DB09A5" w:rsidRDefault="00DB09A5" w:rsidP="00D16F64">
      <w:pPr>
        <w:rPr>
          <w:rFonts w:ascii="Times New Roman" w:eastAsiaTheme="minorEastAsia" w:hAnsi="Times New Roman" w:cs="Times New Roman"/>
          <w:b/>
          <w:bCs/>
        </w:rPr>
      </w:pPr>
      <w:r w:rsidRPr="00DB09A5">
        <w:rPr>
          <w:rFonts w:ascii="Times New Roman" w:eastAsiaTheme="minorEastAsia" w:hAnsi="Times New Roman" w:cs="Times New Roman"/>
          <w:b/>
          <w:bCs/>
        </w:rPr>
        <w:t>Appendix C</w:t>
      </w:r>
    </w:p>
    <w:tbl>
      <w:tblPr>
        <w:tblStyle w:val="TableGrid"/>
        <w:tblW w:w="0" w:type="auto"/>
        <w:tblLook w:val="04A0" w:firstRow="1" w:lastRow="0" w:firstColumn="1" w:lastColumn="0" w:noHBand="0" w:noVBand="1"/>
      </w:tblPr>
      <w:tblGrid>
        <w:gridCol w:w="3005"/>
        <w:gridCol w:w="3005"/>
        <w:gridCol w:w="3006"/>
      </w:tblGrid>
      <w:tr w:rsidR="00D57217" w14:paraId="7808D837" w14:textId="77777777" w:rsidTr="00D57217">
        <w:tc>
          <w:tcPr>
            <w:tcW w:w="3005" w:type="dxa"/>
          </w:tcPr>
          <w:p w14:paraId="66CF9B85" w14:textId="72B412ED" w:rsidR="00D57217" w:rsidRDefault="00D57217" w:rsidP="00D16F64">
            <w:pPr>
              <w:rPr>
                <w:rFonts w:ascii="Times New Roman" w:eastAsiaTheme="minorEastAsia" w:hAnsi="Times New Roman" w:cs="Times New Roman"/>
                <w:b/>
                <w:bCs/>
              </w:rPr>
            </w:pPr>
            <w:r>
              <w:rPr>
                <w:rFonts w:ascii="Times New Roman" w:eastAsiaTheme="minorEastAsia" w:hAnsi="Times New Roman" w:cs="Times New Roman"/>
                <w:b/>
                <w:bCs/>
              </w:rPr>
              <w:t>Option</w:t>
            </w:r>
          </w:p>
        </w:tc>
        <w:tc>
          <w:tcPr>
            <w:tcW w:w="3005" w:type="dxa"/>
          </w:tcPr>
          <w:p w14:paraId="458E1941" w14:textId="3FD22111" w:rsidR="00D57217" w:rsidRDefault="002A51B7" w:rsidP="00D16F64">
            <w:pPr>
              <w:rPr>
                <w:rFonts w:ascii="Times New Roman" w:eastAsiaTheme="minorEastAsia" w:hAnsi="Times New Roman" w:cs="Times New Roman"/>
                <w:b/>
                <w:bCs/>
              </w:rPr>
            </w:pPr>
            <w:r>
              <w:rPr>
                <w:rFonts w:ascii="Times New Roman" w:eastAsiaTheme="minorEastAsia" w:hAnsi="Times New Roman" w:cs="Times New Roman"/>
                <w:b/>
                <w:bCs/>
              </w:rPr>
              <w:t>Simulated Ruin Probability</w:t>
            </w:r>
          </w:p>
        </w:tc>
        <w:tc>
          <w:tcPr>
            <w:tcW w:w="3006" w:type="dxa"/>
          </w:tcPr>
          <w:p w14:paraId="776BA794" w14:textId="6DE7D7C9" w:rsidR="00D57217" w:rsidRDefault="002A51B7" w:rsidP="00D16F64">
            <w:pPr>
              <w:rPr>
                <w:rFonts w:ascii="Times New Roman" w:eastAsiaTheme="minorEastAsia" w:hAnsi="Times New Roman" w:cs="Times New Roman"/>
                <w:b/>
                <w:bCs/>
              </w:rPr>
            </w:pPr>
            <w:r>
              <w:rPr>
                <w:rFonts w:ascii="Times New Roman" w:eastAsiaTheme="minorEastAsia" w:hAnsi="Times New Roman" w:cs="Times New Roman"/>
                <w:b/>
                <w:bCs/>
              </w:rPr>
              <w:t>Upper Bound</w:t>
            </w:r>
          </w:p>
        </w:tc>
      </w:tr>
      <w:tr w:rsidR="00D57217" w14:paraId="39238992" w14:textId="77777777" w:rsidTr="00D57217">
        <w:tc>
          <w:tcPr>
            <w:tcW w:w="3005" w:type="dxa"/>
          </w:tcPr>
          <w:p w14:paraId="065BB523" w14:textId="5999FEB4" w:rsidR="00D57217" w:rsidRDefault="00D57217" w:rsidP="00D16F64">
            <w:pPr>
              <w:rPr>
                <w:rFonts w:ascii="Times New Roman" w:eastAsiaTheme="minorEastAsia" w:hAnsi="Times New Roman" w:cs="Times New Roman"/>
                <w:b/>
                <w:bCs/>
              </w:rPr>
            </w:pPr>
            <w:r>
              <w:rPr>
                <w:rFonts w:ascii="Times New Roman" w:eastAsiaTheme="minorEastAsia" w:hAnsi="Times New Roman" w:cs="Times New Roman"/>
                <w:b/>
                <w:bCs/>
              </w:rPr>
              <w:t>Proportional</w:t>
            </w:r>
          </w:p>
        </w:tc>
        <w:tc>
          <w:tcPr>
            <w:tcW w:w="3005" w:type="dxa"/>
          </w:tcPr>
          <w:p w14:paraId="79BD3C0A" w14:textId="71A7C38D" w:rsidR="002A51B7" w:rsidRPr="002A51B7" w:rsidRDefault="002A51B7" w:rsidP="002A51B7">
            <w:pPr>
              <w:rPr>
                <w:rFonts w:ascii="Times New Roman" w:eastAsiaTheme="minorEastAsia" w:hAnsi="Times New Roman" w:cs="Times New Roman"/>
              </w:rPr>
            </w:pPr>
            <w:r w:rsidRPr="002A51B7">
              <w:rPr>
                <w:rFonts w:ascii="Times New Roman" w:eastAsiaTheme="minorEastAsia" w:hAnsi="Times New Roman" w:cs="Times New Roman"/>
              </w:rPr>
              <w:t xml:space="preserve">0.003534 </w:t>
            </w:r>
          </w:p>
          <w:p w14:paraId="0740BCA3" w14:textId="6BCC14EF" w:rsidR="00D57217" w:rsidRPr="002A51B7" w:rsidRDefault="00D57217" w:rsidP="002A51B7">
            <w:pPr>
              <w:rPr>
                <w:rFonts w:ascii="Times New Roman" w:eastAsiaTheme="minorEastAsia" w:hAnsi="Times New Roman" w:cs="Times New Roman"/>
              </w:rPr>
            </w:pPr>
          </w:p>
        </w:tc>
        <w:tc>
          <w:tcPr>
            <w:tcW w:w="3006" w:type="dxa"/>
          </w:tcPr>
          <w:p w14:paraId="5EE1762E" w14:textId="77777777" w:rsidR="002A51B7" w:rsidRPr="002A51B7" w:rsidRDefault="002A51B7" w:rsidP="002A51B7">
            <w:pPr>
              <w:rPr>
                <w:rFonts w:ascii="Times New Roman" w:eastAsiaTheme="minorEastAsia" w:hAnsi="Times New Roman" w:cs="Times New Roman"/>
              </w:rPr>
            </w:pPr>
            <w:r w:rsidRPr="002A51B7">
              <w:rPr>
                <w:rFonts w:ascii="Times New Roman" w:eastAsiaTheme="minorEastAsia" w:hAnsi="Times New Roman" w:cs="Times New Roman"/>
              </w:rPr>
              <w:t>0.04114744</w:t>
            </w:r>
          </w:p>
          <w:p w14:paraId="5991602D" w14:textId="77777777" w:rsidR="00D57217" w:rsidRPr="002A51B7" w:rsidRDefault="00D57217" w:rsidP="00D16F64">
            <w:pPr>
              <w:rPr>
                <w:rFonts w:ascii="Times New Roman" w:eastAsiaTheme="minorEastAsia" w:hAnsi="Times New Roman" w:cs="Times New Roman"/>
              </w:rPr>
            </w:pPr>
          </w:p>
        </w:tc>
      </w:tr>
      <w:tr w:rsidR="00D57217" w14:paraId="2B67EB7E" w14:textId="77777777" w:rsidTr="00D57217">
        <w:tc>
          <w:tcPr>
            <w:tcW w:w="3005" w:type="dxa"/>
          </w:tcPr>
          <w:p w14:paraId="23617D1C" w14:textId="2BBC3B7F" w:rsidR="00D57217" w:rsidRDefault="00D57217" w:rsidP="00D16F64">
            <w:pPr>
              <w:rPr>
                <w:rFonts w:ascii="Times New Roman" w:eastAsiaTheme="minorEastAsia" w:hAnsi="Times New Roman" w:cs="Times New Roman"/>
                <w:b/>
                <w:bCs/>
              </w:rPr>
            </w:pPr>
            <w:r>
              <w:rPr>
                <w:rFonts w:ascii="Times New Roman" w:eastAsiaTheme="minorEastAsia" w:hAnsi="Times New Roman" w:cs="Times New Roman"/>
                <w:b/>
                <w:bCs/>
              </w:rPr>
              <w:t>EOL</w:t>
            </w:r>
          </w:p>
        </w:tc>
        <w:tc>
          <w:tcPr>
            <w:tcW w:w="3005" w:type="dxa"/>
          </w:tcPr>
          <w:p w14:paraId="6E095131" w14:textId="48D3435D" w:rsidR="00D57217" w:rsidRPr="002A51B7" w:rsidRDefault="002A51B7" w:rsidP="00D16F64">
            <w:pPr>
              <w:rPr>
                <w:rFonts w:ascii="Times New Roman" w:eastAsiaTheme="minorEastAsia" w:hAnsi="Times New Roman" w:cs="Times New Roman"/>
              </w:rPr>
            </w:pPr>
            <w:r w:rsidRPr="002A51B7">
              <w:rPr>
                <w:rFonts w:ascii="Times New Roman" w:eastAsiaTheme="minorEastAsia" w:hAnsi="Times New Roman" w:cs="Times New Roman"/>
              </w:rPr>
              <w:t xml:space="preserve">0.003622  </w:t>
            </w:r>
          </w:p>
        </w:tc>
        <w:tc>
          <w:tcPr>
            <w:tcW w:w="3006" w:type="dxa"/>
          </w:tcPr>
          <w:p w14:paraId="767CC394" w14:textId="5F5796DC" w:rsidR="00D57217" w:rsidRPr="002A51B7" w:rsidRDefault="002A51B7" w:rsidP="00D16F64">
            <w:pPr>
              <w:rPr>
                <w:rFonts w:ascii="Times New Roman" w:eastAsiaTheme="minorEastAsia" w:hAnsi="Times New Roman" w:cs="Times New Roman"/>
              </w:rPr>
            </w:pPr>
            <w:r w:rsidRPr="002A51B7">
              <w:rPr>
                <w:rFonts w:ascii="Times New Roman" w:eastAsiaTheme="minorEastAsia" w:hAnsi="Times New Roman" w:cs="Times New Roman"/>
              </w:rPr>
              <w:t>0.04115580</w:t>
            </w:r>
          </w:p>
        </w:tc>
      </w:tr>
    </w:tbl>
    <w:p w14:paraId="13C985D1" w14:textId="77777777" w:rsidR="00D57217" w:rsidRPr="00DB09A5" w:rsidRDefault="00D57217" w:rsidP="00D16F64">
      <w:pPr>
        <w:rPr>
          <w:rFonts w:ascii="Times New Roman" w:eastAsiaTheme="minorEastAsia" w:hAnsi="Times New Roman" w:cs="Times New Roman"/>
          <w:b/>
          <w:bCs/>
        </w:rPr>
      </w:pPr>
    </w:p>
    <w:sectPr w:rsidR="00D57217" w:rsidRPr="00DB09A5" w:rsidSect="00D457E9">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F089A" w14:textId="77777777" w:rsidR="00295F33" w:rsidRDefault="00295F33" w:rsidP="008A001A">
      <w:r>
        <w:separator/>
      </w:r>
    </w:p>
  </w:endnote>
  <w:endnote w:type="continuationSeparator" w:id="0">
    <w:p w14:paraId="267F4547" w14:textId="77777777" w:rsidR="00295F33" w:rsidRDefault="00295F33" w:rsidP="008A0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499770"/>
      <w:docPartObj>
        <w:docPartGallery w:val="Page Numbers (Bottom of Page)"/>
        <w:docPartUnique/>
      </w:docPartObj>
    </w:sdtPr>
    <w:sdtContent>
      <w:p w14:paraId="2942C63C" w14:textId="18D6AFB4" w:rsidR="008A001A" w:rsidRDefault="008A001A" w:rsidP="00333D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017DC5" w14:textId="77777777" w:rsidR="008A001A" w:rsidRDefault="008A001A" w:rsidP="008A00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26927"/>
      <w:docPartObj>
        <w:docPartGallery w:val="Page Numbers (Bottom of Page)"/>
        <w:docPartUnique/>
      </w:docPartObj>
    </w:sdtPr>
    <w:sdtContent>
      <w:p w14:paraId="1649972E" w14:textId="226CB4DE" w:rsidR="008A001A" w:rsidRDefault="008A001A" w:rsidP="00333D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4F324D" w14:textId="77777777" w:rsidR="008A001A" w:rsidRDefault="008A001A" w:rsidP="008A00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88BAE" w14:textId="77777777" w:rsidR="00295F33" w:rsidRDefault="00295F33" w:rsidP="008A001A">
      <w:r>
        <w:separator/>
      </w:r>
    </w:p>
  </w:footnote>
  <w:footnote w:type="continuationSeparator" w:id="0">
    <w:p w14:paraId="33201861" w14:textId="77777777" w:rsidR="00295F33" w:rsidRDefault="00295F33" w:rsidP="008A0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6B32"/>
    <w:multiLevelType w:val="hybridMultilevel"/>
    <w:tmpl w:val="977023F2"/>
    <w:lvl w:ilvl="0" w:tplc="275EBCD4">
      <w:start w:val="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1654F"/>
    <w:multiLevelType w:val="multilevel"/>
    <w:tmpl w:val="AB1A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1155F"/>
    <w:multiLevelType w:val="multilevel"/>
    <w:tmpl w:val="03EE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251F0"/>
    <w:multiLevelType w:val="multilevel"/>
    <w:tmpl w:val="4D7C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126326">
    <w:abstractNumId w:val="0"/>
  </w:num>
  <w:num w:numId="2" w16cid:durableId="1082993292">
    <w:abstractNumId w:val="2"/>
  </w:num>
  <w:num w:numId="3" w16cid:durableId="318968591">
    <w:abstractNumId w:val="3"/>
  </w:num>
  <w:num w:numId="4" w16cid:durableId="1216620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05"/>
    <w:rsid w:val="0003117F"/>
    <w:rsid w:val="0003733D"/>
    <w:rsid w:val="0010522F"/>
    <w:rsid w:val="001216CF"/>
    <w:rsid w:val="001321DB"/>
    <w:rsid w:val="001459A4"/>
    <w:rsid w:val="001964EC"/>
    <w:rsid w:val="001A5D64"/>
    <w:rsid w:val="001C416D"/>
    <w:rsid w:val="001C6142"/>
    <w:rsid w:val="001E6FFB"/>
    <w:rsid w:val="00207764"/>
    <w:rsid w:val="00225E9B"/>
    <w:rsid w:val="00244321"/>
    <w:rsid w:val="0024476D"/>
    <w:rsid w:val="00295F33"/>
    <w:rsid w:val="002A51B7"/>
    <w:rsid w:val="002D7956"/>
    <w:rsid w:val="002E3A9C"/>
    <w:rsid w:val="0036245B"/>
    <w:rsid w:val="00370DE5"/>
    <w:rsid w:val="003A03DE"/>
    <w:rsid w:val="003B70F0"/>
    <w:rsid w:val="003C3DA8"/>
    <w:rsid w:val="003E7A87"/>
    <w:rsid w:val="003F4D70"/>
    <w:rsid w:val="00401925"/>
    <w:rsid w:val="00434AB7"/>
    <w:rsid w:val="004476F6"/>
    <w:rsid w:val="004513A9"/>
    <w:rsid w:val="004745C3"/>
    <w:rsid w:val="00511605"/>
    <w:rsid w:val="00512939"/>
    <w:rsid w:val="00517076"/>
    <w:rsid w:val="0052505E"/>
    <w:rsid w:val="00556E4B"/>
    <w:rsid w:val="005654A4"/>
    <w:rsid w:val="005945D1"/>
    <w:rsid w:val="005A24FF"/>
    <w:rsid w:val="005A50D6"/>
    <w:rsid w:val="005C4C9C"/>
    <w:rsid w:val="005C74CB"/>
    <w:rsid w:val="005D0994"/>
    <w:rsid w:val="0065659D"/>
    <w:rsid w:val="00666B75"/>
    <w:rsid w:val="006C5C32"/>
    <w:rsid w:val="006E111A"/>
    <w:rsid w:val="00720CA4"/>
    <w:rsid w:val="007343C1"/>
    <w:rsid w:val="00775668"/>
    <w:rsid w:val="007E3F32"/>
    <w:rsid w:val="00814FAF"/>
    <w:rsid w:val="008308D6"/>
    <w:rsid w:val="008518AA"/>
    <w:rsid w:val="00853174"/>
    <w:rsid w:val="00865BBF"/>
    <w:rsid w:val="00867701"/>
    <w:rsid w:val="0088378A"/>
    <w:rsid w:val="008A001A"/>
    <w:rsid w:val="008B3710"/>
    <w:rsid w:val="009003BD"/>
    <w:rsid w:val="00952DBB"/>
    <w:rsid w:val="0095412B"/>
    <w:rsid w:val="009F179E"/>
    <w:rsid w:val="00A239EB"/>
    <w:rsid w:val="00A6667D"/>
    <w:rsid w:val="00A71669"/>
    <w:rsid w:val="00AB7C48"/>
    <w:rsid w:val="00AD2736"/>
    <w:rsid w:val="00AF54C9"/>
    <w:rsid w:val="00B337C6"/>
    <w:rsid w:val="00B50C23"/>
    <w:rsid w:val="00B8086A"/>
    <w:rsid w:val="00B95174"/>
    <w:rsid w:val="00BA163C"/>
    <w:rsid w:val="00BA2424"/>
    <w:rsid w:val="00BC1A46"/>
    <w:rsid w:val="00BD3FF5"/>
    <w:rsid w:val="00C03DB5"/>
    <w:rsid w:val="00C328C5"/>
    <w:rsid w:val="00C71B89"/>
    <w:rsid w:val="00C73781"/>
    <w:rsid w:val="00C8226D"/>
    <w:rsid w:val="00D16F64"/>
    <w:rsid w:val="00D457E9"/>
    <w:rsid w:val="00D57217"/>
    <w:rsid w:val="00D6009A"/>
    <w:rsid w:val="00D8304F"/>
    <w:rsid w:val="00DB09A5"/>
    <w:rsid w:val="00DE6165"/>
    <w:rsid w:val="00E07980"/>
    <w:rsid w:val="00E8700A"/>
    <w:rsid w:val="00EC1661"/>
    <w:rsid w:val="00ED30E2"/>
    <w:rsid w:val="00ED3A1A"/>
    <w:rsid w:val="00EE6E01"/>
    <w:rsid w:val="00EE7B66"/>
    <w:rsid w:val="00F0265C"/>
    <w:rsid w:val="00F3510E"/>
    <w:rsid w:val="00F80438"/>
    <w:rsid w:val="00F83BC4"/>
    <w:rsid w:val="00FA13DB"/>
    <w:rsid w:val="00FC13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BA63"/>
  <w15:chartTrackingRefBased/>
  <w15:docId w15:val="{B6B00B93-F90D-1249-AA1F-7D4F5D20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4FF"/>
    <w:rPr>
      <w:color w:val="666666"/>
    </w:rPr>
  </w:style>
  <w:style w:type="paragraph" w:styleId="ListParagraph">
    <w:name w:val="List Paragraph"/>
    <w:basedOn w:val="Normal"/>
    <w:uiPriority w:val="34"/>
    <w:qFormat/>
    <w:rsid w:val="00C328C5"/>
    <w:pPr>
      <w:ind w:left="720"/>
      <w:contextualSpacing/>
    </w:pPr>
  </w:style>
  <w:style w:type="table" w:styleId="TableGrid">
    <w:name w:val="Table Grid"/>
    <w:basedOn w:val="TableNormal"/>
    <w:uiPriority w:val="39"/>
    <w:rsid w:val="005A5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798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link w:val="NoSpacingChar"/>
    <w:uiPriority w:val="1"/>
    <w:qFormat/>
    <w:rsid w:val="00D457E9"/>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57E9"/>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8A001A"/>
    <w:pPr>
      <w:tabs>
        <w:tab w:val="center" w:pos="4513"/>
        <w:tab w:val="right" w:pos="9026"/>
      </w:tabs>
    </w:pPr>
  </w:style>
  <w:style w:type="character" w:customStyle="1" w:styleId="FooterChar">
    <w:name w:val="Footer Char"/>
    <w:basedOn w:val="DefaultParagraphFont"/>
    <w:link w:val="Footer"/>
    <w:uiPriority w:val="99"/>
    <w:rsid w:val="008A001A"/>
  </w:style>
  <w:style w:type="character" w:styleId="PageNumber">
    <w:name w:val="page number"/>
    <w:basedOn w:val="DefaultParagraphFont"/>
    <w:uiPriority w:val="99"/>
    <w:semiHidden/>
    <w:unhideWhenUsed/>
    <w:rsid w:val="008A001A"/>
  </w:style>
  <w:style w:type="character" w:customStyle="1" w:styleId="katex-mathml">
    <w:name w:val="katex-mathml"/>
    <w:basedOn w:val="DefaultParagraphFont"/>
    <w:rsid w:val="00FC13D8"/>
  </w:style>
  <w:style w:type="character" w:customStyle="1" w:styleId="mord">
    <w:name w:val="mord"/>
    <w:basedOn w:val="DefaultParagraphFont"/>
    <w:rsid w:val="00FC13D8"/>
  </w:style>
  <w:style w:type="character" w:customStyle="1" w:styleId="mopen">
    <w:name w:val="mopen"/>
    <w:basedOn w:val="DefaultParagraphFont"/>
    <w:rsid w:val="00FC13D8"/>
  </w:style>
  <w:style w:type="character" w:customStyle="1" w:styleId="vlist-s">
    <w:name w:val="vlist-s"/>
    <w:basedOn w:val="DefaultParagraphFont"/>
    <w:rsid w:val="00FC13D8"/>
  </w:style>
  <w:style w:type="character" w:customStyle="1" w:styleId="mclose">
    <w:name w:val="mclose"/>
    <w:basedOn w:val="DefaultParagraphFont"/>
    <w:rsid w:val="00FC13D8"/>
  </w:style>
  <w:style w:type="character" w:customStyle="1" w:styleId="mrel">
    <w:name w:val="mrel"/>
    <w:basedOn w:val="DefaultParagraphFont"/>
    <w:rsid w:val="00FC13D8"/>
  </w:style>
  <w:style w:type="character" w:styleId="Strong">
    <w:name w:val="Strong"/>
    <w:basedOn w:val="DefaultParagraphFont"/>
    <w:uiPriority w:val="22"/>
    <w:qFormat/>
    <w:rsid w:val="00D8304F"/>
    <w:rPr>
      <w:b/>
      <w:bCs/>
    </w:rPr>
  </w:style>
  <w:style w:type="character" w:styleId="Emphasis">
    <w:name w:val="Emphasis"/>
    <w:basedOn w:val="DefaultParagraphFont"/>
    <w:uiPriority w:val="20"/>
    <w:qFormat/>
    <w:rsid w:val="004019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6579">
      <w:bodyDiv w:val="1"/>
      <w:marLeft w:val="0"/>
      <w:marRight w:val="0"/>
      <w:marTop w:val="0"/>
      <w:marBottom w:val="0"/>
      <w:divBdr>
        <w:top w:val="none" w:sz="0" w:space="0" w:color="auto"/>
        <w:left w:val="none" w:sz="0" w:space="0" w:color="auto"/>
        <w:bottom w:val="none" w:sz="0" w:space="0" w:color="auto"/>
        <w:right w:val="none" w:sz="0" w:space="0" w:color="auto"/>
      </w:divBdr>
    </w:div>
    <w:div w:id="942303122">
      <w:bodyDiv w:val="1"/>
      <w:marLeft w:val="0"/>
      <w:marRight w:val="0"/>
      <w:marTop w:val="0"/>
      <w:marBottom w:val="0"/>
      <w:divBdr>
        <w:top w:val="none" w:sz="0" w:space="0" w:color="auto"/>
        <w:left w:val="none" w:sz="0" w:space="0" w:color="auto"/>
        <w:bottom w:val="none" w:sz="0" w:space="0" w:color="auto"/>
        <w:right w:val="none" w:sz="0" w:space="0" w:color="auto"/>
      </w:divBdr>
    </w:div>
    <w:div w:id="1155754653">
      <w:bodyDiv w:val="1"/>
      <w:marLeft w:val="0"/>
      <w:marRight w:val="0"/>
      <w:marTop w:val="0"/>
      <w:marBottom w:val="0"/>
      <w:divBdr>
        <w:top w:val="none" w:sz="0" w:space="0" w:color="auto"/>
        <w:left w:val="none" w:sz="0" w:space="0" w:color="auto"/>
        <w:bottom w:val="none" w:sz="0" w:space="0" w:color="auto"/>
        <w:right w:val="none" w:sz="0" w:space="0" w:color="auto"/>
      </w:divBdr>
    </w:div>
    <w:div w:id="1324358754">
      <w:bodyDiv w:val="1"/>
      <w:marLeft w:val="0"/>
      <w:marRight w:val="0"/>
      <w:marTop w:val="0"/>
      <w:marBottom w:val="0"/>
      <w:divBdr>
        <w:top w:val="none" w:sz="0" w:space="0" w:color="auto"/>
        <w:left w:val="none" w:sz="0" w:space="0" w:color="auto"/>
        <w:bottom w:val="none" w:sz="0" w:space="0" w:color="auto"/>
        <w:right w:val="none" w:sz="0" w:space="0" w:color="auto"/>
      </w:divBdr>
      <w:divsChild>
        <w:div w:id="750085566">
          <w:marLeft w:val="0"/>
          <w:marRight w:val="0"/>
          <w:marTop w:val="0"/>
          <w:marBottom w:val="0"/>
          <w:divBdr>
            <w:top w:val="none" w:sz="0" w:space="0" w:color="auto"/>
            <w:left w:val="none" w:sz="0" w:space="0" w:color="auto"/>
            <w:bottom w:val="none" w:sz="0" w:space="0" w:color="auto"/>
            <w:right w:val="none" w:sz="0" w:space="0" w:color="auto"/>
          </w:divBdr>
          <w:divsChild>
            <w:div w:id="951088487">
              <w:marLeft w:val="0"/>
              <w:marRight w:val="0"/>
              <w:marTop w:val="0"/>
              <w:marBottom w:val="0"/>
              <w:divBdr>
                <w:top w:val="none" w:sz="0" w:space="0" w:color="auto"/>
                <w:left w:val="none" w:sz="0" w:space="0" w:color="auto"/>
                <w:bottom w:val="none" w:sz="0" w:space="0" w:color="auto"/>
                <w:right w:val="none" w:sz="0" w:space="0" w:color="auto"/>
              </w:divBdr>
              <w:divsChild>
                <w:div w:id="21269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75010">
      <w:bodyDiv w:val="1"/>
      <w:marLeft w:val="0"/>
      <w:marRight w:val="0"/>
      <w:marTop w:val="0"/>
      <w:marBottom w:val="0"/>
      <w:divBdr>
        <w:top w:val="none" w:sz="0" w:space="0" w:color="auto"/>
        <w:left w:val="none" w:sz="0" w:space="0" w:color="auto"/>
        <w:bottom w:val="none" w:sz="0" w:space="0" w:color="auto"/>
        <w:right w:val="none" w:sz="0" w:space="0" w:color="auto"/>
      </w:divBdr>
    </w:div>
    <w:div w:id="1661226155">
      <w:bodyDiv w:val="1"/>
      <w:marLeft w:val="0"/>
      <w:marRight w:val="0"/>
      <w:marTop w:val="0"/>
      <w:marBottom w:val="0"/>
      <w:divBdr>
        <w:top w:val="none" w:sz="0" w:space="0" w:color="auto"/>
        <w:left w:val="none" w:sz="0" w:space="0" w:color="auto"/>
        <w:bottom w:val="none" w:sz="0" w:space="0" w:color="auto"/>
        <w:right w:val="none" w:sz="0" w:space="0" w:color="auto"/>
      </w:divBdr>
    </w:div>
    <w:div w:id="1700280853">
      <w:bodyDiv w:val="1"/>
      <w:marLeft w:val="0"/>
      <w:marRight w:val="0"/>
      <w:marTop w:val="0"/>
      <w:marBottom w:val="0"/>
      <w:divBdr>
        <w:top w:val="none" w:sz="0" w:space="0" w:color="auto"/>
        <w:left w:val="none" w:sz="0" w:space="0" w:color="auto"/>
        <w:bottom w:val="none" w:sz="0" w:space="0" w:color="auto"/>
        <w:right w:val="none" w:sz="0" w:space="0" w:color="auto"/>
      </w:divBdr>
    </w:div>
    <w:div w:id="1946570508">
      <w:bodyDiv w:val="1"/>
      <w:marLeft w:val="0"/>
      <w:marRight w:val="0"/>
      <w:marTop w:val="0"/>
      <w:marBottom w:val="0"/>
      <w:divBdr>
        <w:top w:val="none" w:sz="0" w:space="0" w:color="auto"/>
        <w:left w:val="none" w:sz="0" w:space="0" w:color="auto"/>
        <w:bottom w:val="none" w:sz="0" w:space="0" w:color="auto"/>
        <w:right w:val="none" w:sz="0" w:space="0" w:color="auto"/>
      </w:divBdr>
      <w:divsChild>
        <w:div w:id="1181969101">
          <w:marLeft w:val="0"/>
          <w:marRight w:val="0"/>
          <w:marTop w:val="0"/>
          <w:marBottom w:val="0"/>
          <w:divBdr>
            <w:top w:val="none" w:sz="0" w:space="0" w:color="auto"/>
            <w:left w:val="none" w:sz="0" w:space="0" w:color="auto"/>
            <w:bottom w:val="none" w:sz="0" w:space="0" w:color="auto"/>
            <w:right w:val="none" w:sz="0" w:space="0" w:color="auto"/>
          </w:divBdr>
          <w:divsChild>
            <w:div w:id="1169753864">
              <w:marLeft w:val="0"/>
              <w:marRight w:val="0"/>
              <w:marTop w:val="0"/>
              <w:marBottom w:val="0"/>
              <w:divBdr>
                <w:top w:val="none" w:sz="0" w:space="0" w:color="auto"/>
                <w:left w:val="none" w:sz="0" w:space="0" w:color="auto"/>
                <w:bottom w:val="none" w:sz="0" w:space="0" w:color="auto"/>
                <w:right w:val="none" w:sz="0" w:space="0" w:color="auto"/>
              </w:divBdr>
              <w:divsChild>
                <w:div w:id="643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z5417441</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ACTL3162 Report</dc:title>
  <dc:subject>task 2</dc:subject>
  <dc:creator>Vishnu Yannam</dc:creator>
  <cp:keywords/>
  <dc:description/>
  <cp:lastModifiedBy>Vishnu Yannam</cp:lastModifiedBy>
  <cp:revision>86</cp:revision>
  <dcterms:created xsi:type="dcterms:W3CDTF">2023-10-26T05:45:00Z</dcterms:created>
  <dcterms:modified xsi:type="dcterms:W3CDTF">2023-10-26T20:42:00Z</dcterms:modified>
</cp:coreProperties>
</file>