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69. Sqrt(x)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6321169FavoriteShare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Implement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int sqrt(int x)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Compute and return the square root of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where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is guaranteed to be a non-negative integer.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Since the return type is an integer, the decimal digits are truncated and only the integer part of the result is returned.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4</w:t>
        <w:br w:type="textWrapping"/>
        <w:t xml:space="preserve">Output: 2</w:t>
        <w:br w:type="textWrapping"/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8</w:t>
        <w:br w:type="textWrapping"/>
        <w:t xml:space="preserve">Output: 2</w:t>
        <w:br w:type="textWrapping"/>
        <w:t xml:space="preserve">Explanation: The square root of 8 is 2.82842..., and since </w:t>
        <w:br w:type="textWrapping"/>
        <w:t xml:space="preserve">             the decimal part is truncated, 2 is returned.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mySqrt(int x)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if(x==0||x==1) return 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ans,left=1,right=x/2,mid;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while(left&lt;=right){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//mid=right-(right-left)/2;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mid=(left+right)/2;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if(mid&lt;=x/mid){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left=mid+1;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ans=mid;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}else right=mid-1;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"https://leetcode.com/submissions/detail/206712797/"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1C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Sqrt(x).</w:t>
      </w:r>
    </w:p>
    <w:p w:rsidR="00000000" w:rsidDel="00000000" w:rsidP="00000000" w:rsidRDefault="00000000" w:rsidRPr="00000000" w14:paraId="0000001D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11.2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0.23%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forSqrt(x).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