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 xml:space="preserve">2. Material and Methodology</w:t>
      </w:r>
    </w:p>
    <w:p>
      <w:r>
        <w:rPr>
          <w:b/>
        </w:rPr>
        <w:t xml:space="preserve">2.1 Area of Study</w:t>
      </w:r>
    </w:p>
    <w:p>
      <w:r>
        <w:t xml:space="preserve">The sample collection and culture study area was located along the coastal waters of the Jaffna Peninsula, Sri Lanka, associated with the Palk Strait near Velanai/Thurayoor, Jaffna. The map reference provided for the sampling site shows approximately 9Â°40'01.6"N, 80Â°01'52.9"E (9.6671Â°N, 80.0314Â°E). The broader study area is within the northern coastal region of Sri Lanka, approximately 79.50Â°E-81.25Â°E and 9.25Â°N-10.00Â°N.</w:t>
      </w:r>
    </w:p>
    <w:p w14:paraId="3C40D7DC" w14:textId="7921CF61" w:rsidR="00E41A12" w:rsidRDefault="003A3148" w:rsidP="003A3148">
      <w:pPr>
        <w:spacing w:line="360" w:lineRule="auto"/>
        <w:rPr>
          <w:rFonts w:ascii="Times New Roman" w:hAnsi="Times New Roman" w:cs="Times New Roman"/>
          <w:b/>
          <w:bCs/>
        </w:rPr>
      </w:pPr>
      <w:r w:rsidRPr="003A3148">
        <w:rPr>
          <w:rFonts w:ascii="Times New Roman" w:hAnsi="Times New Roman" w:cs="Times New Roman"/>
          <w:noProof/>
        </w:rPr>
        <w:lastRenderedPageBreak/>
        <w:drawing>
          <wp:inline distT="0" distB="0" distL="0" distR="0" wp14:anchorId="024D6772" wp14:editId="62F881AB">
            <wp:extent cx="5943600" cy="3109595"/>
            <wp:effectExtent l="0" t="0" r="0" b="0"/>
            <wp:docPr id="2128194489" name="Study Are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1667" name="Picture 8202716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inline>
        </w:drawing>
      </w:r>
    </w:p>
    <w:p>
      <w:r>
        <w:rPr>
          <w:b/>
        </w:rPr>
        <w:t xml:space="preserve">Figure M1: Map reference showing the sample collection area near the Palk Strait, Jaffna Peninsula, Sri Lanka.</w:t>
      </w:r>
    </w:p>
    <w:p w14:paraId="2DC1E9DE" w14:textId="60C59B85"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3. Results</w:t>
      </w:r>
    </w:p>
    <w:p w14:paraId="0335A7D8" w14:textId="741BB7D8" w:rsidR="003A3148" w:rsidRPr="00017A3A" w:rsidRDefault="003A3148" w:rsidP="00017A3A">
      <w:pPr>
        <w:pStyle w:val="ListParagraph"/>
        <w:numPr>
          <w:ilvl w:val="1"/>
          <w:numId w:val="3"/>
        </w:numPr>
        <w:spacing w:line="360" w:lineRule="auto"/>
        <w:rPr>
          <w:rFonts w:ascii="Times New Roman" w:hAnsi="Times New Roman" w:cs="Times New Roman"/>
          <w:b/>
          <w:bCs/>
        </w:rPr>
      </w:pPr>
      <w:r w:rsidRPr="00017A3A">
        <w:rPr>
          <w:rFonts w:ascii="Times New Roman" w:hAnsi="Times New Roman" w:cs="Times New Roman"/>
          <w:b/>
          <w:bCs/>
        </w:rPr>
        <w:t>Growth Performance of Sea Cucumber (</w:t>
      </w:r>
      <w:r w:rsidRPr="00017A3A">
        <w:rPr>
          <w:rFonts w:ascii="Times New Roman" w:hAnsi="Times New Roman" w:cs="Times New Roman"/>
          <w:b/>
          <w:bCs/>
          <w:i/>
          <w:iCs/>
        </w:rPr>
        <w:t>Holothuria scabra</w:t>
      </w:r>
      <w:r w:rsidRPr="00017A3A">
        <w:rPr>
          <w:rFonts w:ascii="Times New Roman" w:hAnsi="Times New Roman" w:cs="Times New Roman"/>
          <w:b/>
          <w:bCs/>
        </w:rPr>
        <w:t>)</w:t>
      </w:r>
    </w:p>
    <w:p w14:paraId="3C74B3CE" w14:textId="4279DE98" w:rsidR="003A3148" w:rsidRPr="001A7101" w:rsidRDefault="00017A3A" w:rsidP="003A3148">
      <w:pPr>
        <w:spacing w:line="360" w:lineRule="auto"/>
        <w:rPr>
          <w:rFonts w:ascii="Times New Roman" w:hAnsi="Times New Roman" w:cs="Times New Roman"/>
          <w:b/>
          <w:bCs/>
        </w:rPr>
      </w:pPr>
      <w:r w:rsidRPr="001A7101">
        <w:rPr>
          <w:rFonts w:ascii="Times New Roman" w:hAnsi="Times New Roman" w:cs="Times New Roman"/>
          <w:b/>
          <w:bCs/>
        </w:rPr>
        <w:t>3.1.1</w:t>
      </w:r>
      <w:r w:rsidR="003A3148" w:rsidRPr="001A7101">
        <w:rPr>
          <w:rFonts w:ascii="Times New Roman" w:hAnsi="Times New Roman" w:cs="Times New Roman"/>
          <w:b/>
          <w:bCs/>
        </w:rPr>
        <w:t xml:space="preserve"> Statistical Assumptions and Normality Assessment</w:t>
      </w:r>
    </w:p>
    <w:p w14:paraId="66E18DAF" w14:textId="5470FD9D" w:rsidR="003A3148" w:rsidRPr="003A3148" w:rsidRDefault="003A3148" w:rsidP="00017A3A">
      <w:pPr>
        <w:spacing w:line="360" w:lineRule="auto"/>
        <w:rPr>
          <w:rFonts w:ascii="Times New Roman" w:hAnsi="Times New Roman" w:cs="Times New Roman"/>
          <w:b/>
          <w:bCs/>
        </w:rPr>
      </w:pPr>
      <w:r w:rsidRPr="003A3148">
        <w:rPr>
          <w:rFonts w:ascii="Times New Roman" w:hAnsi="Times New Roman" w:cs="Times New Roman"/>
        </w:rPr>
        <w:t xml:space="preserve">To ensure the validity of parametric statistical analyses, the normality of the </w:t>
      </w:r>
      <w:r w:rsidRPr="003A3148">
        <w:rPr>
          <w:rFonts w:ascii="Times New Roman" w:hAnsi="Times New Roman" w:cs="Times New Roman"/>
          <w:i/>
          <w:iCs/>
        </w:rPr>
        <w:t>H. scabra</w:t>
      </w:r>
      <w:r w:rsidRPr="003A3148">
        <w:rPr>
          <w:rFonts w:ascii="Times New Roman" w:hAnsi="Times New Roman" w:cs="Times New Roman"/>
        </w:rPr>
        <w:t xml:space="preserve"> dataset was evaluated using both numerical and graphical methods</w:t>
      </w:r>
      <w:r w:rsidRPr="003A3148">
        <w:rPr>
          <w:rFonts w:ascii="Times New Roman" w:hAnsi="Times New Roman" w:cs="Times New Roman"/>
          <w:b/>
          <w:bCs/>
        </w:rPr>
        <w:t>.</w:t>
      </w:r>
    </w:p>
    <w:p w14:paraId="33E02B59" w14:textId="10FAE88B" w:rsidR="003A3148" w:rsidRPr="003A3148" w:rsidRDefault="003A3148" w:rsidP="003A3148">
      <w:pPr>
        <w:spacing w:line="360" w:lineRule="auto"/>
        <w:rPr>
          <w:rFonts w:ascii="Times New Roman" w:hAnsi="Times New Roman" w:cs="Times New Roman"/>
        </w:rPr>
      </w:pPr>
      <w:r w:rsidRPr="003A3148">
        <w:rPr>
          <w:rFonts w:ascii="Times New Roman" w:hAnsi="Times New Roman" w:cs="Times New Roman"/>
        </w:rPr>
        <w:t xml:space="preserve">  Table </w:t>
      </w:r>
      <w:r w:rsidR="0051344F">
        <w:rPr>
          <w:rFonts w:ascii="Times New Roman" w:hAnsi="Times New Roman" w:cs="Times New Roman"/>
        </w:rPr>
        <w:t>1</w:t>
      </w:r>
      <w:r w:rsidRPr="003A3148">
        <w:rPr>
          <w:rFonts w:ascii="Times New Roman" w:hAnsi="Times New Roman" w:cs="Times New Roman"/>
        </w:rPr>
        <w:t xml:space="preserve">: Shapiro-Wilk Normality Test for </w:t>
      </w:r>
      <w:r w:rsidRPr="003A3148">
        <w:rPr>
          <w:rFonts w:ascii="Times New Roman" w:hAnsi="Times New Roman" w:cs="Times New Roman"/>
          <w:i/>
          <w:iCs/>
        </w:rPr>
        <w:t>Holothuria scabra</w:t>
      </w:r>
      <w:r w:rsidRPr="003A3148">
        <w:rPr>
          <w:rFonts w:ascii="Times New Roman" w:hAnsi="Times New Roman" w:cs="Times New Roman"/>
        </w:rPr>
        <w:t xml:space="preserve"> growth parameters</w:t>
      </w:r>
    </w:p>
    <w:tbl>
      <w:tblPr>
        <w:tblStyle w:val="TableGrid"/>
        <w:tblW w:w="0" w:type="auto"/>
        <w:tblLook w:val="04A0" w:firstRow="1" w:lastRow="0" w:firstColumn="1" w:lastColumn="0" w:noHBand="0" w:noVBand="1"/>
      </w:tblPr>
      <w:tblGrid>
        <w:gridCol w:w="1870"/>
        <w:gridCol w:w="1870"/>
        <w:gridCol w:w="1870"/>
        <w:gridCol w:w="1870"/>
        <w:gridCol w:w="1870"/>
      </w:tblGrid>
      <w:tr w:rsidR="003A3148" w:rsidRPr="003A3148" w14:paraId="4E84CBEB" w14:textId="77777777" w:rsidTr="00A64A6F">
        <w:tc>
          <w:tcPr>
            <w:tcW w:w="1870" w:type="dxa"/>
          </w:tcPr>
          <w:p w14:paraId="39EBB300"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Parameter</w:t>
            </w:r>
          </w:p>
        </w:tc>
        <w:tc>
          <w:tcPr>
            <w:tcW w:w="1870" w:type="dxa"/>
          </w:tcPr>
          <w:p w14:paraId="223ECD49"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Treatment</w:t>
            </w:r>
          </w:p>
        </w:tc>
        <w:tc>
          <w:tcPr>
            <w:tcW w:w="1870" w:type="dxa"/>
          </w:tcPr>
          <w:p w14:paraId="5E562B88"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W Statistic</w:t>
            </w:r>
          </w:p>
        </w:tc>
        <w:tc>
          <w:tcPr>
            <w:tcW w:w="1870" w:type="dxa"/>
          </w:tcPr>
          <w:p w14:paraId="2AD0DB39"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p-value</w:t>
            </w:r>
          </w:p>
        </w:tc>
        <w:tc>
          <w:tcPr>
            <w:tcW w:w="1870" w:type="dxa"/>
          </w:tcPr>
          <w:p w14:paraId="2976D2E1"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Distribution</w:t>
            </w:r>
          </w:p>
        </w:tc>
      </w:tr>
      <w:tr w:rsidR="003A3148" w:rsidRPr="003A3148" w14:paraId="5127D96B" w14:textId="77777777" w:rsidTr="00A64A6F">
        <w:tc>
          <w:tcPr>
            <w:tcW w:w="1870" w:type="dxa"/>
          </w:tcPr>
          <w:p w14:paraId="578FC977"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Body Weight</w:t>
            </w:r>
          </w:p>
        </w:tc>
        <w:tc>
          <w:tcPr>
            <w:tcW w:w="1870" w:type="dxa"/>
          </w:tcPr>
          <w:p w14:paraId="4230C4EE"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IMTA</w:t>
            </w:r>
          </w:p>
        </w:tc>
        <w:tc>
          <w:tcPr>
            <w:tcW w:w="1870" w:type="dxa"/>
          </w:tcPr>
          <w:p w14:paraId="63FFAB1C"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0.9678</w:t>
            </w:r>
          </w:p>
        </w:tc>
        <w:tc>
          <w:tcPr>
            <w:tcW w:w="1870" w:type="dxa"/>
          </w:tcPr>
          <w:p w14:paraId="62544A67"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0.2974</w:t>
            </w:r>
          </w:p>
        </w:tc>
        <w:tc>
          <w:tcPr>
            <w:tcW w:w="1870" w:type="dxa"/>
          </w:tcPr>
          <w:p w14:paraId="56B74D93"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Normal</w:t>
            </w:r>
          </w:p>
        </w:tc>
      </w:tr>
      <w:tr w:rsidR="003A3148" w:rsidRPr="003A3148" w14:paraId="6270BFDF" w14:textId="77777777" w:rsidTr="00A64A6F">
        <w:tc>
          <w:tcPr>
            <w:tcW w:w="1870" w:type="dxa"/>
          </w:tcPr>
          <w:p w14:paraId="00CCAF9F"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Body Weight</w:t>
            </w:r>
          </w:p>
        </w:tc>
        <w:tc>
          <w:tcPr>
            <w:tcW w:w="1870" w:type="dxa"/>
          </w:tcPr>
          <w:p w14:paraId="477A20C2"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Monoculture</w:t>
            </w:r>
          </w:p>
        </w:tc>
        <w:tc>
          <w:tcPr>
            <w:tcW w:w="1870" w:type="dxa"/>
          </w:tcPr>
          <w:p w14:paraId="33477C95"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0.9576</w:t>
            </w:r>
          </w:p>
        </w:tc>
        <w:tc>
          <w:tcPr>
            <w:tcW w:w="1870" w:type="dxa"/>
          </w:tcPr>
          <w:p w14:paraId="588337B8"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0.1332</w:t>
            </w:r>
          </w:p>
        </w:tc>
        <w:tc>
          <w:tcPr>
            <w:tcW w:w="1870" w:type="dxa"/>
          </w:tcPr>
          <w:p w14:paraId="3CFD74A5"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Normal</w:t>
            </w:r>
          </w:p>
        </w:tc>
      </w:tr>
      <w:tr w:rsidR="003A3148" w:rsidRPr="003A3148" w14:paraId="25D08B76" w14:textId="77777777" w:rsidTr="00A64A6F">
        <w:tc>
          <w:tcPr>
            <w:tcW w:w="1870" w:type="dxa"/>
          </w:tcPr>
          <w:p w14:paraId="1A7DB75D"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Body Length</w:t>
            </w:r>
          </w:p>
        </w:tc>
        <w:tc>
          <w:tcPr>
            <w:tcW w:w="1870" w:type="dxa"/>
          </w:tcPr>
          <w:p w14:paraId="63F02D18"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IMTA</w:t>
            </w:r>
          </w:p>
        </w:tc>
        <w:tc>
          <w:tcPr>
            <w:tcW w:w="1870" w:type="dxa"/>
          </w:tcPr>
          <w:p w14:paraId="0FFEE869"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0.9475</w:t>
            </w:r>
          </w:p>
        </w:tc>
        <w:tc>
          <w:tcPr>
            <w:tcW w:w="1870" w:type="dxa"/>
          </w:tcPr>
          <w:p w14:paraId="4126ACD5"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0.0617</w:t>
            </w:r>
          </w:p>
        </w:tc>
        <w:tc>
          <w:tcPr>
            <w:tcW w:w="1870" w:type="dxa"/>
          </w:tcPr>
          <w:p w14:paraId="03C1330F"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Normal</w:t>
            </w:r>
          </w:p>
        </w:tc>
      </w:tr>
      <w:tr w:rsidR="003A3148" w:rsidRPr="003A3148" w14:paraId="75582488" w14:textId="77777777" w:rsidTr="00A64A6F">
        <w:tc>
          <w:tcPr>
            <w:tcW w:w="1870" w:type="dxa"/>
          </w:tcPr>
          <w:p w14:paraId="4C82EC82"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b/>
                <w:bCs/>
                <w:color w:val="1F1F1F"/>
                <w:kern w:val="0"/>
                <w14:ligatures w14:val="none"/>
              </w:rPr>
              <w:t>Body Length</w:t>
            </w:r>
          </w:p>
        </w:tc>
        <w:tc>
          <w:tcPr>
            <w:tcW w:w="1870" w:type="dxa"/>
          </w:tcPr>
          <w:p w14:paraId="55B80B5F"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Monoculture</w:t>
            </w:r>
          </w:p>
        </w:tc>
        <w:tc>
          <w:tcPr>
            <w:tcW w:w="1870" w:type="dxa"/>
          </w:tcPr>
          <w:p w14:paraId="109914AE"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0.9701</w:t>
            </w:r>
          </w:p>
        </w:tc>
        <w:tc>
          <w:tcPr>
            <w:tcW w:w="1870" w:type="dxa"/>
          </w:tcPr>
          <w:p w14:paraId="5BBB1088"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0.3015</w:t>
            </w:r>
          </w:p>
        </w:tc>
        <w:tc>
          <w:tcPr>
            <w:tcW w:w="1870" w:type="dxa"/>
          </w:tcPr>
          <w:p w14:paraId="32760986" w14:textId="77777777" w:rsidR="003A3148" w:rsidRPr="003A3148" w:rsidRDefault="003A3148" w:rsidP="003A3148">
            <w:pPr>
              <w:spacing w:line="360" w:lineRule="auto"/>
              <w:rPr>
                <w:rFonts w:ascii="Times New Roman" w:hAnsi="Times New Roman" w:cs="Times New Roman"/>
              </w:rPr>
            </w:pPr>
            <w:r w:rsidRPr="003A3148">
              <w:rPr>
                <w:rFonts w:ascii="Times New Roman" w:eastAsia="Times New Roman" w:hAnsi="Times New Roman" w:cs="Times New Roman"/>
                <w:color w:val="1F1F1F"/>
                <w:kern w:val="0"/>
                <w14:ligatures w14:val="none"/>
              </w:rPr>
              <w:t>Normal</w:t>
            </w:r>
          </w:p>
        </w:tc>
      </w:tr>
    </w:tbl>
    <w:p w14:paraId="4C1DF22B" w14:textId="77777777" w:rsidR="003A3148" w:rsidRPr="003A3148" w:rsidRDefault="003A3148" w:rsidP="003A3148">
      <w:pPr>
        <w:spacing w:line="360" w:lineRule="auto"/>
        <w:rPr>
          <w:rFonts w:ascii="Times New Roman" w:hAnsi="Times New Roman" w:cs="Times New Roman"/>
          <w:b/>
          <w:bCs/>
        </w:rPr>
      </w:pPr>
    </w:p>
    <w:p w14:paraId="3DF916E9" w14:textId="74AEF7FA" w:rsidR="003A3148" w:rsidRDefault="003A3148" w:rsidP="003A3148">
      <w:pPr>
        <w:spacing w:line="360" w:lineRule="auto"/>
        <w:rPr>
          <w:rFonts w:ascii="Times New Roman" w:hAnsi="Times New Roman" w:cs="Times New Roman"/>
        </w:rPr>
      </w:pPr>
      <w:r w:rsidRPr="00884164">
        <w:rPr>
          <w:rFonts w:ascii="Times New Roman" w:hAnsi="Times New Roman" w:cs="Times New Roman"/>
        </w:rPr>
        <w:t xml:space="preserve">As shown in Table </w:t>
      </w:r>
      <w:r w:rsidR="0051344F">
        <w:rPr>
          <w:rFonts w:ascii="Times New Roman" w:hAnsi="Times New Roman" w:cs="Times New Roman"/>
        </w:rPr>
        <w:t>1</w:t>
      </w:r>
      <w:r w:rsidRPr="00884164">
        <w:rPr>
          <w:rFonts w:ascii="Times New Roman" w:hAnsi="Times New Roman" w:cs="Times New Roman"/>
        </w:rPr>
        <w:t>, all p-values were greater than 0.05, leading to the retention of the null hypothesis and confirming that body weight and length were normally distributed. This assessment was further supported by the Q-Q plots (Figure 1), where sample points closely followed the theoretical normal distribution lines for both IMTA and Monoculture treatments.</w:t>
      </w:r>
    </w:p>
    <w:p w14:paraId="057BB588" w14:textId="77777777" w:rsidR="0001463F" w:rsidRDefault="0001463F" w:rsidP="003A3148">
      <w:pPr>
        <w:spacing w:line="360" w:lineRule="auto"/>
        <w:rPr>
          <w:rFonts w:ascii="Times New Roman" w:hAnsi="Times New Roman" w:cs="Times New Roman"/>
        </w:rPr>
      </w:pPr>
    </w:p>
    <w:p w14:paraId="0F9C28DD" w14:textId="77777777" w:rsidR="0001463F" w:rsidRDefault="0001463F" w:rsidP="003A3148">
      <w:pPr>
        <w:spacing w:line="360" w:lineRule="auto"/>
        <w:rPr>
          <w:rFonts w:ascii="Times New Roman" w:hAnsi="Times New Roman" w:cs="Times New Roman"/>
        </w:rPr>
      </w:pPr>
    </w:p>
    <w:p w14:paraId="2926B477" w14:textId="77777777" w:rsidR="0001463F" w:rsidRDefault="0001463F" w:rsidP="003A3148">
      <w:pPr>
        <w:spacing w:line="360" w:lineRule="auto"/>
        <w:rPr>
          <w:rFonts w:ascii="Times New Roman" w:hAnsi="Times New Roman" w:cs="Times New Roman"/>
        </w:rPr>
      </w:pPr>
    </w:p>
    <w:p w14:paraId="2DF59390" w14:textId="77777777" w:rsidR="0001463F" w:rsidRDefault="0001463F" w:rsidP="003A3148">
      <w:pPr>
        <w:spacing w:line="360" w:lineRule="auto"/>
        <w:rPr>
          <w:rFonts w:ascii="Times New Roman" w:hAnsi="Times New Roman" w:cs="Times New Roman"/>
        </w:rPr>
      </w:pPr>
    </w:p>
    <w:p w14:paraId="2065EBB1" w14:textId="77777777" w:rsidR="0001463F" w:rsidRDefault="0001463F" w:rsidP="003A3148">
      <w:pPr>
        <w:spacing w:line="360" w:lineRule="auto"/>
        <w:rPr>
          <w:rFonts w:ascii="Times New Roman" w:hAnsi="Times New Roman" w:cs="Times New Roman"/>
        </w:rPr>
      </w:pPr>
    </w:p>
    <w:p w14:paraId="4FF749DC" w14:textId="77777777" w:rsidR="0001463F" w:rsidRDefault="0001463F" w:rsidP="003A3148">
      <w:pPr>
        <w:spacing w:line="360" w:lineRule="auto"/>
        <w:rPr>
          <w:rFonts w:ascii="Times New Roman" w:hAnsi="Times New Roman" w:cs="Times New Roman"/>
        </w:rPr>
      </w:pPr>
    </w:p>
    <w:p w14:paraId="18979757" w14:textId="77777777" w:rsidR="0001463F" w:rsidRDefault="0001463F" w:rsidP="003A3148">
      <w:pPr>
        <w:spacing w:line="360" w:lineRule="auto"/>
        <w:rPr>
          <w:rFonts w:ascii="Times New Roman" w:hAnsi="Times New Roman" w:cs="Times New Roman"/>
        </w:rPr>
      </w:pPr>
    </w:p>
    <w:p w14:paraId="2B426969" w14:textId="77777777" w:rsidR="0001463F" w:rsidRDefault="0001463F" w:rsidP="003A3148">
      <w:pPr>
        <w:spacing w:line="360" w:lineRule="auto"/>
        <w:rPr>
          <w:rFonts w:ascii="Times New Roman" w:hAnsi="Times New Roman" w:cs="Times New Roman"/>
        </w:rPr>
      </w:pPr>
    </w:p>
    <w:p w14:paraId="0590676D" w14:textId="77777777" w:rsidR="0001463F" w:rsidRPr="0001463F" w:rsidRDefault="0001463F" w:rsidP="003A3148">
      <w:pPr>
        <w:spacing w:line="360" w:lineRule="auto"/>
        <w:rPr>
          <w:rFonts w:ascii="Times New Roman" w:hAnsi="Times New Roman" w:cs="Times New Roman"/>
        </w:rPr>
      </w:pPr>
    </w:p>
    <w:p w14:paraId="3C40D7DC" w14:textId="7921CF61" w:rsidR="00E41A12" w:rsidRDefault="003A3148" w:rsidP="003A3148">
      <w:pPr>
        <w:spacing w:line="360" w:lineRule="auto"/>
        <w:rPr>
          <w:rFonts w:ascii="Times New Roman" w:hAnsi="Times New Roman" w:cs="Times New Roman"/>
          <w:b/>
          <w:bCs/>
        </w:rPr>
      </w:pPr>
      <w:r w:rsidRPr="003A3148">
        <w:rPr>
          <w:rFonts w:ascii="Times New Roman" w:hAnsi="Times New Roman" w:cs="Times New Roman"/>
          <w:noProof/>
        </w:rPr>
        <w:lastRenderedPageBreak/>
        <w:drawing>
          <wp:inline distT="0" distB="0" distL="0" distR="0" wp14:anchorId="024D6772" wp14:editId="62F881AB">
            <wp:extent cx="5943600" cy="3109595"/>
            <wp:effectExtent l="0" t="0" r="0" b="0"/>
            <wp:docPr id="820271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1667" name="Picture 8202716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inline>
        </w:drawing>
      </w:r>
    </w:p>
    <w:p w14:paraId="0C8B301C" w14:textId="0F68BE8D" w:rsidR="0051344F" w:rsidRPr="0051344F" w:rsidRDefault="00E41A12" w:rsidP="00017A3A">
      <w:pPr>
        <w:spacing w:line="360" w:lineRule="auto"/>
        <w:rPr>
          <w:rFonts w:ascii="Times New Roman" w:hAnsi="Times New Roman" w:cs="Times New Roman"/>
          <w:b/>
          <w:bCs/>
        </w:rPr>
      </w:pPr>
      <w:r>
        <w:t xml:space="preserve">Figure 1: Q-Q normality plots for Holothuria scabra body weight and body length in IMTA and Monoculture treatments.</w:t>
      </w:r>
    </w:p>
    <w:p w14:paraId="0FBCFA06" w14:textId="77777777" w:rsidR="00BF08BF" w:rsidRPr="00BF08BF" w:rsidRDefault="00BF08BF" w:rsidP="00BF08BF">
      <w:pPr>
        <w:spacing w:line="360" w:lineRule="auto"/>
        <w:rPr>
          <w:rFonts w:ascii="Times New Roman" w:hAnsi="Times New Roman" w:cs="Times New Roman"/>
        </w:rPr>
      </w:pPr>
      <w:r w:rsidRPr="00BF08BF">
        <w:rPr>
          <w:rFonts w:ascii="Times New Roman" w:hAnsi="Times New Roman" w:cs="Times New Roman"/>
        </w:rPr>
        <w:t xml:space="preserve">The Q-Q plots were used to assess whether the weight and length data of </w:t>
      </w:r>
      <w:r w:rsidRPr="00BF08BF">
        <w:rPr>
          <w:rFonts w:ascii="Times New Roman" w:hAnsi="Times New Roman" w:cs="Times New Roman"/>
          <w:i/>
          <w:iCs/>
        </w:rPr>
        <w:t>Holothuria scabra</w:t>
      </w:r>
      <w:r w:rsidRPr="00BF08BF">
        <w:rPr>
          <w:rFonts w:ascii="Times New Roman" w:hAnsi="Times New Roman" w:cs="Times New Roman"/>
        </w:rPr>
        <w:t xml:space="preserve"> in both IMTA and Monoculture systems follow a normal distribution. Overall, the data points in all four plots closely align with the diagonal reference line, indicating that the datasets are approximately normally distributed. This suggests that the assumption of normality is largely satisfied for both growth parameters across both treatments.</w:t>
      </w:r>
    </w:p>
    <w:p w14:paraId="5FD07EFC" w14:textId="77777777" w:rsidR="00BF08BF" w:rsidRPr="00BF08BF" w:rsidRDefault="00BF08BF" w:rsidP="00BF08BF">
      <w:pPr>
        <w:spacing w:line="360" w:lineRule="auto"/>
        <w:rPr>
          <w:rFonts w:ascii="Times New Roman" w:hAnsi="Times New Roman" w:cs="Times New Roman"/>
        </w:rPr>
      </w:pPr>
      <w:r w:rsidRPr="00BF08BF">
        <w:rPr>
          <w:rFonts w:ascii="Times New Roman" w:hAnsi="Times New Roman" w:cs="Times New Roman"/>
        </w:rPr>
        <w:t>For weight data, slight S-shaped deviations from the reference line are observed in both IMTA and Monoculture systems, indicating mild skewness and the presence of a few extreme values (heavier or lighter individuals). In contrast, the length data shows a stronger alignment with the diagonal line, particularly in the Monoculture group, suggesting a better fit to normal distribution. Since no major deviations are present, the results confirm that the data are suitable for parametric statistical analyses such as t-tests or ANOVA to compare growth differences between the IMTA and Monoculture systems.</w:t>
      </w:r>
    </w:p>
    <w:p w14:paraId="1F4EB918" w14:textId="77777777" w:rsidR="00E41A12" w:rsidRPr="003A3148" w:rsidRDefault="00E41A12" w:rsidP="003A3148">
      <w:pPr>
        <w:spacing w:line="360" w:lineRule="auto"/>
        <w:rPr>
          <w:rFonts w:ascii="Times New Roman" w:hAnsi="Times New Roman" w:cs="Times New Roman"/>
          <w:b/>
          <w:bCs/>
        </w:rPr>
      </w:pPr>
    </w:p>
    <w:p w14:paraId="525A2B40"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lastRenderedPageBreak/>
        <w:t>3.1.2. Comparative Growth Analysis: IMTA vs. Monoculture</w:t>
      </w:r>
    </w:p>
    <w:p w14:paraId="4264CEA9" w14:textId="2CB5C3D6" w:rsidR="003A3148" w:rsidRPr="00017A3A" w:rsidRDefault="003A3148" w:rsidP="003A3148">
      <w:pPr>
        <w:spacing w:line="360" w:lineRule="auto"/>
        <w:rPr>
          <w:rFonts w:ascii="Times New Roman" w:hAnsi="Times New Roman" w:cs="Times New Roman"/>
        </w:rPr>
      </w:pPr>
      <w:r w:rsidRPr="00884164">
        <w:rPr>
          <w:rFonts w:ascii="Times New Roman" w:hAnsi="Times New Roman" w:cs="Times New Roman"/>
        </w:rPr>
        <w:t xml:space="preserve">The growth outcomes for sea cucumbers were compared between the Integrated Multi-Trophic Aquaculture (IMTA) system and the Monoculture control system (Table </w:t>
      </w:r>
      <w:r w:rsidR="004A038F">
        <w:rPr>
          <w:rFonts w:ascii="Times New Roman" w:hAnsi="Times New Roman" w:cs="Times New Roman"/>
        </w:rPr>
        <w:t>2</w:t>
      </w:r>
      <w:r w:rsidRPr="00884164">
        <w:rPr>
          <w:rFonts w:ascii="Times New Roman" w:hAnsi="Times New Roman" w:cs="Times New Roman"/>
        </w:rPr>
        <w:t>).</w:t>
      </w:r>
    </w:p>
    <w:tbl>
      <w:tblPr>
        <w:tblStyle w:val="TableGrid"/>
        <w:tblW w:w="10255" w:type="dxa"/>
        <w:tblLayout w:type="fixed"/>
        <w:tblLook w:val="04A0" w:firstRow="1" w:lastRow="0" w:firstColumn="1" w:lastColumn="0" w:noHBand="0" w:noVBand="1"/>
      </w:tblPr>
      <w:tblGrid>
        <w:gridCol w:w="2155"/>
        <w:gridCol w:w="1710"/>
        <w:gridCol w:w="540"/>
        <w:gridCol w:w="1080"/>
        <w:gridCol w:w="990"/>
        <w:gridCol w:w="990"/>
        <w:gridCol w:w="1080"/>
        <w:gridCol w:w="1710"/>
      </w:tblGrid>
      <w:tr w:rsidR="003A3148" w:rsidRPr="003A3148" w14:paraId="231643FA" w14:textId="77777777" w:rsidTr="00A64A6F">
        <w:trPr>
          <w:trHeight w:val="737"/>
        </w:trPr>
        <w:tc>
          <w:tcPr>
            <w:tcW w:w="2155" w:type="dxa"/>
          </w:tcPr>
          <w:p w14:paraId="3058EF61"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Parameter</w:t>
            </w:r>
          </w:p>
        </w:tc>
        <w:tc>
          <w:tcPr>
            <w:tcW w:w="1710" w:type="dxa"/>
          </w:tcPr>
          <w:p w14:paraId="5EE428BD"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Treatment</w:t>
            </w:r>
          </w:p>
        </w:tc>
        <w:tc>
          <w:tcPr>
            <w:tcW w:w="540" w:type="dxa"/>
          </w:tcPr>
          <w:p w14:paraId="71FBC5F4"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n</w:t>
            </w:r>
          </w:p>
        </w:tc>
        <w:tc>
          <w:tcPr>
            <w:tcW w:w="1080" w:type="dxa"/>
          </w:tcPr>
          <w:p w14:paraId="62E6260A"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Mean</w:t>
            </w:r>
          </w:p>
        </w:tc>
        <w:tc>
          <w:tcPr>
            <w:tcW w:w="990" w:type="dxa"/>
          </w:tcPr>
          <w:p w14:paraId="324E25F9"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SD</w:t>
            </w:r>
          </w:p>
        </w:tc>
        <w:tc>
          <w:tcPr>
            <w:tcW w:w="990" w:type="dxa"/>
          </w:tcPr>
          <w:p w14:paraId="7B13A136"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t-value</w:t>
            </w:r>
          </w:p>
        </w:tc>
        <w:tc>
          <w:tcPr>
            <w:tcW w:w="1080" w:type="dxa"/>
          </w:tcPr>
          <w:p w14:paraId="3B1C9A11"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p-value</w:t>
            </w:r>
          </w:p>
        </w:tc>
        <w:tc>
          <w:tcPr>
            <w:tcW w:w="1710" w:type="dxa"/>
          </w:tcPr>
          <w:p w14:paraId="534F44FB"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t>Significance</w:t>
            </w:r>
          </w:p>
        </w:tc>
      </w:tr>
      <w:tr w:rsidR="003A3148" w:rsidRPr="003A3148" w14:paraId="1227E0EC" w14:textId="77777777" w:rsidTr="00A64A6F">
        <w:trPr>
          <w:trHeight w:val="719"/>
        </w:trPr>
        <w:tc>
          <w:tcPr>
            <w:tcW w:w="2155" w:type="dxa"/>
          </w:tcPr>
          <w:p>
            <w:r>
              <w:t xml:space="preserve">Body Weight (g)</w:t>
            </w:r>
          </w:p>
        </w:tc>
        <w:tc>
          <w:tcPr>
            <w:tcW w:w="1710" w:type="dxa"/>
          </w:tcPr>
          <w:p>
            <w:r>
              <w:t xml:space="preserve">IMTA</w:t>
            </w:r>
          </w:p>
        </w:tc>
        <w:tc>
          <w:tcPr>
            <w:tcW w:w="540" w:type="dxa"/>
          </w:tcPr>
          <w:p>
            <w:r>
              <w:t xml:space="preserve">42</w:t>
            </w:r>
          </w:p>
        </w:tc>
        <w:tc>
          <w:tcPr>
            <w:tcW w:w="1080" w:type="dxa"/>
          </w:tcPr>
          <w:p>
            <w:r>
              <w:t xml:space="preserve">332.071</w:t>
            </w:r>
          </w:p>
        </w:tc>
        <w:tc>
          <w:tcPr>
            <w:tcW w:w="990" w:type="dxa"/>
          </w:tcPr>
          <w:p>
            <w:r>
              <w:t xml:space="preserve">88.378</w:t>
            </w:r>
          </w:p>
        </w:tc>
        <w:tc>
          <w:tcPr>
            <w:tcW w:w="990" w:type="dxa"/>
          </w:tcPr>
          <w:p>
            <w:r>
              <w:t xml:space="preserve">1.7076</w:t>
            </w:r>
          </w:p>
        </w:tc>
        <w:tc>
          <w:tcPr>
            <w:tcW w:w="1080" w:type="dxa"/>
          </w:tcPr>
          <w:p>
            <w:r>
              <w:t xml:space="preserve">0.0913</w:t>
            </w:r>
          </w:p>
        </w:tc>
        <w:tc>
          <w:tcPr>
            <w:tcW w:w="1710" w:type="dxa"/>
          </w:tcPr>
          <w:p>
            <w:r>
              <w:t xml:space="preserve">Not Significant</w:t>
            </w:r>
          </w:p>
        </w:tc>
      </w:tr>
      <w:tr w:rsidR="003A3148" w:rsidRPr="003A3148" w14:paraId="4E901DFB" w14:textId="77777777" w:rsidTr="00A64A6F">
        <w:trPr>
          <w:trHeight w:val="701"/>
        </w:trPr>
        <w:tc>
          <w:tcPr>
            <w:tcW w:w="2155" w:type="dxa"/>
          </w:tcPr>
          <w:p>
            <w:r>
              <w:t xml:space="preserve"/>
            </w:r>
          </w:p>
        </w:tc>
        <w:tc>
          <w:tcPr>
            <w:tcW w:w="1710" w:type="dxa"/>
          </w:tcPr>
          <w:p>
            <w:r>
              <w:t xml:space="preserve">Monoculture</w:t>
            </w:r>
          </w:p>
        </w:tc>
        <w:tc>
          <w:tcPr>
            <w:tcW w:w="540" w:type="dxa"/>
          </w:tcPr>
          <w:p>
            <w:r>
              <w:t xml:space="preserve">46</w:t>
            </w:r>
          </w:p>
        </w:tc>
        <w:tc>
          <w:tcPr>
            <w:tcW w:w="1080" w:type="dxa"/>
          </w:tcPr>
          <w:p>
            <w:r>
              <w:t xml:space="preserve">298.326</w:t>
            </w:r>
          </w:p>
        </w:tc>
        <w:tc>
          <w:tcPr>
            <w:tcW w:w="990" w:type="dxa"/>
          </w:tcPr>
          <w:p>
            <w:r>
              <w:t xml:space="preserve">97.008</w:t>
            </w:r>
          </w:p>
        </w:tc>
        <w:tc>
          <w:tcPr>
            <w:tcW w:w="990" w:type="dxa"/>
          </w:tcPr>
          <w:p>
            <w:r>
              <w:t xml:space="preserve"/>
            </w:r>
          </w:p>
        </w:tc>
        <w:tc>
          <w:tcPr>
            <w:tcW w:w="1080" w:type="dxa"/>
          </w:tcPr>
          <w:p>
            <w:r>
              <w:t xml:space="preserve"/>
            </w:r>
          </w:p>
        </w:tc>
        <w:tc>
          <w:tcPr>
            <w:tcW w:w="1710" w:type="dxa"/>
          </w:tcPr>
          <w:p>
            <w:r>
              <w:t xml:space="preserve">(p &gt; 0.05)</w:t>
            </w:r>
          </w:p>
        </w:tc>
      </w:tr>
      <w:tr w:rsidR="003A3148" w:rsidRPr="003A3148" w14:paraId="25DB0A83" w14:textId="77777777" w:rsidTr="00A64A6F">
        <w:trPr>
          <w:trHeight w:val="719"/>
        </w:trPr>
        <w:tc>
          <w:tcPr>
            <w:tcW w:w="2155" w:type="dxa"/>
          </w:tcPr>
          <w:p>
            <w:r>
              <w:t xml:space="preserve">Body Length (cm)</w:t>
            </w:r>
          </w:p>
        </w:tc>
        <w:tc>
          <w:tcPr>
            <w:tcW w:w="1710" w:type="dxa"/>
          </w:tcPr>
          <w:p>
            <w:r>
              <w:t xml:space="preserve">IMTA</w:t>
            </w:r>
          </w:p>
        </w:tc>
        <w:tc>
          <w:tcPr>
            <w:tcW w:w="540" w:type="dxa"/>
          </w:tcPr>
          <w:p>
            <w:r>
              <w:t xml:space="preserve">42</w:t>
            </w:r>
          </w:p>
        </w:tc>
        <w:tc>
          <w:tcPr>
            <w:tcW w:w="1080" w:type="dxa"/>
          </w:tcPr>
          <w:p>
            <w:r>
              <w:t xml:space="preserve">16.429</w:t>
            </w:r>
          </w:p>
        </w:tc>
        <w:tc>
          <w:tcPr>
            <w:tcW w:w="990" w:type="dxa"/>
          </w:tcPr>
          <w:p>
            <w:r>
              <w:t xml:space="preserve">2.032</w:t>
            </w:r>
          </w:p>
        </w:tc>
        <w:tc>
          <w:tcPr>
            <w:tcW w:w="990" w:type="dxa"/>
          </w:tcPr>
          <w:p>
            <w:r>
              <w:t xml:space="preserve">1.6302</w:t>
            </w:r>
          </w:p>
        </w:tc>
        <w:tc>
          <w:tcPr>
            <w:tcW w:w="1080" w:type="dxa"/>
          </w:tcPr>
          <w:p>
            <w:r>
              <w:t xml:space="preserve">0.1067</w:t>
            </w:r>
          </w:p>
        </w:tc>
        <w:tc>
          <w:tcPr>
            <w:tcW w:w="1710" w:type="dxa"/>
          </w:tcPr>
          <w:p>
            <w:r>
              <w:t xml:space="preserve">Not Significant</w:t>
            </w:r>
          </w:p>
        </w:tc>
      </w:tr>
      <w:tr w:rsidR="003A3148" w:rsidRPr="003A3148" w14:paraId="432C401C" w14:textId="77777777" w:rsidTr="00A64A6F">
        <w:trPr>
          <w:trHeight w:val="755"/>
        </w:trPr>
        <w:tc>
          <w:tcPr>
            <w:tcW w:w="2155" w:type="dxa"/>
          </w:tcPr>
          <w:p>
            <w:r>
              <w:t xml:space="preserve"/>
            </w:r>
          </w:p>
        </w:tc>
        <w:tc>
          <w:tcPr>
            <w:tcW w:w="1710" w:type="dxa"/>
          </w:tcPr>
          <w:p>
            <w:r>
              <w:t xml:space="preserve">Monoculture</w:t>
            </w:r>
          </w:p>
        </w:tc>
        <w:tc>
          <w:tcPr>
            <w:tcW w:w="540" w:type="dxa"/>
          </w:tcPr>
          <w:p>
            <w:r>
              <w:t xml:space="preserve">46</w:t>
            </w:r>
          </w:p>
        </w:tc>
        <w:tc>
          <w:tcPr>
            <w:tcW w:w="1080" w:type="dxa"/>
          </w:tcPr>
          <w:p>
            <w:r>
              <w:t xml:space="preserve">15.674</w:t>
            </w:r>
          </w:p>
        </w:tc>
        <w:tc>
          <w:tcPr>
            <w:tcW w:w="990" w:type="dxa"/>
          </w:tcPr>
          <w:p>
            <w:r>
              <w:t xml:space="preserve">2.310</w:t>
            </w:r>
          </w:p>
        </w:tc>
        <w:tc>
          <w:tcPr>
            <w:tcW w:w="990" w:type="dxa"/>
          </w:tcPr>
          <w:p>
            <w:r>
              <w:t xml:space="preserve"/>
            </w:r>
          </w:p>
        </w:tc>
        <w:tc>
          <w:tcPr>
            <w:tcW w:w="1080" w:type="dxa"/>
          </w:tcPr>
          <w:p>
            <w:r>
              <w:t xml:space="preserve"/>
            </w:r>
          </w:p>
        </w:tc>
        <w:tc>
          <w:tcPr>
            <w:tcW w:w="1710" w:type="dxa"/>
          </w:tcPr>
          <w:p>
            <w:r>
              <w:t xml:space="preserve">(p &gt; 0.05)</w:t>
            </w:r>
          </w:p>
        </w:tc>
      </w:tr>
    </w:tbl>
    <w:p w14:paraId="409E972C" w14:textId="77777777" w:rsidR="00017A3A" w:rsidRDefault="00017A3A" w:rsidP="003A3148">
      <w:pPr>
        <w:spacing w:line="360" w:lineRule="auto"/>
        <w:rPr>
          <w:rFonts w:ascii="Times New Roman" w:hAnsi="Times New Roman" w:cs="Times New Roman"/>
          <w:b/>
          <w:bCs/>
        </w:rPr>
      </w:pPr>
    </w:p>
    <w:p w14:paraId="20A9C39F" w14:textId="5E9CCE2E" w:rsidR="00017A3A" w:rsidRPr="00017A3A" w:rsidRDefault="00017A3A" w:rsidP="003A3148">
      <w:pPr>
        <w:spacing w:line="360" w:lineRule="auto"/>
        <w:rPr>
          <w:rFonts w:ascii="Times New Roman" w:hAnsi="Times New Roman" w:cs="Times New Roman"/>
          <w:b/>
          <w:bCs/>
          <w:i/>
          <w:iCs/>
        </w:rPr>
      </w:pPr>
      <w:r w:rsidRPr="00017A3A">
        <w:rPr>
          <w:rFonts w:ascii="Times New Roman" w:hAnsi="Times New Roman" w:cs="Times New Roman"/>
          <w:b/>
          <w:bCs/>
        </w:rPr>
        <w:t xml:space="preserve">Table 2: Descriptive Statistics and WelchÃƒÆ’Ã†â€™Ãƒâ€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šÂ¬Ã…Â¡Ãƒâ€šÃ‚Â¬ÃƒÆ’Ã¢â‚¬Â¦Ãƒâ€šÃ‚Â¾ÃƒÆ’Ã†â€™ÃƒÂ¢Ã¢â€šÂ¬Ã…Â¡ÃƒÆ’Ã¢â‚¬Å¡Ãƒâ€šÃ‚Â¢s t-test Results for </w:t>
      </w:r>
      <w:r w:rsidRPr="00017A3A">
        <w:rPr>
          <w:rFonts w:ascii="Times New Roman" w:hAnsi="Times New Roman" w:cs="Times New Roman"/>
          <w:b/>
          <w:bCs/>
          <w:i/>
          <w:iCs/>
        </w:rPr>
        <w:t>Holothuria scabra</w:t>
      </w:r>
    </w:p>
    <w:p w14:paraId="4CF88B27" w14:textId="5F6BB158" w:rsidR="003A3148" w:rsidRDefault="003A3148" w:rsidP="003A3148">
      <w:pPr>
        <w:spacing w:line="360" w:lineRule="auto"/>
        <w:rPr>
          <w:rFonts w:ascii="Times New Roman" w:hAnsi="Times New Roman" w:cs="Times New Roman"/>
        </w:rPr>
      </w:pPr>
      <w:r>
        <w:t xml:space="preserve">Descriptive statistics indicated that individuals in the IMTA group had higher mean body weight (332.07 +/- 88.38 g) and body length (16.43 +/- 2.03 cm) than the Monoculture group (298.33 +/- 97.01 g; 15.67 +/- 2.31 cm). Welch's t-tests showed that these differences were not statistically significant (weight p = 0.0913; length p = 0.1067).</w:t>
      </w:r>
    </w:p>
    <w:p w14:paraId="16164C44" w14:textId="77777777" w:rsidR="00E41A12" w:rsidRDefault="00E41A12" w:rsidP="003A3148">
      <w:pPr>
        <w:spacing w:line="360" w:lineRule="auto"/>
        <w:rPr>
          <w:rFonts w:ascii="Times New Roman" w:hAnsi="Times New Roman" w:cs="Times New Roman"/>
        </w:rPr>
      </w:pPr>
    </w:p>
    <w:p w14:paraId="5DB709E5" w14:textId="77777777" w:rsidR="00E41A12" w:rsidRDefault="00E41A12" w:rsidP="003A3148">
      <w:pPr>
        <w:spacing w:line="360" w:lineRule="auto"/>
        <w:rPr>
          <w:rFonts w:ascii="Times New Roman" w:hAnsi="Times New Roman" w:cs="Times New Roman"/>
        </w:rPr>
      </w:pPr>
    </w:p>
    <w:p w14:paraId="692731FD" w14:textId="77777777" w:rsidR="00E41A12" w:rsidRDefault="00E41A12" w:rsidP="003A3148">
      <w:pPr>
        <w:spacing w:line="360" w:lineRule="auto"/>
        <w:rPr>
          <w:rFonts w:ascii="Times New Roman" w:hAnsi="Times New Roman" w:cs="Times New Roman"/>
        </w:rPr>
      </w:pPr>
    </w:p>
    <w:p w14:paraId="3B2976DA" w14:textId="77777777" w:rsidR="00E41A12" w:rsidRDefault="00E41A12" w:rsidP="003A3148">
      <w:pPr>
        <w:spacing w:line="360" w:lineRule="auto"/>
        <w:rPr>
          <w:rFonts w:ascii="Times New Roman" w:hAnsi="Times New Roman" w:cs="Times New Roman"/>
        </w:rPr>
      </w:pPr>
    </w:p>
    <w:p w14:paraId="636D7B6A" w14:textId="77777777" w:rsidR="00BF08BF" w:rsidRDefault="00BF08BF" w:rsidP="003A3148">
      <w:pPr>
        <w:spacing w:line="360" w:lineRule="auto"/>
        <w:rPr>
          <w:rFonts w:ascii="Times New Roman" w:hAnsi="Times New Roman" w:cs="Times New Roman"/>
        </w:rPr>
      </w:pPr>
    </w:p>
    <w:p w14:paraId="4FD6C2C1" w14:textId="77777777" w:rsidR="00017A3A" w:rsidRPr="00884164" w:rsidRDefault="00017A3A" w:rsidP="003A3148">
      <w:pPr>
        <w:spacing w:line="360" w:lineRule="auto"/>
        <w:rPr>
          <w:rFonts w:ascii="Times New Roman" w:hAnsi="Times New Roman" w:cs="Times New Roman"/>
        </w:rPr>
      </w:pPr>
    </w:p>
    <w:p w14:paraId="6498B426" w14:textId="655082DB" w:rsidR="003A3148" w:rsidRDefault="003A3148" w:rsidP="003A3148">
      <w:pPr>
        <w:spacing w:line="360" w:lineRule="auto"/>
        <w:rPr>
          <w:rFonts w:ascii="Times New Roman" w:hAnsi="Times New Roman" w:cs="Times New Roman"/>
          <w:b/>
          <w:bCs/>
        </w:rPr>
      </w:pPr>
      <w:r w:rsidRPr="003A3148">
        <w:rPr>
          <w:rFonts w:ascii="Times New Roman" w:hAnsi="Times New Roman" w:cs="Times New Roman"/>
          <w:noProof/>
        </w:rPr>
        <w:lastRenderedPageBreak/>
        <w:drawing>
          <wp:inline distT="0" distB="0" distL="0" distR="0" wp14:anchorId="5CB8F056" wp14:editId="5BD6178B">
            <wp:extent cx="5943600" cy="3213100"/>
            <wp:effectExtent l="0" t="0" r="0" b="6350"/>
            <wp:docPr id="1174371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1540" name="Picture 1174371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14:paraId="57151586" w14:textId="6453C026" w:rsidR="00E41A12" w:rsidRDefault="00BF08BF" w:rsidP="00017A3A">
      <w:pPr>
        <w:spacing w:line="360" w:lineRule="auto"/>
        <w:rPr>
          <w:rFonts w:ascii="Times New Roman" w:hAnsi="Times New Roman" w:cs="Times New Roman"/>
          <w:b/>
          <w:bCs/>
        </w:rPr>
      </w:pPr>
      <w:r>
        <w:t xml:space="preserve">Figure 2: Comparative boxplots of Holothuria scabra body weight and body length between IMTA and Monoculture treatments.</w:t>
      </w:r>
    </w:p>
    <w:p w14:paraId="3B50E45F" w14:textId="77777777" w:rsidR="00BF08BF" w:rsidRPr="00BF08BF" w:rsidRDefault="00BF08BF" w:rsidP="00BF08BF">
      <w:pPr>
        <w:spacing w:line="360" w:lineRule="auto"/>
        <w:rPr>
          <w:rFonts w:ascii="Times New Roman" w:hAnsi="Times New Roman" w:cs="Times New Roman"/>
        </w:rPr>
      </w:pPr>
      <w:r>
        <w:t xml:space="preserve">The boxplots compare pooled body weight and body length observations for Holothuria scabra between IMTA and Monoculture treatments. The tests remained non-significant (weight p = 0.0913; length p = 0.1067), although the IMTA group showed higher mean values. The overlapping distributions and large standard deviations indicate that individual variability was high relative to the treatment difference.</w:t>
      </w:r>
    </w:p>
    <w:p w14:paraId="2955F272" w14:textId="77777777" w:rsidR="00BF08BF" w:rsidRPr="00BF08BF" w:rsidRDefault="00BF08BF" w:rsidP="00BF08BF">
      <w:pPr>
        <w:spacing w:line="360" w:lineRule="auto"/>
        <w:rPr>
          <w:rFonts w:ascii="Times New Roman" w:hAnsi="Times New Roman" w:cs="Times New Roman"/>
        </w:rPr>
      </w:pPr>
      <w:r w:rsidRPr="00BF08BF">
        <w:rPr>
          <w:rFonts w:ascii="Times New Roman" w:hAnsi="Times New Roman" w:cs="Times New Roman"/>
        </w:rPr>
        <w:t>However, there is considerable overlap in the distribution of individual data points in both treatments, indicating high variability among specimens. This suggests that growth differences between individuals were substantial regardless of the farming system. Overall, while the IMTA system shows a tendency toward slightly improved growth performance in terms of both weight and length, these differences are not statistically significant, meaning they may have occurred due to natural variation rather than a clear treatment effect.</w:t>
      </w:r>
    </w:p>
    <w:p w14:paraId="1496576F" w14:textId="77777777" w:rsidR="00E41A12" w:rsidRPr="003A3148" w:rsidRDefault="00E41A12" w:rsidP="003A3148">
      <w:pPr>
        <w:spacing w:line="360" w:lineRule="auto"/>
        <w:rPr>
          <w:rFonts w:ascii="Times New Roman" w:hAnsi="Times New Roman" w:cs="Times New Roman"/>
          <w:b/>
          <w:bCs/>
        </w:rPr>
      </w:pPr>
    </w:p>
    <w:p w14:paraId="4E504E37" w14:textId="77777777" w:rsidR="003A3148" w:rsidRPr="003A3148" w:rsidRDefault="003A3148" w:rsidP="003A3148">
      <w:pPr>
        <w:spacing w:line="360" w:lineRule="auto"/>
        <w:rPr>
          <w:rFonts w:ascii="Times New Roman" w:hAnsi="Times New Roman" w:cs="Times New Roman"/>
          <w:b/>
          <w:bCs/>
        </w:rPr>
      </w:pPr>
      <w:r w:rsidRPr="003A3148">
        <w:rPr>
          <w:rFonts w:ascii="Times New Roman" w:hAnsi="Times New Roman" w:cs="Times New Roman"/>
          <w:b/>
          <w:bCs/>
        </w:rPr>
        <w:lastRenderedPageBreak/>
        <w:t>3.1.3. Temporal Growth Dynamics</w:t>
      </w:r>
    </w:p>
    <w:p w14:paraId="662BF766" w14:textId="7A2486EB" w:rsidR="003A3148" w:rsidRPr="00BF08BF" w:rsidRDefault="003A3148" w:rsidP="003A3148">
      <w:pPr>
        <w:spacing w:line="360" w:lineRule="auto"/>
        <w:rPr>
          <w:rFonts w:ascii="Times New Roman" w:hAnsi="Times New Roman" w:cs="Times New Roman"/>
        </w:rPr>
      </w:pPr>
      <w:r>
        <w:t xml:space="preserve">Weekly monitoring covered five recorded sea cucumber sampling weeks, corresponding to source workbook weeks 2 to 6. Sample sizes were unequal across weeks because the number of measured individuals changed over time; therefore, weekly trends should be interpreted as descriptive mean trajectories rather than repeated measurements of a fixed cohort.</w:t>
      </w:r>
    </w:p>
    <w:p w14:paraId="291D90C6" w14:textId="77777777" w:rsidR="00F34524" w:rsidRPr="003A3148" w:rsidRDefault="00F34524" w:rsidP="003A3148">
      <w:pPr>
        <w:spacing w:line="360" w:lineRule="auto"/>
        <w:rPr>
          <w:rFonts w:ascii="Times New Roman" w:hAnsi="Times New Roman" w:cs="Times New Roman"/>
          <w:b/>
          <w:bCs/>
        </w:rPr>
      </w:pPr>
    </w:p>
    <w:p w14:paraId="7884AB11" w14:textId="0FDC69F6" w:rsidR="003A3148" w:rsidRPr="003A3148" w:rsidRDefault="00F34524" w:rsidP="003A3148">
      <w:pPr>
        <w:spacing w:line="360" w:lineRule="auto"/>
        <w:rPr>
          <w:rFonts w:ascii="Times New Roman" w:hAnsi="Times New Roman" w:cs="Times New Roman"/>
        </w:rPr>
      </w:pPr>
      <w:r w:rsidRPr="003A3148">
        <w:rPr>
          <w:rFonts w:ascii="Times New Roman" w:hAnsi="Times New Roman" w:cs="Times New Roman"/>
          <w:noProof/>
        </w:rPr>
        <w:drawing>
          <wp:inline distT="0" distB="0" distL="0" distR="0" wp14:anchorId="49260EF3" wp14:editId="40ADC10A">
            <wp:extent cx="5943600" cy="2112010"/>
            <wp:effectExtent l="0" t="0" r="0" b="2540"/>
            <wp:docPr id="21859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9442" name="Picture 21859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12010"/>
                    </a:xfrm>
                    <a:prstGeom prst="rect">
                      <a:avLst/>
                    </a:prstGeom>
                  </pic:spPr>
                </pic:pic>
              </a:graphicData>
            </a:graphic>
          </wp:inline>
        </w:drawing>
      </w:r>
    </w:p>
    <w:p w14:paraId="38C815CA" w14:textId="29E6B16B" w:rsidR="00F34524" w:rsidRDefault="00F34524" w:rsidP="003A3148">
      <w:pPr>
        <w:spacing w:line="360" w:lineRule="auto"/>
        <w:rPr>
          <w:rFonts w:ascii="Times New Roman" w:hAnsi="Times New Roman" w:cs="Times New Roman"/>
        </w:rPr>
      </w:pPr>
      <w:r>
        <w:t xml:space="preserve">Figure 3: Mean Holothuria scabra body weight across the five recorded sampling weeks.</w:t>
      </w:r>
    </w:p>
    <w:p w14:paraId="54C6ABFE" w14:textId="77777777" w:rsidR="00F50956" w:rsidRPr="00F50956" w:rsidRDefault="00F50956" w:rsidP="00F50956">
      <w:pPr>
        <w:spacing w:line="360" w:lineRule="auto"/>
        <w:rPr>
          <w:rFonts w:ascii="Times New Roman" w:hAnsi="Times New Roman" w:cs="Times New Roman"/>
        </w:rPr>
      </w:pPr>
      <w:r w:rsidRPr="00F50956">
        <w:rPr>
          <w:rFonts w:ascii="Times New Roman" w:hAnsi="Times New Roman" w:cs="Times New Roman"/>
        </w:rPr>
        <w:t xml:space="preserve">The line graph compares the mean body weight (g) of the sea cucumber </w:t>
      </w:r>
      <w:r w:rsidRPr="00F50956">
        <w:rPr>
          <w:rFonts w:ascii="Times New Roman" w:hAnsi="Times New Roman" w:cs="Times New Roman"/>
          <w:i/>
          <w:iCs/>
        </w:rPr>
        <w:t>Holothuria scabra</w:t>
      </w:r>
      <w:r w:rsidRPr="00F50956">
        <w:rPr>
          <w:rFonts w:ascii="Times New Roman" w:hAnsi="Times New Roman" w:cs="Times New Roman"/>
        </w:rPr>
        <w:t xml:space="preserve"> in IMTA and Monoculture systems over a five-week period. Overall, the IMTA system shows a more stable and progressive growth pattern, with a slight fluctuation in the early weeks followed by a steady increase, reaching the highest mean weight of approximately 410 g by Week 5. In contrast, the Monoculture system exhibits greater variability, increasing until Week 3, followed by a sharp decline in Week 4 (around 225 g) before partially recovering by Week 5.</w:t>
      </w:r>
    </w:p>
    <w:p w14:paraId="7DC50408" w14:textId="6658D769" w:rsidR="00F34524" w:rsidRPr="003A3148" w:rsidRDefault="00F50956" w:rsidP="003A3148">
      <w:pPr>
        <w:spacing w:line="360" w:lineRule="auto"/>
        <w:rPr>
          <w:rFonts w:ascii="Times New Roman" w:hAnsi="Times New Roman" w:cs="Times New Roman"/>
        </w:rPr>
      </w:pPr>
      <w:r w:rsidRPr="00F50956">
        <w:rPr>
          <w:rFonts w:ascii="Times New Roman" w:hAnsi="Times New Roman" w:cs="Times New Roman"/>
        </w:rPr>
        <w:t xml:space="preserve">From Week 4 onwards, sea cucumbers in the IMTA system consistently maintained higher body weights than those in the Monoculture system, with a final difference of about 60 g in Week 5. Although both treatments show relatively large standard deviations, indicating individual variation, the overall trend suggests better growth performance in the IMTA system. This indicates that the integrated multi-trophic environment likely provides more stable conditions and improved nutrient availability, resulting in enhanced growth and higher final biomass of </w:t>
      </w:r>
      <w:r w:rsidRPr="00F50956">
        <w:rPr>
          <w:rFonts w:ascii="Times New Roman" w:hAnsi="Times New Roman" w:cs="Times New Roman"/>
          <w:i/>
          <w:iCs/>
        </w:rPr>
        <w:t>H. scabra</w:t>
      </w:r>
      <w:r w:rsidRPr="00F50956">
        <w:rPr>
          <w:rFonts w:ascii="Times New Roman" w:hAnsi="Times New Roman" w:cs="Times New Roman"/>
        </w:rPr>
        <w:t xml:space="preserve"> compared to the monoculture system.</w:t>
      </w:r>
    </w:p>
    <w:p w14:paraId="3AF6C8EA" w14:textId="77777777" w:rsidR="00F34524" w:rsidRPr="003A3148" w:rsidRDefault="00F34524" w:rsidP="003A3148">
      <w:pPr>
        <w:spacing w:line="360" w:lineRule="auto"/>
        <w:rPr>
          <w:rFonts w:ascii="Times New Roman" w:hAnsi="Times New Roman" w:cs="Times New Roman"/>
        </w:rPr>
      </w:pPr>
    </w:p>
    <w:p w14:paraId="54316020" w14:textId="0A38AAA2" w:rsidR="00F34524" w:rsidRPr="003A3148" w:rsidRDefault="00F34524" w:rsidP="003A3148">
      <w:pPr>
        <w:spacing w:line="360" w:lineRule="auto"/>
        <w:rPr>
          <w:rFonts w:ascii="Times New Roman" w:hAnsi="Times New Roman" w:cs="Times New Roman"/>
        </w:rPr>
      </w:pPr>
      <w:r w:rsidRPr="003A3148">
        <w:rPr>
          <w:rFonts w:ascii="Times New Roman" w:hAnsi="Times New Roman" w:cs="Times New Roman"/>
          <w:noProof/>
        </w:rPr>
        <w:lastRenderedPageBreak/>
        <w:drawing>
          <wp:inline distT="0" distB="0" distL="0" distR="0" wp14:anchorId="276A2132" wp14:editId="216EBADF">
            <wp:extent cx="5943600" cy="2167890"/>
            <wp:effectExtent l="0" t="0" r="0" b="3810"/>
            <wp:docPr id="1099760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60223" name="Picture 1099760223"/>
                    <pic:cNvPicPr/>
                  </pic:nvPicPr>
                  <pic:blipFill>
                    <a:blip r:embed="rId10">
                      <a:extLst>
                        <a:ext uri="{28A0092B-C50C-407E-A947-70E740481C1C}">
                          <a14:useLocalDpi xmlns:a14="http://schemas.microsoft.com/office/drawing/2010/main" val="0"/>
                        </a:ext>
                      </a:extLst>
                    </a:blip>
                    <a:stretch>
                      <a:fillRect/>
                    </a:stretch>
                  </pic:blipFill>
                  <pic:spPr>
                    <a:xfrm>
                      <a:off x="0" y="0"/>
                      <a:ext cx="5943600" cy="2167890"/>
                    </a:xfrm>
                    <a:prstGeom prst="rect">
                      <a:avLst/>
                    </a:prstGeom>
                  </pic:spPr>
                </pic:pic>
              </a:graphicData>
            </a:graphic>
          </wp:inline>
        </w:drawing>
      </w:r>
    </w:p>
    <w:p w14:paraId="5A1D60BD" w14:textId="1FA9BB66" w:rsidR="00F34524" w:rsidRPr="003A3148" w:rsidRDefault="00F34524" w:rsidP="003A3148">
      <w:pPr>
        <w:spacing w:line="360" w:lineRule="auto"/>
        <w:rPr>
          <w:rFonts w:ascii="Times New Roman" w:hAnsi="Times New Roman" w:cs="Times New Roman"/>
        </w:rPr>
      </w:pPr>
      <w:r>
        <w:t xml:space="preserve">Figure 4: Mean Holothuria scabra body length across the five recorded sampling weeks.</w:t>
      </w:r>
    </w:p>
    <w:p w14:paraId="559CB4E6" w14:textId="77777777" w:rsidR="00F50956" w:rsidRPr="00F50956" w:rsidRDefault="00F50956" w:rsidP="00F50956">
      <w:pPr>
        <w:spacing w:line="360" w:lineRule="auto"/>
        <w:rPr>
          <w:rFonts w:ascii="Times New Roman" w:hAnsi="Times New Roman" w:cs="Times New Roman"/>
        </w:rPr>
      </w:pPr>
      <w:r w:rsidRPr="00F50956">
        <w:rPr>
          <w:rFonts w:ascii="Times New Roman" w:hAnsi="Times New Roman" w:cs="Times New Roman"/>
        </w:rPr>
        <w:t xml:space="preserve">The line graph illustrates the mean body length (cm) of </w:t>
      </w:r>
      <w:r w:rsidRPr="00F50956">
        <w:rPr>
          <w:rFonts w:ascii="Times New Roman" w:hAnsi="Times New Roman" w:cs="Times New Roman"/>
          <w:i/>
          <w:iCs/>
        </w:rPr>
        <w:t>Holothuria scabra</w:t>
      </w:r>
      <w:r w:rsidRPr="00F50956">
        <w:rPr>
          <w:rFonts w:ascii="Times New Roman" w:hAnsi="Times New Roman" w:cs="Times New Roman"/>
        </w:rPr>
        <w:t xml:space="preserve"> in IMTA and Monoculture systems over a five-week period. Overall, the IMTA system shows a more stable and slightly better growth performance compared to the Monoculture system. Although there is a small decline in Week 2, the IMTA group recovers quickly, reaching a peak of about 17.4 cm in Week 3 and maintaining a stable length of around 17.3 cm by Week 5. In contrast, the Monoculture system shows greater fluctuation, with a notable drop in Week 4 (approximately 14.8 cm) before recovering to about 16.7 cm at the end of the study.</w:t>
      </w:r>
    </w:p>
    <w:p w14:paraId="77D4AE1F" w14:textId="77777777" w:rsidR="00F50956" w:rsidRPr="00F50956" w:rsidRDefault="00F50956" w:rsidP="00F50956">
      <w:pPr>
        <w:spacing w:line="360" w:lineRule="auto"/>
        <w:rPr>
          <w:rFonts w:ascii="Times New Roman" w:hAnsi="Times New Roman" w:cs="Times New Roman"/>
        </w:rPr>
      </w:pPr>
      <w:r w:rsidRPr="00F50956">
        <w:rPr>
          <w:rFonts w:ascii="Times New Roman" w:hAnsi="Times New Roman" w:cs="Times New Roman"/>
        </w:rPr>
        <w:t xml:space="preserve">From Week 3 onwards, the IMTA group consistently recorded higher mean body lengths than the Monoculture group, indicating better overall growth performance. Despite relatively large standard deviations in both treatments, suggesting individual variation, the general trend still favors the IMTA system. This indicates that the integrated multi-trophic environment likely provides more stable conditions and improved nutritional support, leading to more consistent longitudinal growth of </w:t>
      </w:r>
      <w:r w:rsidRPr="00F50956">
        <w:rPr>
          <w:rFonts w:ascii="Times New Roman" w:hAnsi="Times New Roman" w:cs="Times New Roman"/>
          <w:i/>
          <w:iCs/>
        </w:rPr>
        <w:t>Holothuria scabra</w:t>
      </w:r>
      <w:r w:rsidRPr="00F50956">
        <w:rPr>
          <w:rFonts w:ascii="Times New Roman" w:hAnsi="Times New Roman" w:cs="Times New Roman"/>
        </w:rPr>
        <w:t xml:space="preserve"> compared to the monoculture system.</w:t>
      </w:r>
    </w:p>
    <w:p w14:paraId="2E1B3927" w14:textId="77777777" w:rsidR="00F34524" w:rsidRPr="003A3148" w:rsidRDefault="00F34524" w:rsidP="003A3148">
      <w:pPr>
        <w:spacing w:line="360" w:lineRule="auto"/>
        <w:rPr>
          <w:rFonts w:ascii="Times New Roman" w:hAnsi="Times New Roman" w:cs="Times New Roman"/>
        </w:rPr>
      </w:pPr>
    </w:p>
    <w:p w14:paraId="0A5C8D8A" w14:textId="16F85715" w:rsidR="00F34524" w:rsidRDefault="003A3148" w:rsidP="003A3148">
      <w:pPr>
        <w:spacing w:line="360" w:lineRule="auto"/>
        <w:rPr>
          <w:rFonts w:ascii="Times New Roman" w:hAnsi="Times New Roman" w:cs="Times New Roman"/>
        </w:rPr>
      </w:pPr>
      <w:r w:rsidRPr="003A3148">
        <w:rPr>
          <w:rFonts w:ascii="Times New Roman" w:hAnsi="Times New Roman" w:cs="Times New Roman"/>
        </w:rPr>
        <w:t>.</w:t>
      </w:r>
    </w:p>
    <w:p w14:paraId="22D2663F" w14:textId="77777777" w:rsidR="00F50956" w:rsidRDefault="00F50956" w:rsidP="003A3148">
      <w:pPr>
        <w:spacing w:line="360" w:lineRule="auto"/>
        <w:rPr>
          <w:rFonts w:ascii="Times New Roman" w:hAnsi="Times New Roman" w:cs="Times New Roman"/>
        </w:rPr>
      </w:pPr>
    </w:p>
    <w:p w14:paraId="5DA8DF8D" w14:textId="77777777" w:rsidR="0001463F" w:rsidRDefault="0001463F" w:rsidP="003A3148">
      <w:pPr>
        <w:spacing w:line="360" w:lineRule="auto"/>
        <w:rPr>
          <w:rFonts w:ascii="Times New Roman" w:hAnsi="Times New Roman" w:cs="Times New Roman"/>
        </w:rPr>
      </w:pPr>
    </w:p>
    <w:p w14:paraId="01FB0B97" w14:textId="77777777" w:rsidR="00F50956" w:rsidRPr="003A3148" w:rsidRDefault="00F50956" w:rsidP="003A3148">
      <w:pPr>
        <w:spacing w:line="360" w:lineRule="auto"/>
        <w:rPr>
          <w:rFonts w:ascii="Times New Roman" w:hAnsi="Times New Roman" w:cs="Times New Roman"/>
        </w:rPr>
      </w:pPr>
    </w:p>
    <w:p w14:paraId="75AE804C" w14:textId="73595C2F" w:rsidR="003A3148" w:rsidRPr="003A3148" w:rsidRDefault="001A7101" w:rsidP="003A3148">
      <w:pPr>
        <w:spacing w:line="360" w:lineRule="auto"/>
        <w:rPr>
          <w:rFonts w:ascii="Times New Roman" w:hAnsi="Times New Roman" w:cs="Times New Roman"/>
          <w:b/>
          <w:bCs/>
        </w:rPr>
      </w:pPr>
      <w:r>
        <w:rPr>
          <w:rFonts w:ascii="Times New Roman" w:hAnsi="Times New Roman" w:cs="Times New Roman"/>
          <w:b/>
          <w:bCs/>
        </w:rPr>
        <w:lastRenderedPageBreak/>
        <w:t xml:space="preserve">3.1.4 </w:t>
      </w:r>
      <w:r w:rsidR="003A3148" w:rsidRPr="003A3148">
        <w:rPr>
          <w:rFonts w:ascii="Times New Roman" w:hAnsi="Times New Roman" w:cs="Times New Roman"/>
          <w:b/>
          <w:bCs/>
        </w:rPr>
        <w:t>Growth Rate Metrics (AGR and SGR)</w:t>
      </w:r>
    </w:p>
    <w:p w14:paraId="539A9E2A" w14:textId="794CC2AA" w:rsidR="00623A71" w:rsidRPr="003A3148" w:rsidRDefault="003A3148" w:rsidP="003A3148">
      <w:pPr>
        <w:spacing w:line="360" w:lineRule="auto"/>
        <w:rPr>
          <w:rFonts w:ascii="Times New Roman" w:hAnsi="Times New Roman" w:cs="Times New Roman"/>
        </w:rPr>
      </w:pPr>
      <w:r w:rsidRPr="003A3148">
        <w:rPr>
          <w:rFonts w:ascii="Times New Roman" w:hAnsi="Times New Roman" w:cs="Times New Roman"/>
        </w:rPr>
        <w:t>Efficiency was measured through Absolute Growth Rate (AGR) and Specific Growth Rate (SGR) across specific sampling intervals.</w:t>
      </w:r>
    </w:p>
    <w:p w14:paraId="05923F47" w14:textId="10D4E6B3" w:rsidR="003A3148" w:rsidRPr="00BF08BF" w:rsidRDefault="003A3148" w:rsidP="003A3148">
      <w:pPr>
        <w:spacing w:line="360" w:lineRule="auto"/>
        <w:rPr>
          <w:rFonts w:ascii="Times New Roman" w:hAnsi="Times New Roman" w:cs="Times New Roman"/>
          <w:b/>
          <w:bCs/>
          <w:i/>
          <w:iCs/>
        </w:rPr>
      </w:pPr>
      <w:r w:rsidRPr="003A3148">
        <w:rPr>
          <w:rFonts w:ascii="Times New Roman" w:hAnsi="Times New Roman" w:cs="Times New Roman"/>
          <w:noProof/>
        </w:rPr>
        <w:drawing>
          <wp:inline distT="0" distB="0" distL="0" distR="0" wp14:anchorId="6D539E0A" wp14:editId="4B7464A6">
            <wp:extent cx="5943600" cy="3143250"/>
            <wp:effectExtent l="0" t="0" r="0" b="0"/>
            <wp:docPr id="1155800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0362" name="Picture 11558003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1AB133DF" w14:textId="00AC10EA" w:rsidR="003A3148" w:rsidRPr="00445840" w:rsidRDefault="001A7101" w:rsidP="003A3148">
      <w:pPr>
        <w:spacing w:line="360" w:lineRule="auto"/>
        <w:rPr>
          <w:rFonts w:ascii="Times New Roman" w:hAnsi="Times New Roman" w:cs="Times New Roman"/>
          <w:b/>
          <w:bCs/>
          <w:i/>
          <w:iCs/>
        </w:rPr>
      </w:pPr>
      <w:r>
        <w:t xml:space="preserve">Figure 5: Absolute Growth Rate (AGR) of Holothuria scabra between consecutive sampling intervals.</w:t>
      </w:r>
    </w:p>
    <w:p w14:paraId="52C44EFF" w14:textId="77777777" w:rsidR="00E41A12" w:rsidRPr="00E41A12" w:rsidRDefault="00E41A12" w:rsidP="00E41A12">
      <w:pPr>
        <w:spacing w:line="360" w:lineRule="auto"/>
        <w:rPr>
          <w:rFonts w:ascii="Times New Roman" w:hAnsi="Times New Roman" w:cs="Times New Roman"/>
        </w:rPr>
      </w:pPr>
      <w:r w:rsidRPr="00E41A12">
        <w:rPr>
          <w:rFonts w:ascii="Times New Roman" w:hAnsi="Times New Roman" w:cs="Times New Roman"/>
        </w:rPr>
        <w:t xml:space="preserve">The bar chart illustrates the Absolute Growth Rate (AGR) of </w:t>
      </w:r>
      <w:r w:rsidRPr="00E41A12">
        <w:rPr>
          <w:rFonts w:ascii="Times New Roman" w:hAnsi="Times New Roman" w:cs="Times New Roman"/>
          <w:i/>
          <w:iCs/>
        </w:rPr>
        <w:t>Holothuria scabra</w:t>
      </w:r>
      <w:r w:rsidRPr="00E41A12">
        <w:rPr>
          <w:rFonts w:ascii="Times New Roman" w:hAnsi="Times New Roman" w:cs="Times New Roman"/>
        </w:rPr>
        <w:t xml:space="preserve"> in IMTA and Monoculture systems across four sampling intervals. Overall, both systems show fluctuating growth patterns, including periods of weight loss and recovery. In the early phase (Wk2ÃƒÆ’Ã†â€™Ãƒâ€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3), both treatments recorded negative growth rates, with the IMTA system showing a sharper decline (-5.953 g/day) compared to the Monoculture (-2.916 g/day). During the recovery phase (Wk3ÃƒÆ’Ã†â€™Ãƒâ€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4), both systems experienced strong positive growth, with Monoculture slightly higher (10.370 g/day) than IMTA (9.087 g/day).</w:t>
      </w:r>
    </w:p>
    <w:p w14:paraId="192FB61E" w14:textId="538984F1" w:rsidR="00F34524" w:rsidRPr="003A3148" w:rsidRDefault="00E41A12" w:rsidP="003A3148">
      <w:pPr>
        <w:spacing w:line="360" w:lineRule="auto"/>
        <w:rPr>
          <w:rFonts w:ascii="Times New Roman" w:hAnsi="Times New Roman" w:cs="Times New Roman"/>
        </w:rPr>
      </w:pPr>
      <w:r w:rsidRPr="00E41A12">
        <w:rPr>
          <w:rFonts w:ascii="Times New Roman" w:hAnsi="Times New Roman" w:cs="Times New Roman"/>
        </w:rPr>
        <w:t xml:space="preserve">A major divergence occurred in the Wk4ÃƒÆ’Ã†â€™Ãƒâ€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5 interval, where the Monoculture system showed a severe drop in growth (-27.608 g/day), while the IMTA system only recorded a minor decline (-2.266 g/day), indicating greater stability in the IMTA setup. In the final interval (Wk5ÃƒÆ’Ã†â€™Ãƒâ€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6), both systems recovered again, with Monoculture reaching the highest AGR (13.854 g/day) and IMTA recording 8.307 g/day. Overall, although the Monoculture system achieved higher peak growth rates, the IMTA system demonstrated more stable and consistent growth performance, </w:t>
      </w:r>
      <w:r w:rsidRPr="00E41A12">
        <w:rPr>
          <w:rFonts w:ascii="Times New Roman" w:hAnsi="Times New Roman" w:cs="Times New Roman"/>
        </w:rPr>
        <w:lastRenderedPageBreak/>
        <w:t>suggesting that the integrated system provides better buffering against extreme growth fluctuations and supports more reliable biomass development.</w:t>
      </w:r>
    </w:p>
    <w:p w14:paraId="7A0BE543" w14:textId="319A768B" w:rsidR="00F34524" w:rsidRPr="003A3148" w:rsidRDefault="00F34524" w:rsidP="003A3148">
      <w:pPr>
        <w:spacing w:line="360" w:lineRule="auto"/>
        <w:rPr>
          <w:rFonts w:ascii="Times New Roman" w:hAnsi="Times New Roman" w:cs="Times New Roman"/>
        </w:rPr>
      </w:pPr>
      <w:r w:rsidRPr="003A3148">
        <w:rPr>
          <w:rFonts w:ascii="Times New Roman" w:hAnsi="Times New Roman" w:cs="Times New Roman"/>
          <w:noProof/>
        </w:rPr>
        <w:drawing>
          <wp:inline distT="0" distB="0" distL="0" distR="0" wp14:anchorId="4C07F9D7" wp14:editId="3C341199">
            <wp:extent cx="5943600" cy="3143250"/>
            <wp:effectExtent l="0" t="0" r="0" b="0"/>
            <wp:docPr id="826487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87141" name="Picture 8264871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12B68FF6" w14:textId="1C5CDDAF" w:rsidR="00F34524" w:rsidRDefault="001A7101" w:rsidP="003A3148">
      <w:pPr>
        <w:spacing w:line="360" w:lineRule="auto"/>
        <w:rPr>
          <w:rFonts w:ascii="Times New Roman" w:hAnsi="Times New Roman" w:cs="Times New Roman"/>
        </w:rPr>
      </w:pPr>
      <w:r>
        <w:t xml:space="preserve">Figure 6: Specific Growth Rate (SGR) of Holothuria scabra between consecutive sampling intervals.</w:t>
      </w:r>
    </w:p>
    <w:p w14:paraId="1FF4A36C" w14:textId="77777777" w:rsidR="00E41A12" w:rsidRPr="00E41A12" w:rsidRDefault="00E41A12" w:rsidP="00E41A12">
      <w:pPr>
        <w:spacing w:line="360" w:lineRule="auto"/>
        <w:rPr>
          <w:rFonts w:ascii="Times New Roman" w:hAnsi="Times New Roman" w:cs="Times New Roman"/>
        </w:rPr>
      </w:pPr>
      <w:r w:rsidRPr="00E41A12">
        <w:rPr>
          <w:rFonts w:ascii="Times New Roman" w:hAnsi="Times New Roman" w:cs="Times New Roman"/>
        </w:rPr>
        <w:t xml:space="preserve">The bar chart illustrates the Specific Growth Rate (SGR) of </w:t>
      </w:r>
      <w:r w:rsidRPr="00E41A12">
        <w:rPr>
          <w:rFonts w:ascii="Times New Roman" w:hAnsi="Times New Roman" w:cs="Times New Roman"/>
          <w:i/>
          <w:iCs/>
        </w:rPr>
        <w:t>Holothuria scabra</w:t>
      </w:r>
      <w:r w:rsidRPr="00E41A12">
        <w:rPr>
          <w:rFonts w:ascii="Times New Roman" w:hAnsi="Times New Roman" w:cs="Times New Roman"/>
        </w:rPr>
        <w:t xml:space="preserve"> (%/day) in IMTA and Monoculture systems across four sampling intervals. Overall, both treatments show fluctuating growth patterns, including phases of weight loss and recovery. During the initial adaptation phase (Wk2ÃƒÆ’Ã†â€™Ãƒâ€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3), both systems recorded negative growth, with the IMTA group showing a slightly greater decline (-1.977%/day) compared to Monoculture (-0.985%/day). In the subsequent phase (Wk3ÃƒÆ’Ã†â€™Ãƒâ€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4), both systems recovered strongly, with Monoculture showing a slightly higher growth rate (3.227%/day) than IMTA (2.958%/day).</w:t>
      </w:r>
    </w:p>
    <w:p w14:paraId="02917B3E" w14:textId="19D974FD" w:rsidR="00BF08BF" w:rsidRDefault="00E41A12" w:rsidP="003A3148">
      <w:pPr>
        <w:spacing w:line="360" w:lineRule="auto"/>
        <w:rPr>
          <w:rFonts w:ascii="Times New Roman" w:hAnsi="Times New Roman" w:cs="Times New Roman"/>
        </w:rPr>
      </w:pPr>
      <w:r w:rsidRPr="00E41A12">
        <w:rPr>
          <w:rFonts w:ascii="Times New Roman" w:hAnsi="Times New Roman" w:cs="Times New Roman"/>
        </w:rPr>
        <w:t xml:space="preserve">A clear difference in stability is observed during the Wk4ÃƒÆ’Ã†â€™Ãƒâ€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5 interval, where the IMTA system remained relatively stable with a minor decline (-0.668%/day), while the Monoculture system experienced a sharp drop in growth (-9.516%/day), indicating strong physiological stress. In the final phase (Wk5ÃƒÆ’Ã†â€™Ãƒâ€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Wk6), both systems recovered, with Monoculture reaching a higher peak growth rate (4.872%/day) compared to IMTA (2.246%/day). Overall, although Monoculture showed higher peak SGR values, the IMTA system demonstrated more stable and consistent </w:t>
      </w:r>
      <w:r w:rsidRPr="00E41A12">
        <w:rPr>
          <w:rFonts w:ascii="Times New Roman" w:hAnsi="Times New Roman" w:cs="Times New Roman"/>
        </w:rPr>
        <w:lastRenderedPageBreak/>
        <w:t>growth, suggesting that the integrated multi-trophic approach provides greater resilience and a more stable environment for sustainable sea cucumber production.</w:t>
      </w:r>
    </w:p>
    <w:p w14:paraId="654620F1" w14:textId="77777777" w:rsidR="00E66A79" w:rsidRDefault="00E66A79" w:rsidP="003A3148">
      <w:pPr>
        <w:spacing w:line="360" w:lineRule="auto"/>
        <w:rPr>
          <w:rFonts w:ascii="Times New Roman" w:hAnsi="Times New Roman" w:cs="Times New Roman"/>
        </w:rPr>
      </w:pPr>
    </w:p>
    <w:p w14:paraId="0AF6B20C" w14:textId="787B21B9" w:rsidR="00DF4D19" w:rsidRDefault="001A7101" w:rsidP="003A3148">
      <w:pPr>
        <w:spacing w:line="360" w:lineRule="auto"/>
        <w:rPr>
          <w:rFonts w:ascii="Times New Roman" w:hAnsi="Times New Roman" w:cs="Times New Roman"/>
          <w:b/>
          <w:bCs/>
        </w:rPr>
      </w:pPr>
      <w:r>
        <w:rPr>
          <w:rFonts w:ascii="Times New Roman" w:hAnsi="Times New Roman" w:cs="Times New Roman"/>
          <w:b/>
          <w:bCs/>
        </w:rPr>
        <w:t xml:space="preserve">3.2 </w:t>
      </w:r>
      <w:r w:rsidR="00DF4D19" w:rsidRPr="003A3148">
        <w:rPr>
          <w:rFonts w:ascii="Times New Roman" w:hAnsi="Times New Roman" w:cs="Times New Roman"/>
          <w:b/>
          <w:bCs/>
        </w:rPr>
        <w:t>Seaweed Biomass Production</w:t>
      </w:r>
    </w:p>
    <w:p w14:paraId="3AE0352C" w14:textId="5988250D" w:rsidR="00401F3D" w:rsidRPr="00401F3D" w:rsidRDefault="001A7101" w:rsidP="00401F3D">
      <w:pPr>
        <w:spacing w:line="360" w:lineRule="auto"/>
        <w:rPr>
          <w:rFonts w:ascii="Times New Roman" w:hAnsi="Times New Roman" w:cs="Times New Roman"/>
          <w:b/>
          <w:bCs/>
        </w:rPr>
      </w:pPr>
      <w:r>
        <w:rPr>
          <w:rFonts w:ascii="Times New Roman" w:hAnsi="Times New Roman" w:cs="Times New Roman"/>
          <w:b/>
          <w:bCs/>
        </w:rPr>
        <w:t xml:space="preserve">3.2.1 </w:t>
      </w:r>
      <w:r w:rsidR="00401F3D" w:rsidRPr="00401F3D">
        <w:rPr>
          <w:rFonts w:ascii="Times New Roman" w:hAnsi="Times New Roman" w:cs="Times New Roman"/>
          <w:b/>
          <w:bCs/>
        </w:rPr>
        <w:t>Normality and Distribution of Seaweed Data</w:t>
      </w:r>
    </w:p>
    <w:p w14:paraId="38435D69" w14:textId="4E6AA46D" w:rsidR="0001463F" w:rsidRPr="003A3148" w:rsidRDefault="00401F3D" w:rsidP="003A3148">
      <w:pPr>
        <w:spacing w:line="360" w:lineRule="auto"/>
        <w:rPr>
          <w:rFonts w:ascii="Times New Roman" w:hAnsi="Times New Roman" w:cs="Times New Roman"/>
        </w:rPr>
      </w:pPr>
      <w:r w:rsidRPr="00401F3D">
        <w:rPr>
          <w:rFonts w:ascii="Times New Roman" w:hAnsi="Times New Roman" w:cs="Times New Roman"/>
        </w:rPr>
        <w:t xml:space="preserve">The distribution of weight parameters for </w:t>
      </w:r>
      <w:r w:rsidRPr="00401F3D">
        <w:rPr>
          <w:rFonts w:ascii="Times New Roman" w:hAnsi="Times New Roman" w:cs="Times New Roman"/>
          <w:i/>
          <w:iCs/>
        </w:rPr>
        <w:t xml:space="preserve">K. </w:t>
      </w:r>
      <w:proofErr w:type="spellStart"/>
      <w:r w:rsidRPr="00401F3D">
        <w:rPr>
          <w:rFonts w:ascii="Times New Roman" w:hAnsi="Times New Roman" w:cs="Times New Roman"/>
          <w:i/>
          <w:iCs/>
        </w:rPr>
        <w:t>alvarezii</w:t>
      </w:r>
      <w:proofErr w:type="spellEnd"/>
      <w:r w:rsidRPr="00401F3D">
        <w:rPr>
          <w:rFonts w:ascii="Times New Roman" w:hAnsi="Times New Roman" w:cs="Times New Roman"/>
        </w:rPr>
        <w:t xml:space="preserve"> across three replicates was tested using the Shapiro-Wilk method.</w:t>
      </w:r>
    </w:p>
    <w:p w14:paraId="285260A6" w14:textId="0818657E" w:rsidR="00755908" w:rsidRPr="003A3148" w:rsidRDefault="00755908" w:rsidP="003A3148">
      <w:pPr>
        <w:spacing w:line="360" w:lineRule="auto"/>
        <w:rPr>
          <w:rFonts w:ascii="Times New Roman" w:hAnsi="Times New Roman" w:cs="Times New Roman"/>
          <w:i/>
          <w:iCs/>
        </w:rPr>
      </w:pPr>
      <w:r w:rsidRPr="003A3148">
        <w:rPr>
          <w:rFonts w:ascii="Times New Roman" w:hAnsi="Times New Roman" w:cs="Times New Roman"/>
        </w:rPr>
        <w:t xml:space="preserve">Table </w:t>
      </w:r>
      <w:r w:rsidR="00E66A79">
        <w:rPr>
          <w:rFonts w:ascii="Times New Roman" w:hAnsi="Times New Roman" w:cs="Times New Roman"/>
        </w:rPr>
        <w:t>3</w:t>
      </w:r>
      <w:r w:rsidRPr="003A3148">
        <w:rPr>
          <w:rFonts w:ascii="Times New Roman" w:hAnsi="Times New Roman" w:cs="Times New Roman"/>
        </w:rPr>
        <w:t xml:space="preserve">: Shapiro-Wilk Normality Test Results for </w:t>
      </w:r>
      <w:proofErr w:type="spellStart"/>
      <w:r w:rsidRPr="003A3148">
        <w:rPr>
          <w:rFonts w:ascii="Times New Roman" w:hAnsi="Times New Roman" w:cs="Times New Roman"/>
          <w:i/>
          <w:iCs/>
        </w:rPr>
        <w:t>Kappaphycus</w:t>
      </w:r>
      <w:proofErr w:type="spellEnd"/>
      <w:r w:rsidRPr="003A3148">
        <w:rPr>
          <w:rFonts w:ascii="Times New Roman" w:hAnsi="Times New Roman" w:cs="Times New Roman"/>
          <w:i/>
          <w:iCs/>
        </w:rPr>
        <w:t xml:space="preserve"> </w:t>
      </w:r>
      <w:proofErr w:type="spellStart"/>
      <w:r w:rsidRPr="003A3148">
        <w:rPr>
          <w:rFonts w:ascii="Times New Roman" w:hAnsi="Times New Roman" w:cs="Times New Roman"/>
          <w:i/>
          <w:iCs/>
        </w:rPr>
        <w:t>alvarezii</w:t>
      </w:r>
      <w:proofErr w:type="spellEnd"/>
    </w:p>
    <w:tbl>
      <w:tblPr>
        <w:tblStyle w:val="TableGrid"/>
        <w:tblW w:w="0" w:type="auto"/>
        <w:tblLook w:val="04A0" w:firstRow="1" w:lastRow="0" w:firstColumn="1" w:lastColumn="0" w:noHBand="0" w:noVBand="1"/>
      </w:tblPr>
      <w:tblGrid>
        <w:gridCol w:w="1870"/>
        <w:gridCol w:w="1870"/>
        <w:gridCol w:w="1870"/>
        <w:gridCol w:w="1870"/>
        <w:gridCol w:w="1870"/>
      </w:tblGrid>
      <w:tr w:rsidR="00755908" w:rsidRPr="003A3148" w14:paraId="4C831E46" w14:textId="77777777" w:rsidTr="00755908">
        <w:tc>
          <w:tcPr>
            <w:tcW w:w="1870" w:type="dxa"/>
          </w:tcPr>
          <w:p w14:paraId="6F58FFB9" w14:textId="467CA728"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Parameter</w:t>
            </w:r>
          </w:p>
        </w:tc>
        <w:tc>
          <w:tcPr>
            <w:tcW w:w="1870" w:type="dxa"/>
          </w:tcPr>
          <w:p w14:paraId="4457512C" w14:textId="397868A6"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Group</w:t>
            </w:r>
          </w:p>
        </w:tc>
        <w:tc>
          <w:tcPr>
            <w:tcW w:w="1870" w:type="dxa"/>
          </w:tcPr>
          <w:p w14:paraId="64D1CD4A" w14:textId="6D209B94"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W Statistic</w:t>
            </w:r>
          </w:p>
        </w:tc>
        <w:tc>
          <w:tcPr>
            <w:tcW w:w="1870" w:type="dxa"/>
          </w:tcPr>
          <w:p w14:paraId="5FBD7496" w14:textId="3A7DD9F8"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p-value</w:t>
            </w:r>
          </w:p>
        </w:tc>
        <w:tc>
          <w:tcPr>
            <w:tcW w:w="1870" w:type="dxa"/>
          </w:tcPr>
          <w:p w14:paraId="022E7D21" w14:textId="5FCD94E2"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Distribution</w:t>
            </w:r>
          </w:p>
        </w:tc>
      </w:tr>
      <w:tr w:rsidR="00755908" w:rsidRPr="003A3148" w14:paraId="5D32A89C" w14:textId="77777777" w:rsidTr="00755908">
        <w:tc>
          <w:tcPr>
            <w:tcW w:w="1870" w:type="dxa"/>
            <w:vMerge w:val="restart"/>
          </w:tcPr>
          <w:p w14:paraId="5D2D419E" w14:textId="070BA2E5"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Initial Weight</w:t>
            </w:r>
          </w:p>
        </w:tc>
        <w:tc>
          <w:tcPr>
            <w:tcW w:w="1870" w:type="dxa"/>
          </w:tcPr>
          <w:p w14:paraId="2C3B213E" w14:textId="3515E506"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1</w:t>
            </w:r>
          </w:p>
        </w:tc>
        <w:tc>
          <w:tcPr>
            <w:tcW w:w="1870" w:type="dxa"/>
          </w:tcPr>
          <w:p w14:paraId="73770F01" w14:textId="7A01B44D"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0.9575</w:t>
            </w:r>
          </w:p>
        </w:tc>
        <w:tc>
          <w:tcPr>
            <w:tcW w:w="1870" w:type="dxa"/>
          </w:tcPr>
          <w:p w14:paraId="39877E24" w14:textId="49F7441F"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0.2676</w:t>
            </w:r>
          </w:p>
        </w:tc>
        <w:tc>
          <w:tcPr>
            <w:tcW w:w="1870" w:type="dxa"/>
          </w:tcPr>
          <w:p w14:paraId="1D751153" w14:textId="77777777" w:rsidR="008E7133" w:rsidRPr="003A3148" w:rsidRDefault="00755908" w:rsidP="003A3148">
            <w:pPr>
              <w:spacing w:line="360" w:lineRule="auto"/>
              <w:rPr>
                <w:rFonts w:ascii="Times New Roman" w:hAnsi="Times New Roman" w:cs="Times New Roman"/>
                <w:b/>
                <w:bCs/>
              </w:rPr>
            </w:pPr>
            <w:r w:rsidRPr="003A3148">
              <w:rPr>
                <w:rFonts w:ascii="Times New Roman" w:hAnsi="Times New Roman" w:cs="Times New Roman"/>
                <w:b/>
                <w:bCs/>
              </w:rPr>
              <w:t>Normal</w:t>
            </w:r>
          </w:p>
          <w:p w14:paraId="4BEB4874" w14:textId="656637BC"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 xml:space="preserve"> (p &gt; 0.05)</w:t>
            </w:r>
          </w:p>
          <w:p w14:paraId="1DFF10C2" w14:textId="77777777" w:rsidR="00755908" w:rsidRPr="003A3148" w:rsidRDefault="00755908" w:rsidP="003A3148">
            <w:pPr>
              <w:spacing w:line="360" w:lineRule="auto"/>
              <w:rPr>
                <w:rFonts w:ascii="Times New Roman" w:hAnsi="Times New Roman" w:cs="Times New Roman"/>
              </w:rPr>
            </w:pPr>
          </w:p>
        </w:tc>
      </w:tr>
      <w:tr w:rsidR="00755908" w:rsidRPr="003A3148" w14:paraId="752573F0" w14:textId="77777777" w:rsidTr="00755908">
        <w:tc>
          <w:tcPr>
            <w:tcW w:w="1870" w:type="dxa"/>
            <w:vMerge/>
          </w:tcPr>
          <w:p w14:paraId="7B7B431B" w14:textId="77777777" w:rsidR="00755908" w:rsidRPr="003A3148" w:rsidRDefault="00755908" w:rsidP="003A3148">
            <w:pPr>
              <w:spacing w:line="360" w:lineRule="auto"/>
              <w:rPr>
                <w:rFonts w:ascii="Times New Roman" w:hAnsi="Times New Roman" w:cs="Times New Roman"/>
              </w:rPr>
            </w:pPr>
          </w:p>
        </w:tc>
        <w:tc>
          <w:tcPr>
            <w:tcW w:w="1870" w:type="dxa"/>
          </w:tcPr>
          <w:p w14:paraId="42CA6C3A" w14:textId="0F578CF4"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2</w:t>
            </w:r>
          </w:p>
        </w:tc>
        <w:tc>
          <w:tcPr>
            <w:tcW w:w="1870" w:type="dxa"/>
          </w:tcPr>
          <w:p w14:paraId="6AA6CC01" w14:textId="7E8CF88B"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0.8932</w:t>
            </w:r>
          </w:p>
        </w:tc>
        <w:tc>
          <w:tcPr>
            <w:tcW w:w="1870" w:type="dxa"/>
          </w:tcPr>
          <w:p w14:paraId="1BED2186" w14:textId="6822FA78"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0.0056</w:t>
            </w:r>
          </w:p>
        </w:tc>
        <w:tc>
          <w:tcPr>
            <w:tcW w:w="1870" w:type="dxa"/>
          </w:tcPr>
          <w:p w14:paraId="6C0FA0BC" w14:textId="77777777" w:rsidR="008E7133" w:rsidRPr="003A3148" w:rsidRDefault="008E7133" w:rsidP="003A3148">
            <w:pPr>
              <w:spacing w:line="360" w:lineRule="auto"/>
              <w:rPr>
                <w:rFonts w:ascii="Times New Roman" w:hAnsi="Times New Roman" w:cs="Times New Roman"/>
                <w:b/>
                <w:bCs/>
              </w:rPr>
            </w:pPr>
            <w:r w:rsidRPr="003A3148">
              <w:rPr>
                <w:rFonts w:ascii="Times New Roman" w:hAnsi="Times New Roman" w:cs="Times New Roman"/>
                <w:b/>
                <w:bCs/>
              </w:rPr>
              <w:t>Not Normal</w:t>
            </w:r>
          </w:p>
          <w:p w14:paraId="0A34EA5A" w14:textId="2F265174" w:rsidR="008E7133" w:rsidRPr="003A3148" w:rsidRDefault="008E7133" w:rsidP="003A3148">
            <w:pPr>
              <w:spacing w:line="360" w:lineRule="auto"/>
              <w:rPr>
                <w:rFonts w:ascii="Times New Roman" w:hAnsi="Times New Roman" w:cs="Times New Roman"/>
              </w:rPr>
            </w:pPr>
            <w:r w:rsidRPr="003A3148">
              <w:rPr>
                <w:rFonts w:ascii="Times New Roman" w:hAnsi="Times New Roman" w:cs="Times New Roman"/>
              </w:rPr>
              <w:t xml:space="preserve"> (p &lt; 0.05) </w:t>
            </w:r>
          </w:p>
          <w:p w14:paraId="732BDF61" w14:textId="77777777" w:rsidR="00755908" w:rsidRPr="003A3148" w:rsidRDefault="00755908" w:rsidP="003A3148">
            <w:pPr>
              <w:spacing w:line="360" w:lineRule="auto"/>
              <w:rPr>
                <w:rFonts w:ascii="Times New Roman" w:hAnsi="Times New Roman" w:cs="Times New Roman"/>
              </w:rPr>
            </w:pPr>
          </w:p>
        </w:tc>
      </w:tr>
      <w:tr w:rsidR="00755908" w:rsidRPr="003A3148" w14:paraId="706DF424" w14:textId="77777777" w:rsidTr="00755908">
        <w:tc>
          <w:tcPr>
            <w:tcW w:w="1870" w:type="dxa"/>
            <w:vMerge/>
          </w:tcPr>
          <w:p w14:paraId="38DDA703" w14:textId="77777777" w:rsidR="00755908" w:rsidRPr="003A3148" w:rsidRDefault="00755908" w:rsidP="003A3148">
            <w:pPr>
              <w:spacing w:line="360" w:lineRule="auto"/>
              <w:rPr>
                <w:rFonts w:ascii="Times New Roman" w:hAnsi="Times New Roman" w:cs="Times New Roman"/>
              </w:rPr>
            </w:pPr>
          </w:p>
        </w:tc>
        <w:tc>
          <w:tcPr>
            <w:tcW w:w="1870" w:type="dxa"/>
          </w:tcPr>
          <w:p w14:paraId="2A5CFC6D" w14:textId="6E8F6BE9"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3</w:t>
            </w:r>
          </w:p>
        </w:tc>
        <w:tc>
          <w:tcPr>
            <w:tcW w:w="1870" w:type="dxa"/>
          </w:tcPr>
          <w:p w14:paraId="4C4CAF5F" w14:textId="247C1B2D"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0.9230</w:t>
            </w:r>
          </w:p>
        </w:tc>
        <w:tc>
          <w:tcPr>
            <w:tcW w:w="1870" w:type="dxa"/>
          </w:tcPr>
          <w:p w14:paraId="34F0BE2F" w14:textId="0F8FEAC5"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0.0315</w:t>
            </w:r>
          </w:p>
        </w:tc>
        <w:tc>
          <w:tcPr>
            <w:tcW w:w="1870" w:type="dxa"/>
          </w:tcPr>
          <w:p w14:paraId="55E508F9" w14:textId="77777777" w:rsidR="008E7133" w:rsidRPr="003A3148" w:rsidRDefault="008E7133" w:rsidP="003A3148">
            <w:pPr>
              <w:spacing w:line="360" w:lineRule="auto"/>
              <w:rPr>
                <w:rFonts w:ascii="Times New Roman" w:hAnsi="Times New Roman" w:cs="Times New Roman"/>
                <w:b/>
                <w:bCs/>
              </w:rPr>
            </w:pPr>
            <w:r w:rsidRPr="003A3148">
              <w:rPr>
                <w:rFonts w:ascii="Times New Roman" w:hAnsi="Times New Roman" w:cs="Times New Roman"/>
                <w:b/>
                <w:bCs/>
              </w:rPr>
              <w:t>Not Normal</w:t>
            </w:r>
          </w:p>
          <w:p w14:paraId="7BD103E6" w14:textId="2E964515" w:rsidR="008E7133" w:rsidRPr="003A3148" w:rsidRDefault="008E7133" w:rsidP="003A3148">
            <w:pPr>
              <w:spacing w:line="360" w:lineRule="auto"/>
              <w:rPr>
                <w:rFonts w:ascii="Times New Roman" w:hAnsi="Times New Roman" w:cs="Times New Roman"/>
              </w:rPr>
            </w:pPr>
            <w:r w:rsidRPr="003A3148">
              <w:rPr>
                <w:rFonts w:ascii="Times New Roman" w:hAnsi="Times New Roman" w:cs="Times New Roman"/>
              </w:rPr>
              <w:t xml:space="preserve"> (p &lt; 0.05) </w:t>
            </w:r>
          </w:p>
          <w:p w14:paraId="12BCCF6B" w14:textId="77777777" w:rsidR="00755908" w:rsidRPr="003A3148" w:rsidRDefault="00755908" w:rsidP="003A3148">
            <w:pPr>
              <w:spacing w:line="360" w:lineRule="auto"/>
              <w:rPr>
                <w:rFonts w:ascii="Times New Roman" w:hAnsi="Times New Roman" w:cs="Times New Roman"/>
              </w:rPr>
            </w:pPr>
          </w:p>
        </w:tc>
      </w:tr>
      <w:tr w:rsidR="00755908" w:rsidRPr="003A3148" w14:paraId="10B67090" w14:textId="77777777" w:rsidTr="00755908">
        <w:tc>
          <w:tcPr>
            <w:tcW w:w="1870" w:type="dxa"/>
            <w:vMerge w:val="restart"/>
          </w:tcPr>
          <w:p w14:paraId="453BF2BA" w14:textId="31ADFFAA"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Final Weight</w:t>
            </w:r>
          </w:p>
        </w:tc>
        <w:tc>
          <w:tcPr>
            <w:tcW w:w="1870" w:type="dxa"/>
          </w:tcPr>
          <w:p w14:paraId="27DBA7E8" w14:textId="2493896A"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1</w:t>
            </w:r>
          </w:p>
        </w:tc>
        <w:tc>
          <w:tcPr>
            <w:tcW w:w="1870" w:type="dxa"/>
          </w:tcPr>
          <w:p w14:paraId="30C53D0F" w14:textId="0FE7017C"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0.9419</w:t>
            </w:r>
          </w:p>
        </w:tc>
        <w:tc>
          <w:tcPr>
            <w:tcW w:w="1870" w:type="dxa"/>
          </w:tcPr>
          <w:p w14:paraId="19C430C2" w14:textId="02D1DED0"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0.1017</w:t>
            </w:r>
          </w:p>
        </w:tc>
        <w:tc>
          <w:tcPr>
            <w:tcW w:w="1870" w:type="dxa"/>
          </w:tcPr>
          <w:p w14:paraId="71DDB606" w14:textId="77777777" w:rsidR="008E7133" w:rsidRPr="003A3148" w:rsidRDefault="00755908" w:rsidP="003A3148">
            <w:pPr>
              <w:spacing w:line="360" w:lineRule="auto"/>
              <w:rPr>
                <w:rFonts w:ascii="Times New Roman" w:hAnsi="Times New Roman" w:cs="Times New Roman"/>
                <w:b/>
                <w:bCs/>
              </w:rPr>
            </w:pPr>
            <w:r w:rsidRPr="003A3148">
              <w:rPr>
                <w:rFonts w:ascii="Times New Roman" w:hAnsi="Times New Roman" w:cs="Times New Roman"/>
                <w:b/>
                <w:bCs/>
              </w:rPr>
              <w:t>Normal</w:t>
            </w:r>
          </w:p>
          <w:p w14:paraId="2C670681" w14:textId="4E962A33"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 xml:space="preserve"> (p &gt; 0.05)</w:t>
            </w:r>
          </w:p>
          <w:p w14:paraId="168F40D2" w14:textId="77777777" w:rsidR="00755908" w:rsidRPr="003A3148" w:rsidRDefault="00755908" w:rsidP="003A3148">
            <w:pPr>
              <w:spacing w:line="360" w:lineRule="auto"/>
              <w:rPr>
                <w:rFonts w:ascii="Times New Roman" w:hAnsi="Times New Roman" w:cs="Times New Roman"/>
              </w:rPr>
            </w:pPr>
          </w:p>
        </w:tc>
      </w:tr>
      <w:tr w:rsidR="00755908" w:rsidRPr="003A3148" w14:paraId="7736D845" w14:textId="77777777" w:rsidTr="00755908">
        <w:tc>
          <w:tcPr>
            <w:tcW w:w="1870" w:type="dxa"/>
            <w:vMerge/>
          </w:tcPr>
          <w:p w14:paraId="42090799" w14:textId="77777777" w:rsidR="00755908" w:rsidRPr="003A3148" w:rsidRDefault="00755908" w:rsidP="003A3148">
            <w:pPr>
              <w:spacing w:line="360" w:lineRule="auto"/>
              <w:rPr>
                <w:rFonts w:ascii="Times New Roman" w:hAnsi="Times New Roman" w:cs="Times New Roman"/>
              </w:rPr>
            </w:pPr>
          </w:p>
        </w:tc>
        <w:tc>
          <w:tcPr>
            <w:tcW w:w="1870" w:type="dxa"/>
          </w:tcPr>
          <w:p w14:paraId="6F7556C4" w14:textId="1E9D9390"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2</w:t>
            </w:r>
          </w:p>
        </w:tc>
        <w:tc>
          <w:tcPr>
            <w:tcW w:w="1870" w:type="dxa"/>
          </w:tcPr>
          <w:p w14:paraId="038E8369" w14:textId="516ADA4C"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0.9583</w:t>
            </w:r>
          </w:p>
        </w:tc>
        <w:tc>
          <w:tcPr>
            <w:tcW w:w="1870" w:type="dxa"/>
          </w:tcPr>
          <w:p w14:paraId="0D53FD55" w14:textId="356EE845"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0.2811</w:t>
            </w:r>
          </w:p>
        </w:tc>
        <w:tc>
          <w:tcPr>
            <w:tcW w:w="1870" w:type="dxa"/>
          </w:tcPr>
          <w:p w14:paraId="5E22E7C4" w14:textId="77777777" w:rsidR="008E7133" w:rsidRPr="003A3148" w:rsidRDefault="00755908" w:rsidP="003A3148">
            <w:pPr>
              <w:spacing w:line="360" w:lineRule="auto"/>
              <w:rPr>
                <w:rFonts w:ascii="Times New Roman" w:hAnsi="Times New Roman" w:cs="Times New Roman"/>
                <w:b/>
                <w:bCs/>
              </w:rPr>
            </w:pPr>
            <w:r w:rsidRPr="003A3148">
              <w:rPr>
                <w:rFonts w:ascii="Times New Roman" w:hAnsi="Times New Roman" w:cs="Times New Roman"/>
                <w:b/>
                <w:bCs/>
              </w:rPr>
              <w:t>Normal</w:t>
            </w:r>
          </w:p>
          <w:p w14:paraId="3710BF26" w14:textId="619CF9AA"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 xml:space="preserve"> (p &gt; 0.05)</w:t>
            </w:r>
          </w:p>
          <w:p w14:paraId="6A2A6378" w14:textId="77777777" w:rsidR="00755908" w:rsidRPr="003A3148" w:rsidRDefault="00755908" w:rsidP="003A3148">
            <w:pPr>
              <w:spacing w:line="360" w:lineRule="auto"/>
              <w:rPr>
                <w:rFonts w:ascii="Times New Roman" w:hAnsi="Times New Roman" w:cs="Times New Roman"/>
              </w:rPr>
            </w:pPr>
          </w:p>
        </w:tc>
      </w:tr>
      <w:tr w:rsidR="00755908" w:rsidRPr="003A3148" w14:paraId="76C0C77D" w14:textId="77777777" w:rsidTr="00755908">
        <w:tc>
          <w:tcPr>
            <w:tcW w:w="1870" w:type="dxa"/>
            <w:vMerge/>
          </w:tcPr>
          <w:p w14:paraId="0E13BB91" w14:textId="77777777" w:rsidR="00755908" w:rsidRPr="003A3148" w:rsidRDefault="00755908" w:rsidP="003A3148">
            <w:pPr>
              <w:spacing w:line="360" w:lineRule="auto"/>
              <w:rPr>
                <w:rFonts w:ascii="Times New Roman" w:hAnsi="Times New Roman" w:cs="Times New Roman"/>
              </w:rPr>
            </w:pPr>
          </w:p>
        </w:tc>
        <w:tc>
          <w:tcPr>
            <w:tcW w:w="1870" w:type="dxa"/>
          </w:tcPr>
          <w:p w14:paraId="260F5DC1" w14:textId="1C568B4E"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3</w:t>
            </w:r>
          </w:p>
        </w:tc>
        <w:tc>
          <w:tcPr>
            <w:tcW w:w="1870" w:type="dxa"/>
          </w:tcPr>
          <w:p w14:paraId="368C71CE" w14:textId="76892CBF"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0.9427</w:t>
            </w:r>
          </w:p>
        </w:tc>
        <w:tc>
          <w:tcPr>
            <w:tcW w:w="1870" w:type="dxa"/>
          </w:tcPr>
          <w:p w14:paraId="44F6CA9F" w14:textId="60B0A3F8"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0.1066</w:t>
            </w:r>
          </w:p>
        </w:tc>
        <w:tc>
          <w:tcPr>
            <w:tcW w:w="1870" w:type="dxa"/>
          </w:tcPr>
          <w:p w14:paraId="46D01485" w14:textId="77777777" w:rsidR="008E7133" w:rsidRPr="003A3148" w:rsidRDefault="00755908" w:rsidP="003A3148">
            <w:pPr>
              <w:spacing w:line="360" w:lineRule="auto"/>
              <w:rPr>
                <w:rFonts w:ascii="Times New Roman" w:hAnsi="Times New Roman" w:cs="Times New Roman"/>
                <w:b/>
                <w:bCs/>
              </w:rPr>
            </w:pPr>
            <w:r w:rsidRPr="003A3148">
              <w:rPr>
                <w:rFonts w:ascii="Times New Roman" w:hAnsi="Times New Roman" w:cs="Times New Roman"/>
                <w:b/>
                <w:bCs/>
              </w:rPr>
              <w:t>Normal</w:t>
            </w:r>
          </w:p>
          <w:p w14:paraId="1EEFDBE8" w14:textId="7C223173"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 xml:space="preserve"> (p &gt; 0.05)</w:t>
            </w:r>
          </w:p>
          <w:p w14:paraId="4AC806FC" w14:textId="77777777" w:rsidR="00755908" w:rsidRPr="003A3148" w:rsidRDefault="00755908" w:rsidP="003A3148">
            <w:pPr>
              <w:spacing w:line="360" w:lineRule="auto"/>
              <w:rPr>
                <w:rFonts w:ascii="Times New Roman" w:hAnsi="Times New Roman" w:cs="Times New Roman"/>
              </w:rPr>
            </w:pPr>
          </w:p>
        </w:tc>
      </w:tr>
      <w:tr w:rsidR="00755908" w:rsidRPr="003A3148" w14:paraId="0560FBA0" w14:textId="77777777" w:rsidTr="00755908">
        <w:tc>
          <w:tcPr>
            <w:tcW w:w="1870" w:type="dxa"/>
            <w:vMerge w:val="restart"/>
          </w:tcPr>
          <w:p w14:paraId="5CB1ED5C" w14:textId="430ADE8B"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Weight Gain</w:t>
            </w:r>
          </w:p>
        </w:tc>
        <w:tc>
          <w:tcPr>
            <w:tcW w:w="1870" w:type="dxa"/>
          </w:tcPr>
          <w:p w14:paraId="30EBD271" w14:textId="41F4A90B"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1</w:t>
            </w:r>
          </w:p>
        </w:tc>
        <w:tc>
          <w:tcPr>
            <w:tcW w:w="1870" w:type="dxa"/>
          </w:tcPr>
          <w:p w14:paraId="61F501BB" w14:textId="16D48991"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0.8407</w:t>
            </w:r>
          </w:p>
        </w:tc>
        <w:tc>
          <w:tcPr>
            <w:tcW w:w="1870" w:type="dxa"/>
          </w:tcPr>
          <w:p w14:paraId="0F50441E" w14:textId="6F5FAAB4"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0.0004</w:t>
            </w:r>
          </w:p>
        </w:tc>
        <w:tc>
          <w:tcPr>
            <w:tcW w:w="1870" w:type="dxa"/>
          </w:tcPr>
          <w:p w14:paraId="76707BFA" w14:textId="77777777" w:rsidR="008E7133" w:rsidRPr="003A3148" w:rsidRDefault="00755908" w:rsidP="003A3148">
            <w:pPr>
              <w:spacing w:line="360" w:lineRule="auto"/>
              <w:rPr>
                <w:rFonts w:ascii="Times New Roman" w:hAnsi="Times New Roman" w:cs="Times New Roman"/>
              </w:rPr>
            </w:pPr>
            <w:r w:rsidRPr="003A3148">
              <w:rPr>
                <w:rFonts w:ascii="Times New Roman" w:hAnsi="Times New Roman" w:cs="Times New Roman"/>
                <w:b/>
                <w:bCs/>
              </w:rPr>
              <w:t>Not Normal</w:t>
            </w:r>
            <w:r w:rsidRPr="003A3148">
              <w:rPr>
                <w:rFonts w:ascii="Times New Roman" w:hAnsi="Times New Roman" w:cs="Times New Roman"/>
              </w:rPr>
              <w:t xml:space="preserve"> </w:t>
            </w:r>
          </w:p>
          <w:p w14:paraId="66F86C90" w14:textId="37B00304"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lastRenderedPageBreak/>
              <w:t xml:space="preserve">(p &lt; 0.05) </w:t>
            </w:r>
          </w:p>
          <w:p w14:paraId="1551FCEE" w14:textId="77777777" w:rsidR="00755908" w:rsidRPr="003A3148" w:rsidRDefault="00755908" w:rsidP="003A3148">
            <w:pPr>
              <w:spacing w:line="360" w:lineRule="auto"/>
              <w:rPr>
                <w:rFonts w:ascii="Times New Roman" w:hAnsi="Times New Roman" w:cs="Times New Roman"/>
              </w:rPr>
            </w:pPr>
          </w:p>
        </w:tc>
      </w:tr>
      <w:tr w:rsidR="00755908" w:rsidRPr="003A3148" w14:paraId="22C0BF3B" w14:textId="77777777" w:rsidTr="00755908">
        <w:tc>
          <w:tcPr>
            <w:tcW w:w="1870" w:type="dxa"/>
            <w:vMerge/>
          </w:tcPr>
          <w:p w14:paraId="74A1CF56" w14:textId="77777777" w:rsidR="00755908" w:rsidRPr="003A3148" w:rsidRDefault="00755908" w:rsidP="003A3148">
            <w:pPr>
              <w:spacing w:line="360" w:lineRule="auto"/>
              <w:rPr>
                <w:rFonts w:ascii="Times New Roman" w:hAnsi="Times New Roman" w:cs="Times New Roman"/>
              </w:rPr>
            </w:pPr>
          </w:p>
        </w:tc>
        <w:tc>
          <w:tcPr>
            <w:tcW w:w="1870" w:type="dxa"/>
          </w:tcPr>
          <w:p w14:paraId="7E9C0881" w14:textId="6B043A77"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2</w:t>
            </w:r>
          </w:p>
        </w:tc>
        <w:tc>
          <w:tcPr>
            <w:tcW w:w="1870" w:type="dxa"/>
          </w:tcPr>
          <w:p w14:paraId="42FF3D37" w14:textId="1020F0ED"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0.8258</w:t>
            </w:r>
          </w:p>
        </w:tc>
        <w:tc>
          <w:tcPr>
            <w:tcW w:w="1870" w:type="dxa"/>
          </w:tcPr>
          <w:p w14:paraId="54DC46AA" w14:textId="4991AECB"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0.0002</w:t>
            </w:r>
          </w:p>
        </w:tc>
        <w:tc>
          <w:tcPr>
            <w:tcW w:w="1870" w:type="dxa"/>
          </w:tcPr>
          <w:p w14:paraId="48B67FB8" w14:textId="77777777" w:rsidR="008E7133" w:rsidRPr="003A3148" w:rsidRDefault="00755908" w:rsidP="003A3148">
            <w:pPr>
              <w:spacing w:line="360" w:lineRule="auto"/>
              <w:rPr>
                <w:rFonts w:ascii="Times New Roman" w:hAnsi="Times New Roman" w:cs="Times New Roman"/>
              </w:rPr>
            </w:pPr>
            <w:r w:rsidRPr="003A3148">
              <w:rPr>
                <w:rFonts w:ascii="Times New Roman" w:hAnsi="Times New Roman" w:cs="Times New Roman"/>
                <w:b/>
                <w:bCs/>
              </w:rPr>
              <w:t>Not Normal</w:t>
            </w:r>
            <w:r w:rsidRPr="003A3148">
              <w:rPr>
                <w:rFonts w:ascii="Times New Roman" w:hAnsi="Times New Roman" w:cs="Times New Roman"/>
              </w:rPr>
              <w:t xml:space="preserve"> </w:t>
            </w:r>
          </w:p>
          <w:p w14:paraId="058BD147" w14:textId="5451299E"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 xml:space="preserve">(p &lt; 0.05) </w:t>
            </w:r>
          </w:p>
          <w:p w14:paraId="218FBFE0" w14:textId="77777777" w:rsidR="00755908" w:rsidRPr="003A3148" w:rsidRDefault="00755908" w:rsidP="003A3148">
            <w:pPr>
              <w:spacing w:line="360" w:lineRule="auto"/>
              <w:rPr>
                <w:rFonts w:ascii="Times New Roman" w:hAnsi="Times New Roman" w:cs="Times New Roman"/>
              </w:rPr>
            </w:pPr>
          </w:p>
        </w:tc>
      </w:tr>
      <w:tr w:rsidR="00755908" w:rsidRPr="003A3148" w14:paraId="0690BCE1" w14:textId="77777777" w:rsidTr="00755908">
        <w:tc>
          <w:tcPr>
            <w:tcW w:w="1870" w:type="dxa"/>
            <w:vMerge/>
          </w:tcPr>
          <w:p w14:paraId="5774FF84" w14:textId="77777777" w:rsidR="00755908" w:rsidRPr="003A3148" w:rsidRDefault="00755908" w:rsidP="003A3148">
            <w:pPr>
              <w:spacing w:line="360" w:lineRule="auto"/>
              <w:rPr>
                <w:rFonts w:ascii="Times New Roman" w:hAnsi="Times New Roman" w:cs="Times New Roman"/>
              </w:rPr>
            </w:pPr>
          </w:p>
        </w:tc>
        <w:tc>
          <w:tcPr>
            <w:tcW w:w="1870" w:type="dxa"/>
          </w:tcPr>
          <w:p w14:paraId="3E7B56ED" w14:textId="03BDD229"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Replicate 3</w:t>
            </w:r>
          </w:p>
        </w:tc>
        <w:tc>
          <w:tcPr>
            <w:tcW w:w="1870" w:type="dxa"/>
          </w:tcPr>
          <w:p w14:paraId="1CC29220" w14:textId="404B2296"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0.8541</w:t>
            </w:r>
          </w:p>
        </w:tc>
        <w:tc>
          <w:tcPr>
            <w:tcW w:w="1870" w:type="dxa"/>
          </w:tcPr>
          <w:p w14:paraId="6F6C88CC" w14:textId="51F668FF"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0.0007</w:t>
            </w:r>
          </w:p>
        </w:tc>
        <w:tc>
          <w:tcPr>
            <w:tcW w:w="1870" w:type="dxa"/>
          </w:tcPr>
          <w:p w14:paraId="0CFF1D58" w14:textId="77777777" w:rsidR="008E7133" w:rsidRPr="003A3148" w:rsidRDefault="00755908" w:rsidP="003A3148">
            <w:pPr>
              <w:spacing w:line="360" w:lineRule="auto"/>
              <w:rPr>
                <w:rFonts w:ascii="Times New Roman" w:hAnsi="Times New Roman" w:cs="Times New Roman"/>
              </w:rPr>
            </w:pPr>
            <w:r w:rsidRPr="003A3148">
              <w:rPr>
                <w:rFonts w:ascii="Times New Roman" w:hAnsi="Times New Roman" w:cs="Times New Roman"/>
                <w:b/>
                <w:bCs/>
              </w:rPr>
              <w:t>Not Normal</w:t>
            </w:r>
            <w:r w:rsidRPr="003A3148">
              <w:rPr>
                <w:rFonts w:ascii="Times New Roman" w:hAnsi="Times New Roman" w:cs="Times New Roman"/>
              </w:rPr>
              <w:t xml:space="preserve"> </w:t>
            </w:r>
          </w:p>
          <w:p w14:paraId="7B5B53C2" w14:textId="1C4E9036" w:rsidR="00755908" w:rsidRPr="003A3148" w:rsidRDefault="00755908" w:rsidP="003A3148">
            <w:pPr>
              <w:spacing w:line="360" w:lineRule="auto"/>
              <w:rPr>
                <w:rFonts w:ascii="Times New Roman" w:hAnsi="Times New Roman" w:cs="Times New Roman"/>
              </w:rPr>
            </w:pPr>
            <w:r w:rsidRPr="003A3148">
              <w:rPr>
                <w:rFonts w:ascii="Times New Roman" w:hAnsi="Times New Roman" w:cs="Times New Roman"/>
              </w:rPr>
              <w:t xml:space="preserve">(p &lt; 0.05) </w:t>
            </w:r>
          </w:p>
          <w:p w14:paraId="31C8FCA3" w14:textId="77777777" w:rsidR="00755908" w:rsidRPr="003A3148" w:rsidRDefault="00755908" w:rsidP="003A3148">
            <w:pPr>
              <w:spacing w:line="360" w:lineRule="auto"/>
              <w:rPr>
                <w:rFonts w:ascii="Times New Roman" w:hAnsi="Times New Roman" w:cs="Times New Roman"/>
              </w:rPr>
            </w:pPr>
          </w:p>
        </w:tc>
      </w:tr>
    </w:tbl>
    <w:p w14:paraId="1D971882" w14:textId="77777777" w:rsidR="006B7A1D" w:rsidRPr="003A3148" w:rsidRDefault="006B7A1D" w:rsidP="003A3148">
      <w:pPr>
        <w:spacing w:line="360" w:lineRule="auto"/>
        <w:rPr>
          <w:rFonts w:ascii="Times New Roman" w:hAnsi="Times New Roman" w:cs="Times New Roman"/>
        </w:rPr>
      </w:pPr>
    </w:p>
    <w:p w14:paraId="487AEED0" w14:textId="4ABFA56A" w:rsidR="00401F3D" w:rsidRPr="00401F3D" w:rsidRDefault="00401F3D" w:rsidP="00401F3D">
      <w:pPr>
        <w:spacing w:line="360" w:lineRule="auto"/>
        <w:rPr>
          <w:rFonts w:ascii="Times New Roman" w:hAnsi="Times New Roman" w:cs="Times New Roman"/>
        </w:rPr>
      </w:pPr>
      <w:r w:rsidRPr="00401F3D">
        <w:rPr>
          <w:rFonts w:ascii="Times New Roman" w:hAnsi="Times New Roman" w:cs="Times New Roman"/>
        </w:rPr>
        <w:t xml:space="preserve">The results in </w:t>
      </w:r>
      <w:r w:rsidRPr="00401F3D">
        <w:rPr>
          <w:rFonts w:ascii="Times New Roman" w:hAnsi="Times New Roman" w:cs="Times New Roman"/>
          <w:b/>
          <w:bCs/>
        </w:rPr>
        <w:t xml:space="preserve">Table </w:t>
      </w:r>
      <w:r w:rsidR="00E66A79">
        <w:rPr>
          <w:rFonts w:ascii="Times New Roman" w:hAnsi="Times New Roman" w:cs="Times New Roman"/>
          <w:b/>
          <w:bCs/>
        </w:rPr>
        <w:t>3</w:t>
      </w:r>
      <w:r w:rsidRPr="00401F3D">
        <w:rPr>
          <w:rFonts w:ascii="Times New Roman" w:hAnsi="Times New Roman" w:cs="Times New Roman"/>
        </w:rPr>
        <w:t xml:space="preserve"> indicate that while final weights were consistently normal across all replicates, weight gain data significantly deviated from normality (p &lt; 0.05).</w:t>
      </w:r>
    </w:p>
    <w:p w14:paraId="78A7312E" w14:textId="626870FE" w:rsidR="00401F3D" w:rsidRPr="00401F3D" w:rsidRDefault="001A7101" w:rsidP="00401F3D">
      <w:pPr>
        <w:spacing w:line="360" w:lineRule="auto"/>
        <w:rPr>
          <w:rFonts w:ascii="Times New Roman" w:hAnsi="Times New Roman" w:cs="Times New Roman"/>
          <w:b/>
          <w:bCs/>
        </w:rPr>
      </w:pPr>
      <w:r>
        <w:rPr>
          <w:rFonts w:ascii="Times New Roman" w:hAnsi="Times New Roman" w:cs="Times New Roman"/>
          <w:b/>
          <w:bCs/>
        </w:rPr>
        <w:t xml:space="preserve">3.2.2 </w:t>
      </w:r>
      <w:r w:rsidR="00401F3D" w:rsidRPr="00401F3D">
        <w:rPr>
          <w:rFonts w:ascii="Times New Roman" w:hAnsi="Times New Roman" w:cs="Times New Roman"/>
          <w:b/>
          <w:bCs/>
        </w:rPr>
        <w:t>Biomass Performance and Statistical Comparison</w:t>
      </w:r>
    </w:p>
    <w:p w14:paraId="6FFD36EB" w14:textId="18B157A3" w:rsidR="006B7A1D" w:rsidRPr="003A3148" w:rsidRDefault="00401F3D" w:rsidP="003A3148">
      <w:pPr>
        <w:spacing w:line="360" w:lineRule="auto"/>
        <w:rPr>
          <w:rFonts w:ascii="Times New Roman" w:hAnsi="Times New Roman" w:cs="Times New Roman"/>
        </w:rPr>
      </w:pPr>
      <w:r w:rsidRPr="00401F3D">
        <w:rPr>
          <w:rFonts w:ascii="Times New Roman" w:hAnsi="Times New Roman" w:cs="Times New Roman"/>
        </w:rPr>
        <w:t>The biomass production was assessed by calculating the mean weight gain across three replicates.</w:t>
      </w:r>
    </w:p>
    <w:p w14:paraId="15AFFA4A" w14:textId="437F3C74" w:rsidR="006B7A1D" w:rsidRPr="003A3148" w:rsidRDefault="006B7A1D" w:rsidP="003A3148">
      <w:pPr>
        <w:spacing w:line="360" w:lineRule="auto"/>
        <w:rPr>
          <w:rFonts w:ascii="Times New Roman" w:hAnsi="Times New Roman" w:cs="Times New Roman"/>
        </w:rPr>
      </w:pPr>
      <w:r w:rsidRPr="003A3148">
        <w:rPr>
          <w:rFonts w:ascii="Times New Roman" w:hAnsi="Times New Roman" w:cs="Times New Roman"/>
        </w:rPr>
        <w:t>Descriptive Statistics Table</w:t>
      </w:r>
    </w:p>
    <w:tbl>
      <w:tblPr>
        <w:tblW w:w="8020" w:type="dxa"/>
        <w:tblLook w:val="04A0" w:firstRow="1" w:lastRow="0" w:firstColumn="1" w:lastColumn="0" w:noHBand="0" w:noVBand="1"/>
      </w:tblPr>
      <w:tblGrid>
        <w:gridCol w:w="1680"/>
        <w:gridCol w:w="1660"/>
        <w:gridCol w:w="1600"/>
        <w:gridCol w:w="1400"/>
        <w:gridCol w:w="1680"/>
      </w:tblGrid>
      <w:tr w:rsidR="006B7A1D" w:rsidRPr="003A3148" w14:paraId="0AFBB32C" w14:textId="77777777" w:rsidTr="006B7A1D">
        <w:trPr>
          <w:trHeight w:val="1116"/>
        </w:trPr>
        <w:tc>
          <w:tcPr>
            <w:tcW w:w="1680" w:type="dxa"/>
            <w:tcBorders>
              <w:top w:val="single" w:sz="8" w:space="0" w:color="000000"/>
              <w:left w:val="single" w:sz="8" w:space="0" w:color="000000"/>
              <w:bottom w:val="single" w:sz="8" w:space="0" w:color="000000"/>
              <w:right w:val="single" w:sz="8" w:space="0" w:color="000000"/>
            </w:tcBorders>
            <w:vAlign w:val="center"/>
            <w:hideMark/>
          </w:tcPr>
          <w:p w14:paraId="41941D99"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Replicate</w:t>
            </w:r>
          </w:p>
        </w:tc>
        <w:tc>
          <w:tcPr>
            <w:tcW w:w="1660" w:type="dxa"/>
            <w:tcBorders>
              <w:top w:val="single" w:sz="8" w:space="0" w:color="000000"/>
              <w:left w:val="nil"/>
              <w:bottom w:val="single" w:sz="8" w:space="0" w:color="000000"/>
              <w:right w:val="single" w:sz="8" w:space="0" w:color="000000"/>
            </w:tcBorders>
            <w:vAlign w:val="center"/>
            <w:hideMark/>
          </w:tcPr>
          <w:p w14:paraId="6A40403C"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n</w:t>
            </w:r>
          </w:p>
        </w:tc>
        <w:tc>
          <w:tcPr>
            <w:tcW w:w="1600" w:type="dxa"/>
            <w:tcBorders>
              <w:top w:val="single" w:sz="8" w:space="0" w:color="000000"/>
              <w:left w:val="nil"/>
              <w:bottom w:val="single" w:sz="8" w:space="0" w:color="000000"/>
              <w:right w:val="single" w:sz="8" w:space="0" w:color="000000"/>
            </w:tcBorders>
            <w:vAlign w:val="center"/>
            <w:hideMark/>
          </w:tcPr>
          <w:p w14:paraId="3DED2CD7"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Mean Weight Gain (g)</w:t>
            </w:r>
          </w:p>
        </w:tc>
        <w:tc>
          <w:tcPr>
            <w:tcW w:w="1400" w:type="dxa"/>
            <w:tcBorders>
              <w:top w:val="single" w:sz="8" w:space="0" w:color="000000"/>
              <w:left w:val="nil"/>
              <w:bottom w:val="single" w:sz="8" w:space="0" w:color="000000"/>
              <w:right w:val="single" w:sz="8" w:space="0" w:color="000000"/>
            </w:tcBorders>
            <w:vAlign w:val="center"/>
            <w:hideMark/>
          </w:tcPr>
          <w:p w14:paraId="4EDE1549"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SD</w:t>
            </w:r>
          </w:p>
        </w:tc>
        <w:tc>
          <w:tcPr>
            <w:tcW w:w="1680" w:type="dxa"/>
            <w:tcBorders>
              <w:top w:val="single" w:sz="8" w:space="0" w:color="000000"/>
              <w:left w:val="nil"/>
              <w:bottom w:val="single" w:sz="8" w:space="0" w:color="000000"/>
              <w:right w:val="single" w:sz="8" w:space="0" w:color="000000"/>
            </w:tcBorders>
            <w:vAlign w:val="center"/>
            <w:hideMark/>
          </w:tcPr>
          <w:p w14:paraId="38E381EA" w14:textId="77777777" w:rsidR="006B7A1D" w:rsidRPr="003A3148" w:rsidRDefault="006B7A1D" w:rsidP="003A3148">
            <w:pPr>
              <w:spacing w:after="0" w:line="360" w:lineRule="auto"/>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SE</w:t>
            </w:r>
          </w:p>
        </w:tc>
      </w:tr>
      <w:tr w:rsidR="006B7A1D" w:rsidRPr="003A3148" w14:paraId="61740215" w14:textId="77777777" w:rsidTr="006B7A1D">
        <w:trPr>
          <w:trHeight w:val="564"/>
        </w:trPr>
        <w:tc>
          <w:tcPr>
            <w:tcW w:w="1680" w:type="dxa"/>
            <w:tcBorders>
              <w:top w:val="nil"/>
              <w:left w:val="single" w:sz="8" w:space="0" w:color="000000"/>
              <w:bottom w:val="single" w:sz="8" w:space="0" w:color="000000"/>
              <w:right w:val="single" w:sz="8" w:space="0" w:color="000000"/>
            </w:tcBorders>
            <w:vAlign w:val="center"/>
            <w:hideMark/>
          </w:tcPr>
          <w:p>
            <w:r>
              <w:t xml:space="preserve">Replicate 1</w:t>
            </w:r>
          </w:p>
        </w:tc>
        <w:tc>
          <w:tcPr>
            <w:tcW w:w="1660" w:type="dxa"/>
            <w:tcBorders>
              <w:top w:val="nil"/>
              <w:left w:val="nil"/>
              <w:bottom w:val="single" w:sz="8" w:space="0" w:color="000000"/>
              <w:right w:val="single" w:sz="8" w:space="0" w:color="000000"/>
            </w:tcBorders>
            <w:vAlign w:val="center"/>
            <w:hideMark/>
          </w:tcPr>
          <w:p>
            <w:r>
              <w:t xml:space="preserve">30</w:t>
            </w:r>
          </w:p>
        </w:tc>
        <w:tc>
          <w:tcPr>
            <w:tcW w:w="1600" w:type="dxa"/>
            <w:tcBorders>
              <w:top w:val="nil"/>
              <w:left w:val="nil"/>
              <w:bottom w:val="single" w:sz="8" w:space="0" w:color="000000"/>
              <w:right w:val="single" w:sz="8" w:space="0" w:color="000000"/>
            </w:tcBorders>
            <w:vAlign w:val="center"/>
            <w:hideMark/>
          </w:tcPr>
          <w:p>
            <w:r>
              <w:t xml:space="preserve">5.400</w:t>
            </w:r>
          </w:p>
        </w:tc>
        <w:tc>
          <w:tcPr>
            <w:tcW w:w="1400" w:type="dxa"/>
            <w:tcBorders>
              <w:top w:val="nil"/>
              <w:left w:val="nil"/>
              <w:bottom w:val="single" w:sz="8" w:space="0" w:color="000000"/>
              <w:right w:val="single" w:sz="8" w:space="0" w:color="000000"/>
            </w:tcBorders>
            <w:vAlign w:val="center"/>
            <w:hideMark/>
          </w:tcPr>
          <w:p>
            <w:r>
              <w:t xml:space="preserve">6.173</w:t>
            </w:r>
          </w:p>
        </w:tc>
        <w:tc>
          <w:tcPr>
            <w:tcW w:w="1680" w:type="dxa"/>
            <w:tcBorders>
              <w:top w:val="nil"/>
              <w:left w:val="nil"/>
              <w:bottom w:val="single" w:sz="8" w:space="0" w:color="000000"/>
              <w:right w:val="single" w:sz="8" w:space="0" w:color="000000"/>
            </w:tcBorders>
            <w:vAlign w:val="center"/>
            <w:hideMark/>
          </w:tcPr>
          <w:p>
            <w:r>
              <w:t xml:space="preserve">1.127</w:t>
            </w:r>
          </w:p>
        </w:tc>
      </w:tr>
      <w:tr w:rsidR="006B7A1D" w:rsidRPr="003A3148" w14:paraId="6F5233E0" w14:textId="77777777" w:rsidTr="006B7A1D">
        <w:trPr>
          <w:trHeight w:val="312"/>
        </w:trPr>
        <w:tc>
          <w:tcPr>
            <w:tcW w:w="1680" w:type="dxa"/>
            <w:tcBorders>
              <w:top w:val="nil"/>
              <w:left w:val="single" w:sz="8" w:space="0" w:color="000000"/>
              <w:bottom w:val="single" w:sz="8" w:space="0" w:color="000000"/>
              <w:right w:val="single" w:sz="8" w:space="0" w:color="000000"/>
            </w:tcBorders>
            <w:vAlign w:val="center"/>
            <w:hideMark/>
          </w:tcPr>
          <w:p>
            <w:r>
              <w:t xml:space="preserve">Replicate 2</w:t>
            </w:r>
          </w:p>
        </w:tc>
        <w:tc>
          <w:tcPr>
            <w:tcW w:w="1660" w:type="dxa"/>
            <w:tcBorders>
              <w:top w:val="nil"/>
              <w:left w:val="nil"/>
              <w:bottom w:val="single" w:sz="8" w:space="0" w:color="000000"/>
              <w:right w:val="single" w:sz="8" w:space="0" w:color="000000"/>
            </w:tcBorders>
            <w:vAlign w:val="center"/>
            <w:hideMark/>
          </w:tcPr>
          <w:p>
            <w:r>
              <w:t xml:space="preserve">30</w:t>
            </w:r>
          </w:p>
        </w:tc>
        <w:tc>
          <w:tcPr>
            <w:tcW w:w="1600" w:type="dxa"/>
            <w:tcBorders>
              <w:top w:val="nil"/>
              <w:left w:val="nil"/>
              <w:bottom w:val="single" w:sz="8" w:space="0" w:color="000000"/>
              <w:right w:val="single" w:sz="8" w:space="0" w:color="000000"/>
            </w:tcBorders>
            <w:vAlign w:val="center"/>
            <w:hideMark/>
          </w:tcPr>
          <w:p>
            <w:r>
              <w:t xml:space="preserve">5.533</w:t>
            </w:r>
          </w:p>
        </w:tc>
        <w:tc>
          <w:tcPr>
            <w:tcW w:w="1400" w:type="dxa"/>
            <w:tcBorders>
              <w:top w:val="nil"/>
              <w:left w:val="nil"/>
              <w:bottom w:val="single" w:sz="8" w:space="0" w:color="000000"/>
              <w:right w:val="single" w:sz="8" w:space="0" w:color="000000"/>
            </w:tcBorders>
            <w:vAlign w:val="center"/>
            <w:hideMark/>
          </w:tcPr>
          <w:p>
            <w:r>
              <w:t xml:space="preserve">5.917</w:t>
            </w:r>
          </w:p>
        </w:tc>
        <w:tc>
          <w:tcPr>
            <w:tcW w:w="1680" w:type="dxa"/>
            <w:tcBorders>
              <w:top w:val="nil"/>
              <w:left w:val="nil"/>
              <w:bottom w:val="single" w:sz="8" w:space="0" w:color="000000"/>
              <w:right w:val="single" w:sz="8" w:space="0" w:color="000000"/>
            </w:tcBorders>
            <w:vAlign w:val="center"/>
            <w:hideMark/>
          </w:tcPr>
          <w:p>
            <w:r>
              <w:t xml:space="preserve">1.080</w:t>
            </w:r>
          </w:p>
        </w:tc>
      </w:tr>
      <w:tr w:rsidR="006B7A1D" w:rsidRPr="003A3148" w14:paraId="6740632C" w14:textId="77777777" w:rsidTr="006B7A1D">
        <w:trPr>
          <w:trHeight w:val="540"/>
        </w:trPr>
        <w:tc>
          <w:tcPr>
            <w:tcW w:w="1680" w:type="dxa"/>
            <w:tcBorders>
              <w:top w:val="nil"/>
              <w:left w:val="single" w:sz="8" w:space="0" w:color="000000"/>
              <w:bottom w:val="single" w:sz="8" w:space="0" w:color="000000"/>
              <w:right w:val="single" w:sz="8" w:space="0" w:color="000000"/>
            </w:tcBorders>
            <w:vAlign w:val="center"/>
            <w:hideMark/>
          </w:tcPr>
          <w:p>
            <w:r>
              <w:t xml:space="preserve">Replicate 3</w:t>
            </w:r>
          </w:p>
        </w:tc>
        <w:tc>
          <w:tcPr>
            <w:tcW w:w="1660" w:type="dxa"/>
            <w:tcBorders>
              <w:top w:val="nil"/>
              <w:left w:val="nil"/>
              <w:bottom w:val="single" w:sz="8" w:space="0" w:color="000000"/>
              <w:right w:val="single" w:sz="8" w:space="0" w:color="000000"/>
            </w:tcBorders>
            <w:vAlign w:val="center"/>
            <w:hideMark/>
          </w:tcPr>
          <w:p>
            <w:r>
              <w:t xml:space="preserve">30</w:t>
            </w:r>
          </w:p>
        </w:tc>
        <w:tc>
          <w:tcPr>
            <w:tcW w:w="1600" w:type="dxa"/>
            <w:tcBorders>
              <w:top w:val="nil"/>
              <w:left w:val="nil"/>
              <w:bottom w:val="single" w:sz="8" w:space="0" w:color="000000"/>
              <w:right w:val="single" w:sz="8" w:space="0" w:color="000000"/>
            </w:tcBorders>
            <w:vAlign w:val="center"/>
            <w:hideMark/>
          </w:tcPr>
          <w:p>
            <w:r>
              <w:t xml:space="preserve">3.500</w:t>
            </w:r>
          </w:p>
        </w:tc>
        <w:tc>
          <w:tcPr>
            <w:tcW w:w="1400" w:type="dxa"/>
            <w:tcBorders>
              <w:top w:val="nil"/>
              <w:left w:val="nil"/>
              <w:bottom w:val="single" w:sz="8" w:space="0" w:color="000000"/>
              <w:right w:val="single" w:sz="8" w:space="0" w:color="000000"/>
            </w:tcBorders>
            <w:vAlign w:val="center"/>
            <w:hideMark/>
          </w:tcPr>
          <w:p>
            <w:r>
              <w:t xml:space="preserve">10.744</w:t>
            </w:r>
          </w:p>
        </w:tc>
        <w:tc>
          <w:tcPr>
            <w:tcW w:w="1680" w:type="dxa"/>
            <w:tcBorders>
              <w:top w:val="nil"/>
              <w:left w:val="nil"/>
              <w:bottom w:val="single" w:sz="8" w:space="0" w:color="000000"/>
              <w:right w:val="single" w:sz="8" w:space="0" w:color="000000"/>
            </w:tcBorders>
            <w:vAlign w:val="center"/>
            <w:hideMark/>
          </w:tcPr>
          <w:p>
            <w:r>
              <w:t xml:space="preserve">1.962</w:t>
            </w:r>
          </w:p>
        </w:tc>
      </w:tr>
    </w:tbl>
    <w:p w14:paraId="4A5C12B9" w14:textId="77777777" w:rsidR="006B7A1D" w:rsidRDefault="006B7A1D" w:rsidP="003A3148">
      <w:pPr>
        <w:spacing w:line="360" w:lineRule="auto"/>
        <w:rPr>
          <w:rFonts w:ascii="Times New Roman" w:hAnsi="Times New Roman" w:cs="Times New Roman"/>
        </w:rPr>
      </w:pPr>
    </w:p>
    <w:p w14:paraId="547BF0D4" w14:textId="48EEF100" w:rsidR="006B7A1D" w:rsidRDefault="00401F3D" w:rsidP="003A3148">
      <w:pPr>
        <w:spacing w:line="360" w:lineRule="auto"/>
        <w:rPr>
          <w:rFonts w:ascii="Times New Roman" w:hAnsi="Times New Roman" w:cs="Times New Roman"/>
        </w:rPr>
      </w:pPr>
      <w:r>
        <w:t xml:space="preserve">Replicate 2 showed the highest mean weight gain (5.53 g), followed closely by Replicate 1, while Replicate 3 was lower. The one-way ANOVA found no statistically significant difference in weight gain among replicates (F = 0.6175, p = 0.5416).</w:t>
      </w:r>
    </w:p>
    <w:p w14:paraId="34987D95" w14:textId="77777777" w:rsidR="00401F3D" w:rsidRDefault="00401F3D" w:rsidP="003A3148">
      <w:pPr>
        <w:spacing w:line="360" w:lineRule="auto"/>
        <w:rPr>
          <w:rFonts w:ascii="Times New Roman" w:hAnsi="Times New Roman" w:cs="Times New Roman"/>
        </w:rPr>
      </w:pPr>
    </w:p>
    <w:p w14:paraId="50799702" w14:textId="77777777" w:rsidR="00401F3D" w:rsidRDefault="00401F3D" w:rsidP="003A3148">
      <w:pPr>
        <w:spacing w:line="360" w:lineRule="auto"/>
        <w:rPr>
          <w:rFonts w:ascii="Times New Roman" w:hAnsi="Times New Roman" w:cs="Times New Roman"/>
        </w:rPr>
      </w:pPr>
    </w:p>
    <w:p w14:paraId="5DB058FE" w14:textId="77777777" w:rsidR="00401F3D" w:rsidRPr="003A3148" w:rsidRDefault="00401F3D" w:rsidP="003A3148">
      <w:pPr>
        <w:spacing w:line="360" w:lineRule="auto"/>
        <w:rPr>
          <w:rFonts w:ascii="Times New Roman" w:hAnsi="Times New Roman" w:cs="Times New Roman"/>
        </w:rPr>
      </w:pPr>
    </w:p>
    <w:p w14:paraId="01CBFCEA" w14:textId="4F1063C4" w:rsidR="006B7A1D" w:rsidRPr="003A3148" w:rsidRDefault="006B7A1D" w:rsidP="003A3148">
      <w:pPr>
        <w:spacing w:line="360" w:lineRule="auto"/>
        <w:rPr>
          <w:rFonts w:ascii="Times New Roman" w:hAnsi="Times New Roman" w:cs="Times New Roman"/>
        </w:rPr>
      </w:pPr>
      <w:r w:rsidRPr="003A3148">
        <w:rPr>
          <w:rFonts w:ascii="Times New Roman" w:hAnsi="Times New Roman" w:cs="Times New Roman"/>
        </w:rPr>
        <w:t>ANOVA Summary Table</w:t>
      </w:r>
    </w:p>
    <w:tbl>
      <w:tblPr>
        <w:tblW w:w="10400" w:type="dxa"/>
        <w:tblLook w:val="04A0" w:firstRow="1" w:lastRow="0" w:firstColumn="1" w:lastColumn="0" w:noHBand="0" w:noVBand="1"/>
      </w:tblPr>
      <w:tblGrid>
        <w:gridCol w:w="2300"/>
        <w:gridCol w:w="1460"/>
        <w:gridCol w:w="1420"/>
        <w:gridCol w:w="1860"/>
        <w:gridCol w:w="1660"/>
        <w:gridCol w:w="1700"/>
      </w:tblGrid>
      <w:tr w:rsidR="006B7A1D" w:rsidRPr="003A3148" w14:paraId="2658F164" w14:textId="77777777" w:rsidTr="006B7A1D">
        <w:trPr>
          <w:trHeight w:val="840"/>
        </w:trPr>
        <w:tc>
          <w:tcPr>
            <w:tcW w:w="2300" w:type="dxa"/>
            <w:tcBorders>
              <w:top w:val="single" w:sz="8" w:space="0" w:color="000000"/>
              <w:left w:val="single" w:sz="8" w:space="0" w:color="000000"/>
              <w:bottom w:val="single" w:sz="8" w:space="0" w:color="000000"/>
              <w:right w:val="single" w:sz="8" w:space="0" w:color="000000"/>
            </w:tcBorders>
            <w:vAlign w:val="center"/>
            <w:hideMark/>
          </w:tcPr>
          <w:p w14:paraId="5129E2A9"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Source of Variation</w:t>
            </w:r>
          </w:p>
        </w:tc>
        <w:tc>
          <w:tcPr>
            <w:tcW w:w="1460" w:type="dxa"/>
            <w:tcBorders>
              <w:top w:val="single" w:sz="8" w:space="0" w:color="000000"/>
              <w:left w:val="nil"/>
              <w:bottom w:val="single" w:sz="8" w:space="0" w:color="000000"/>
              <w:right w:val="single" w:sz="8" w:space="0" w:color="000000"/>
            </w:tcBorders>
            <w:vAlign w:val="center"/>
            <w:hideMark/>
          </w:tcPr>
          <w:p w14:paraId="4EE950F9"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proofErr w:type="spellStart"/>
            <w:r w:rsidRPr="003A3148">
              <w:rPr>
                <w:rFonts w:ascii="Times New Roman" w:eastAsia="Times New Roman" w:hAnsi="Times New Roman" w:cs="Times New Roman"/>
                <w:b/>
                <w:bCs/>
                <w:color w:val="1F1F1F"/>
                <w:kern w:val="0"/>
                <w14:ligatures w14:val="none"/>
              </w:rPr>
              <w:t>Df</w:t>
            </w:r>
            <w:proofErr w:type="spellEnd"/>
          </w:p>
        </w:tc>
        <w:tc>
          <w:tcPr>
            <w:tcW w:w="1420" w:type="dxa"/>
            <w:tcBorders>
              <w:top w:val="single" w:sz="8" w:space="0" w:color="000000"/>
              <w:left w:val="nil"/>
              <w:bottom w:val="single" w:sz="8" w:space="0" w:color="000000"/>
              <w:right w:val="single" w:sz="8" w:space="0" w:color="000000"/>
            </w:tcBorders>
            <w:vAlign w:val="center"/>
            <w:hideMark/>
          </w:tcPr>
          <w:p w14:paraId="67D449A7"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Sum of Squares</w:t>
            </w:r>
          </w:p>
        </w:tc>
        <w:tc>
          <w:tcPr>
            <w:tcW w:w="1860" w:type="dxa"/>
            <w:tcBorders>
              <w:top w:val="single" w:sz="8" w:space="0" w:color="000000"/>
              <w:left w:val="nil"/>
              <w:bottom w:val="single" w:sz="8" w:space="0" w:color="000000"/>
              <w:right w:val="single" w:sz="8" w:space="0" w:color="000000"/>
            </w:tcBorders>
            <w:vAlign w:val="center"/>
            <w:hideMark/>
          </w:tcPr>
          <w:p w14:paraId="561A8CC5"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Mean Square</w:t>
            </w:r>
          </w:p>
        </w:tc>
        <w:tc>
          <w:tcPr>
            <w:tcW w:w="1660" w:type="dxa"/>
            <w:tcBorders>
              <w:top w:val="single" w:sz="8" w:space="0" w:color="000000"/>
              <w:left w:val="nil"/>
              <w:bottom w:val="single" w:sz="8" w:space="0" w:color="000000"/>
              <w:right w:val="single" w:sz="8" w:space="0" w:color="000000"/>
            </w:tcBorders>
            <w:vAlign w:val="center"/>
            <w:hideMark/>
          </w:tcPr>
          <w:p w14:paraId="53973A21" w14:textId="77777777" w:rsidR="006B7A1D" w:rsidRPr="003A3148" w:rsidRDefault="006B7A1D" w:rsidP="003A3148">
            <w:pPr>
              <w:spacing w:after="0" w:line="360" w:lineRule="auto"/>
              <w:ind w:firstLineChars="100" w:firstLine="241"/>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F-value</w:t>
            </w:r>
          </w:p>
        </w:tc>
        <w:tc>
          <w:tcPr>
            <w:tcW w:w="1700" w:type="dxa"/>
            <w:tcBorders>
              <w:top w:val="single" w:sz="8" w:space="0" w:color="000000"/>
              <w:left w:val="nil"/>
              <w:bottom w:val="single" w:sz="8" w:space="0" w:color="000000"/>
              <w:right w:val="single" w:sz="8" w:space="0" w:color="000000"/>
            </w:tcBorders>
            <w:vAlign w:val="center"/>
            <w:hideMark/>
          </w:tcPr>
          <w:p w14:paraId="6B9DF8A6" w14:textId="77777777" w:rsidR="006B7A1D" w:rsidRPr="003A3148" w:rsidRDefault="006B7A1D" w:rsidP="003A3148">
            <w:pPr>
              <w:spacing w:after="0" w:line="360" w:lineRule="auto"/>
              <w:rPr>
                <w:rFonts w:ascii="Times New Roman" w:eastAsia="Times New Roman" w:hAnsi="Times New Roman" w:cs="Times New Roman"/>
                <w:b/>
                <w:bCs/>
                <w:color w:val="1F1F1F"/>
                <w:kern w:val="0"/>
                <w14:ligatures w14:val="none"/>
              </w:rPr>
            </w:pPr>
            <w:r w:rsidRPr="003A3148">
              <w:rPr>
                <w:rFonts w:ascii="Times New Roman" w:eastAsia="Times New Roman" w:hAnsi="Times New Roman" w:cs="Times New Roman"/>
                <w:b/>
                <w:bCs/>
                <w:color w:val="1F1F1F"/>
                <w:kern w:val="0"/>
                <w14:ligatures w14:val="none"/>
              </w:rPr>
              <w:t>p-value</w:t>
            </w:r>
          </w:p>
        </w:tc>
      </w:tr>
      <w:tr w:rsidR="006B7A1D" w:rsidRPr="003A3148" w14:paraId="2C1B8260" w14:textId="77777777" w:rsidTr="006B7A1D">
        <w:trPr>
          <w:trHeight w:val="564"/>
        </w:trPr>
        <w:tc>
          <w:tcPr>
            <w:tcW w:w="2300" w:type="dxa"/>
            <w:tcBorders>
              <w:top w:val="nil"/>
              <w:left w:val="single" w:sz="8" w:space="0" w:color="000000"/>
              <w:bottom w:val="single" w:sz="8" w:space="0" w:color="000000"/>
              <w:right w:val="single" w:sz="8" w:space="0" w:color="000000"/>
            </w:tcBorders>
            <w:vAlign w:val="center"/>
            <w:hideMark/>
          </w:tcPr>
          <w:p>
            <w:r>
              <w:t xml:space="preserve">Between Groups</w:t>
            </w:r>
          </w:p>
        </w:tc>
        <w:tc>
          <w:tcPr>
            <w:tcW w:w="1460" w:type="dxa"/>
            <w:tcBorders>
              <w:top w:val="nil"/>
              <w:left w:val="nil"/>
              <w:bottom w:val="single" w:sz="8" w:space="0" w:color="000000"/>
              <w:right w:val="single" w:sz="8" w:space="0" w:color="000000"/>
            </w:tcBorders>
            <w:vAlign w:val="center"/>
            <w:hideMark/>
          </w:tcPr>
          <w:p>
            <w:r>
              <w:t xml:space="preserve">2</w:t>
            </w:r>
          </w:p>
        </w:tc>
        <w:tc>
          <w:tcPr>
            <w:tcW w:w="1420" w:type="dxa"/>
            <w:tcBorders>
              <w:top w:val="nil"/>
              <w:left w:val="nil"/>
              <w:bottom w:val="single" w:sz="8" w:space="0" w:color="000000"/>
              <w:right w:val="single" w:sz="8" w:space="0" w:color="000000"/>
            </w:tcBorders>
            <w:vAlign w:val="center"/>
            <w:hideMark/>
          </w:tcPr>
          <w:p>
            <w:r>
              <w:t xml:space="preserve">77.622</w:t>
            </w:r>
          </w:p>
        </w:tc>
        <w:tc>
          <w:tcPr>
            <w:tcW w:w="1860" w:type="dxa"/>
            <w:tcBorders>
              <w:top w:val="nil"/>
              <w:left w:val="nil"/>
              <w:bottom w:val="single" w:sz="8" w:space="0" w:color="000000"/>
              <w:right w:val="single" w:sz="8" w:space="0" w:color="000000"/>
            </w:tcBorders>
            <w:vAlign w:val="center"/>
            <w:hideMark/>
          </w:tcPr>
          <w:p>
            <w:r>
              <w:t xml:space="preserve">38.811</w:t>
            </w:r>
          </w:p>
        </w:tc>
        <w:tc>
          <w:tcPr>
            <w:tcW w:w="1660" w:type="dxa"/>
            <w:tcBorders>
              <w:top w:val="nil"/>
              <w:left w:val="nil"/>
              <w:bottom w:val="single" w:sz="8" w:space="0" w:color="000000"/>
              <w:right w:val="single" w:sz="8" w:space="0" w:color="000000"/>
            </w:tcBorders>
            <w:vAlign w:val="center"/>
            <w:hideMark/>
          </w:tcPr>
          <w:p>
            <w:r>
              <w:t xml:space="preserve">0.6175</w:t>
            </w:r>
          </w:p>
        </w:tc>
        <w:tc>
          <w:tcPr>
            <w:tcW w:w="1700" w:type="dxa"/>
            <w:tcBorders>
              <w:top w:val="nil"/>
              <w:left w:val="nil"/>
              <w:bottom w:val="single" w:sz="8" w:space="0" w:color="000000"/>
              <w:right w:val="single" w:sz="8" w:space="0" w:color="000000"/>
            </w:tcBorders>
            <w:vAlign w:val="center"/>
            <w:hideMark/>
          </w:tcPr>
          <w:p>
            <w:r>
              <w:t xml:space="preserve">0.5416</w:t>
            </w:r>
          </w:p>
        </w:tc>
      </w:tr>
      <w:tr w:rsidR="006B7A1D" w:rsidRPr="003A3148" w14:paraId="35DD1BF4" w14:textId="77777777" w:rsidTr="006B7A1D">
        <w:trPr>
          <w:trHeight w:val="564"/>
        </w:trPr>
        <w:tc>
          <w:tcPr>
            <w:tcW w:w="2300" w:type="dxa"/>
            <w:tcBorders>
              <w:top w:val="nil"/>
              <w:left w:val="single" w:sz="8" w:space="0" w:color="000000"/>
              <w:bottom w:val="single" w:sz="8" w:space="0" w:color="000000"/>
              <w:right w:val="single" w:sz="8" w:space="0" w:color="000000"/>
            </w:tcBorders>
            <w:vAlign w:val="center"/>
            <w:hideMark/>
          </w:tcPr>
          <w:p>
            <w:r>
              <w:t xml:space="preserve">Within Groups</w:t>
            </w:r>
          </w:p>
        </w:tc>
        <w:tc>
          <w:tcPr>
            <w:tcW w:w="1460" w:type="dxa"/>
            <w:tcBorders>
              <w:top w:val="nil"/>
              <w:left w:val="nil"/>
              <w:bottom w:val="single" w:sz="8" w:space="0" w:color="000000"/>
              <w:right w:val="single" w:sz="8" w:space="0" w:color="000000"/>
            </w:tcBorders>
            <w:vAlign w:val="center"/>
            <w:hideMark/>
          </w:tcPr>
          <w:p>
            <w:r>
              <w:t xml:space="preserve">87</w:t>
            </w:r>
          </w:p>
        </w:tc>
        <w:tc>
          <w:tcPr>
            <w:tcW w:w="1420" w:type="dxa"/>
            <w:tcBorders>
              <w:top w:val="nil"/>
              <w:left w:val="nil"/>
              <w:bottom w:val="single" w:sz="8" w:space="0" w:color="000000"/>
              <w:right w:val="single" w:sz="8" w:space="0" w:color="000000"/>
            </w:tcBorders>
            <w:vAlign w:val="center"/>
            <w:hideMark/>
          </w:tcPr>
          <w:p>
            <w:r>
              <w:t xml:space="preserve">5468.167</w:t>
            </w:r>
          </w:p>
        </w:tc>
        <w:tc>
          <w:tcPr>
            <w:tcW w:w="1860" w:type="dxa"/>
            <w:tcBorders>
              <w:top w:val="nil"/>
              <w:left w:val="nil"/>
              <w:bottom w:val="single" w:sz="8" w:space="0" w:color="000000"/>
              <w:right w:val="single" w:sz="8" w:space="0" w:color="000000"/>
            </w:tcBorders>
            <w:vAlign w:val="center"/>
            <w:hideMark/>
          </w:tcPr>
          <w:p>
            <w:r>
              <w:t xml:space="preserve">62.852</w:t>
            </w:r>
          </w:p>
        </w:tc>
        <w:tc>
          <w:tcPr>
            <w:tcW w:w="1660" w:type="dxa"/>
            <w:tcBorders>
              <w:top w:val="nil"/>
              <w:left w:val="nil"/>
              <w:bottom w:val="single" w:sz="8" w:space="0" w:color="000000"/>
              <w:right w:val="single" w:sz="8" w:space="0" w:color="000000"/>
            </w:tcBorders>
            <w:vAlign w:val="center"/>
            <w:hideMark/>
          </w:tcPr>
          <w:p>
            <w:r>
              <w:t xml:space="preserve"/>
            </w:r>
          </w:p>
        </w:tc>
        <w:tc>
          <w:tcPr>
            <w:tcW w:w="1700" w:type="dxa"/>
            <w:tcBorders>
              <w:top w:val="nil"/>
              <w:left w:val="nil"/>
              <w:bottom w:val="single" w:sz="8" w:space="0" w:color="000000"/>
              <w:right w:val="single" w:sz="8" w:space="0" w:color="000000"/>
            </w:tcBorders>
            <w:vAlign w:val="center"/>
            <w:hideMark/>
          </w:tcPr>
          <w:p>
            <w:r>
              <w:t xml:space="preserve"/>
            </w:r>
          </w:p>
        </w:tc>
      </w:tr>
      <w:tr w:rsidR="006B7A1D" w:rsidRPr="003A3148" w14:paraId="4A23F67F" w14:textId="77777777" w:rsidTr="006B7A1D">
        <w:trPr>
          <w:trHeight w:val="300"/>
        </w:trPr>
        <w:tc>
          <w:tcPr>
            <w:tcW w:w="2300" w:type="dxa"/>
            <w:tcBorders>
              <w:top w:val="nil"/>
              <w:left w:val="single" w:sz="8" w:space="0" w:color="000000"/>
              <w:bottom w:val="single" w:sz="8" w:space="0" w:color="000000"/>
              <w:right w:val="single" w:sz="8" w:space="0" w:color="000000"/>
            </w:tcBorders>
            <w:vAlign w:val="center"/>
            <w:hideMark/>
          </w:tcPr>
          <w:p>
            <w:r>
              <w:t xml:space="preserve">Total</w:t>
            </w:r>
          </w:p>
        </w:tc>
        <w:tc>
          <w:tcPr>
            <w:tcW w:w="1460" w:type="dxa"/>
            <w:tcBorders>
              <w:top w:val="nil"/>
              <w:left w:val="nil"/>
              <w:bottom w:val="single" w:sz="8" w:space="0" w:color="000000"/>
              <w:right w:val="single" w:sz="8" w:space="0" w:color="000000"/>
            </w:tcBorders>
            <w:vAlign w:val="center"/>
            <w:hideMark/>
          </w:tcPr>
          <w:p>
            <w:r>
              <w:t xml:space="preserve">89</w:t>
            </w:r>
          </w:p>
        </w:tc>
        <w:tc>
          <w:tcPr>
            <w:tcW w:w="1420" w:type="dxa"/>
            <w:tcBorders>
              <w:top w:val="nil"/>
              <w:left w:val="nil"/>
              <w:bottom w:val="single" w:sz="8" w:space="0" w:color="000000"/>
              <w:right w:val="single" w:sz="8" w:space="0" w:color="000000"/>
            </w:tcBorders>
            <w:vAlign w:val="center"/>
            <w:hideMark/>
          </w:tcPr>
          <w:p>
            <w:r>
              <w:t xml:space="preserve">5545.789</w:t>
            </w:r>
          </w:p>
        </w:tc>
        <w:tc>
          <w:tcPr>
            <w:tcW w:w="1860" w:type="dxa"/>
            <w:tcBorders>
              <w:top w:val="nil"/>
              <w:left w:val="nil"/>
              <w:bottom w:val="single" w:sz="8" w:space="0" w:color="000000"/>
              <w:right w:val="single" w:sz="8" w:space="0" w:color="000000"/>
            </w:tcBorders>
            <w:vAlign w:val="center"/>
            <w:hideMark/>
          </w:tcPr>
          <w:p>
            <w:r>
              <w:t xml:space="preserve"/>
            </w:r>
          </w:p>
        </w:tc>
        <w:tc>
          <w:tcPr>
            <w:tcW w:w="1660" w:type="dxa"/>
            <w:tcBorders>
              <w:top w:val="nil"/>
              <w:left w:val="nil"/>
              <w:bottom w:val="single" w:sz="8" w:space="0" w:color="000000"/>
              <w:right w:val="single" w:sz="8" w:space="0" w:color="000000"/>
            </w:tcBorders>
            <w:vAlign w:val="center"/>
            <w:hideMark/>
          </w:tcPr>
          <w:p>
            <w:r>
              <w:t xml:space="preserve"/>
            </w:r>
          </w:p>
        </w:tc>
        <w:tc>
          <w:tcPr>
            <w:tcW w:w="1700" w:type="dxa"/>
            <w:tcBorders>
              <w:top w:val="nil"/>
              <w:left w:val="nil"/>
              <w:bottom w:val="single" w:sz="8" w:space="0" w:color="000000"/>
              <w:right w:val="single" w:sz="8" w:space="0" w:color="000000"/>
            </w:tcBorders>
            <w:vAlign w:val="center"/>
            <w:hideMark/>
          </w:tcPr>
          <w:p>
            <w:r>
              <w:t xml:space="preserve"/>
            </w:r>
          </w:p>
        </w:tc>
      </w:tr>
    </w:tbl>
    <w:p w14:paraId="67386566" w14:textId="5152E110" w:rsidR="00755908" w:rsidRDefault="00401F3D" w:rsidP="003A3148">
      <w:pPr>
        <w:spacing w:line="360" w:lineRule="auto"/>
        <w:rPr>
          <w:rFonts w:ascii="Times New Roman" w:hAnsi="Times New Roman" w:cs="Times New Roman"/>
        </w:rPr>
      </w:pPr>
      <w:r>
        <w:rPr>
          <w:rFonts w:ascii="Times New Roman" w:hAnsi="Times New Roman" w:cs="Times New Roman"/>
        </w:rPr>
        <w:t xml:space="preserve"> </w:t>
      </w:r>
    </w:p>
    <w:p w14:paraId="53D7ADC0" w14:textId="614A9177" w:rsidR="00401F3D" w:rsidRDefault="00401F3D" w:rsidP="00401F3D">
      <w:pPr>
        <w:spacing w:line="360" w:lineRule="auto"/>
        <w:rPr>
          <w:rFonts w:ascii="Times New Roman" w:hAnsi="Times New Roman" w:cs="Times New Roman"/>
        </w:rPr>
      </w:pPr>
      <w:r>
        <w:t xml:space="preserve">The ANOVA results (F = 0.6175, p = 0.5416) indicate that mean seaweed weight gain did not differ significantly among replicates (p &gt; 0.05), although Replicate 3 had the lowest descriptive biomass gain and survival.</w:t>
      </w:r>
    </w:p>
    <w:p w14:paraId="0DCD382D" w14:textId="77777777" w:rsidR="00030A3A" w:rsidRDefault="00030A3A" w:rsidP="00401F3D">
      <w:pPr>
        <w:spacing w:line="360" w:lineRule="auto"/>
        <w:rPr>
          <w:rFonts w:ascii="Times New Roman" w:hAnsi="Times New Roman" w:cs="Times New Roman"/>
        </w:rPr>
      </w:pPr>
    </w:p>
    <w:p w14:paraId="0F90B1EB" w14:textId="3D0631C7" w:rsidR="00030A3A" w:rsidRDefault="00030A3A" w:rsidP="00401F3D">
      <w:pPr>
        <w:spacing w:line="360" w:lineRule="auto"/>
        <w:rPr>
          <w:rFonts w:ascii="Times New Roman" w:hAnsi="Times New Roman" w:cs="Times New Roman"/>
        </w:rPr>
      </w:pPr>
      <w:r>
        <w:rPr>
          <w:noProof/>
        </w:rPr>
        <w:drawing>
          <wp:inline distT="0" distB="0" distL="0" distR="0" wp14:anchorId="31B07BFB" wp14:editId="0A1F4647">
            <wp:extent cx="5943600" cy="2580640"/>
            <wp:effectExtent l="0" t="0" r="0" b="0"/>
            <wp:docPr id="158187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80640"/>
                    </a:xfrm>
                    <a:prstGeom prst="rect">
                      <a:avLst/>
                    </a:prstGeom>
                    <a:noFill/>
                    <a:ln>
                      <a:noFill/>
                    </a:ln>
                  </pic:spPr>
                </pic:pic>
              </a:graphicData>
            </a:graphic>
          </wp:inline>
        </w:drawing>
      </w:r>
    </w:p>
    <w:p w14:paraId="6641EFE2" w14:textId="3A3597D7" w:rsidR="00623A71" w:rsidRDefault="00030A3A" w:rsidP="003A3148">
      <w:pPr>
        <w:spacing w:line="360" w:lineRule="auto"/>
        <w:rPr>
          <w:rFonts w:ascii="Times New Roman" w:hAnsi="Times New Roman" w:cs="Times New Roman"/>
        </w:rPr>
      </w:pPr>
      <w:r>
        <w:t xml:space="preserve">Figure 7: Survival rate of Kappaphycus alvarezii across the three seaweed replicates.</w:t>
      </w:r>
    </w:p>
    <w:p w14:paraId="71923277" w14:textId="77777777" w:rsidR="00030A3A" w:rsidRPr="00030A3A" w:rsidRDefault="00030A3A" w:rsidP="00030A3A">
      <w:pPr>
        <w:spacing w:line="360" w:lineRule="auto"/>
        <w:rPr>
          <w:rFonts w:ascii="Times New Roman" w:hAnsi="Times New Roman" w:cs="Times New Roman"/>
        </w:rPr>
      </w:pPr>
      <w:r w:rsidRPr="00030A3A">
        <w:rPr>
          <w:rFonts w:ascii="Times New Roman" w:hAnsi="Times New Roman" w:cs="Times New Roman"/>
        </w:rPr>
        <w:t xml:space="preserve">The bar chart illustrates the survival rate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over a 51-day culture period across three experimental replicates. Overall, the seaweed showed high survival and strong adaptability under the culture conditions, with an average survival rate of 87.78%. Replicates 1 and 2 both recorded identical and high survival rates of 90%, indicating very </w:t>
      </w:r>
      <w:proofErr w:type="spellStart"/>
      <w:r w:rsidRPr="00030A3A">
        <w:rPr>
          <w:rFonts w:ascii="Times New Roman" w:hAnsi="Times New Roman" w:cs="Times New Roman"/>
        </w:rPr>
        <w:t>favourable</w:t>
      </w:r>
      <w:proofErr w:type="spellEnd"/>
      <w:r w:rsidRPr="00030A3A">
        <w:rPr>
          <w:rFonts w:ascii="Times New Roman" w:hAnsi="Times New Roman" w:cs="Times New Roman"/>
        </w:rPr>
        <w:t xml:space="preserve"> and </w:t>
      </w:r>
      <w:r w:rsidRPr="00030A3A">
        <w:rPr>
          <w:rFonts w:ascii="Times New Roman" w:hAnsi="Times New Roman" w:cs="Times New Roman"/>
        </w:rPr>
        <w:lastRenderedPageBreak/>
        <w:t>stable conditions for growth. In comparison, Replicate 3 showed a slightly lower survival rate of 83.33%, which marginally reduced the overall mean.</w:t>
      </w:r>
    </w:p>
    <w:p w14:paraId="3553F127" w14:textId="2A738341" w:rsidR="00623A71" w:rsidRDefault="00030A3A" w:rsidP="003A3148">
      <w:pPr>
        <w:spacing w:line="360" w:lineRule="auto"/>
        <w:rPr>
          <w:rFonts w:ascii="Times New Roman" w:hAnsi="Times New Roman" w:cs="Times New Roman"/>
        </w:rPr>
      </w:pPr>
      <w:r w:rsidRPr="00030A3A">
        <w:rPr>
          <w:rFonts w:ascii="Times New Roman" w:hAnsi="Times New Roman" w:cs="Times New Roman"/>
        </w:rPr>
        <w:t xml:space="preserve">Despite this small variation, survival rates remained consistently high across all replicates, staying above 80%, which suggests minimal mortality and suitable environmental conditions throughout the study period. Overall, the results indicate that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performed well in the system, demonstrating strong resilience and high survival success under the experimental culture conditions.</w:t>
      </w:r>
    </w:p>
    <w:p w14:paraId="5A58EC98" w14:textId="77777777" w:rsidR="00623A71" w:rsidRDefault="001371BB" w:rsidP="003A3148">
      <w:pPr>
        <w:spacing w:line="360" w:lineRule="auto"/>
        <w:rPr>
          <w:rFonts w:ascii="Times New Roman" w:hAnsi="Times New Roman" w:cs="Times New Roman"/>
        </w:rPr>
      </w:pPr>
      <w:r>
        <w:rPr>
          <w:noProof/>
        </w:rPr>
        <w:drawing>
          <wp:inline distT="0" distB="0" distL="0" distR="0" wp14:anchorId="6800FDAC" wp14:editId="2A769124">
            <wp:extent cx="5943600" cy="2607310"/>
            <wp:effectExtent l="0" t="0" r="0" b="2540"/>
            <wp:docPr id="1317215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07310"/>
                    </a:xfrm>
                    <a:prstGeom prst="rect">
                      <a:avLst/>
                    </a:prstGeom>
                    <a:noFill/>
                    <a:ln>
                      <a:noFill/>
                    </a:ln>
                  </pic:spPr>
                </pic:pic>
              </a:graphicData>
            </a:graphic>
          </wp:inline>
        </w:drawing>
      </w:r>
    </w:p>
    <w:p w14:paraId="18A7CCEC" w14:textId="5074FC32" w:rsidR="00623A71" w:rsidRDefault="00030A3A" w:rsidP="003A3148">
      <w:pPr>
        <w:spacing w:line="360" w:lineRule="auto"/>
        <w:rPr>
          <w:rFonts w:ascii="Times New Roman" w:hAnsi="Times New Roman" w:cs="Times New Roman"/>
        </w:rPr>
      </w:pPr>
      <w:r>
        <w:t xml:space="preserve">Figure 8: Weight gain distribution of Kappaphycus alvarezii across seaweed replicates.</w:t>
      </w:r>
    </w:p>
    <w:p w14:paraId="440A0FB1" w14:textId="77777777" w:rsidR="00030A3A" w:rsidRPr="00030A3A" w:rsidRDefault="00030A3A" w:rsidP="00030A3A">
      <w:pPr>
        <w:spacing w:line="360" w:lineRule="auto"/>
        <w:rPr>
          <w:rFonts w:ascii="Times New Roman" w:hAnsi="Times New Roman" w:cs="Times New Roman"/>
        </w:rPr>
      </w:pPr>
      <w:r w:rsidRPr="00030A3A">
        <w:rPr>
          <w:rFonts w:ascii="Times New Roman" w:hAnsi="Times New Roman" w:cs="Times New Roman"/>
        </w:rPr>
        <w:t xml:space="preserve">The boxplot illustrates the variation in seedling weight gain (g)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across three experimental replicates. Overall, the statistical analysis shows no significant difference in weight gain between the replicates, as indicated by the One-Way ANOVA result (p = 0.5416), which is well above the 0.05 significance level. This is further supported by the 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ÃƒÂ¢Ã¢â‚¬Å¡Ã‚Â¬Ãƒâ€šÃ‚Â¦ÃƒÆ’Ã†â€™Ãƒâ€šÃ‚Â¢ÃƒÆ’Ã‚Â¢ÃƒÂ¢Ã¢â€šÂ¬Ã…Â¡Ãƒâ€šÃ‚Â¬ÃƒÆ’Ã¢â‚¬Â¦ÃƒÂ¢Ã¢â€šÂ¬Ã…â€œns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Ã¢â‚¬â„¢ÃƒÆ’Ã‚Â¢ÃƒÂ¢Ã¢â‚¬Å¡Ã‚Â¬Ãƒâ€¦Ã‚Â¡ÃƒÆ’Ã†â€™ÃƒÂ¢Ã¢â€šÂ¬Ã…Â¡ÃƒÆ’Ã¢â‚¬Å¡Ãƒâ€šÃ‚Â (non-significant) labels in the pairwise comparisons, confirming that none of the replicates differed meaningfully from each other.</w:t>
      </w:r>
    </w:p>
    <w:p w14:paraId="0FB2321E" w14:textId="2C7F1833" w:rsidR="00623A71" w:rsidRDefault="00030A3A" w:rsidP="003A3148">
      <w:pPr>
        <w:spacing w:line="360" w:lineRule="auto"/>
        <w:rPr>
          <w:rFonts w:ascii="Times New Roman" w:hAnsi="Times New Roman" w:cs="Times New Roman"/>
        </w:rPr>
      </w:pPr>
      <w:r w:rsidRPr="00030A3A">
        <w:rPr>
          <w:rFonts w:ascii="Times New Roman" w:hAnsi="Times New Roman" w:cs="Times New Roman"/>
        </w:rPr>
        <w:t xml:space="preserve">All three replicates show a positive median weight gain, generally ranging between approximately 5 g and 8 g, indicating overall growth across all treatments. However, each replicate also contains noticeable negative outliers, showing that a few individual seedlings experienced weight loss, with Replicate 3 showing the most extreme variation. Despite these </w:t>
      </w:r>
      <w:r w:rsidRPr="00030A3A">
        <w:rPr>
          <w:rFonts w:ascii="Times New Roman" w:hAnsi="Times New Roman" w:cs="Times New Roman"/>
        </w:rPr>
        <w:lastRenderedPageBreak/>
        <w:t xml:space="preserve">outliers and slight differences in data spread, the results suggest that the overall growth performance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was statistically consistent across all replicates.</w:t>
      </w:r>
    </w:p>
    <w:p w14:paraId="312037F1" w14:textId="443C7341" w:rsidR="00623A71" w:rsidRDefault="00FB4D1B" w:rsidP="003A3148">
      <w:pPr>
        <w:spacing w:line="360" w:lineRule="auto"/>
        <w:rPr>
          <w:rFonts w:ascii="Times New Roman" w:hAnsi="Times New Roman" w:cs="Times New Roman"/>
        </w:rPr>
      </w:pPr>
      <w:r>
        <w:rPr>
          <w:noProof/>
        </w:rPr>
        <w:drawing>
          <wp:inline distT="0" distB="0" distL="0" distR="0" wp14:anchorId="5E1E67AB" wp14:editId="501BCE76">
            <wp:extent cx="5943600" cy="2884170"/>
            <wp:effectExtent l="0" t="0" r="0" b="0"/>
            <wp:docPr id="1795161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84170"/>
                    </a:xfrm>
                    <a:prstGeom prst="rect">
                      <a:avLst/>
                    </a:prstGeom>
                    <a:noFill/>
                    <a:ln>
                      <a:noFill/>
                    </a:ln>
                  </pic:spPr>
                </pic:pic>
              </a:graphicData>
            </a:graphic>
          </wp:inline>
        </w:drawing>
      </w:r>
    </w:p>
    <w:p w14:paraId="20316925" w14:textId="2A787E47" w:rsidR="00623A71" w:rsidRDefault="00030A3A" w:rsidP="003A3148">
      <w:pPr>
        <w:spacing w:line="360" w:lineRule="auto"/>
        <w:rPr>
          <w:rFonts w:ascii="Times New Roman" w:hAnsi="Times New Roman" w:cs="Times New Roman"/>
        </w:rPr>
      </w:pPr>
      <w:r>
        <w:t xml:space="preserve">Figure 9: Absolute Growth Rate (AGR) of Kappaphycus alvarezii across replicates.</w:t>
      </w:r>
    </w:p>
    <w:p w14:paraId="76745966" w14:textId="77777777" w:rsidR="00030A3A" w:rsidRPr="00030A3A" w:rsidRDefault="00030A3A" w:rsidP="00030A3A">
      <w:pPr>
        <w:spacing w:line="360" w:lineRule="auto"/>
        <w:rPr>
          <w:rFonts w:ascii="Times New Roman" w:hAnsi="Times New Roman" w:cs="Times New Roman"/>
        </w:rPr>
      </w:pPr>
      <w:r w:rsidRPr="00030A3A">
        <w:rPr>
          <w:rFonts w:ascii="Times New Roman" w:hAnsi="Times New Roman" w:cs="Times New Roman"/>
        </w:rPr>
        <w:t xml:space="preserve">The bar chart illustrates the Absolute Growth Rate (AGR)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(g/day) across three experimental replicates over a 51-day culture period. Overall, the seaweed showed healthy growth across all replicates, although clear differences in productivity were observed. Replicate 2 recorded the highest growth rate at 3.255 g/day, closely followed by Replicate 1 at 3.176 g/day, indicating strong and efficient biomass accumulation in these two groups. In contrast, Replicate 3 showed a noticeably lower growth rate of 2.059 g/day, reflecting reduced growth performance.</w:t>
      </w:r>
    </w:p>
    <w:p w14:paraId="68969734" w14:textId="77777777" w:rsidR="00030A3A" w:rsidRPr="00030A3A" w:rsidRDefault="00030A3A" w:rsidP="00030A3A">
      <w:pPr>
        <w:spacing w:line="360" w:lineRule="auto"/>
        <w:rPr>
          <w:rFonts w:ascii="Times New Roman" w:hAnsi="Times New Roman" w:cs="Times New Roman"/>
        </w:rPr>
      </w:pPr>
      <w:r w:rsidRPr="00030A3A">
        <w:rPr>
          <w:rFonts w:ascii="Times New Roman" w:hAnsi="Times New Roman" w:cs="Times New Roman"/>
        </w:rPr>
        <w:t xml:space="preserve">The lower AGR in Replicate 3 is consistent with earlier observations from survival, SGR, and weight gain analyses, suggesting that certain localized environmental conditions or biological differences may have limited its productivity. Despite this variation, the overall results indicate that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performs well under the culture conditions, with Replicates 1 and 2 demonstrating more stable and higher daily biomass production compared to Replicate 3.</w:t>
      </w:r>
    </w:p>
    <w:p w14:paraId="3B86B5EF" w14:textId="77777777" w:rsidR="00030A3A" w:rsidRDefault="00030A3A" w:rsidP="003A3148">
      <w:pPr>
        <w:spacing w:line="360" w:lineRule="auto"/>
        <w:rPr>
          <w:rFonts w:ascii="Times New Roman" w:hAnsi="Times New Roman" w:cs="Times New Roman"/>
        </w:rPr>
      </w:pPr>
    </w:p>
    <w:p w14:paraId="42FB0A81" w14:textId="77777777" w:rsidR="00623A71" w:rsidRDefault="00623A71" w:rsidP="003A3148">
      <w:pPr>
        <w:spacing w:line="360" w:lineRule="auto"/>
        <w:rPr>
          <w:rFonts w:ascii="Times New Roman" w:hAnsi="Times New Roman" w:cs="Times New Roman"/>
        </w:rPr>
      </w:pPr>
    </w:p>
    <w:p w14:paraId="1D607B23" w14:textId="77777777" w:rsidR="00623A71" w:rsidRDefault="00623A71" w:rsidP="003A3148">
      <w:pPr>
        <w:spacing w:line="360" w:lineRule="auto"/>
        <w:rPr>
          <w:rFonts w:ascii="Times New Roman" w:hAnsi="Times New Roman" w:cs="Times New Roman"/>
        </w:rPr>
      </w:pPr>
    </w:p>
    <w:p w14:paraId="5057771B" w14:textId="77777777" w:rsidR="00623A71" w:rsidRDefault="001371BB" w:rsidP="003A3148">
      <w:pPr>
        <w:spacing w:line="360" w:lineRule="auto"/>
        <w:rPr>
          <w:rFonts w:ascii="Times New Roman" w:hAnsi="Times New Roman" w:cs="Times New Roman"/>
        </w:rPr>
      </w:pPr>
      <w:r>
        <w:rPr>
          <w:noProof/>
        </w:rPr>
        <w:drawing>
          <wp:inline distT="0" distB="0" distL="0" distR="0" wp14:anchorId="0910ACB1" wp14:editId="201980DB">
            <wp:extent cx="5943600" cy="3138170"/>
            <wp:effectExtent l="0" t="0" r="0" b="5080"/>
            <wp:docPr id="1850526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14:paraId="2EB23CD5" w14:textId="76C33721" w:rsidR="00623A71" w:rsidRDefault="00030A3A" w:rsidP="003A3148">
      <w:pPr>
        <w:spacing w:line="360" w:lineRule="auto"/>
        <w:rPr>
          <w:rFonts w:ascii="Times New Roman" w:hAnsi="Times New Roman" w:cs="Times New Roman"/>
        </w:rPr>
      </w:pPr>
      <w:r>
        <w:t xml:space="preserve">Figure 10: Specific Growth Rate (SGR) of Kappaphycus alvarezii across replicates.</w:t>
      </w:r>
    </w:p>
    <w:p w14:paraId="4255E199" w14:textId="77777777" w:rsidR="00030A3A" w:rsidRPr="00030A3A" w:rsidRDefault="00030A3A" w:rsidP="00030A3A">
      <w:pPr>
        <w:spacing w:line="360" w:lineRule="auto"/>
        <w:rPr>
          <w:rFonts w:ascii="Times New Roman" w:hAnsi="Times New Roman" w:cs="Times New Roman"/>
        </w:rPr>
      </w:pPr>
      <w:r w:rsidRPr="00030A3A">
        <w:rPr>
          <w:rFonts w:ascii="Times New Roman" w:hAnsi="Times New Roman" w:cs="Times New Roman"/>
        </w:rPr>
        <w:t xml:space="preserve">The bar chart illustrates the Specific Growth Rate (SGR)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(%/day) across three experimental replicates over a 51-day culture period. Overall, Replicates 1 and 2 showed higher and relatively similar growth performance, recording SGR values of 0.542%/day and 0.522%/day respectively, indicating efficient and stable biomass production. In contrast, Replicate 3 exhibited a noticeably lower growth rate of 0.365%/day, reflecting reduced growth efficiency compared to the other replicates.</w:t>
      </w:r>
    </w:p>
    <w:p w14:paraId="64182F64" w14:textId="22D03039" w:rsidR="00A01AF3" w:rsidRDefault="00030A3A" w:rsidP="003A3148">
      <w:pPr>
        <w:spacing w:line="360" w:lineRule="auto"/>
        <w:rPr>
          <w:rFonts w:ascii="Times New Roman" w:hAnsi="Times New Roman" w:cs="Times New Roman"/>
        </w:rPr>
      </w:pPr>
      <w:r w:rsidRPr="00030A3A">
        <w:rPr>
          <w:rFonts w:ascii="Times New Roman" w:hAnsi="Times New Roman" w:cs="Times New Roman"/>
        </w:rPr>
        <w:t xml:space="preserve">This variation suggests that while the seaweed generally performed well across all treatments, Replicates 1 and 2 provided more </w:t>
      </w:r>
      <w:proofErr w:type="spellStart"/>
      <w:r w:rsidRPr="00030A3A">
        <w:rPr>
          <w:rFonts w:ascii="Times New Roman" w:hAnsi="Times New Roman" w:cs="Times New Roman"/>
        </w:rPr>
        <w:t>favourable</w:t>
      </w:r>
      <w:proofErr w:type="spellEnd"/>
      <w:r w:rsidRPr="00030A3A">
        <w:rPr>
          <w:rFonts w:ascii="Times New Roman" w:hAnsi="Times New Roman" w:cs="Times New Roman"/>
        </w:rPr>
        <w:t xml:space="preserve"> growth conditions. The lower performance in Replicate 3 is consistent with earlier observations of higher variability in survival and weight gain, possibly due to environmental differences or seedling quality. Overall, the results indicate healthy growth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with Replicates 1 and 2 demonstrating superior and more consistent growth efficiency than Replicate 3.</w:t>
      </w:r>
    </w:p>
    <w:p w14:paraId="34245CC0" w14:textId="77777777" w:rsidR="00623A71" w:rsidRDefault="001371BB" w:rsidP="003A3148">
      <w:pPr>
        <w:spacing w:line="360" w:lineRule="auto"/>
        <w:rPr>
          <w:rFonts w:ascii="Times New Roman" w:hAnsi="Times New Roman" w:cs="Times New Roman"/>
        </w:rPr>
      </w:pPr>
      <w:r>
        <w:rPr>
          <w:noProof/>
        </w:rPr>
        <w:lastRenderedPageBreak/>
        <w:drawing>
          <wp:inline distT="0" distB="0" distL="0" distR="0" wp14:anchorId="5FBDC9C8" wp14:editId="057FD3E6">
            <wp:extent cx="5943600" cy="3060065"/>
            <wp:effectExtent l="0" t="0" r="0" b="6985"/>
            <wp:docPr id="1807160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60065"/>
                    </a:xfrm>
                    <a:prstGeom prst="rect">
                      <a:avLst/>
                    </a:prstGeom>
                    <a:noFill/>
                    <a:ln>
                      <a:noFill/>
                    </a:ln>
                  </pic:spPr>
                </pic:pic>
              </a:graphicData>
            </a:graphic>
          </wp:inline>
        </w:drawing>
      </w:r>
    </w:p>
    <w:p w14:paraId="332F9E9E" w14:textId="27AA260C" w:rsidR="00623A71" w:rsidRDefault="00030A3A" w:rsidP="003A3148">
      <w:pPr>
        <w:spacing w:line="360" w:lineRule="auto"/>
        <w:rPr>
          <w:rFonts w:ascii="Times New Roman" w:hAnsi="Times New Roman" w:cs="Times New Roman"/>
        </w:rPr>
      </w:pPr>
      <w:r>
        <w:t xml:space="preserve">Figure 11: Mean seedling weight gain of Kappaphycus alvarezii across replicates.</w:t>
      </w:r>
    </w:p>
    <w:p w14:paraId="43A02A66" w14:textId="77777777" w:rsidR="00030A3A" w:rsidRPr="00030A3A" w:rsidRDefault="00030A3A" w:rsidP="00030A3A">
      <w:pPr>
        <w:spacing w:line="360" w:lineRule="auto"/>
        <w:rPr>
          <w:rFonts w:ascii="Times New Roman" w:hAnsi="Times New Roman" w:cs="Times New Roman"/>
        </w:rPr>
      </w:pPr>
      <w:r w:rsidRPr="00030A3A">
        <w:rPr>
          <w:rFonts w:ascii="Times New Roman" w:hAnsi="Times New Roman" w:cs="Times New Roman"/>
        </w:rPr>
        <w:t xml:space="preserve">The boxplot illustrates the mean seedling weight gain (g)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xml:space="preserve"> across three experimental replicates. Overall, Replicates 1 and 2 show similar performance, with mean weight gains of 5.4 g and 5.54 g respectively, indicating consistent and relatively higher growth. In contrast, Replicate 3 recorded a much lower mean weight gain of 3.5 g, suggesting poorer overall performance compared to the other replicates.</w:t>
      </w:r>
    </w:p>
    <w:p w14:paraId="73F56C19" w14:textId="27D6D06D" w:rsidR="00623A71" w:rsidRDefault="00030A3A" w:rsidP="003A3148">
      <w:pPr>
        <w:spacing w:line="360" w:lineRule="auto"/>
        <w:rPr>
          <w:rFonts w:ascii="Times New Roman" w:hAnsi="Times New Roman" w:cs="Times New Roman"/>
        </w:rPr>
      </w:pPr>
      <w:r w:rsidRPr="00030A3A">
        <w:rPr>
          <w:rFonts w:ascii="Times New Roman" w:hAnsi="Times New Roman" w:cs="Times New Roman"/>
        </w:rPr>
        <w:t xml:space="preserve">All three replicates show considerable variability, as indicated by wide whiskers, meaning individual seedlings within each group had highly variable growth responses. While many seedlings exhibited positive growth, some experienced weight loss, contributing to the spread of values. Replicate 3 shows the greatest variability, including a strong negative range reaching nearly -10 g, which explains its lower mean. Overall, the results indicate generally positive growth of </w:t>
      </w:r>
      <w:proofErr w:type="spellStart"/>
      <w:r w:rsidRPr="00030A3A">
        <w:rPr>
          <w:rFonts w:ascii="Times New Roman" w:hAnsi="Times New Roman" w:cs="Times New Roman"/>
          <w:i/>
          <w:iCs/>
        </w:rPr>
        <w:t>Kappaphycus</w:t>
      </w:r>
      <w:proofErr w:type="spellEnd"/>
      <w:r w:rsidRPr="00030A3A">
        <w:rPr>
          <w:rFonts w:ascii="Times New Roman" w:hAnsi="Times New Roman" w:cs="Times New Roman"/>
          <w:i/>
          <w:iCs/>
        </w:rPr>
        <w:t xml:space="preserve"> </w:t>
      </w:r>
      <w:proofErr w:type="spellStart"/>
      <w:r w:rsidRPr="00030A3A">
        <w:rPr>
          <w:rFonts w:ascii="Times New Roman" w:hAnsi="Times New Roman" w:cs="Times New Roman"/>
          <w:i/>
          <w:iCs/>
        </w:rPr>
        <w:t>alvarezii</w:t>
      </w:r>
      <w:proofErr w:type="spellEnd"/>
      <w:r w:rsidRPr="00030A3A">
        <w:rPr>
          <w:rFonts w:ascii="Times New Roman" w:hAnsi="Times New Roman" w:cs="Times New Roman"/>
        </w:rPr>
        <w:t>, but with notable inconsistency among individual seedlings, particularly in Replicate 3.</w:t>
      </w:r>
    </w:p>
    <w:p w14:paraId="5533F3B7" w14:textId="55CC7482" w:rsidR="00A01AF3" w:rsidRPr="00FB4D1B" w:rsidRDefault="001371BB" w:rsidP="003A3148">
      <w:pPr>
        <w:spacing w:line="360" w:lineRule="auto"/>
        <w:rPr>
          <w:rFonts w:ascii="Times New Roman" w:hAnsi="Times New Roman" w:cs="Times New Roman"/>
        </w:rPr>
      </w:pPr>
      <w:r>
        <w:rPr>
          <w:noProof/>
        </w:rPr>
        <w:lastRenderedPageBreak/>
        <w:drawing>
          <wp:inline distT="0" distB="0" distL="0" distR="0" wp14:anchorId="0EF2E270" wp14:editId="0B1F4957">
            <wp:extent cx="5943600" cy="2552065"/>
            <wp:effectExtent l="0" t="0" r="0" b="635"/>
            <wp:docPr id="1336233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inline>
        </w:drawing>
      </w:r>
    </w:p>
    <w:p w14:paraId="009FD0D8" w14:textId="4AF35053" w:rsidR="00A01AF3" w:rsidRDefault="00030A3A" w:rsidP="003A3148">
      <w:pPr>
        <w:spacing w:line="360" w:lineRule="auto"/>
        <w:rPr>
          <w:noProof/>
        </w:rPr>
      </w:pPr>
      <w:r>
        <w:t xml:space="preserve">Figure 12: Q-Q plots for Kappaphycus alvarezii weight gain across replicates.</w:t>
      </w:r>
    </w:p>
    <w:p w14:paraId="7166B7BC" w14:textId="77777777" w:rsidR="00030A3A" w:rsidRPr="00030A3A" w:rsidRDefault="00030A3A" w:rsidP="00030A3A">
      <w:pPr>
        <w:spacing w:line="360" w:lineRule="auto"/>
        <w:rPr>
          <w:noProof/>
        </w:rPr>
      </w:pPr>
      <w:r w:rsidRPr="00030A3A">
        <w:rPr>
          <w:noProof/>
        </w:rPr>
        <w:t xml:space="preserve">The Q-Q plots assess whether the weight gain data of </w:t>
      </w:r>
      <w:r w:rsidRPr="00030A3A">
        <w:rPr>
          <w:i/>
          <w:iCs/>
          <w:noProof/>
        </w:rPr>
        <w:t>Kappaphycus alvarezii</w:t>
      </w:r>
      <w:r w:rsidRPr="00030A3A">
        <w:rPr>
          <w:noProof/>
        </w:rPr>
        <w:t xml:space="preserve"> across three replicates follows a normal distribution. Overall, the majority of data points in all replicates closely align with the diagonal reference line, indicating that the central portion of the dataset is approximately normally distributed. However, all three replicates show clear deviations at the lower end of the distribution, suggesting the presence of negative outliers where some individuals experienced unusually low growth or weight loss.</w:t>
      </w:r>
    </w:p>
    <w:p w14:paraId="5FDCD672" w14:textId="7706B7A4" w:rsidR="00937810" w:rsidRDefault="00030A3A" w:rsidP="003A3148">
      <w:pPr>
        <w:spacing w:line="360" w:lineRule="auto"/>
        <w:rPr>
          <w:noProof/>
        </w:rPr>
      </w:pPr>
      <w:r w:rsidRPr="00030A3A">
        <w:rPr>
          <w:noProof/>
        </w:rPr>
        <w:t>Among the replicates, Replicate 1 shows relatively stable upper-range values with a few negative outliers, while Replicate 2 displays a mild stepped pattern indicating clustered growth responses. Replicate 3 shows the strongest deviation, with a pronounced extreme outlier reaching very low values. Overall, although the main dataset is largely normal, the presence of these outliers suggests variability in individual performance. These deviations should be carefully considered in statistical analysis, and may require outlier treatment or the use of non-parametric tests to ensure accurate interpretation of growth results.</w:t>
      </w:r>
    </w:p>
    <w:p w14:paraId="7D6B8754" w14:textId="77777777" w:rsidR="00706071" w:rsidRDefault="00706071" w:rsidP="003A3148">
      <w:pPr>
        <w:spacing w:line="360" w:lineRule="auto"/>
        <w:rPr>
          <w:noProof/>
        </w:rPr>
      </w:pPr>
    </w:p>
    <w:p w14:paraId="5511FEB1" w14:textId="77777777" w:rsidR="00706071" w:rsidRDefault="00706071" w:rsidP="003A3148">
      <w:pPr>
        <w:spacing w:line="360" w:lineRule="auto"/>
        <w:rPr>
          <w:noProof/>
        </w:rPr>
      </w:pPr>
    </w:p>
    <w:p w14:paraId="65972CA3" w14:textId="77777777" w:rsidR="00706071" w:rsidRPr="00706071" w:rsidRDefault="00706071" w:rsidP="003A3148">
      <w:pPr>
        <w:spacing w:line="360" w:lineRule="auto"/>
        <w:rPr>
          <w:noProof/>
        </w:rPr>
      </w:pPr>
    </w:p>
    <w:p w14:paraId="6FD13130" w14:textId="0C48381B" w:rsidR="00DB44B4" w:rsidRPr="00937810" w:rsidRDefault="001A7101" w:rsidP="003A3148">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3.3 </w:t>
      </w:r>
      <w:r w:rsidR="00DB44B4" w:rsidRPr="00DB44B4">
        <w:rPr>
          <w:rFonts w:ascii="Times New Roman" w:hAnsi="Times New Roman" w:cs="Times New Roman"/>
          <w:b/>
          <w:bCs/>
          <w:sz w:val="28"/>
          <w:szCs w:val="28"/>
        </w:rPr>
        <w:t xml:space="preserve">Water quality </w:t>
      </w:r>
    </w:p>
    <w:p w14:paraId="6742D630" w14:textId="77777777" w:rsidR="00DB44B4" w:rsidRDefault="00DB44B4" w:rsidP="003A3148">
      <w:pPr>
        <w:spacing w:line="360" w:lineRule="auto"/>
        <w:rPr>
          <w:rFonts w:ascii="Times New Roman" w:hAnsi="Times New Roman" w:cs="Times New Roman"/>
        </w:rPr>
      </w:pPr>
      <w:r>
        <w:rPr>
          <w:noProof/>
        </w:rPr>
        <w:drawing>
          <wp:inline distT="0" distB="0" distL="0" distR="0" wp14:anchorId="64569583" wp14:editId="1CF0A4AB">
            <wp:extent cx="5943600" cy="3105785"/>
            <wp:effectExtent l="0" t="0" r="0" b="0"/>
            <wp:docPr id="451942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0AB7C055" w14:textId="7E4AA055" w:rsidR="00DB44B4" w:rsidRPr="00097A79" w:rsidRDefault="00937810" w:rsidP="003A3148">
      <w:pPr>
        <w:spacing w:line="360" w:lineRule="auto"/>
        <w:rPr>
          <w:rFonts w:ascii="Times New Roman" w:hAnsi="Times New Roman" w:cs="Times New Roman"/>
          <w:b/>
          <w:bCs/>
        </w:rPr>
      </w:pPr>
      <w:r>
        <w:t xml:space="preserve">Figure 13: Mean Total Dissolved Solids (TDS) in IMTA and Monoculture treatments.</w:t>
      </w:r>
    </w:p>
    <w:p w14:paraId="15AD1531"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t>The line graph illustrates the weekly changes in Total Dissolved Solids (TDS), measured in parts per thousand (ppt), for Integrated Multi-Trophic Aquaculture (IMTA) and Monoculture treatments over a seven-week period. At the beginning of the study (Week 1), both treatments recorded identical TDS levels of approximately 16.5 ppt. During the early phase (Weeks 2ÃƒÆ’Ã†â€™Ãƒâ€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3), TDS levels increased in both systems, with the Monoculture treatment showing slightly higher values (around 18.6 ppt) compared to the IMTA system (approximately 18.1 ppt).</w:t>
      </w:r>
    </w:p>
    <w:p w14:paraId="2C12A862"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t>In Week 4, both treatments experienced a decline and briefly converged at similar TDS levels, ranging between approximately 17.0 and 17.3 ppt. A significant divergence was observed in Week 5, where the Monoculture system showed a sharp increase in TDS to about 18.9 ppt, while the IMTA system continued to decline, reaching its lowest level after Week 1 at approximately 16.7 ppt. Toward the end of the study (Week 7), TDS levels increased again in both systems, with Monoculture remaining at its peak (around 18.9 ppt) and IMTA rising to approximately 18.2 ppt.</w:t>
      </w:r>
    </w:p>
    <w:p w14:paraId="1147D360" w14:textId="5B3F904C" w:rsidR="00DB44B4" w:rsidRDefault="00937810" w:rsidP="003A3148">
      <w:pPr>
        <w:spacing w:line="360" w:lineRule="auto"/>
        <w:rPr>
          <w:rFonts w:ascii="Times New Roman" w:hAnsi="Times New Roman" w:cs="Times New Roman"/>
        </w:rPr>
      </w:pPr>
      <w:r w:rsidRPr="00937810">
        <w:rPr>
          <w:rFonts w:ascii="Times New Roman" w:hAnsi="Times New Roman" w:cs="Times New Roman"/>
        </w:rPr>
        <w:t xml:space="preserve">The variability in TDS values was relatively low during the initial weeks but became substantially higher by Week 7, as indicated by large error bars, suggesting increased fluctuations </w:t>
      </w:r>
      <w:r w:rsidRPr="00937810">
        <w:rPr>
          <w:rFonts w:ascii="Times New Roman" w:hAnsi="Times New Roman" w:cs="Times New Roman"/>
        </w:rPr>
        <w:lastRenderedPageBreak/>
        <w:t>in dissolved solids toward the end of the experiment. Overall, the IMTA system consistently exhibited lower TDS levels than the Monoculture treatment throughout most of the study, with the most pronounced difference occurring in Week 5. This pattern suggests that the IMTA system may promote more efficient nutrient cycling or enhanced biological uptake of dissolved substances compared to the Monoculture system.</w:t>
      </w:r>
    </w:p>
    <w:p w14:paraId="03E35327" w14:textId="77777777" w:rsidR="00DB44B4" w:rsidRDefault="00DB44B4" w:rsidP="003A3148">
      <w:pPr>
        <w:spacing w:line="360" w:lineRule="auto"/>
        <w:rPr>
          <w:rFonts w:ascii="Times New Roman" w:hAnsi="Times New Roman" w:cs="Times New Roman"/>
        </w:rPr>
      </w:pPr>
      <w:r>
        <w:rPr>
          <w:noProof/>
        </w:rPr>
        <w:drawing>
          <wp:inline distT="0" distB="0" distL="0" distR="0" wp14:anchorId="68B2B634" wp14:editId="0485A1A3">
            <wp:extent cx="5943600" cy="2245360"/>
            <wp:effectExtent l="0" t="0" r="0" b="2540"/>
            <wp:docPr id="930432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45360"/>
                    </a:xfrm>
                    <a:prstGeom prst="rect">
                      <a:avLst/>
                    </a:prstGeom>
                    <a:noFill/>
                    <a:ln>
                      <a:noFill/>
                    </a:ln>
                  </pic:spPr>
                </pic:pic>
              </a:graphicData>
            </a:graphic>
          </wp:inline>
        </w:drawing>
      </w:r>
    </w:p>
    <w:p w14:paraId="022FDFA2" w14:textId="7724A8E7" w:rsidR="00DB44B4" w:rsidRPr="00097A79" w:rsidRDefault="009D634B" w:rsidP="003A3148">
      <w:pPr>
        <w:spacing w:line="360" w:lineRule="auto"/>
        <w:rPr>
          <w:rFonts w:ascii="Times New Roman" w:hAnsi="Times New Roman" w:cs="Times New Roman"/>
          <w:b/>
          <w:bCs/>
        </w:rPr>
      </w:pPr>
      <w:r>
        <w:t xml:space="preserve">Figure 14: Mean pH levels in IMTA and Monoculture treatments.</w:t>
      </w:r>
    </w:p>
    <w:p w14:paraId="6B0F7893"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t>The line graph illustrates the weekly variation in pH levels for Integrated Multi-Trophic Aquaculture (IMTA) and Monoculture treatments over a seven-week period. Overall, both systems maintained an alkaline pH range between approximately 8.1 and 8.4 and followed a similar trend, characterized by a gradual increase toward a peak at Week 4, followed by a sharp decline and a subsequent recovery toward the end of the study. At the beginning (Week 1), both treatments recorded similar pH values (around 8.19 in IMTA and 8.15 in Monoculture). From Week 2 onward, the Monoculture system generally exhibited slightly higher pH levels compared to IMTA.</w:t>
      </w:r>
    </w:p>
    <w:p w14:paraId="4B9189BA"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t xml:space="preserve">The most notable point occurred at Week 4, where both treatments reached their maximum pH values, with Monoculture peaking at approximately 8.37 and IMTA slightly lower at around 8.34. Immediately after this peak, both systems experienced a sharp decline in Week 5; however, the decrease was more pronounced in the IMTA system, which dropped to about 8.12, while Monoculture remained relatively higher at approximately 8.23. In the final phase (Week 7), the </w:t>
      </w:r>
      <w:r w:rsidRPr="00937810">
        <w:rPr>
          <w:rFonts w:ascii="Times New Roman" w:hAnsi="Times New Roman" w:cs="Times New Roman"/>
        </w:rPr>
        <w:lastRenderedPageBreak/>
        <w:t>pH levels of both treatments increased again and converged, stabilizing within a narrow range of about 8.22 to 8.24.</w:t>
      </w:r>
    </w:p>
    <w:p w14:paraId="0B557395" w14:textId="47387078" w:rsidR="00937810" w:rsidRDefault="00937810" w:rsidP="003A3148">
      <w:pPr>
        <w:spacing w:line="360" w:lineRule="auto"/>
        <w:rPr>
          <w:rFonts w:ascii="Times New Roman" w:hAnsi="Times New Roman" w:cs="Times New Roman"/>
        </w:rPr>
      </w:pPr>
      <w:r w:rsidRPr="00937810">
        <w:rPr>
          <w:rFonts w:ascii="Times New Roman" w:hAnsi="Times New Roman" w:cs="Times New Roman"/>
        </w:rPr>
        <w:t>Overall, the IMTA system maintained slightly lower (less alkaline) pH levels compared to the Monoculture system throughout most of the study. The sharp fluctuation observed between Weeks 4 and 5 suggests the occurrence of a notable environmental or biological change within the systems; however, both treatments demonstrated recovery and stability by the end of the experimental period.</w:t>
      </w:r>
    </w:p>
    <w:p w14:paraId="634AE34B" w14:textId="77777777" w:rsidR="00DB44B4" w:rsidRDefault="00DB44B4" w:rsidP="003A3148">
      <w:pPr>
        <w:spacing w:line="360" w:lineRule="auto"/>
        <w:rPr>
          <w:rFonts w:ascii="Times New Roman" w:hAnsi="Times New Roman" w:cs="Times New Roman"/>
        </w:rPr>
      </w:pPr>
      <w:r>
        <w:rPr>
          <w:noProof/>
        </w:rPr>
        <w:drawing>
          <wp:inline distT="0" distB="0" distL="0" distR="0" wp14:anchorId="2B04CD25" wp14:editId="6B3DE0BC">
            <wp:extent cx="5943600" cy="2738120"/>
            <wp:effectExtent l="0" t="0" r="0" b="5080"/>
            <wp:docPr id="86507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38120"/>
                    </a:xfrm>
                    <a:prstGeom prst="rect">
                      <a:avLst/>
                    </a:prstGeom>
                    <a:noFill/>
                    <a:ln>
                      <a:noFill/>
                    </a:ln>
                  </pic:spPr>
                </pic:pic>
              </a:graphicData>
            </a:graphic>
          </wp:inline>
        </w:drawing>
      </w:r>
    </w:p>
    <w:p w14:paraId="573387FB" w14:textId="3A7282CE" w:rsidR="00DB44B4" w:rsidRPr="00097A79" w:rsidRDefault="009D634B" w:rsidP="003A3148">
      <w:pPr>
        <w:spacing w:line="360" w:lineRule="auto"/>
        <w:rPr>
          <w:rFonts w:ascii="Times New Roman" w:hAnsi="Times New Roman" w:cs="Times New Roman"/>
          <w:b/>
          <w:bCs/>
        </w:rPr>
      </w:pPr>
      <w:r>
        <w:t xml:space="preserve">Figure 15: Mean salinity in IMTA and Monoculture treatments.</w:t>
      </w:r>
    </w:p>
    <w:p w14:paraId="5D0A4CF5" w14:textId="77777777" w:rsidR="009D634B" w:rsidRPr="009D634B" w:rsidRDefault="009D634B" w:rsidP="009D634B">
      <w:pPr>
        <w:spacing w:line="360" w:lineRule="auto"/>
        <w:rPr>
          <w:rFonts w:ascii="Times New Roman" w:hAnsi="Times New Roman" w:cs="Times New Roman"/>
        </w:rPr>
      </w:pPr>
      <w:r w:rsidRPr="009D634B">
        <w:rPr>
          <w:rFonts w:ascii="Times New Roman" w:hAnsi="Times New Roman" w:cs="Times New Roman"/>
        </w:rPr>
        <w:t>The line graph illustrates the weekly changes in salinity levels (measured in ppt) for Integrated Multi-Trophic Aquaculture (IMTA) and Monoculture treatments over a seven-week period. At the start of the study (Week 1), both treatments recorded identical salinity levels of approximately 20.6 ppt. During the early phase (Weeks 2ÃƒÆ’Ã†â€™Ãƒâ€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3), salinity increased in both systems; however, the Monoculture treatment consistently showed higher values (around 23.5 ppt) compared to the IMTA system (approximately 22.9 ppt).</w:t>
      </w:r>
    </w:p>
    <w:p w14:paraId="6F374A10" w14:textId="77777777" w:rsidR="009D634B" w:rsidRPr="009D634B" w:rsidRDefault="009D634B" w:rsidP="009D634B">
      <w:pPr>
        <w:spacing w:line="360" w:lineRule="auto"/>
        <w:rPr>
          <w:rFonts w:ascii="Times New Roman" w:hAnsi="Times New Roman" w:cs="Times New Roman"/>
        </w:rPr>
      </w:pPr>
      <w:r w:rsidRPr="009D634B">
        <w:rPr>
          <w:rFonts w:ascii="Times New Roman" w:hAnsi="Times New Roman" w:cs="Times New Roman"/>
        </w:rPr>
        <w:t xml:space="preserve">In the mid-phase of the study (Weeks 4ÃƒÆ’Ã†â€™Ãƒâ€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5), the salinity levels of both treatments briefly converged at about 21.5 ppt in Week 4. This was followed by a notable divergence in Week 5, where Monoculture salinity increased sharply to approximately 24.0 ppt, while the IMTA system </w:t>
      </w:r>
      <w:r w:rsidRPr="009D634B">
        <w:rPr>
          <w:rFonts w:ascii="Times New Roman" w:hAnsi="Times New Roman" w:cs="Times New Roman"/>
        </w:rPr>
        <w:lastRenderedPageBreak/>
        <w:t>decreased to its lowest recorded value of about 20.9 ppt. Toward the end of the experiment (Week 7), salinity levels rose again in both treatments, with Monoculture remaining at around 24.0 ppt and IMTA increasing to approximately 23.0 ppt.</w:t>
      </w:r>
    </w:p>
    <w:p w14:paraId="169F8467" w14:textId="00A7183F" w:rsidR="009D634B" w:rsidRDefault="009D634B" w:rsidP="003A3148">
      <w:pPr>
        <w:spacing w:line="360" w:lineRule="auto"/>
        <w:rPr>
          <w:rFonts w:ascii="Times New Roman" w:hAnsi="Times New Roman" w:cs="Times New Roman"/>
        </w:rPr>
      </w:pPr>
      <w:r w:rsidRPr="009D634B">
        <w:rPr>
          <w:rFonts w:ascii="Times New Roman" w:hAnsi="Times New Roman" w:cs="Times New Roman"/>
        </w:rPr>
        <w:t>The variability in salinity was relatively low during the initial weeks but became significantly higher by Week 7, as indicated by the large error bars, suggesting increased fluctuations likely due to environmental influences or system instability. Overall, the IMTA system maintained comparatively lower salinity levels than the Monoculture treatment from Week 2 onwards, with the most pronounced difference observed in Week 5. This pattern suggests that the IMTA system may have a buffering effect on salinity changes, potentially due to the presence of multiple trophic components that help regulate the aquatic environment.</w:t>
      </w:r>
    </w:p>
    <w:p w14:paraId="03BB09B6" w14:textId="77777777" w:rsidR="009D634B" w:rsidRDefault="009D634B" w:rsidP="003A3148">
      <w:pPr>
        <w:spacing w:line="360" w:lineRule="auto"/>
        <w:rPr>
          <w:rFonts w:ascii="Times New Roman" w:hAnsi="Times New Roman" w:cs="Times New Roman"/>
        </w:rPr>
      </w:pPr>
    </w:p>
    <w:p w14:paraId="263830AF" w14:textId="77777777" w:rsidR="00DB44B4" w:rsidRDefault="00DB44B4" w:rsidP="003A3148">
      <w:pPr>
        <w:spacing w:line="360" w:lineRule="auto"/>
        <w:rPr>
          <w:rFonts w:ascii="Times New Roman" w:hAnsi="Times New Roman" w:cs="Times New Roman"/>
        </w:rPr>
      </w:pPr>
      <w:r>
        <w:rPr>
          <w:noProof/>
        </w:rPr>
        <w:drawing>
          <wp:inline distT="0" distB="0" distL="0" distR="0" wp14:anchorId="723EDFA0" wp14:editId="37BE1C86">
            <wp:extent cx="5943600" cy="3105785"/>
            <wp:effectExtent l="0" t="0" r="0" b="0"/>
            <wp:docPr id="657477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27CD8F40" w14:textId="22023E2E" w:rsidR="00DB44B4" w:rsidRPr="00097A79" w:rsidRDefault="009D634B" w:rsidP="003A3148">
      <w:pPr>
        <w:spacing w:line="360" w:lineRule="auto"/>
        <w:rPr>
          <w:rFonts w:ascii="Times New Roman" w:hAnsi="Times New Roman" w:cs="Times New Roman"/>
          <w:b/>
          <w:bCs/>
        </w:rPr>
      </w:pPr>
      <w:r>
        <w:t xml:space="preserve">Figure 16: Mean dissolved oxygen in IMTA and Monoculture treatments.</w:t>
      </w:r>
    </w:p>
    <w:p w14:paraId="184F42F6" w14:textId="77777777" w:rsidR="009D634B" w:rsidRPr="009D634B" w:rsidRDefault="009D634B" w:rsidP="009D634B">
      <w:pPr>
        <w:spacing w:line="360" w:lineRule="auto"/>
        <w:rPr>
          <w:rFonts w:ascii="Times New Roman" w:hAnsi="Times New Roman" w:cs="Times New Roman"/>
        </w:rPr>
      </w:pPr>
      <w:r w:rsidRPr="009D634B">
        <w:rPr>
          <w:rFonts w:ascii="Times New Roman" w:hAnsi="Times New Roman" w:cs="Times New Roman"/>
        </w:rPr>
        <w:t xml:space="preserve">The line graph illustrates the changes in dissolved oxygen (DO) levels (mg/L) over a seven-week period for Integrated Multi-Trophic Aquaculture (IMTA) and Monoculture treatments. At the beginning of the study (Week 1), the IMTA system recorded a higher DO level (approximately 5.9 mg/L) compared to the Monoculture system (around 4.9 mg/L). Both treatments then showed </w:t>
      </w:r>
      <w:r w:rsidRPr="009D634B">
        <w:rPr>
          <w:rFonts w:ascii="Times New Roman" w:hAnsi="Times New Roman" w:cs="Times New Roman"/>
        </w:rPr>
        <w:lastRenderedPageBreak/>
        <w:t>a sharp increase in DO by Week 2, reaching peak levels and remaining relatively stable through Week 3. During this peak phase, the Monoculture treatment exhibited slightly higher DO concentrations (approximately 8.1 mg/L) than IMTA (around 7.8 mg/L).</w:t>
      </w:r>
    </w:p>
    <w:p w14:paraId="33C88453" w14:textId="77777777" w:rsidR="009D634B" w:rsidRPr="009D634B" w:rsidRDefault="009D634B" w:rsidP="009D634B">
      <w:pPr>
        <w:spacing w:line="360" w:lineRule="auto"/>
        <w:rPr>
          <w:rFonts w:ascii="Times New Roman" w:hAnsi="Times New Roman" w:cs="Times New Roman"/>
        </w:rPr>
      </w:pPr>
      <w:r w:rsidRPr="009D634B">
        <w:rPr>
          <w:rFonts w:ascii="Times New Roman" w:hAnsi="Times New Roman" w:cs="Times New Roman"/>
        </w:rPr>
        <w:t>From Weeks 4 to 5, a gradual decline in dissolved oxygen was observed in both systems, with Monoculture consistently maintaining marginally higher DO levels than IMTA during this mid-study period (e.g., about 7.7 mg/L in Monoculture compared to 7.2 mg/L in IMTA at Week 5). Toward the end of the experiment (Week 7), DO levels decreased further in both treatments; however, the trend reversed, with the IMTA system recording a higher DO concentration (approximately 6.4 mg/L) than the Monoculture system (around 5.7 mg/L).</w:t>
      </w:r>
    </w:p>
    <w:p w14:paraId="3E4CC9AF" w14:textId="5FFB09F7" w:rsidR="00DB44B4" w:rsidRDefault="009D634B" w:rsidP="003A3148">
      <w:pPr>
        <w:spacing w:line="360" w:lineRule="auto"/>
        <w:rPr>
          <w:rFonts w:ascii="Times New Roman" w:hAnsi="Times New Roman" w:cs="Times New Roman"/>
        </w:rPr>
      </w:pPr>
      <w:r w:rsidRPr="009D634B">
        <w:rPr>
          <w:rFonts w:ascii="Times New Roman" w:hAnsi="Times New Roman" w:cs="Times New Roman"/>
        </w:rPr>
        <w:t>The variability, as indicated by the error bars, was notably higher in the Monoculture treatment during Weeks 2 and 3, suggesting less stability in oxygen levels compared to IMTA during the peak period. Overall, the results indicate that while Monoculture achieved slightly higher dissolved oxygen levels during the middle phase of the study, the IMTA system provided comparatively better and more stable oxygen conditions at both the initial and final stages of the experimental period.</w:t>
      </w:r>
    </w:p>
    <w:p w14:paraId="60DE3231" w14:textId="77777777" w:rsidR="00937810" w:rsidRPr="00937810" w:rsidRDefault="00937810" w:rsidP="00937810">
      <w:pPr>
        <w:rPr>
          <w:rFonts w:ascii="Times New Roman" w:hAnsi="Times New Roman" w:cs="Times New Roman"/>
        </w:rPr>
      </w:pPr>
    </w:p>
    <w:p w14:paraId="50A64852" w14:textId="22E20A67" w:rsidR="00DB44B4" w:rsidRDefault="00DB44B4" w:rsidP="003A3148">
      <w:pPr>
        <w:spacing w:line="360" w:lineRule="auto"/>
        <w:rPr>
          <w:rFonts w:ascii="Times New Roman" w:hAnsi="Times New Roman" w:cs="Times New Roman"/>
        </w:rPr>
      </w:pPr>
      <w:r>
        <w:rPr>
          <w:noProof/>
        </w:rPr>
        <w:drawing>
          <wp:inline distT="0" distB="0" distL="0" distR="0" wp14:anchorId="7115FF7F" wp14:editId="0901140B">
            <wp:extent cx="5943600" cy="3105785"/>
            <wp:effectExtent l="0" t="0" r="0" b="0"/>
            <wp:docPr id="240804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4E7D938E" w14:textId="4104F5D3" w:rsidR="00DB44B4" w:rsidRPr="00097A79" w:rsidRDefault="009D634B" w:rsidP="003A3148">
      <w:pPr>
        <w:spacing w:line="360" w:lineRule="auto"/>
        <w:rPr>
          <w:rFonts w:ascii="Times New Roman" w:hAnsi="Times New Roman" w:cs="Times New Roman"/>
          <w:b/>
          <w:bCs/>
        </w:rPr>
      </w:pPr>
      <w:r>
        <w:t xml:space="preserve">Figure 17: Mean conductivity in IMTA and Monoculture treatments.</w:t>
      </w:r>
    </w:p>
    <w:p w14:paraId="57DED440" w14:textId="77777777" w:rsidR="009D634B" w:rsidRDefault="009D634B" w:rsidP="003A3148">
      <w:pPr>
        <w:spacing w:line="360" w:lineRule="auto"/>
        <w:rPr>
          <w:rFonts w:ascii="Times New Roman" w:hAnsi="Times New Roman" w:cs="Times New Roman"/>
        </w:rPr>
      </w:pPr>
    </w:p>
    <w:p w14:paraId="22EDC278" w14:textId="77777777" w:rsidR="009D634B" w:rsidRPr="009D634B" w:rsidRDefault="009D634B" w:rsidP="009D634B">
      <w:pPr>
        <w:spacing w:line="360" w:lineRule="auto"/>
        <w:rPr>
          <w:rFonts w:ascii="Times New Roman" w:hAnsi="Times New Roman" w:cs="Times New Roman"/>
        </w:rPr>
      </w:pPr>
      <w:r w:rsidRPr="009D634B">
        <w:rPr>
          <w:rFonts w:ascii="Times New Roman" w:hAnsi="Times New Roman" w:cs="Times New Roman"/>
        </w:rPr>
        <w:t>The graph illustrates the changes in conductivity (measured in mS) over a seven-week period for two aquaculture treatments, Integrated Multi-Trophic Aquaculture (IMTA) and Monoculture. Overall, both treatments display a similar pattern of fluctuation, with an initial increase in conductivity from Week 1 to Week 2, followed by a relatively stable phase around Week 3, a gradual decline toward Week 5, and a sharp increase by Week 7. At the beginning of the experiment, both systems recorded similar conductivity levels (approximately 24.3 mS). However, from Week 2 onward, the Monoculture system consistently exhibited slightly higher conductivity values compared to the IMTA treatment.</w:t>
      </w:r>
    </w:p>
    <w:p w14:paraId="164A31B0" w14:textId="77777777" w:rsidR="009D634B" w:rsidRPr="009D634B" w:rsidRDefault="009D634B" w:rsidP="009D634B">
      <w:pPr>
        <w:spacing w:line="360" w:lineRule="auto"/>
        <w:rPr>
          <w:rFonts w:ascii="Times New Roman" w:hAnsi="Times New Roman" w:cs="Times New Roman"/>
        </w:rPr>
      </w:pPr>
      <w:r w:rsidRPr="009D634B">
        <w:rPr>
          <w:rFonts w:ascii="Times New Roman" w:hAnsi="Times New Roman" w:cs="Times New Roman"/>
        </w:rPr>
        <w:t xml:space="preserve">In terms of comparison, the difference between the two treatments became more noticeable during Weeks 2 and 3, as well as at Week 5, where IMTA maintained lower conductivity levels (e.g., around 24.4 mS in IMTA versus 25.0 mS in Monoculture at Week 5). Interestingly, both treatments converged at Week 4, recording nearly identical conductivity values of approximately 25.5 </w:t>
      </w:r>
      <w:proofErr w:type="spellStart"/>
      <w:r w:rsidRPr="009D634B">
        <w:rPr>
          <w:rFonts w:ascii="Times New Roman" w:hAnsi="Times New Roman" w:cs="Times New Roman"/>
        </w:rPr>
        <w:t>mS.</w:t>
      </w:r>
      <w:proofErr w:type="spellEnd"/>
      <w:r w:rsidRPr="009D634B">
        <w:rPr>
          <w:rFonts w:ascii="Times New Roman" w:hAnsi="Times New Roman" w:cs="Times New Roman"/>
        </w:rPr>
        <w:t xml:space="preserve"> Toward the end of the study, both systems showed a marked increase in conductivity, reaching their highest values at Week 7 (about 26.8 mS in IMTA and 27.8 mS in Monoculture), with a wider gap between the two treatments.</w:t>
      </w:r>
    </w:p>
    <w:p w14:paraId="7B26BD0E" w14:textId="3CBA3899" w:rsidR="00DB44B4" w:rsidRDefault="009D634B" w:rsidP="003A3148">
      <w:pPr>
        <w:spacing w:line="360" w:lineRule="auto"/>
        <w:rPr>
          <w:rFonts w:ascii="Times New Roman" w:hAnsi="Times New Roman" w:cs="Times New Roman"/>
        </w:rPr>
      </w:pPr>
      <w:r w:rsidRPr="009D634B">
        <w:rPr>
          <w:rFonts w:ascii="Times New Roman" w:hAnsi="Times New Roman" w:cs="Times New Roman"/>
        </w:rPr>
        <w:t>The variability in conductivity remained relatively low during the first five weeks, as indicated by smaller error bars, but increased substantially by Week 7, particularly in the Monoculture system, suggesting greater fluctuations in dissolved ion concentration at the later stage of the experiment. Overall, the consistently lower conductivity observed in the IMTA system during several weeks may indicate the influence of biological components, such as seaweed and sea cucumbers, in regulating dissolved ions. In contrast, the higher conductivity in the Monoculture system suggests less biological buffering, while the sharp increase and higher variability at Week 7 may reflect external environmental influences or cumulative system effects toward the end of the culture period.</w:t>
      </w:r>
    </w:p>
    <w:p w14:paraId="34C77E14" w14:textId="15B31591" w:rsidR="00065A4A" w:rsidRDefault="00DB44B4" w:rsidP="003A3148">
      <w:pPr>
        <w:spacing w:line="360" w:lineRule="auto"/>
        <w:rPr>
          <w:rFonts w:ascii="Times New Roman" w:hAnsi="Times New Roman" w:cs="Times New Roman"/>
        </w:rPr>
      </w:pPr>
      <w:r>
        <w:rPr>
          <w:noProof/>
        </w:rPr>
        <w:lastRenderedPageBreak/>
        <w:drawing>
          <wp:inline distT="0" distB="0" distL="0" distR="0" wp14:anchorId="73F7AD6F" wp14:editId="6573D8D1">
            <wp:extent cx="5943600" cy="3105785"/>
            <wp:effectExtent l="0" t="0" r="0" b="0"/>
            <wp:docPr id="11127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7F7DABE5" w14:textId="2AA665C8" w:rsidR="00065A4A" w:rsidRDefault="00065A4A" w:rsidP="003A3148">
      <w:pPr>
        <w:spacing w:line="360" w:lineRule="auto"/>
        <w:rPr>
          <w:rFonts w:ascii="Times New Roman" w:hAnsi="Times New Roman" w:cs="Times New Roman"/>
        </w:rPr>
      </w:pPr>
      <w:r>
        <w:t xml:space="preserve">Figure 18: Mean water temperature in IMTA and Monoculture treatments.</w:t>
      </w:r>
    </w:p>
    <w:p w14:paraId="25DBA812" w14:textId="77777777" w:rsidR="00065A4A" w:rsidRPr="00065A4A" w:rsidRDefault="00065A4A" w:rsidP="00065A4A">
      <w:pPr>
        <w:spacing w:line="360" w:lineRule="auto"/>
        <w:rPr>
          <w:rFonts w:ascii="Times New Roman" w:hAnsi="Times New Roman" w:cs="Times New Roman"/>
        </w:rPr>
      </w:pPr>
      <w:r w:rsidRPr="00065A4A">
        <w:rPr>
          <w:rFonts w:ascii="Times New Roman" w:hAnsi="Times New Roman" w:cs="Times New Roman"/>
        </w:rPr>
        <w:t>The line graph illustrates the weekly variation in water temperature (ÃƒÆ’Ã†â€™Ãƒâ€ Ã¢â‚¬â„¢ÃƒÆ’Ã¢â‚¬Â ÃƒÂ¢Ã¢â€šÂ¬Ã¢â€žÂ¢ÃƒÆ’Ã†â€™Ãƒâ€šÃ‚Â¢ÃƒÆ’Ã‚Â¢ÃƒÂ¢Ã¢â€šÂ¬Ã…Â¡Ãƒâ€šÃ‚Â¬ÃƒÆ’Ã¢â‚¬Â¦Ãƒâ€šÃ‚Â¡ÃƒÆ’Ã†â€™Ãƒâ€ Ã¢â‚¬â„¢ÃƒÆ’Ã‚Â¢ÃƒÂ¢Ã¢â‚¬Å¡Ã‚Â¬Ãƒâ€¦Ã‚Â¡ÃƒÆ’Ã†â€™ÃƒÂ¢Ã¢â€šÂ¬Ã…Â¡ÃƒÆ’Ã¢â‚¬Å¡Ãƒâ€šÃ‚Â°C) in two aquaculture systems, Integrated Multi-Trophic Aquaculture (IMTA) and Monoculture, over a seven-week period. Overall, both treatments exhibited a very similar pattern of fluctuation throughout the study. At the beginning (Week 1), water temperature was relatively high in both systems, with Monoculture showing a slightly higher value (approximately 28.7ÃƒÆ’Ã†â€™Ãƒâ€ Ã¢â‚¬â„¢ÃƒÆ’Ã¢â‚¬Â ÃƒÂ¢Ã¢â€šÂ¬Ã¢â€žÂ¢ÃƒÆ’Ã†â€™Ãƒâ€šÃ‚Â¢ÃƒÆ’Ã‚Â¢ÃƒÂ¢Ã¢â€šÂ¬Ã…Â¡Ãƒâ€šÃ‚Â¬ÃƒÆ’Ã¢â‚¬Â¦Ãƒâ€šÃ‚Â¡ÃƒÆ’Ã†â€™Ãƒâ€ Ã¢â‚¬â„¢ÃƒÆ’Ã‚Â¢ÃƒÂ¢Ã¢â‚¬Å¡Ã‚Â¬Ãƒâ€¦Ã‚Â¡ÃƒÆ’Ã†â€™ÃƒÂ¢Ã¢â€šÂ¬Ã…Â¡ÃƒÆ’Ã¢â‚¬Å¡Ãƒâ€šÃ‚Â°C) compared to IMTA (around 28.2ÃƒÆ’Ã†â€™Ãƒâ€ Ã¢â‚¬â„¢ÃƒÆ’Ã¢â‚¬Â ÃƒÂ¢Ã¢â€šÂ¬Ã¢â€žÂ¢ÃƒÆ’Ã†â€™Ãƒâ€šÃ‚Â¢ÃƒÆ’Ã‚Â¢ÃƒÂ¢Ã¢â€šÂ¬Ã…Â¡Ãƒâ€šÃ‚Â¬ÃƒÆ’Ã¢â‚¬Â¦Ãƒâ€šÃ‚Â¡ÃƒÆ’Ã†â€™Ãƒâ€ Ã¢â‚¬â„¢ÃƒÆ’Ã‚Â¢ÃƒÂ¢Ã¢â‚¬Å¡Ã‚Â¬Ãƒâ€¦Ã‚Â¡ÃƒÆ’Ã†â€™ÃƒÂ¢Ã¢â€šÂ¬Ã…Â¡ÃƒÆ’Ã¢â‚¬Å¡Ãƒâ€šÃ‚Â°C). From Week 1 to Week 4, a clear declining trend was observed in both treatments, reaching the lowest temperatures at Week 4 (about 25.9ÃƒÆ’Ã†â€™Ãƒâ€ Ã¢â‚¬â„¢ÃƒÆ’Ã¢â‚¬Â ÃƒÂ¢Ã¢â€šÂ¬Ã¢â€žÂ¢ÃƒÆ’Ã†â€™Ãƒâ€šÃ‚Â¢ÃƒÆ’Ã‚Â¢ÃƒÂ¢Ã¢â€šÂ¬Ã…Â¡Ãƒâ€šÃ‚Â¬ÃƒÆ’Ã¢â‚¬Â¦Ãƒâ€šÃ‚Â¡ÃƒÆ’Ã†â€™Ãƒâ€ Ã¢â‚¬â„¢ÃƒÆ’Ã‚Â¢ÃƒÂ¢Ã¢â‚¬Å¡Ã‚Â¬Ãƒâ€¦Ã‚Â¡ÃƒÆ’Ã†â€™ÃƒÂ¢Ã¢â€šÂ¬Ã…Â¡ÃƒÆ’Ã¢â‚¬Å¡Ãƒâ€šÃ‚Â°C in Monoculture and 25.7ÃƒÆ’Ã†â€™Ãƒâ€ Ã¢â‚¬â„¢ÃƒÆ’Ã¢â‚¬Â ÃƒÂ¢Ã¢â€šÂ¬Ã¢â€žÂ¢ÃƒÆ’Ã†â€™Ãƒâ€šÃ‚Â¢ÃƒÆ’Ã‚Â¢ÃƒÂ¢Ã¢â€šÂ¬Ã…Â¡Ãƒâ€šÃ‚Â¬ÃƒÆ’Ã¢â‚¬Â¦Ãƒâ€šÃ‚Â¡ÃƒÆ’Ã†â€™Ãƒâ€ Ã¢â‚¬â„¢ÃƒÆ’Ã‚Â¢ÃƒÂ¢Ã¢â‚¬Å¡Ã‚Â¬Ãƒâ€¦Ã‚Â¡ÃƒÆ’Ã†â€™ÃƒÂ¢Ã¢â€šÂ¬Ã…Â¡ÃƒÆ’Ã¢â‚¬Å¡Ãƒâ€šÃ‚Â°C in IMTA). Following this decline, temperatures increased sharply in Week 5 and then remained relatively stable through Weeks 6 and 7 at approximately 28.1ÃƒÆ’Ã†â€™Ãƒâ€ Ã¢â‚¬â„¢ÃƒÆ’Ã¢â‚¬Â ÃƒÂ¢Ã¢â€šÂ¬Ã¢â€žÂ¢ÃƒÆ’Ã†â€™Ãƒâ€šÃ‚Â¢ÃƒÆ’Ã‚Â¢ÃƒÂ¢Ã¢â€šÂ¬Ã…Â¡Ãƒâ€šÃ‚Â¬ÃƒÆ’Ã¢â‚¬Â¦Ãƒâ€šÃ‚Â¡ÃƒÆ’Ã†â€™Ãƒâ€ Ã¢â‚¬â„¢ÃƒÆ’Ã‚Â¢ÃƒÂ¢Ã¢â‚¬Å¡Ã‚Â¬Ãƒâ€¦Ã‚Â¡ÃƒÆ’Ã†â€™ÃƒÂ¢Ã¢â€šÂ¬Ã…Â¡ÃƒÆ’Ã¢â‚¬Å¡Ãƒâ€šÃ‚Â°C in both systems.</w:t>
      </w:r>
    </w:p>
    <w:p w14:paraId="524DC0EF" w14:textId="03D7512A" w:rsidR="00A01AF3" w:rsidRDefault="00065A4A" w:rsidP="003A3148">
      <w:pPr>
        <w:spacing w:line="360" w:lineRule="auto"/>
        <w:rPr>
          <w:rFonts w:ascii="Times New Roman" w:hAnsi="Times New Roman" w:cs="Times New Roman"/>
        </w:rPr>
      </w:pPr>
      <w:r w:rsidRPr="00065A4A">
        <w:rPr>
          <w:rFonts w:ascii="Times New Roman" w:hAnsi="Times New Roman" w:cs="Times New Roman"/>
        </w:rPr>
        <w:t xml:space="preserve">In terms of comparison, Monoculture consistently recorded marginally higher temperatures than IMTA during the first four weeks; however, this difference was minimal. From Week 5 onwards, the temperature values of both treatments converged, showing almost identical readings, indicating no meaningful difference between the systems during the later stage of the experiment. Additionally, the variability in temperature, as indicated by the error bars, was highest in Week 1, particularly in the Monoculture system, and gradually decreased over time, suggesting that temperature conditions became more stable as the experiment progressed. </w:t>
      </w:r>
      <w:r w:rsidRPr="00065A4A">
        <w:rPr>
          <w:rFonts w:ascii="Times New Roman" w:hAnsi="Times New Roman" w:cs="Times New Roman"/>
        </w:rPr>
        <w:lastRenderedPageBreak/>
        <w:t>Overall, the results indicate that both IMTA and Monoculture systems experienced similar environmental temperature changes, and by the end of the study period, there was no significant difference in water temperature between the two treatments.</w:t>
      </w:r>
    </w:p>
    <w:tbl>
      <w:tblPr>
        <w:tblStyle w:val="TableGrid"/>
        <w:tblW w:w="10705" w:type="dxa"/>
        <w:tblLayout w:type="fixed"/>
        <w:tblLook w:val="04A0" w:firstRow="1" w:lastRow="0" w:firstColumn="1" w:lastColumn="0" w:noHBand="0" w:noVBand="1"/>
      </w:tblPr>
      <w:tblGrid>
        <w:gridCol w:w="1525"/>
        <w:gridCol w:w="772"/>
        <w:gridCol w:w="1308"/>
        <w:gridCol w:w="1430"/>
        <w:gridCol w:w="1440"/>
        <w:gridCol w:w="1440"/>
        <w:gridCol w:w="1350"/>
        <w:gridCol w:w="1440"/>
      </w:tblGrid>
      <w:tr w:rsidR="00A01AF3" w14:paraId="05A95040" w14:textId="77777777" w:rsidTr="002B2169">
        <w:tc>
          <w:tcPr>
            <w:tcW w:w="1525" w:type="dxa"/>
          </w:tcPr>
          <w:p w14:paraId="4597FEB7" w14:textId="6431355A" w:rsidR="00A01AF3" w:rsidRDefault="00A01AF3" w:rsidP="003A3148">
            <w:pPr>
              <w:spacing w:line="360" w:lineRule="auto"/>
              <w:rPr>
                <w:rFonts w:ascii="Times New Roman" w:hAnsi="Times New Roman" w:cs="Times New Roman"/>
              </w:rPr>
            </w:pPr>
            <w:r w:rsidRPr="00A01AF3">
              <w:rPr>
                <w:rFonts w:ascii="Times New Roman" w:hAnsi="Times New Roman" w:cs="Times New Roman"/>
              </w:rPr>
              <w:t>Treatment</w:t>
            </w:r>
          </w:p>
        </w:tc>
        <w:tc>
          <w:tcPr>
            <w:tcW w:w="772" w:type="dxa"/>
          </w:tcPr>
          <w:p w14:paraId="73137C6F" w14:textId="6905D798" w:rsidR="00A01AF3" w:rsidRDefault="00A01AF3" w:rsidP="003A3148">
            <w:pPr>
              <w:spacing w:line="360" w:lineRule="auto"/>
              <w:rPr>
                <w:rFonts w:ascii="Times New Roman" w:hAnsi="Times New Roman" w:cs="Times New Roman"/>
              </w:rPr>
            </w:pPr>
            <w:r w:rsidRPr="00A01AF3">
              <w:rPr>
                <w:rFonts w:ascii="Times New Roman" w:hAnsi="Times New Roman" w:cs="Times New Roman"/>
              </w:rPr>
              <w:t>Week</w:t>
            </w:r>
          </w:p>
        </w:tc>
        <w:tc>
          <w:tcPr>
            <w:tcW w:w="1308" w:type="dxa"/>
          </w:tcPr>
          <w:p w14:paraId="4D9992E1" w14:textId="6A3CF510" w:rsidR="00A01AF3" w:rsidRDefault="00A01AF3" w:rsidP="003A3148">
            <w:pPr>
              <w:spacing w:line="360" w:lineRule="auto"/>
              <w:rPr>
                <w:rFonts w:ascii="Times New Roman" w:hAnsi="Times New Roman" w:cs="Times New Roman"/>
              </w:rPr>
            </w:pPr>
            <w:r w:rsidRPr="00A01AF3">
              <w:rPr>
                <w:rFonts w:ascii="Times New Roman" w:hAnsi="Times New Roman" w:cs="Times New Roman"/>
              </w:rPr>
              <w:t>pH (Mean ÃƒÆ’Ã†â€™Ãƒâ€ Ã¢â‚¬â„¢ÃƒÆ’Ã¢â‚¬Â ÃƒÂ¢Ã¢â€šÂ¬Ã¢â€žÂ¢ÃƒÆ’Ã†â€™Ãƒâ€šÃ‚Â¢ÃƒÆ’Ã‚Â¢ÃƒÂ¢Ã¢â€šÂ¬Ã…Â¡Ãƒâ€šÃ‚Â¬ÃƒÆ’Ã¢â‚¬Â¦Ãƒâ€šÃ‚Â¡ÃƒÆ’Ã†â€™Ãƒâ€ Ã¢â‚¬â„¢ÃƒÆ’Ã‚Â¢ÃƒÂ¢Ã¢â‚¬Å¡Ã‚Â¬Ãƒâ€¦Ã‚Â¡ÃƒÆ’Ã†â€™ÃƒÂ¢Ã¢â€šÂ¬Ã…Â¡ÃƒÆ’Ã¢â‚¬Å¡Ãƒâ€šÃ‚Â± SD)</w:t>
            </w:r>
          </w:p>
        </w:tc>
        <w:tc>
          <w:tcPr>
            <w:tcW w:w="1430" w:type="dxa"/>
          </w:tcPr>
          <w:p w14:paraId="17A49297" w14:textId="203A8F21" w:rsidR="00A01AF3" w:rsidRDefault="00A01AF3" w:rsidP="003A3148">
            <w:pPr>
              <w:spacing w:line="360" w:lineRule="auto"/>
              <w:rPr>
                <w:rFonts w:ascii="Times New Roman" w:hAnsi="Times New Roman" w:cs="Times New Roman"/>
              </w:rPr>
            </w:pPr>
            <w:r w:rsidRPr="00A01AF3">
              <w:rPr>
                <w:rFonts w:ascii="Times New Roman" w:hAnsi="Times New Roman" w:cs="Times New Roman"/>
              </w:rPr>
              <w:t>Salinity (ppt)</w:t>
            </w:r>
          </w:p>
        </w:tc>
        <w:tc>
          <w:tcPr>
            <w:tcW w:w="1440" w:type="dxa"/>
          </w:tcPr>
          <w:p w14:paraId="1F985DF5" w14:textId="0E1B9B93" w:rsidR="00A01AF3" w:rsidRDefault="00A01AF3" w:rsidP="003A3148">
            <w:pPr>
              <w:spacing w:line="360" w:lineRule="auto"/>
              <w:rPr>
                <w:rFonts w:ascii="Times New Roman" w:hAnsi="Times New Roman" w:cs="Times New Roman"/>
              </w:rPr>
            </w:pPr>
            <w:r w:rsidRPr="00A01AF3">
              <w:rPr>
                <w:rFonts w:ascii="Times New Roman" w:hAnsi="Times New Roman" w:cs="Times New Roman"/>
              </w:rPr>
              <w:t>TDS (mg/L)</w:t>
            </w:r>
          </w:p>
        </w:tc>
        <w:tc>
          <w:tcPr>
            <w:tcW w:w="1440" w:type="dxa"/>
          </w:tcPr>
          <w:p w14:paraId="33595533" w14:textId="0ACF3677" w:rsidR="00A01AF3" w:rsidRDefault="00A01AF3" w:rsidP="003A3148">
            <w:pPr>
              <w:spacing w:line="360" w:lineRule="auto"/>
              <w:rPr>
                <w:rFonts w:ascii="Times New Roman" w:hAnsi="Times New Roman" w:cs="Times New Roman"/>
              </w:rPr>
            </w:pPr>
            <w:r w:rsidRPr="00A01AF3">
              <w:rPr>
                <w:rFonts w:ascii="Times New Roman" w:hAnsi="Times New Roman" w:cs="Times New Roman"/>
              </w:rPr>
              <w:t>Temperature (ÃƒÆ’Ã†â€™Ãƒâ€ Ã¢â‚¬â„¢ÃƒÆ’Ã¢â‚¬Â ÃƒÂ¢Ã¢â€šÂ¬Ã¢â€žÂ¢ÃƒÆ’Ã†â€™Ãƒâ€šÃ‚Â¢ÃƒÆ’Ã‚Â¢ÃƒÂ¢Ã¢â€šÂ¬Ã…Â¡Ãƒâ€šÃ‚Â¬ÃƒÆ’Ã¢â‚¬Â¦Ãƒâ€šÃ‚Â¡ÃƒÆ’Ã†â€™Ãƒâ€ Ã¢â‚¬â„¢ÃƒÆ’Ã‚Â¢ÃƒÂ¢Ã¢â‚¬Å¡Ã‚Â¬Ãƒâ€¦Ã‚Â¡ÃƒÆ’Ã†â€™ÃƒÂ¢Ã¢â€šÂ¬Ã…Â¡ÃƒÆ’Ã¢â‚¬Å¡Ãƒâ€šÃ‚Â°C)</w:t>
            </w:r>
          </w:p>
        </w:tc>
        <w:tc>
          <w:tcPr>
            <w:tcW w:w="1350" w:type="dxa"/>
          </w:tcPr>
          <w:p w14:paraId="05264D2A" w14:textId="3C9AA3DC" w:rsidR="00A01AF3" w:rsidRDefault="00A01AF3" w:rsidP="003A3148">
            <w:pPr>
              <w:spacing w:line="360" w:lineRule="auto"/>
              <w:rPr>
                <w:rFonts w:ascii="Times New Roman" w:hAnsi="Times New Roman" w:cs="Times New Roman"/>
              </w:rPr>
            </w:pPr>
            <w:r w:rsidRPr="00A01AF3">
              <w:rPr>
                <w:rFonts w:ascii="Times New Roman" w:hAnsi="Times New Roman" w:cs="Times New Roman"/>
              </w:rPr>
              <w:t>DO (mg/L)</w:t>
            </w:r>
          </w:p>
        </w:tc>
        <w:tc>
          <w:tcPr>
            <w:tcW w:w="1440" w:type="dxa"/>
          </w:tcPr>
          <w:p w14:paraId="296AEA40" w14:textId="4A62DB0B" w:rsidR="00A01AF3" w:rsidRDefault="00A01AF3" w:rsidP="003A3148">
            <w:pPr>
              <w:spacing w:line="360" w:lineRule="auto"/>
              <w:rPr>
                <w:rFonts w:ascii="Times New Roman" w:hAnsi="Times New Roman" w:cs="Times New Roman"/>
              </w:rPr>
            </w:pPr>
            <w:r w:rsidRPr="00A01AF3">
              <w:rPr>
                <w:rFonts w:ascii="Times New Roman" w:hAnsi="Times New Roman" w:cs="Times New Roman"/>
              </w:rPr>
              <w:t>Conductivity (mS/cm)</w:t>
            </w:r>
          </w:p>
        </w:tc>
      </w:tr>
      <w:tr w:rsidR="00A01AF3" w14:paraId="517C161E" w14:textId="77777777" w:rsidTr="002B2169">
        <w:tc>
          <w:tcPr>
            <w:tcW w:w="1525" w:type="dxa"/>
          </w:tcPr>
          <w:p>
            <w:r>
              <w:t xml:space="preserve">IMTA</w:t>
            </w:r>
          </w:p>
        </w:tc>
        <w:tc>
          <w:tcPr>
            <w:tcW w:w="772" w:type="dxa"/>
          </w:tcPr>
          <w:p>
            <w:r>
              <w:t xml:space="preserve">2</w:t>
            </w:r>
          </w:p>
        </w:tc>
        <w:tc>
          <w:tcPr>
            <w:tcW w:w="1308" w:type="dxa"/>
          </w:tcPr>
          <w:p>
            <w:r>
              <w:t xml:space="preserve">8.19</w:t>
            </w:r>
          </w:p>
        </w:tc>
        <w:tc>
          <w:tcPr>
            <w:tcW w:w="1430" w:type="dxa"/>
          </w:tcPr>
          <w:p>
            <w:r>
              <w:t xml:space="preserve">20.66</w:t>
            </w:r>
          </w:p>
        </w:tc>
        <w:tc>
          <w:tcPr>
            <w:tcW w:w="1440" w:type="dxa"/>
          </w:tcPr>
          <w:p>
            <w:r>
              <w:t xml:space="preserve">16.51</w:t>
            </w:r>
          </w:p>
        </w:tc>
        <w:tc>
          <w:tcPr>
            <w:tcW w:w="1440" w:type="dxa"/>
          </w:tcPr>
          <w:p>
            <w:r>
              <w:t xml:space="preserve">28.20</w:t>
            </w:r>
          </w:p>
        </w:tc>
        <w:tc>
          <w:tcPr>
            <w:tcW w:w="1350" w:type="dxa"/>
          </w:tcPr>
          <w:p>
            <w:r>
              <w:t xml:space="preserve">5.90</w:t>
            </w:r>
          </w:p>
        </w:tc>
        <w:tc>
          <w:tcPr>
            <w:tcW w:w="1440" w:type="dxa"/>
          </w:tcPr>
          <w:p>
            <w:r>
              <w:t xml:space="preserve">24.33</w:t>
            </w:r>
          </w:p>
        </w:tc>
      </w:tr>
      <w:tr w:rsidR="00A01AF3" w14:paraId="2B2CF953" w14:textId="77777777" w:rsidTr="002B2169">
        <w:tc>
          <w:tcPr>
            <w:tcW w:w="1525" w:type="dxa"/>
          </w:tcPr>
          <w:p>
            <w:r>
              <w:t xml:space="preserve">IMTA</w:t>
            </w:r>
          </w:p>
        </w:tc>
        <w:tc>
          <w:tcPr>
            <w:tcW w:w="772" w:type="dxa"/>
          </w:tcPr>
          <w:p>
            <w:r>
              <w:t xml:space="preserve">3</w:t>
            </w:r>
          </w:p>
        </w:tc>
        <w:tc>
          <w:tcPr>
            <w:tcW w:w="1308" w:type="dxa"/>
          </w:tcPr>
          <w:p>
            <w:r>
              <w:t xml:space="preserve">8.20</w:t>
            </w:r>
          </w:p>
        </w:tc>
        <w:tc>
          <w:tcPr>
            <w:tcW w:w="1430" w:type="dxa"/>
          </w:tcPr>
          <w:p>
            <w:r>
              <w:t xml:space="preserve">22.90</w:t>
            </w:r>
          </w:p>
        </w:tc>
        <w:tc>
          <w:tcPr>
            <w:tcW w:w="1440" w:type="dxa"/>
          </w:tcPr>
          <w:p>
            <w:r>
              <w:t xml:space="preserve">18.13</w:t>
            </w:r>
          </w:p>
        </w:tc>
        <w:tc>
          <w:tcPr>
            <w:tcW w:w="1440" w:type="dxa"/>
          </w:tcPr>
          <w:p>
            <w:r>
              <w:t xml:space="preserve">26.37</w:t>
            </w:r>
          </w:p>
        </w:tc>
        <w:tc>
          <w:tcPr>
            <w:tcW w:w="1350" w:type="dxa"/>
          </w:tcPr>
          <w:p>
            <w:r>
              <w:t xml:space="preserve">7.79</w:t>
            </w:r>
          </w:p>
        </w:tc>
        <w:tc>
          <w:tcPr>
            <w:tcW w:w="1440" w:type="dxa"/>
          </w:tcPr>
          <w:p>
            <w:r>
              <w:t xml:space="preserve">26.67</w:t>
            </w:r>
          </w:p>
        </w:tc>
      </w:tr>
      <w:tr w:rsidR="00A01AF3" w14:paraId="44E5E98E" w14:textId="77777777" w:rsidTr="002B2169">
        <w:tc>
          <w:tcPr>
            <w:tcW w:w="1525" w:type="dxa"/>
          </w:tcPr>
          <w:p>
            <w:r>
              <w:t xml:space="preserve">IMTA</w:t>
            </w:r>
          </w:p>
        </w:tc>
        <w:tc>
          <w:tcPr>
            <w:tcW w:w="772" w:type="dxa"/>
          </w:tcPr>
          <w:p>
            <w:r>
              <w:t xml:space="preserve">4</w:t>
            </w:r>
          </w:p>
        </w:tc>
        <w:tc>
          <w:tcPr>
            <w:tcW w:w="1308" w:type="dxa"/>
          </w:tcPr>
          <w:p>
            <w:r>
              <w:t xml:space="preserve">8.35</w:t>
            </w:r>
          </w:p>
        </w:tc>
        <w:tc>
          <w:tcPr>
            <w:tcW w:w="1430" w:type="dxa"/>
          </w:tcPr>
          <w:p>
            <w:r>
              <w:t xml:space="preserve">21.77</w:t>
            </w:r>
          </w:p>
        </w:tc>
        <w:tc>
          <w:tcPr>
            <w:tcW w:w="1440" w:type="dxa"/>
          </w:tcPr>
          <w:p>
            <w:r>
              <w:t xml:space="preserve">17.32</w:t>
            </w:r>
          </w:p>
        </w:tc>
        <w:tc>
          <w:tcPr>
            <w:tcW w:w="1440" w:type="dxa"/>
          </w:tcPr>
          <w:p>
            <w:r>
              <w:t xml:space="preserve">25.67</w:t>
            </w:r>
          </w:p>
        </w:tc>
        <w:tc>
          <w:tcPr>
            <w:tcW w:w="1350" w:type="dxa"/>
          </w:tcPr>
          <w:p>
            <w:r>
              <w:t xml:space="preserve">7.08</w:t>
            </w:r>
          </w:p>
        </w:tc>
        <w:tc>
          <w:tcPr>
            <w:tcW w:w="1440" w:type="dxa"/>
          </w:tcPr>
          <w:p>
            <w:r>
              <w:t xml:space="preserve">25.47</w:t>
            </w:r>
          </w:p>
        </w:tc>
      </w:tr>
      <w:tr w:rsidR="00A01AF3" w14:paraId="51E8E2A9" w14:textId="77777777" w:rsidTr="002B2169">
        <w:tc>
          <w:tcPr>
            <w:tcW w:w="1525" w:type="dxa"/>
          </w:tcPr>
          <w:p>
            <w:r>
              <w:t xml:space="preserve">IMTA</w:t>
            </w:r>
          </w:p>
        </w:tc>
        <w:tc>
          <w:tcPr>
            <w:tcW w:w="772" w:type="dxa"/>
          </w:tcPr>
          <w:p>
            <w:r>
              <w:t xml:space="preserve">5</w:t>
            </w:r>
          </w:p>
        </w:tc>
        <w:tc>
          <w:tcPr>
            <w:tcW w:w="1308" w:type="dxa"/>
          </w:tcPr>
          <w:p>
            <w:r>
              <w:t xml:space="preserve">8.12</w:t>
            </w:r>
          </w:p>
        </w:tc>
        <w:tc>
          <w:tcPr>
            <w:tcW w:w="1430" w:type="dxa"/>
          </w:tcPr>
          <w:p>
            <w:r>
              <w:t xml:space="preserve">20.94</w:t>
            </w:r>
          </w:p>
        </w:tc>
        <w:tc>
          <w:tcPr>
            <w:tcW w:w="1440" w:type="dxa"/>
          </w:tcPr>
          <w:p>
            <w:r>
              <w:t xml:space="preserve">16.66</w:t>
            </w:r>
          </w:p>
        </w:tc>
        <w:tc>
          <w:tcPr>
            <w:tcW w:w="1440" w:type="dxa"/>
          </w:tcPr>
          <w:p>
            <w:r>
              <w:t xml:space="preserve">28.23</w:t>
            </w:r>
          </w:p>
        </w:tc>
        <w:tc>
          <w:tcPr>
            <w:tcW w:w="1350" w:type="dxa"/>
          </w:tcPr>
          <w:p>
            <w:r>
              <w:t xml:space="preserve">7.22</w:t>
            </w:r>
          </w:p>
        </w:tc>
        <w:tc>
          <w:tcPr>
            <w:tcW w:w="1440" w:type="dxa"/>
          </w:tcPr>
          <w:p>
            <w:r>
              <w:t xml:space="preserve">24.33</w:t>
            </w:r>
          </w:p>
        </w:tc>
      </w:tr>
      <w:tr w:rsidR="00A01AF3" w14:paraId="3E1F5878" w14:textId="77777777" w:rsidTr="002B2169">
        <w:tc>
          <w:tcPr>
            <w:tcW w:w="1525" w:type="dxa"/>
          </w:tcPr>
          <w:p>
            <w:r>
              <w:t xml:space="preserve">IMTA</w:t>
            </w:r>
          </w:p>
        </w:tc>
        <w:tc>
          <w:tcPr>
            <w:tcW w:w="772" w:type="dxa"/>
          </w:tcPr>
          <w:p>
            <w:r>
              <w:t xml:space="preserve">7</w:t>
            </w:r>
          </w:p>
        </w:tc>
        <w:tc>
          <w:tcPr>
            <w:tcW w:w="1308" w:type="dxa"/>
          </w:tcPr>
          <w:p>
            <w:r>
              <w:t xml:space="preserve">8.22</w:t>
            </w:r>
          </w:p>
        </w:tc>
        <w:tc>
          <w:tcPr>
            <w:tcW w:w="1430" w:type="dxa"/>
          </w:tcPr>
          <w:p>
            <w:r>
              <w:t xml:space="preserve">23.00</w:t>
            </w:r>
          </w:p>
        </w:tc>
        <w:tc>
          <w:tcPr>
            <w:tcW w:w="1440" w:type="dxa"/>
          </w:tcPr>
          <w:p>
            <w:r>
              <w:t xml:space="preserve">18.18</w:t>
            </w:r>
          </w:p>
        </w:tc>
        <w:tc>
          <w:tcPr>
            <w:tcW w:w="1440" w:type="dxa"/>
          </w:tcPr>
          <w:p>
            <w:r>
              <w:t xml:space="preserve">28.10</w:t>
            </w:r>
          </w:p>
        </w:tc>
        <w:tc>
          <w:tcPr>
            <w:tcW w:w="1350" w:type="dxa"/>
          </w:tcPr>
          <w:p>
            <w:r>
              <w:t xml:space="preserve">6.39</w:t>
            </w:r>
          </w:p>
        </w:tc>
        <w:tc>
          <w:tcPr>
            <w:tcW w:w="1440" w:type="dxa"/>
          </w:tcPr>
          <w:p>
            <w:r>
              <w:t xml:space="preserve">26.73</w:t>
            </w:r>
          </w:p>
        </w:tc>
      </w:tr>
      <w:tr w:rsidR="00A01AF3" w14:paraId="62751DB0" w14:textId="77777777" w:rsidTr="002B2169">
        <w:tc>
          <w:tcPr>
            <w:tcW w:w="1525" w:type="dxa"/>
          </w:tcPr>
          <w:p>
            <w:r>
              <w:t xml:space="preserve">Monoculture</w:t>
            </w:r>
          </w:p>
        </w:tc>
        <w:tc>
          <w:tcPr>
            <w:tcW w:w="772" w:type="dxa"/>
          </w:tcPr>
          <w:p>
            <w:r>
              <w:t xml:space="preserve">2</w:t>
            </w:r>
          </w:p>
        </w:tc>
        <w:tc>
          <w:tcPr>
            <w:tcW w:w="1308" w:type="dxa"/>
          </w:tcPr>
          <w:p>
            <w:r>
              <w:t xml:space="preserve">8.15</w:t>
            </w:r>
          </w:p>
        </w:tc>
        <w:tc>
          <w:tcPr>
            <w:tcW w:w="1430" w:type="dxa"/>
          </w:tcPr>
          <w:p>
            <w:r>
              <w:t xml:space="preserve">20.64</w:t>
            </w:r>
          </w:p>
        </w:tc>
        <w:tc>
          <w:tcPr>
            <w:tcW w:w="1440" w:type="dxa"/>
          </w:tcPr>
          <w:p>
            <w:r>
              <w:t xml:space="preserve">16.51</w:t>
            </w:r>
          </w:p>
        </w:tc>
        <w:tc>
          <w:tcPr>
            <w:tcW w:w="1440" w:type="dxa"/>
          </w:tcPr>
          <w:p>
            <w:r>
              <w:t xml:space="preserve">28.67</w:t>
            </w:r>
          </w:p>
        </w:tc>
        <w:tc>
          <w:tcPr>
            <w:tcW w:w="1350" w:type="dxa"/>
          </w:tcPr>
          <w:p>
            <w:r>
              <w:t xml:space="preserve">4.89</w:t>
            </w:r>
          </w:p>
        </w:tc>
        <w:tc>
          <w:tcPr>
            <w:tcW w:w="1440" w:type="dxa"/>
          </w:tcPr>
          <w:p>
            <w:r>
              <w:t xml:space="preserve">24.27</w:t>
            </w:r>
          </w:p>
        </w:tc>
      </w:tr>
      <w:tr w:rsidR="00A01AF3" w14:paraId="3D471B6E" w14:textId="77777777" w:rsidTr="002B2169">
        <w:tc>
          <w:tcPr>
            <w:tcW w:w="1525" w:type="dxa"/>
          </w:tcPr>
          <w:p>
            <w:r>
              <w:t xml:space="preserve">Monoculture</w:t>
            </w:r>
          </w:p>
        </w:tc>
        <w:tc>
          <w:tcPr>
            <w:tcW w:w="772" w:type="dxa"/>
          </w:tcPr>
          <w:p>
            <w:r>
              <w:t xml:space="preserve">3</w:t>
            </w:r>
          </w:p>
        </w:tc>
        <w:tc>
          <w:tcPr>
            <w:tcW w:w="1308" w:type="dxa"/>
          </w:tcPr>
          <w:p>
            <w:r>
              <w:t xml:space="preserve">8.23</w:t>
            </w:r>
          </w:p>
        </w:tc>
        <w:tc>
          <w:tcPr>
            <w:tcW w:w="1430" w:type="dxa"/>
          </w:tcPr>
          <w:p>
            <w:r>
              <w:t xml:space="preserve">23.53</w:t>
            </w:r>
          </w:p>
        </w:tc>
        <w:tc>
          <w:tcPr>
            <w:tcW w:w="1440" w:type="dxa"/>
          </w:tcPr>
          <w:p>
            <w:r>
              <w:t xml:space="preserve">18.58</w:t>
            </w:r>
          </w:p>
        </w:tc>
        <w:tc>
          <w:tcPr>
            <w:tcW w:w="1440" w:type="dxa"/>
          </w:tcPr>
          <w:p>
            <w:r>
              <w:t xml:space="preserve">26.60</w:t>
            </w:r>
          </w:p>
        </w:tc>
        <w:tc>
          <w:tcPr>
            <w:tcW w:w="1350" w:type="dxa"/>
          </w:tcPr>
          <w:p>
            <w:r>
              <w:t xml:space="preserve">8.05</w:t>
            </w:r>
          </w:p>
        </w:tc>
        <w:tc>
          <w:tcPr>
            <w:tcW w:w="1440" w:type="dxa"/>
          </w:tcPr>
          <w:p>
            <w:r>
              <w:t xml:space="preserve">27.33</w:t>
            </w:r>
          </w:p>
        </w:tc>
      </w:tr>
      <w:tr w:rsidR="00A01AF3" w14:paraId="6ADBD113" w14:textId="77777777" w:rsidTr="002B2169">
        <w:tc>
          <w:tcPr>
            <w:tcW w:w="1525" w:type="dxa"/>
          </w:tcPr>
          <w:p>
            <w:r>
              <w:t xml:space="preserve">Monoculture</w:t>
            </w:r>
          </w:p>
        </w:tc>
        <w:tc>
          <w:tcPr>
            <w:tcW w:w="772" w:type="dxa"/>
          </w:tcPr>
          <w:p>
            <w:r>
              <w:t xml:space="preserve">4</w:t>
            </w:r>
          </w:p>
        </w:tc>
        <w:tc>
          <w:tcPr>
            <w:tcW w:w="1308" w:type="dxa"/>
          </w:tcPr>
          <w:p>
            <w:r>
              <w:t xml:space="preserve">8.37</w:t>
            </w:r>
          </w:p>
        </w:tc>
        <w:tc>
          <w:tcPr>
            <w:tcW w:w="1430" w:type="dxa"/>
          </w:tcPr>
          <w:p>
            <w:r>
              <w:t xml:space="preserve">21.76</w:t>
            </w:r>
          </w:p>
        </w:tc>
        <w:tc>
          <w:tcPr>
            <w:tcW w:w="1440" w:type="dxa"/>
          </w:tcPr>
          <w:p>
            <w:r>
              <w:t xml:space="preserve">17.31</w:t>
            </w:r>
          </w:p>
        </w:tc>
        <w:tc>
          <w:tcPr>
            <w:tcW w:w="1440" w:type="dxa"/>
          </w:tcPr>
          <w:p>
            <w:r>
              <w:t xml:space="preserve">25.90</w:t>
            </w:r>
          </w:p>
        </w:tc>
        <w:tc>
          <w:tcPr>
            <w:tcW w:w="1350" w:type="dxa"/>
          </w:tcPr>
          <w:p>
            <w:r>
              <w:t xml:space="preserve">7.64</w:t>
            </w:r>
          </w:p>
        </w:tc>
        <w:tc>
          <w:tcPr>
            <w:tcW w:w="1440" w:type="dxa"/>
          </w:tcPr>
          <w:p>
            <w:r>
              <w:t xml:space="preserve">25.47</w:t>
            </w:r>
          </w:p>
        </w:tc>
      </w:tr>
      <w:tr w:rsidR="00A01AF3" w14:paraId="727BEE12" w14:textId="77777777" w:rsidTr="002B2169">
        <w:tc>
          <w:tcPr>
            <w:tcW w:w="1525" w:type="dxa"/>
          </w:tcPr>
          <w:p>
            <w:r>
              <w:t xml:space="preserve">Monoculture</w:t>
            </w:r>
          </w:p>
        </w:tc>
        <w:tc>
          <w:tcPr>
            <w:tcW w:w="772" w:type="dxa"/>
          </w:tcPr>
          <w:p>
            <w:r>
              <w:t xml:space="preserve">5</w:t>
            </w:r>
          </w:p>
        </w:tc>
        <w:tc>
          <w:tcPr>
            <w:tcW w:w="1308" w:type="dxa"/>
          </w:tcPr>
          <w:p>
            <w:r>
              <w:t xml:space="preserve">8.23</w:t>
            </w:r>
          </w:p>
        </w:tc>
        <w:tc>
          <w:tcPr>
            <w:tcW w:w="1430" w:type="dxa"/>
          </w:tcPr>
          <w:p>
            <w:r>
              <w:t xml:space="preserve">21.34</w:t>
            </w:r>
          </w:p>
        </w:tc>
        <w:tc>
          <w:tcPr>
            <w:tcW w:w="1440" w:type="dxa"/>
          </w:tcPr>
          <w:p>
            <w:r>
              <w:t xml:space="preserve">16.99</w:t>
            </w:r>
          </w:p>
        </w:tc>
        <w:tc>
          <w:tcPr>
            <w:tcW w:w="1440" w:type="dxa"/>
          </w:tcPr>
          <w:p>
            <w:r>
              <w:t xml:space="preserve">28.10</w:t>
            </w:r>
          </w:p>
        </w:tc>
        <w:tc>
          <w:tcPr>
            <w:tcW w:w="1350" w:type="dxa"/>
          </w:tcPr>
          <w:p>
            <w:r>
              <w:t xml:space="preserve">7.68</w:t>
            </w:r>
          </w:p>
        </w:tc>
        <w:tc>
          <w:tcPr>
            <w:tcW w:w="1440" w:type="dxa"/>
          </w:tcPr>
          <w:p>
            <w:r>
              <w:t xml:space="preserve">25.00</w:t>
            </w:r>
          </w:p>
        </w:tc>
      </w:tr>
      <w:tr w:rsidR="00A01AF3" w14:paraId="206E441E" w14:textId="77777777" w:rsidTr="002B2169">
        <w:tc>
          <w:tcPr>
            <w:tcW w:w="1525" w:type="dxa"/>
          </w:tcPr>
          <w:p>
            <w:r>
              <w:t xml:space="preserve">Monoculture</w:t>
            </w:r>
          </w:p>
        </w:tc>
        <w:tc>
          <w:tcPr>
            <w:tcW w:w="772" w:type="dxa"/>
          </w:tcPr>
          <w:p>
            <w:r>
              <w:t xml:space="preserve">7</w:t>
            </w:r>
          </w:p>
        </w:tc>
        <w:tc>
          <w:tcPr>
            <w:tcW w:w="1308" w:type="dxa"/>
          </w:tcPr>
          <w:p>
            <w:r>
              <w:t xml:space="preserve">8.24</w:t>
            </w:r>
          </w:p>
        </w:tc>
        <w:tc>
          <w:tcPr>
            <w:tcW w:w="1430" w:type="dxa"/>
          </w:tcPr>
          <w:p>
            <w:r>
              <w:t xml:space="preserve">24.02</w:t>
            </w:r>
          </w:p>
        </w:tc>
        <w:tc>
          <w:tcPr>
            <w:tcW w:w="1440" w:type="dxa"/>
          </w:tcPr>
          <w:p>
            <w:r>
              <w:t xml:space="preserve">18.93</w:t>
            </w:r>
          </w:p>
        </w:tc>
        <w:tc>
          <w:tcPr>
            <w:tcW w:w="1440" w:type="dxa"/>
          </w:tcPr>
          <w:p>
            <w:r>
              <w:t xml:space="preserve">28.10</w:t>
            </w:r>
          </w:p>
        </w:tc>
        <w:tc>
          <w:tcPr>
            <w:tcW w:w="1350" w:type="dxa"/>
          </w:tcPr>
          <w:p>
            <w:r>
              <w:t xml:space="preserve">5.71</w:t>
            </w:r>
          </w:p>
        </w:tc>
        <w:tc>
          <w:tcPr>
            <w:tcW w:w="1440" w:type="dxa"/>
          </w:tcPr>
          <w:p>
            <w:r>
              <w:t xml:space="preserve">27.80</w:t>
            </w:r>
          </w:p>
        </w:tc>
      </w:tr>
    </w:tbl>
    <w:p w14:paraId="7EB5C111" w14:textId="77777777" w:rsidR="00A01AF3" w:rsidRDefault="00A01AF3" w:rsidP="003A3148">
      <w:pPr>
        <w:spacing w:line="360" w:lineRule="auto"/>
        <w:rPr>
          <w:rFonts w:ascii="Times New Roman" w:hAnsi="Times New Roman" w:cs="Times New Roman"/>
        </w:rPr>
      </w:pPr>
    </w:p>
    <w:p w14:paraId="6A8C9678" w14:textId="4A232F82" w:rsidR="00A01AF3" w:rsidRPr="00515E4D" w:rsidRDefault="00937810" w:rsidP="003A3148">
      <w:pPr>
        <w:spacing w:line="360" w:lineRule="auto"/>
        <w:rPr>
          <w:rFonts w:ascii="Times New Roman" w:hAnsi="Times New Roman" w:cs="Times New Roman"/>
          <w:b/>
          <w:bCs/>
        </w:rPr>
      </w:pPr>
      <w:r w:rsidRPr="00515E4D">
        <w:rPr>
          <w:rFonts w:ascii="Times New Roman" w:hAnsi="Times New Roman" w:cs="Times New Roman"/>
          <w:b/>
          <w:bCs/>
        </w:rPr>
        <w:t xml:space="preserve">Table : </w:t>
      </w:r>
      <w:r w:rsidR="00515E4D" w:rsidRPr="00515E4D">
        <w:rPr>
          <w:rFonts w:ascii="Times New Roman" w:hAnsi="Times New Roman" w:cs="Times New Roman"/>
          <w:b/>
          <w:bCs/>
        </w:rPr>
        <w:t xml:space="preserve">Summary of </w:t>
      </w:r>
      <w:proofErr w:type="spellStart"/>
      <w:r w:rsidR="00515E4D" w:rsidRPr="00515E4D">
        <w:rPr>
          <w:rFonts w:ascii="Times New Roman" w:hAnsi="Times New Roman" w:cs="Times New Roman"/>
          <w:b/>
          <w:bCs/>
        </w:rPr>
        <w:t>Physico</w:t>
      </w:r>
      <w:proofErr w:type="spellEnd"/>
      <w:r w:rsidR="00515E4D" w:rsidRPr="00515E4D">
        <w:rPr>
          <w:rFonts w:ascii="Times New Roman" w:hAnsi="Times New Roman" w:cs="Times New Roman"/>
          <w:b/>
          <w:bCs/>
        </w:rPr>
        <w:t>-Chemical Water Quality Parameters</w:t>
      </w:r>
    </w:p>
    <w:p w14:paraId="1675FD4C"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t xml:space="preserve">The provided data summarizes the </w:t>
      </w:r>
      <w:proofErr w:type="spellStart"/>
      <w:r w:rsidRPr="00937810">
        <w:rPr>
          <w:rFonts w:ascii="Times New Roman" w:hAnsi="Times New Roman" w:cs="Times New Roman"/>
        </w:rPr>
        <w:t>physico</w:t>
      </w:r>
      <w:proofErr w:type="spellEnd"/>
      <w:r w:rsidRPr="00937810">
        <w:rPr>
          <w:rFonts w:ascii="Times New Roman" w:hAnsi="Times New Roman" w:cs="Times New Roman"/>
        </w:rPr>
        <w:t>-chemical water quality parameters for IMTA (Integrated Multi-Trophic Aquaculture) and Monoculture treatments over a seven-week experimental period. Overall, both systems exhibited similar temporal patterns in temperature and pH, indicating that basic physical parameters followed the same environmental fluctuations in both treatments. Water temperature in both systems showed a declining trend from approximately 28ÃƒÆ’Ã†â€™Ãƒâ€ Ã¢â‚¬â„¢ÃƒÆ’Ã¢â‚¬Â ÃƒÂ¢Ã¢â€šÂ¬Ã¢â€žÂ¢ÃƒÆ’Ã†â€™Ãƒâ€šÃ‚Â¢ÃƒÆ’Ã‚Â¢ÃƒÂ¢Ã¢â€šÂ¬Ã…Â¡Ãƒâ€šÃ‚Â¬ÃƒÆ’Ã¢â‚¬Â¦Ãƒâ€šÃ‚Â¡ÃƒÆ’Ã†â€™Ãƒâ€ Ã¢â‚¬â„¢ÃƒÆ’Ã‚Â¢ÃƒÂ¢Ã¢â‚¬Å¡Ã‚Â¬Ãƒâ€¦Ã‚Â¡ÃƒÆ’Ã†â€™ÃƒÂ¢Ã¢â€šÂ¬Ã…Â¡ÃƒÆ’Ã¢â‚¬Å¡Ãƒâ€šÃ‚Â°C at the beginning to a minimum of around 25.6ÃƒÆ’Ã†â€™Ãƒâ€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25.9ÃƒÆ’Ã†â€™Ãƒâ€ Ã¢â‚¬â„¢ÃƒÆ’Ã¢â‚¬Â ÃƒÂ¢Ã¢â€šÂ¬Ã¢â€žÂ¢ÃƒÆ’Ã†â€™Ãƒâ€šÃ‚Â¢ÃƒÆ’Ã‚Â¢ÃƒÂ¢Ã¢â€šÂ¬Ã…Â¡Ãƒâ€šÃ‚Â¬ÃƒÆ’Ã¢â‚¬Â¦Ãƒâ€šÃ‚Â¡ÃƒÆ’Ã†â€™Ãƒâ€ Ã¢â‚¬â„¢ÃƒÆ’Ã‚Â¢ÃƒÂ¢Ã¢â‚¬Å¡Ã‚Â¬Ãƒâ€¦Ã‚Â¡ÃƒÆ’Ã†â€™ÃƒÂ¢Ã¢â€šÂ¬Ã…Â¡ÃƒÆ’Ã¢â‚¬Å¡Ãƒâ€šÃ‚Â°C in Week 4, before recovering and stabilizing at about 28.1ÃƒÆ’Ã†â€™Ãƒâ€ Ã¢â‚¬â„¢ÃƒÆ’Ã¢â‚¬Â ÃƒÂ¢Ã¢â€šÂ¬Ã¢â€žÂ¢ÃƒÆ’Ã†â€™Ãƒâ€šÃ‚Â¢ÃƒÆ’Ã‚Â¢ÃƒÂ¢Ã¢â€šÂ¬Ã…Â¡Ãƒâ€šÃ‚Â¬ÃƒÆ’Ã¢â‚¬Â¦Ãƒâ€šÃ‚Â¡ÃƒÆ’Ã†â€™Ãƒâ€ Ã¢â‚¬â„¢ÃƒÆ’Ã‚Â¢ÃƒÂ¢Ã¢â‚¬Å¡Ã‚Â¬Ãƒâ€¦Ã‚Â¡ÃƒÆ’Ã†â€™ÃƒÂ¢Ã¢â€šÂ¬Ã…Â¡ÃƒÆ’Ã¢â‚¬Å¡Ãƒâ€šÃ‚Â°C by Week 7. Similarly, pH remained consistently alkaline throughout the study, with both treatments peaking in Week 4 (IMTA: 8.35; Monoculture: 8.37) and then gradually declining and stabilizing. From Week 3 onward, the IMTA system generally maintained slightly lower pH values compared to the Monoculture system.</w:t>
      </w:r>
    </w:p>
    <w:p w14:paraId="4783185D"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lastRenderedPageBreak/>
        <w:t>In terms of ionic and dissolved substances, a strong positive relationship was observed among salinity, total dissolved solids (TDS), and conductivity, with all parameters generally increasing toward the end of the study. However, the IMTA system consistently recorded lower values for salinity, TDS, and conductivity compared to the Monoculture system, particularly during Weeks 5 and 7. For example, in Week 5, salinity was lower in IMTA (20.94 ppt) compared to Monoculture (21.34 ppt), indicating a potential buffering effect in the integrated system. Despite this, both systems showed a noticeable increase in variability by Week 7, as reflected by large standard deviations, suggesting environmental fluctuations or reduced system stability toward the end of the experiment.</w:t>
      </w:r>
    </w:p>
    <w:p w14:paraId="0B4A73C4"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t>Dissolved oxygen (DO) dynamics further highlight differences between the two systems. The IMTA system started with a higher DO concentration (5.90 mg/L) compared to Monoculture (4.89 mg/L) and maintained comparatively better oxygen conditions throughout the study. Both treatments reached peak DO levels in Week 3, with Monoculture slightly higher (8.05 mg/L), but by Week 7, IMTA again recorded higher oxygen levels (6.39 mg/L) than Monoculture (5.71 mg/L), indicating better oxygen retention.</w:t>
      </w:r>
    </w:p>
    <w:p w14:paraId="4247E0B9" w14:textId="77777777" w:rsidR="00937810" w:rsidRPr="00937810" w:rsidRDefault="00937810" w:rsidP="00937810">
      <w:pPr>
        <w:spacing w:line="360" w:lineRule="auto"/>
        <w:rPr>
          <w:rFonts w:ascii="Times New Roman" w:hAnsi="Times New Roman" w:cs="Times New Roman"/>
        </w:rPr>
      </w:pPr>
      <w:r w:rsidRPr="00937810">
        <w:rPr>
          <w:rFonts w:ascii="Times New Roman" w:hAnsi="Times New Roman" w:cs="Times New Roman"/>
        </w:rPr>
        <w:t>Overall, the comparative analysis shows that while both systems experienced similar environmental trends, the IMTA system demonstrated improved water quality stability, particularly through lower accumulation of salinity, TDS, and conductivity, along with higher dissolved oxygen levels at key stages. These findings suggest that the IMTA system may enhance biological buffering and nutrient cycling efficiency, contributing to more stable aquaculture water conditions compared to the Monoculture system.</w:t>
      </w:r>
    </w:p>
    <w:p w14:paraId="2D6C156A" w14:textId="77777777" w:rsidR="00937810" w:rsidRDefault="00937810" w:rsidP="003A3148">
      <w:pPr>
        <w:spacing w:line="360" w:lineRule="auto"/>
        <w:rPr>
          <w:rFonts w:ascii="Times New Roman" w:hAnsi="Times New Roman" w:cs="Times New Roman"/>
        </w:rPr>
      </w:pPr>
    </w:p>
    <w:p w14:paraId="66E6314B" w14:textId="77777777" w:rsidR="00A01AF3" w:rsidRDefault="00A01AF3" w:rsidP="003A3148">
      <w:pPr>
        <w:spacing w:line="360" w:lineRule="auto"/>
        <w:rPr>
          <w:rFonts w:ascii="Times New Roman" w:hAnsi="Times New Roman" w:cs="Times New Roman"/>
        </w:rPr>
      </w:pPr>
    </w:p>
    <w:p w14:paraId="002A9C62" w14:textId="77777777" w:rsidR="009D634B" w:rsidRDefault="009D634B" w:rsidP="003A3148">
      <w:pPr>
        <w:spacing w:line="360" w:lineRule="auto"/>
        <w:rPr>
          <w:rFonts w:ascii="Times New Roman" w:hAnsi="Times New Roman" w:cs="Times New Roman"/>
        </w:rPr>
      </w:pPr>
    </w:p>
    <w:p w14:paraId="577F13F9" w14:textId="77777777" w:rsidR="00A01AF3" w:rsidRDefault="00A01AF3" w:rsidP="003A3148">
      <w:pPr>
        <w:spacing w:line="360" w:lineRule="auto"/>
        <w:rPr>
          <w:rFonts w:ascii="Times New Roman" w:hAnsi="Times New Roman" w:cs="Times New Roman"/>
        </w:rPr>
      </w:pPr>
    </w:p>
    <w:p w14:paraId="785708DF" w14:textId="77777777" w:rsidR="00A01AF3" w:rsidRDefault="00A01AF3" w:rsidP="003A3148">
      <w:pPr>
        <w:spacing w:line="360" w:lineRule="auto"/>
        <w:rPr>
          <w:rFonts w:ascii="Times New Roman" w:hAnsi="Times New Roman" w:cs="Times New Roman"/>
        </w:rPr>
      </w:pPr>
    </w:p>
    <w:p w14:paraId="00A2D564" w14:textId="77777777" w:rsidR="009B6576" w:rsidRDefault="009B6576" w:rsidP="003A3148">
      <w:pPr>
        <w:spacing w:line="360" w:lineRule="auto"/>
        <w:rPr>
          <w:rFonts w:ascii="Times New Roman" w:hAnsi="Times New Roman" w:cs="Times New Roman"/>
        </w:rPr>
      </w:pPr>
    </w:p>
    <w:p w14:paraId="123E4D15" w14:textId="77777777" w:rsidR="00937810" w:rsidRDefault="00937810" w:rsidP="003A3148">
      <w:pPr>
        <w:spacing w:line="360" w:lineRule="auto"/>
        <w:rPr>
          <w:rFonts w:ascii="Times New Roman" w:hAnsi="Times New Roman" w:cs="Times New Roman"/>
        </w:rPr>
      </w:pPr>
    </w:p>
    <w:p w14:paraId="734B789E" w14:textId="4BBF300A" w:rsidR="00DB44B4" w:rsidRDefault="009B6576" w:rsidP="003A3148">
      <w:pPr>
        <w:spacing w:line="360" w:lineRule="auto"/>
        <w:rPr>
          <w:rFonts w:ascii="Times New Roman" w:hAnsi="Times New Roman" w:cs="Times New Roman"/>
          <w:b/>
          <w:bCs/>
          <w:sz w:val="28"/>
          <w:szCs w:val="28"/>
        </w:rPr>
      </w:pPr>
      <w:r w:rsidRPr="009B6576">
        <w:rPr>
          <w:rFonts w:ascii="Times New Roman" w:hAnsi="Times New Roman" w:cs="Times New Roman"/>
          <w:b/>
          <w:bCs/>
          <w:sz w:val="28"/>
          <w:szCs w:val="28"/>
        </w:rPr>
        <w:lastRenderedPageBreak/>
        <w:t xml:space="preserve">Nutrition </w:t>
      </w:r>
    </w:p>
    <w:p w14:paraId="76C024DD" w14:textId="53C792FD" w:rsidR="00937810" w:rsidRDefault="00937810" w:rsidP="003A3148">
      <w:pPr>
        <w:spacing w:line="360" w:lineRule="auto"/>
        <w:rPr>
          <w:rFonts w:ascii="Times New Roman" w:hAnsi="Times New Roman" w:cs="Times New Roman"/>
          <w:b/>
          <w:bCs/>
          <w:sz w:val="28"/>
          <w:szCs w:val="28"/>
        </w:rPr>
      </w:pPr>
      <w:r>
        <w:rPr>
          <w:noProof/>
        </w:rPr>
        <w:drawing>
          <wp:inline distT="0" distB="0" distL="0" distR="0" wp14:anchorId="2A5EDFE2" wp14:editId="184D2F71">
            <wp:extent cx="5943600" cy="2268855"/>
            <wp:effectExtent l="0" t="0" r="0" b="0"/>
            <wp:docPr id="2128194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2FF2DAB4" w14:textId="746497C4" w:rsidR="009B6576" w:rsidRPr="002F2C84" w:rsidRDefault="00937810" w:rsidP="003A3148">
      <w:pPr>
        <w:spacing w:line="360" w:lineRule="auto"/>
        <w:rPr>
          <w:rFonts w:ascii="Times New Roman" w:hAnsi="Times New Roman" w:cs="Times New Roman"/>
          <w:b/>
          <w:bCs/>
          <w:sz w:val="28"/>
          <w:szCs w:val="28"/>
        </w:rPr>
      </w:pPr>
      <w:r>
        <w:t xml:space="preserve">Figure 19: Mean nitrite concentration in IMTA and Monoculture treatments at Week 3 and Week 7.</w:t>
      </w:r>
    </w:p>
    <w:p w14:paraId="7CD46509" w14:textId="77777777" w:rsidR="00937810" w:rsidRPr="00937810" w:rsidRDefault="00937810" w:rsidP="00937810">
      <w:pPr>
        <w:spacing w:line="360" w:lineRule="auto"/>
        <w:rPr>
          <w:rFonts w:ascii="Times New Roman" w:hAnsi="Times New Roman" w:cs="Times New Roman"/>
          <w:sz w:val="28"/>
          <w:szCs w:val="28"/>
        </w:rPr>
      </w:pPr>
      <w:r>
        <w:t xml:space="preserve">The bar chart illustrates changes in nitrite concentration (ug/L) between IMTA and Monoculture treatments at Week 3 and Week 7. IMTA decreased from 57.33 ug/L to 49.67 ug/L, while Monoculture decreased from 62.00 ug/L to 49.00 ug/L. Both systems therefore showed lower nitrite by Week 7, with Monoculture starting higher and ending slightly lower.</w:t>
      </w:r>
    </w:p>
    <w:p w14:paraId="5F069056" w14:textId="739857CE" w:rsidR="00937810" w:rsidRPr="00706071" w:rsidRDefault="00937810" w:rsidP="003A3148">
      <w:pPr>
        <w:spacing w:line="360" w:lineRule="auto"/>
        <w:rPr>
          <w:rFonts w:ascii="Times New Roman" w:hAnsi="Times New Roman" w:cs="Times New Roman"/>
          <w:sz w:val="28"/>
          <w:szCs w:val="28"/>
        </w:rPr>
      </w:pPr>
      <w:r w:rsidRPr="00937810">
        <w:rPr>
          <w:rFonts w:ascii="Times New Roman" w:hAnsi="Times New Roman" w:cs="Times New Roman"/>
          <w:sz w:val="28"/>
          <w:szCs w:val="28"/>
        </w:rPr>
        <w:t xml:space="preserve">By Week 7, nitrite concentrations in both treatments had decreased and became more similar. The IMTA system showed a notable reduction to approximately 49 </w:t>
      </w:r>
      <w:proofErr w:type="spellStart"/>
      <w:r w:rsidRPr="00937810">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937810">
        <w:rPr>
          <w:rFonts w:ascii="Times New Roman" w:hAnsi="Times New Roman" w:cs="Times New Roman"/>
          <w:sz w:val="28"/>
          <w:szCs w:val="28"/>
        </w:rPr>
        <w:t xml:space="preserve">/L, while the Monoculture system recorded a slightly higher value of about 50 </w:t>
      </w:r>
      <w:proofErr w:type="spellStart"/>
      <w:r w:rsidRPr="00937810">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937810">
        <w:rPr>
          <w:rFonts w:ascii="Times New Roman" w:hAnsi="Times New Roman" w:cs="Times New Roman"/>
          <w:sz w:val="28"/>
          <w:szCs w:val="28"/>
        </w:rPr>
        <w:t xml:space="preserve">/L. In addition, variability decreased substantially in both treatments at Week 7, as reflected by smaller error bars, indicating more stable and consistent nitrite levels toward the end of the study. Overall, although the IMTA system initially </w:t>
      </w:r>
      <w:r w:rsidRPr="00937810">
        <w:rPr>
          <w:rFonts w:ascii="Times New Roman" w:hAnsi="Times New Roman" w:cs="Times New Roman"/>
          <w:sz w:val="28"/>
          <w:szCs w:val="28"/>
        </w:rPr>
        <w:lastRenderedPageBreak/>
        <w:t>exhibited higher and more fluctuating nitrite concentrations, it demonstrated a greater reduction by Week 7 compared to the Monoculture system. This suggests improved nitrogen processing efficiency over time in the IMTA system, which is beneficial for maintaining better water quality conditions for cultured organisms such as sea cucumbers and seaweed.</w:t>
      </w:r>
    </w:p>
    <w:p w14:paraId="6168A87F" w14:textId="77777777" w:rsidR="009B6576" w:rsidRDefault="009B6576" w:rsidP="003A3148">
      <w:pPr>
        <w:spacing w:line="360" w:lineRule="auto"/>
        <w:rPr>
          <w:rFonts w:ascii="Times New Roman" w:hAnsi="Times New Roman" w:cs="Times New Roman"/>
          <w:b/>
          <w:bCs/>
          <w:sz w:val="28"/>
          <w:szCs w:val="28"/>
        </w:rPr>
      </w:pPr>
      <w:r>
        <w:rPr>
          <w:noProof/>
        </w:rPr>
        <w:drawing>
          <wp:inline distT="0" distB="0" distL="0" distR="0" wp14:anchorId="59D4A7F8" wp14:editId="7D9383AA">
            <wp:extent cx="5943600" cy="2268855"/>
            <wp:effectExtent l="0" t="0" r="0" b="0"/>
            <wp:docPr id="1898808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4A357869" w14:textId="3F38853F" w:rsidR="009B6576" w:rsidRPr="001E54F2" w:rsidRDefault="001E54F2" w:rsidP="003A3148">
      <w:pPr>
        <w:spacing w:line="360" w:lineRule="auto"/>
        <w:rPr>
          <w:rFonts w:ascii="Times New Roman" w:hAnsi="Times New Roman" w:cs="Times New Roman"/>
          <w:b/>
          <w:bCs/>
          <w:sz w:val="28"/>
          <w:szCs w:val="28"/>
        </w:rPr>
      </w:pPr>
      <w:r>
        <w:t xml:space="preserve">Figure 20: Mean sodium nitrite concentration in IMTA and Monoculture treatments at Week 3 and Week 7.</w:t>
      </w:r>
    </w:p>
    <w:p w14:paraId="7250076E" w14:textId="77777777" w:rsidR="00EC6FF5" w:rsidRPr="00EC6FF5" w:rsidRDefault="00EC6FF5" w:rsidP="00EC6FF5">
      <w:pPr>
        <w:spacing w:line="360" w:lineRule="auto"/>
        <w:rPr>
          <w:rFonts w:ascii="Times New Roman" w:hAnsi="Times New Roman" w:cs="Times New Roman"/>
          <w:sz w:val="28"/>
          <w:szCs w:val="28"/>
        </w:rPr>
      </w:pPr>
      <w:r>
        <w:t xml:space="preserve">The bar chart illustrates sodium nitrite (NaNO2) concentration (ug/L) in IMTA and Monoculture treatments at Week 3 and Week 7. IMTA decreased from 86.00 ug/L to 74.00 ug/L, while Monoculture decreased from 105.00 ug/L to 73.33 ug/L. The larger decline in Monoculture reflects its higher initial value.</w:t>
      </w:r>
    </w:p>
    <w:p w14:paraId="0339F14A" w14:textId="77777777" w:rsidR="00EC6FF5" w:rsidRPr="00EC6FF5" w:rsidRDefault="00EC6FF5" w:rsidP="00EC6FF5">
      <w:pPr>
        <w:spacing w:line="360" w:lineRule="auto"/>
        <w:rPr>
          <w:rFonts w:ascii="Times New Roman" w:hAnsi="Times New Roman" w:cs="Times New Roman"/>
          <w:sz w:val="28"/>
          <w:szCs w:val="28"/>
        </w:rPr>
      </w:pPr>
      <w:r w:rsidRPr="00EC6FF5">
        <w:rPr>
          <w:rFonts w:ascii="Times New Roman" w:hAnsi="Times New Roman" w:cs="Times New Roman"/>
          <w:sz w:val="28"/>
          <w:szCs w:val="28"/>
        </w:rPr>
        <w:lastRenderedPageBreak/>
        <w:t xml:space="preserve">By Week 7, sodium nitrite concentrations in both treatments had declined and stabilized at very similar levels, approximately 73ÃƒÆ’Ã†â€™Ãƒâ€ Ã¢â‚¬â„¢ÃƒÆ’Ã¢â‚¬Â ÃƒÂ¢Ã¢â€šÂ¬Ã¢â€žÂ¢ÃƒÆ’Ã†â€™ÃƒÂ¢Ã¢â€šÂ¬Ã…Â¡ÃƒÆ’Ã¢â‚¬Å¡Ãƒâ€šÃ‚Â¢ÃƒÆ’Ã†â€™Ãƒâ€ Ã¢â‚¬â„¢ÃƒÆ’Ã¢â‚¬Å¡Ãƒâ€šÃ‚Â¢ÃƒÆ’Ã†â€™Ãƒâ€šÃ‚Â¢ÃƒÆ’Ã‚Â¢ÃƒÂ¢Ã¢â€šÂ¬Ã…Â¡Ãƒâ€šÃ‚Â¬ÃƒÆ’Ã¢â‚¬Â¦Ãƒâ€šÃ‚Â¡ÃƒÆ’Ã†â€™ÃƒÂ¢Ã¢â€šÂ¬Ã…Â¡ÃƒÆ’Ã¢â‚¬Å¡Ãƒâ€šÃ‚Â¬ÃƒÆ’Ã†â€™Ãƒâ€ Ã¢â‚¬â„¢ÃƒÆ’Ã¢â‚¬Å¡Ãƒâ€šÃ‚Â¢ÃƒÆ’Ã†â€™Ãƒâ€šÃ‚Â¢ÃƒÆ’Ã‚Â¢ÃƒÂ¢Ã¢â‚¬Å¡Ã‚Â¬Ãƒâ€¦Ã‚Â¡ÃƒÆ’Ã¢â‚¬Å¡Ãƒâ€šÃ‚Â¬ÃƒÆ’Ã†â€™ÃƒÂ¢Ã¢â€šÂ¬Ã‚Â¦ÃƒÆ’Ã‚Â¢ÃƒÂ¢Ã¢â‚¬Å¡Ã‚Â¬Ãƒâ€¦Ã¢â‚¬Å“74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/L. Additionally, the error bars for both systems were very small at this stage, indicating that water chemistry became much more consistent and stable by the end of the study period. Although both systems achieved similar final concentrations, the IMTA system demonstrated greater stability earlier in the experiment, while the Monoculture system only stabilized in the later stage after initially showing high fluctuations.</w:t>
      </w:r>
    </w:p>
    <w:p w14:paraId="17C260EC" w14:textId="366D7DEF" w:rsidR="00EC6FF5" w:rsidRPr="009B6576" w:rsidRDefault="00EC6FF5" w:rsidP="003A3148">
      <w:pPr>
        <w:spacing w:line="360" w:lineRule="auto"/>
        <w:rPr>
          <w:rFonts w:ascii="Times New Roman" w:hAnsi="Times New Roman" w:cs="Times New Roman"/>
          <w:sz w:val="28"/>
          <w:szCs w:val="28"/>
        </w:rPr>
      </w:pPr>
      <w:r w:rsidRPr="00EC6FF5">
        <w:rPr>
          <w:rFonts w:ascii="Times New Roman" w:hAnsi="Times New Roman" w:cs="Times New Roman"/>
          <w:sz w:val="28"/>
          <w:szCs w:val="28"/>
        </w:rPr>
        <w:t>Overall, the results suggest that while both aquaculture systems are effective in reducing sodium nitrite levels over time, the IMTA system provides a more stable and buffered environment during the early stages of culture. In contrast, the Monoculture system exhibited greater initial variability, which could potentially pose stress risks to cultured organisms before stabilizing in the later phase of the study.</w:t>
      </w:r>
    </w:p>
    <w:p w14:paraId="37268D86" w14:textId="77777777" w:rsidR="009B6576" w:rsidRDefault="009B6576" w:rsidP="003A3148">
      <w:pPr>
        <w:spacing w:line="360" w:lineRule="auto"/>
        <w:rPr>
          <w:rFonts w:ascii="Times New Roman" w:hAnsi="Times New Roman" w:cs="Times New Roman"/>
          <w:b/>
          <w:bCs/>
          <w:sz w:val="28"/>
          <w:szCs w:val="28"/>
        </w:rPr>
      </w:pPr>
      <w:r>
        <w:rPr>
          <w:noProof/>
        </w:rPr>
        <w:drawing>
          <wp:inline distT="0" distB="0" distL="0" distR="0" wp14:anchorId="4E3CCAE1" wp14:editId="58018372">
            <wp:extent cx="5943600" cy="2268855"/>
            <wp:effectExtent l="0" t="0" r="0" b="0"/>
            <wp:docPr id="1688107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1946DE57" w14:textId="16491D08" w:rsidR="003B2FB2" w:rsidRPr="003B2FB2" w:rsidRDefault="009B6576" w:rsidP="003B2FB2">
      <w:pPr>
        <w:spacing w:line="360" w:lineRule="auto"/>
        <w:rPr>
          <w:rFonts w:ascii="Times New Roman" w:hAnsi="Times New Roman" w:cs="Times New Roman"/>
          <w:b/>
          <w:bCs/>
          <w:sz w:val="28"/>
          <w:szCs w:val="28"/>
        </w:rPr>
      </w:pPr>
      <w:r>
        <w:t xml:space="preserve">Figure 21: Mean nitrite nitrogen concentration in IMTA and Monoculture treatments at Week 3 and Week 7.</w:t>
      </w:r>
    </w:p>
    <w:p w14:paraId="6665CEFA" w14:textId="4ECC7FA1" w:rsidR="009B6576" w:rsidRDefault="009B6576" w:rsidP="003A3148">
      <w:pPr>
        <w:spacing w:line="360" w:lineRule="auto"/>
        <w:rPr>
          <w:rFonts w:ascii="Times New Roman" w:hAnsi="Times New Roman" w:cs="Times New Roman"/>
          <w:sz w:val="28"/>
          <w:szCs w:val="28"/>
        </w:rPr>
      </w:pPr>
    </w:p>
    <w:p w14:paraId="2678C97C" w14:textId="77777777" w:rsidR="00EC6FF5" w:rsidRPr="00EC6FF5" w:rsidRDefault="00EC6FF5" w:rsidP="00EC6FF5">
      <w:pPr>
        <w:spacing w:line="360" w:lineRule="auto"/>
        <w:rPr>
          <w:rFonts w:ascii="Times New Roman" w:hAnsi="Times New Roman" w:cs="Times New Roman"/>
          <w:sz w:val="28"/>
          <w:szCs w:val="28"/>
        </w:rPr>
      </w:pPr>
      <w:r w:rsidRPr="00EC6FF5">
        <w:rPr>
          <w:rFonts w:ascii="Times New Roman" w:hAnsi="Times New Roman" w:cs="Times New Roman"/>
          <w:sz w:val="28"/>
          <w:szCs w:val="28"/>
        </w:rPr>
        <w:lastRenderedPageBreak/>
        <w:t>The bar chart illustrates the changes in nitrite nitrogen (NOÃƒÆ’Ã†â€™Ãƒâ€ Ã¢â‚¬â„¢ÃƒÆ’Ã¢â‚¬Â ÃƒÂ¢Ã¢â€šÂ¬Ã¢â€žÂ¢ÃƒÆ’Ã†â€™ÃƒÂ¢Ã¢â€šÂ¬Ã…Â¡ÃƒÆ’Ã¢â‚¬Å¡Ãƒâ€šÃ‚Â¢ÃƒÆ’Ã†â€™Ãƒâ€ Ã¢â‚¬â„¢ÃƒÆ’Ã¢â‚¬Å¡Ãƒâ€šÃ‚Â¢ÃƒÆ’Ã†â€™Ãƒâ€šÃ‚Â¢ÃƒÆ’Ã‚Â¢ÃƒÂ¢Ã¢â‚¬Å¡Ã‚Â¬Ãƒâ€¦Ã‚Â¡ÃƒÆ’Ã¢â‚¬Å¡Ãƒâ€šÃ‚Â¬ÃƒÆ’Ã†â€™ÃƒÂ¢Ã¢â€šÂ¬Ã‚Â¦ÃƒÆ’Ã¢â‚¬Å¡Ãƒâ€šÃ‚Â¡ÃƒÆ’Ã†â€™Ãƒâ€ Ã¢â‚¬â„¢ÃƒÆ’Ã¢â‚¬Å¡Ãƒâ€šÃ‚Â¢ÃƒÆ’Ã†â€™Ãƒâ€šÃ‚Â¢ÃƒÆ’Ã‚Â¢ÃƒÂ¢Ã¢â‚¬Å¡Ã‚Â¬Ãƒâ€¦Ã‚Â¡ÃƒÆ’Ã¢â‚¬Å¡Ãƒâ€šÃ‚Â¬ÃƒÆ’Ã†â€™ÃƒÂ¢Ã¢â€šÂ¬Ã‚Â¦ÃƒÆ’Ã¢â‚¬Å¡Ãƒâ€šÃ‚Â¡ÃƒÆ’Ã†â€™Ãƒâ€ Ã¢â‚¬â„¢ÃƒÆ’Ã¢â‚¬Â ÃƒÂ¢Ã¢â€šÂ¬Ã¢â€žÂ¢ÃƒÆ’Ã†â€™ÃƒÂ¢Ã¢â€šÂ¬Ã…Â¡ÃƒÆ’Ã¢â‚¬Å¡Ãƒâ€šÃ‚Â¢ÃƒÆ’Ã†â€™Ãƒâ€ Ã¢â‚¬â„¢ÃƒÆ’Ã‚Â¢ÃƒÂ¢Ã¢â‚¬Å¡Ã‚Â¬Ãƒâ€¦Ã‚Â¡ÃƒÆ’Ã†â€™ÃƒÂ¢Ã¢â€šÂ¬Ã…Â¡ÃƒÆ’Ã¢â‚¬Å¡Ãƒâ€šÃ‚ÂÃƒÆ’Ã†â€™Ãƒâ€ Ã¢â‚¬â„¢ÃƒÆ’Ã‚Â¢ÃƒÂ¢Ã¢â‚¬Å¡Ã‚Â¬Ãƒâ€¦Ã‚Â¡ÃƒÆ’Ã†â€™ÃƒÂ¢Ã¢â€šÂ¬Ã…Â¡ÃƒÆ’Ã¢â‚¬Å¡Ãƒâ€šÃ‚Â»-N) concentration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 xml:space="preserve">/L) in IMTA and Monoculture treatments at Week 3 and Week 7. Overall, both systems show a clear reduction in nitrite nitrogen levels over time, indicating improved nitrification efficiency and progressive stabilization of the nitrogen cycle within the aquaculture systems. At Week 3, the Monoculture system recorded a significantly higher concentration (approximately 21.5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 xml:space="preserve">/L) compared to the IMTA system (around 17.3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/L), suggesting greater accumulation of nitrite nitrogen in the monoculture environment at the earlier stage of the study.</w:t>
      </w:r>
    </w:p>
    <w:p w14:paraId="02D66C8C" w14:textId="77777777" w:rsidR="00EC6FF5" w:rsidRPr="00EC6FF5" w:rsidRDefault="00EC6FF5" w:rsidP="00EC6FF5">
      <w:pPr>
        <w:spacing w:line="360" w:lineRule="auto"/>
        <w:rPr>
          <w:rFonts w:ascii="Times New Roman" w:hAnsi="Times New Roman" w:cs="Times New Roman"/>
          <w:sz w:val="28"/>
          <w:szCs w:val="28"/>
        </w:rPr>
      </w:pPr>
      <w:r w:rsidRPr="00EC6FF5">
        <w:rPr>
          <w:rFonts w:ascii="Times New Roman" w:hAnsi="Times New Roman" w:cs="Times New Roman"/>
          <w:sz w:val="28"/>
          <w:szCs w:val="28"/>
        </w:rPr>
        <w:t xml:space="preserve">By Week 7, both treatments had declined and converged to nearly identical levels of approximately 15.0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/L. This reflects a stronger reduction in the Monoculture system over time, while the IMTA system showed a more gradual decline. Importantly, the error bars across all treatments and time points were very small, indicating high precision and low variability in the measurements.</w:t>
      </w:r>
    </w:p>
    <w:p w14:paraId="657AC23A" w14:textId="0AA922EA" w:rsidR="00937810" w:rsidRPr="009B6576" w:rsidRDefault="00EC6FF5" w:rsidP="003A3148">
      <w:pPr>
        <w:spacing w:line="360" w:lineRule="auto"/>
        <w:rPr>
          <w:rFonts w:ascii="Times New Roman" w:hAnsi="Times New Roman" w:cs="Times New Roman"/>
          <w:sz w:val="28"/>
          <w:szCs w:val="28"/>
        </w:rPr>
      </w:pPr>
      <w:r w:rsidRPr="00EC6FF5">
        <w:rPr>
          <w:rFonts w:ascii="Times New Roman" w:hAnsi="Times New Roman" w:cs="Times New Roman"/>
          <w:sz w:val="28"/>
          <w:szCs w:val="28"/>
        </w:rPr>
        <w:t>Overall, the results indicate that although the IMTA system initially maintained lower and more stable nitrite nitrogen levels, both systems eventually reached similar concentrations by the end of the experiment. This suggests that while Monoculture experienced a sharper reduction over time, the IMTA system provided a more consistently stable nitrogen environment throughout the study period, supporting the potential role of multi-trophic aquaculture in buffering nitrogenous waste accumulation and maintaining water quality stability.</w:t>
      </w:r>
    </w:p>
    <w:p w14:paraId="21C5D750" w14:textId="3EE5FCD9" w:rsidR="009B6576" w:rsidRDefault="009B6576" w:rsidP="003A3148">
      <w:pPr>
        <w:spacing w:line="360" w:lineRule="auto"/>
        <w:rPr>
          <w:rFonts w:ascii="Times New Roman" w:hAnsi="Times New Roman" w:cs="Times New Roman"/>
          <w:b/>
          <w:bCs/>
          <w:sz w:val="28"/>
          <w:szCs w:val="28"/>
        </w:rPr>
      </w:pPr>
      <w:r>
        <w:rPr>
          <w:noProof/>
        </w:rPr>
        <w:lastRenderedPageBreak/>
        <w:drawing>
          <wp:inline distT="0" distB="0" distL="0" distR="0" wp14:anchorId="0D400843" wp14:editId="55C775EB">
            <wp:extent cx="5943600" cy="2268855"/>
            <wp:effectExtent l="0" t="0" r="0" b="0"/>
            <wp:docPr id="788622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381A91A2" w14:textId="29C3E6E3" w:rsidR="009B6576" w:rsidRDefault="009B6576" w:rsidP="003A3148">
      <w:pPr>
        <w:spacing w:line="360" w:lineRule="auto"/>
        <w:rPr>
          <w:rFonts w:ascii="Times New Roman" w:hAnsi="Times New Roman" w:cs="Times New Roman"/>
          <w:sz w:val="28"/>
          <w:szCs w:val="28"/>
        </w:rPr>
      </w:pPr>
      <w:r>
        <w:t xml:space="preserve">Figure 22: Mean phosphorus concentration in IMTA and Monoculture treatments at Week 3 and Week 7.</w:t>
      </w:r>
    </w:p>
    <w:p w14:paraId="1D573D4D" w14:textId="77777777" w:rsidR="00EC6FF5" w:rsidRPr="00EC6FF5" w:rsidRDefault="00EC6FF5" w:rsidP="00EC6FF5">
      <w:pPr>
        <w:spacing w:line="360" w:lineRule="auto"/>
        <w:rPr>
          <w:rFonts w:ascii="Times New Roman" w:hAnsi="Times New Roman" w:cs="Times New Roman"/>
          <w:sz w:val="28"/>
          <w:szCs w:val="28"/>
        </w:rPr>
      </w:pPr>
      <w:r>
        <w:t xml:space="preserve">The bar chart illustrates phosphorus (P) concentration (ug/L) in IMTA and Monoculture treatments at Week 3 and Week 7. IMTA increased from 28.00 ug/L to 42.00 ug/L, whereas Monoculture decreased from 32.00 ug/L to 22.67 ug/L. This is the key nutrient contradiction: the current IMTA setup accumulated phosphorus rather than removing it.</w:t>
      </w:r>
    </w:p>
    <w:p w14:paraId="36D76B2B" w14:textId="77777777" w:rsidR="00EC6FF5" w:rsidRPr="00EC6FF5" w:rsidRDefault="00EC6FF5" w:rsidP="00EC6FF5">
      <w:pPr>
        <w:spacing w:line="360" w:lineRule="auto"/>
        <w:rPr>
          <w:rFonts w:ascii="Times New Roman" w:hAnsi="Times New Roman" w:cs="Times New Roman"/>
          <w:sz w:val="28"/>
          <w:szCs w:val="28"/>
        </w:rPr>
      </w:pPr>
      <w:r>
        <w:t xml:space="preserve">By Week 7, IMTA recorded the higher mean phosphorus concentration (42.00 ug/L) compared with Monoculture (22.67 ug/L). This indicates phosphorus accumulation in the integrated system during the measured interval.</w:t>
      </w:r>
    </w:p>
    <w:p w14:paraId="52760C36" w14:textId="0C47E731" w:rsidR="009B6576" w:rsidRPr="00EC6FF5" w:rsidRDefault="00EC6FF5" w:rsidP="003A3148">
      <w:pPr>
        <w:spacing w:line="360" w:lineRule="auto"/>
        <w:rPr>
          <w:rFonts w:ascii="Times New Roman" w:hAnsi="Times New Roman" w:cs="Times New Roman"/>
          <w:sz w:val="28"/>
          <w:szCs w:val="28"/>
        </w:rPr>
      </w:pPr>
      <w:r>
        <w:t xml:space="preserve">Overall, the findings do not support the claim that the current IMTA setup was more effective at reducing phosphorus. The measured phosphorus and phosphate values increased in IMTA between Week 3 and Week 7, while both decreased in Monoculture. The most defensible conclusion is that the seaweed biomass or system ratio was insufficient for phosphorus removal during this experiment.</w:t>
      </w:r>
    </w:p>
    <w:p w14:paraId="6EF37927" w14:textId="77777777" w:rsidR="009B6576" w:rsidRDefault="009B6576" w:rsidP="003A3148">
      <w:pPr>
        <w:spacing w:line="360" w:lineRule="auto"/>
        <w:rPr>
          <w:rFonts w:ascii="Times New Roman" w:hAnsi="Times New Roman" w:cs="Times New Roman"/>
          <w:b/>
          <w:bCs/>
          <w:sz w:val="28"/>
          <w:szCs w:val="28"/>
        </w:rPr>
      </w:pPr>
    </w:p>
    <w:p w14:paraId="42E4729F" w14:textId="77777777" w:rsidR="009B6576" w:rsidRDefault="009B6576" w:rsidP="003A3148">
      <w:pPr>
        <w:spacing w:line="360" w:lineRule="auto"/>
        <w:rPr>
          <w:rFonts w:ascii="Times New Roman" w:hAnsi="Times New Roman" w:cs="Times New Roman"/>
          <w:b/>
          <w:bCs/>
          <w:sz w:val="28"/>
          <w:szCs w:val="28"/>
        </w:rPr>
      </w:pPr>
      <w:r>
        <w:rPr>
          <w:noProof/>
        </w:rPr>
        <w:drawing>
          <wp:inline distT="0" distB="0" distL="0" distR="0" wp14:anchorId="6C89A2BE" wp14:editId="244F5618">
            <wp:extent cx="5943600" cy="2268855"/>
            <wp:effectExtent l="0" t="0" r="0" b="0"/>
            <wp:docPr id="1672191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2747229E" w14:textId="1AD427B8" w:rsidR="009B6576" w:rsidRPr="00A110D6" w:rsidRDefault="00EC6FF5" w:rsidP="003A3148">
      <w:pPr>
        <w:spacing w:line="360" w:lineRule="auto"/>
        <w:rPr>
          <w:rFonts w:ascii="Times New Roman" w:hAnsi="Times New Roman" w:cs="Times New Roman"/>
          <w:b/>
          <w:bCs/>
          <w:sz w:val="28"/>
          <w:szCs w:val="28"/>
        </w:rPr>
      </w:pPr>
      <w:r>
        <w:t xml:space="preserve">Figure 23: Mean phosphate concentration in IMTA and Monoculture treatments at Week 3 and Week 7.</w:t>
      </w:r>
    </w:p>
    <w:p w14:paraId="36DD8537" w14:textId="77777777" w:rsidR="00EC6FF5" w:rsidRPr="00EC6FF5" w:rsidRDefault="00EC6FF5" w:rsidP="00EC6FF5">
      <w:pPr>
        <w:spacing w:line="360" w:lineRule="auto"/>
        <w:rPr>
          <w:rFonts w:ascii="Times New Roman" w:hAnsi="Times New Roman" w:cs="Times New Roman"/>
          <w:sz w:val="28"/>
          <w:szCs w:val="28"/>
        </w:rPr>
      </w:pPr>
      <w:r w:rsidRPr="00EC6FF5">
        <w:rPr>
          <w:rFonts w:ascii="Times New Roman" w:hAnsi="Times New Roman" w:cs="Times New Roman"/>
          <w:sz w:val="28"/>
          <w:szCs w:val="28"/>
        </w:rPr>
        <w:t>The bar chart illustrates the changes in phosphate (POÃƒÆ’Ã†â€™Ãƒâ€ Ã¢â‚¬â„¢ÃƒÆ’Ã¢â‚¬Â ÃƒÂ¢Ã¢â€šÂ¬Ã¢â€žÂ¢ÃƒÆ’Ã†â€™ÃƒÂ¢Ã¢â€šÂ¬Ã…Â¡ÃƒÆ’Ã¢â‚¬Å¡Ãƒâ€šÃ‚Â¢ÃƒÆ’Ã†â€™Ãƒâ€ Ã¢â‚¬â„¢ÃƒÆ’Ã¢â‚¬Å¡Ãƒâ€šÃ‚Â¢ÃƒÆ’Ã†â€™Ãƒâ€šÃ‚Â¢ÃƒÆ’Ã‚Â¢ÃƒÂ¢Ã¢â‚¬Å¡Ã‚Â¬Ãƒâ€¦Ã‚Â¡ÃƒÆ’Ã¢â‚¬Å¡Ãƒâ€šÃ‚Â¬ÃƒÆ’Ã†â€™ÃƒÂ¢Ã¢â€šÂ¬Ã‚Â¦ÃƒÆ’Ã¢â‚¬Å¡Ãƒâ€šÃ‚Â¡ÃƒÆ’Ã†â€™Ãƒâ€ Ã¢â‚¬â„¢ÃƒÆ’Ã¢â‚¬Å¡Ãƒâ€šÃ‚Â¢ÃƒÆ’Ã†â€™Ãƒâ€šÃ‚Â¢ÃƒÆ’Ã‚Â¢ÃƒÂ¢Ã¢â‚¬Å¡Ã‚Â¬Ãƒâ€¦Ã‚Â¡ÃƒÆ’Ã¢â‚¬Å¡Ãƒâ€šÃ‚Â¬ÃƒÆ’Ã†â€™ÃƒÂ¢Ã¢â€šÂ¬Ã‚Â¦ÃƒÆ’Ã¢â‚¬Å¡Ãƒâ€šÃ‚Â¾ÃƒÆ’Ã†â€™Ãƒâ€ Ã¢â‚¬â„¢ÃƒÆ’Ã¢â‚¬Â ÃƒÂ¢Ã¢â€šÂ¬Ã¢â€žÂ¢ÃƒÆ’Ã†â€™Ãƒâ€šÃ‚Â¢ÃƒÆ’Ã‚Â¢ÃƒÂ¢Ã¢â€šÂ¬Ã…Â¡Ãƒâ€šÃ‚Â¬ÃƒÆ’Ã¢â‚¬Â¦Ãƒâ€šÃ‚Â¡ÃƒÆ’Ã†â€™Ãƒâ€ Ã¢â‚¬â„¢ÃƒÆ’Ã‚Â¢ÃƒÂ¢Ã¢â‚¬Å¡Ã‚Â¬Ãƒâ€¦Ã‚Â¡ÃƒÆ’Ã†â€™ÃƒÂ¢Ã¢â€šÂ¬Ã…Â¡ÃƒÆ’Ã¢â‚¬Å¡Ãƒâ€šÃ‚Â³ÃƒÆ’Ã†â€™Ãƒâ€ Ã¢â‚¬â„¢ÃƒÆ’Ã¢â‚¬Â ÃƒÂ¢Ã¢â€šÂ¬Ã¢â€žÂ¢ÃƒÆ’Ã†â€™ÃƒÂ¢Ã¢â€šÂ¬Ã…Â¡ÃƒÆ’Ã¢â‚¬Å¡Ãƒâ€šÃ‚Â¢ÃƒÆ’Ã†â€™Ãƒâ€ Ã¢â‚¬â„¢ÃƒÆ’Ã‚Â¢ÃƒÂ¢Ã¢â‚¬Å¡Ã‚Â¬Ãƒâ€¦Ã‚Â¡ÃƒÆ’Ã†â€™ÃƒÂ¢Ã¢â€šÂ¬Ã…Â¡ÃƒÆ’Ã¢â‚¬Å¡Ãƒâ€šÃ‚ÂÃƒÆ’Ã†â€™Ãƒâ€ Ã¢â‚¬â„¢ÃƒÆ’Ã‚Â¢ÃƒÂ¢Ã¢â‚¬Å¡Ã‚Â¬Ãƒâ€¦Ã‚Â¡ÃƒÆ’Ã†â€™ÃƒÂ¢Ã¢â€šÂ¬Ã…Â¡ÃƒÆ’Ã¢â‚¬Å¡Ãƒâ€šÃ‚Â») concentration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 xml:space="preserve">/L) in IMTA and Monoculture treatments at Week 3 and Week 7. The results show contrasting nutrient dynamics between the two systems over time. In the IMTA system, phosphate concentration increased substantially from approximately 86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 xml:space="preserve">/L in Week 3 to about 127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 xml:space="preserve">/L in Week 7, indicating a clear accumulation of phosphate over the study period. In contrast, the Monoculture system exhibited a </w:t>
      </w:r>
      <w:r w:rsidRPr="00EC6FF5">
        <w:rPr>
          <w:rFonts w:ascii="Times New Roman" w:hAnsi="Times New Roman" w:cs="Times New Roman"/>
          <w:sz w:val="28"/>
          <w:szCs w:val="28"/>
        </w:rPr>
        <w:lastRenderedPageBreak/>
        <w:t xml:space="preserve">decreasing trend, with phosphate levels declining from around 98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 xml:space="preserve">/L in Week 3 to approximately 71 </w:t>
      </w:r>
      <w:proofErr w:type="spellStart"/>
      <w:r w:rsidRPr="00EC6FF5">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EC6FF5">
        <w:rPr>
          <w:rFonts w:ascii="Times New Roman" w:hAnsi="Times New Roman" w:cs="Times New Roman"/>
          <w:sz w:val="28"/>
          <w:szCs w:val="28"/>
        </w:rPr>
        <w:t>/L in Week 7.</w:t>
      </w:r>
    </w:p>
    <w:p w14:paraId="6B4C704F" w14:textId="77777777" w:rsidR="00EC6FF5" w:rsidRPr="00EC6FF5" w:rsidRDefault="00EC6FF5" w:rsidP="00EC6FF5">
      <w:pPr>
        <w:spacing w:line="360" w:lineRule="auto"/>
        <w:rPr>
          <w:rFonts w:ascii="Times New Roman" w:hAnsi="Times New Roman" w:cs="Times New Roman"/>
          <w:sz w:val="28"/>
          <w:szCs w:val="28"/>
        </w:rPr>
      </w:pPr>
      <w:r w:rsidRPr="00EC6FF5">
        <w:rPr>
          <w:rFonts w:ascii="Times New Roman" w:hAnsi="Times New Roman" w:cs="Times New Roman"/>
          <w:sz w:val="28"/>
          <w:szCs w:val="28"/>
        </w:rPr>
        <w:t>At the initial measurement (Week 3), the Monoculture system recorded higher phosphate levels than the IMTA system; however, this pattern reversed by Week 7, where the IMTA system showed nearly double the phosphate concentration compared to Monoculture. A notable feature of the data is the variability: the IMTA treatment displayed very large error bars at both time points, indicating high fluctuation in phosphate levels among replicates, whereas the Monoculture system showed minimal variability, reflecting more consistent measurements.</w:t>
      </w:r>
    </w:p>
    <w:p w14:paraId="10E76397" w14:textId="15AD223C" w:rsidR="009B6576" w:rsidRPr="00706071" w:rsidRDefault="00EC6FF5" w:rsidP="003A3148">
      <w:pPr>
        <w:spacing w:line="360" w:lineRule="auto"/>
        <w:rPr>
          <w:rFonts w:ascii="Times New Roman" w:hAnsi="Times New Roman" w:cs="Times New Roman"/>
          <w:sz w:val="28"/>
          <w:szCs w:val="28"/>
        </w:rPr>
      </w:pPr>
      <w:r>
        <w:t xml:space="preserve">Overall, the IMTA system experienced phosphate accumulation over time, increasing from 86.33 ug/L to 127.33 ug/L, while Monoculture decreased from 98.33 ug/L to 70.67 ug/L. This should be presented as a limitation of the current IMTA design rather than evidence of superior phosphate bio-filtration.</w:t>
      </w:r>
    </w:p>
    <w:p w14:paraId="6E8FEBBE" w14:textId="77777777" w:rsidR="009B6576" w:rsidRDefault="009B6576" w:rsidP="003A3148">
      <w:pPr>
        <w:spacing w:line="360" w:lineRule="auto"/>
        <w:rPr>
          <w:rFonts w:ascii="Times New Roman" w:hAnsi="Times New Roman" w:cs="Times New Roman"/>
          <w:b/>
          <w:bCs/>
          <w:sz w:val="28"/>
          <w:szCs w:val="28"/>
        </w:rPr>
      </w:pPr>
      <w:r>
        <w:rPr>
          <w:noProof/>
        </w:rPr>
        <w:drawing>
          <wp:inline distT="0" distB="0" distL="0" distR="0" wp14:anchorId="773539E6" wp14:editId="1FFDD3B0">
            <wp:extent cx="5943600" cy="2268855"/>
            <wp:effectExtent l="0" t="0" r="0" b="0"/>
            <wp:docPr id="946640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50BFC948" w14:textId="35ADA32A" w:rsidR="00A60FBB" w:rsidRPr="00A60FBB" w:rsidRDefault="009B6576" w:rsidP="00A60FBB">
      <w:pPr>
        <w:spacing w:line="360" w:lineRule="auto"/>
        <w:rPr>
          <w:rFonts w:ascii="Times New Roman" w:hAnsi="Times New Roman" w:cs="Times New Roman"/>
          <w:b/>
          <w:bCs/>
          <w:sz w:val="28"/>
          <w:szCs w:val="28"/>
        </w:rPr>
      </w:pPr>
      <w:r>
        <w:t xml:space="preserve">Figure 24: Mean phosphorus pentoxide concentration in IMTA and Monoculture treatments at Week 3 and Week 7.</w:t>
      </w:r>
    </w:p>
    <w:p w14:paraId="38A403BA" w14:textId="6899B20F" w:rsidR="009B6576" w:rsidRPr="00937810" w:rsidRDefault="009B6576" w:rsidP="003A3148">
      <w:pPr>
        <w:spacing w:line="360" w:lineRule="auto"/>
        <w:rPr>
          <w:rFonts w:ascii="Times New Roman" w:hAnsi="Times New Roman" w:cs="Times New Roman"/>
          <w:sz w:val="28"/>
          <w:szCs w:val="28"/>
        </w:rPr>
      </w:pPr>
    </w:p>
    <w:p w14:paraId="6F4194A7" w14:textId="77777777" w:rsidR="00937810" w:rsidRPr="00937810" w:rsidRDefault="00937810" w:rsidP="00937810">
      <w:pPr>
        <w:spacing w:line="360" w:lineRule="auto"/>
        <w:rPr>
          <w:rFonts w:ascii="Times New Roman" w:hAnsi="Times New Roman" w:cs="Times New Roman"/>
          <w:sz w:val="28"/>
          <w:szCs w:val="28"/>
        </w:rPr>
      </w:pPr>
      <w:r w:rsidRPr="00937810">
        <w:rPr>
          <w:rFonts w:ascii="Times New Roman" w:hAnsi="Times New Roman" w:cs="Times New Roman"/>
          <w:sz w:val="28"/>
          <w:szCs w:val="28"/>
        </w:rPr>
        <w:t>The bar chart illustrates the changes in Phosphorus Pentoxide concentration (</w:t>
      </w:r>
      <w:proofErr w:type="spellStart"/>
      <w:r w:rsidRPr="00937810">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937810">
        <w:rPr>
          <w:rFonts w:ascii="Times New Roman" w:hAnsi="Times New Roman" w:cs="Times New Roman"/>
          <w:sz w:val="28"/>
          <w:szCs w:val="28"/>
        </w:rPr>
        <w:t xml:space="preserve">/L) between IMTA and Monoculture treatments at Week 3 and Week 7. The results show contrasting trends between the two systems over time. In the IMTA system, Phosphorus Pentoxide levels increased markedly from approximately 64 </w:t>
      </w:r>
      <w:proofErr w:type="spellStart"/>
      <w:r w:rsidRPr="00937810">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937810">
        <w:rPr>
          <w:rFonts w:ascii="Times New Roman" w:hAnsi="Times New Roman" w:cs="Times New Roman"/>
          <w:sz w:val="28"/>
          <w:szCs w:val="28"/>
        </w:rPr>
        <w:t xml:space="preserve">/L in Week 3 to around 95 </w:t>
      </w:r>
      <w:proofErr w:type="spellStart"/>
      <w:r w:rsidRPr="00937810">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937810">
        <w:rPr>
          <w:rFonts w:ascii="Times New Roman" w:hAnsi="Times New Roman" w:cs="Times New Roman"/>
          <w:sz w:val="28"/>
          <w:szCs w:val="28"/>
        </w:rPr>
        <w:t xml:space="preserve">/L by Week 7, indicating a substantial accumulation of phosphorus compounds over the study period. In contrast, the Monoculture system exhibited a decreasing trend, with concentrations declining from about 74 </w:t>
      </w:r>
      <w:proofErr w:type="spellStart"/>
      <w:r w:rsidRPr="00937810">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937810">
        <w:rPr>
          <w:rFonts w:ascii="Times New Roman" w:hAnsi="Times New Roman" w:cs="Times New Roman"/>
          <w:sz w:val="28"/>
          <w:szCs w:val="28"/>
        </w:rPr>
        <w:t xml:space="preserve">/L in Week 3 to approximately 53 </w:t>
      </w:r>
      <w:proofErr w:type="spellStart"/>
      <w:r w:rsidRPr="00937810">
        <w:rPr>
          <w:rFonts w:ascii="Times New Roman" w:hAnsi="Times New Roman" w:cs="Times New Roman"/>
          <w:sz w:val="28"/>
          <w:szCs w:val="28"/>
        </w:rPr>
        <w:t>ÃƒÆ’Ã†â€™Ãƒâ€ Ã¢â‚¬â„¢ÃƒÆ’Ã¢â‚¬Â ÃƒÂ¢Ã¢â€šÂ¬Ã¢â€žÂ¢ÃƒÆ’Ã†â€™ÃƒÂ¢Ã¢â€šÂ¬Ã‚Â¦ÃƒÆ’Ã¢â‚¬Å¡Ãƒâ€šÃ‚Â½ÃƒÆ’Ã†â€™Ãƒâ€ Ã¢â‚¬â„¢ÃƒÆ’Ã‚Â¢ÃƒÂ¢Ã¢â‚¬Å¡Ã‚Â¬Ãƒâ€¦Ã‚Â¡ÃƒÆ’Ã†â€™ÃƒÂ¢Ã¢â€šÂ¬Ã…Â¡ÃƒÆ’Ã¢â‚¬Å¡Ãƒâ€šÃ‚Â¼g</w:t>
      </w:r>
      <w:proofErr w:type="spellEnd"/>
      <w:r w:rsidRPr="00937810">
        <w:rPr>
          <w:rFonts w:ascii="Times New Roman" w:hAnsi="Times New Roman" w:cs="Times New Roman"/>
          <w:sz w:val="28"/>
          <w:szCs w:val="28"/>
        </w:rPr>
        <w:t>/L in Week 7.</w:t>
      </w:r>
    </w:p>
    <w:p w14:paraId="41F0AE06" w14:textId="77777777" w:rsidR="00937810" w:rsidRPr="00937810" w:rsidRDefault="00937810" w:rsidP="00937810">
      <w:pPr>
        <w:spacing w:line="360" w:lineRule="auto"/>
        <w:rPr>
          <w:rFonts w:ascii="Times New Roman" w:hAnsi="Times New Roman" w:cs="Times New Roman"/>
          <w:sz w:val="28"/>
          <w:szCs w:val="28"/>
        </w:rPr>
      </w:pPr>
      <w:r>
        <w:t xml:space="preserve">Overall, the data suggest that Monoculture reduced phosphorus compounds over the measured interval, while IMTA accumulated phosphorus compounds. This further confirms that the current seaweed density did not provide adequate phosphorus bio-filtration.</w:t>
      </w:r>
    </w:p>
    <w:p w14:paraId="747F2824" w14:textId="77777777" w:rsidR="009B6576" w:rsidRDefault="009B6576" w:rsidP="003A3148">
      <w:pPr>
        <w:spacing w:line="360" w:lineRule="auto"/>
        <w:rPr>
          <w:rFonts w:ascii="Times New Roman" w:hAnsi="Times New Roman" w:cs="Times New Roman"/>
          <w:b/>
          <w:bCs/>
          <w:sz w:val="28"/>
          <w:szCs w:val="28"/>
        </w:rPr>
      </w:pPr>
    </w:p>
    <w:p w14:paraId="783095F8" w14:textId="58F1FFAE" w:rsidR="009B6576" w:rsidRDefault="009B6576" w:rsidP="003A3148">
      <w:pPr>
        <w:spacing w:line="360" w:lineRule="auto"/>
        <w:rPr>
          <w:rFonts w:ascii="Times New Roman" w:hAnsi="Times New Roman" w:cs="Times New Roman"/>
          <w:b/>
          <w:bCs/>
          <w:sz w:val="28"/>
          <w:szCs w:val="28"/>
        </w:rPr>
      </w:pPr>
    </w:p>
    <w:p w14:paraId="41B51EFB" w14:textId="77777777" w:rsidR="00D10521" w:rsidRDefault="00D10521" w:rsidP="003A3148">
      <w:pPr>
        <w:spacing w:line="360" w:lineRule="auto"/>
        <w:rPr>
          <w:rFonts w:ascii="Times New Roman" w:hAnsi="Times New Roman" w:cs="Times New Roman"/>
          <w:b/>
          <w:bCs/>
          <w:sz w:val="28"/>
          <w:szCs w:val="28"/>
        </w:rPr>
      </w:pPr>
    </w:p>
    <w:p w14:paraId="2CC045D3" w14:textId="77777777" w:rsidR="00D10521" w:rsidRDefault="00D10521" w:rsidP="003A3148">
      <w:pPr>
        <w:spacing w:line="360" w:lineRule="auto"/>
        <w:rPr>
          <w:rFonts w:ascii="Times New Roman" w:hAnsi="Times New Roman" w:cs="Times New Roman"/>
          <w:b/>
          <w:bCs/>
          <w:sz w:val="28"/>
          <w:szCs w:val="28"/>
        </w:rPr>
      </w:pPr>
    </w:p>
    <w:p w14:paraId="22553719" w14:textId="77777777" w:rsidR="00D10521" w:rsidRPr="009B6576" w:rsidRDefault="00D10521" w:rsidP="003A3148">
      <w:pPr>
        <w:spacing w:line="360" w:lineRule="auto"/>
        <w:rPr>
          <w:rFonts w:ascii="Times New Roman" w:hAnsi="Times New Roman" w:cs="Times New Roman"/>
          <w:b/>
          <w:bCs/>
          <w:sz w:val="28"/>
          <w:szCs w:val="28"/>
        </w:rPr>
      </w:pPr>
    </w:p>
    <w:sectPr w:rsidR="00D10521" w:rsidRPr="009B65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9223" w14:textId="77777777" w:rsidR="000C0114" w:rsidRDefault="000C0114" w:rsidP="00997BFD">
      <w:pPr>
        <w:spacing w:after="0" w:line="240" w:lineRule="auto"/>
      </w:pPr>
      <w:r>
        <w:separator/>
      </w:r>
    </w:p>
  </w:endnote>
  <w:endnote w:type="continuationSeparator" w:id="0">
    <w:p w14:paraId="3DADB2AC" w14:textId="77777777" w:rsidR="000C0114" w:rsidRDefault="000C0114" w:rsidP="00997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98A8A" w14:textId="77777777" w:rsidR="000C0114" w:rsidRDefault="000C0114" w:rsidP="00997BFD">
      <w:pPr>
        <w:spacing w:after="0" w:line="240" w:lineRule="auto"/>
      </w:pPr>
      <w:r>
        <w:separator/>
      </w:r>
    </w:p>
  </w:footnote>
  <w:footnote w:type="continuationSeparator" w:id="0">
    <w:p w14:paraId="0F8C3230" w14:textId="77777777" w:rsidR="000C0114" w:rsidRDefault="000C0114" w:rsidP="00997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507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ED945C3"/>
    <w:multiLevelType w:val="multilevel"/>
    <w:tmpl w:val="21F2B8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96033B9"/>
    <w:multiLevelType w:val="multilevel"/>
    <w:tmpl w:val="F23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816026">
    <w:abstractNumId w:val="2"/>
  </w:num>
  <w:num w:numId="2" w16cid:durableId="597560284">
    <w:abstractNumId w:val="0"/>
  </w:num>
  <w:num w:numId="3" w16cid:durableId="409931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24"/>
    <w:rsid w:val="0001463F"/>
    <w:rsid w:val="00015A72"/>
    <w:rsid w:val="00017A3A"/>
    <w:rsid w:val="00030A3A"/>
    <w:rsid w:val="00065A4A"/>
    <w:rsid w:val="00097A79"/>
    <w:rsid w:val="000C0114"/>
    <w:rsid w:val="001371BB"/>
    <w:rsid w:val="001A7101"/>
    <w:rsid w:val="001E54F2"/>
    <w:rsid w:val="002B2169"/>
    <w:rsid w:val="002C0E84"/>
    <w:rsid w:val="002F2C84"/>
    <w:rsid w:val="003A3148"/>
    <w:rsid w:val="003B2FB2"/>
    <w:rsid w:val="00401F3D"/>
    <w:rsid w:val="00403601"/>
    <w:rsid w:val="00445840"/>
    <w:rsid w:val="004A038F"/>
    <w:rsid w:val="0051344F"/>
    <w:rsid w:val="00515E4D"/>
    <w:rsid w:val="00531628"/>
    <w:rsid w:val="00572373"/>
    <w:rsid w:val="00584923"/>
    <w:rsid w:val="005C506E"/>
    <w:rsid w:val="00623A71"/>
    <w:rsid w:val="00650FDA"/>
    <w:rsid w:val="00693E0D"/>
    <w:rsid w:val="006B7A1D"/>
    <w:rsid w:val="00706071"/>
    <w:rsid w:val="00755908"/>
    <w:rsid w:val="00770919"/>
    <w:rsid w:val="00884164"/>
    <w:rsid w:val="008E7133"/>
    <w:rsid w:val="00937810"/>
    <w:rsid w:val="00963E2A"/>
    <w:rsid w:val="00964D55"/>
    <w:rsid w:val="00996078"/>
    <w:rsid w:val="00997BFD"/>
    <w:rsid w:val="009B6576"/>
    <w:rsid w:val="009D634B"/>
    <w:rsid w:val="00A01AF3"/>
    <w:rsid w:val="00A07BA7"/>
    <w:rsid w:val="00A110D6"/>
    <w:rsid w:val="00A60FBB"/>
    <w:rsid w:val="00AF4066"/>
    <w:rsid w:val="00BC6A7C"/>
    <w:rsid w:val="00BF08BF"/>
    <w:rsid w:val="00C427F7"/>
    <w:rsid w:val="00C543AE"/>
    <w:rsid w:val="00C87D7F"/>
    <w:rsid w:val="00D10521"/>
    <w:rsid w:val="00D55822"/>
    <w:rsid w:val="00DB44B4"/>
    <w:rsid w:val="00DF4D19"/>
    <w:rsid w:val="00E41A12"/>
    <w:rsid w:val="00E66A79"/>
    <w:rsid w:val="00E71F04"/>
    <w:rsid w:val="00EA1A75"/>
    <w:rsid w:val="00EC6FF5"/>
    <w:rsid w:val="00F10659"/>
    <w:rsid w:val="00F34524"/>
    <w:rsid w:val="00F4714D"/>
    <w:rsid w:val="00F50956"/>
    <w:rsid w:val="00FB4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64C4"/>
  <w15:chartTrackingRefBased/>
  <w15:docId w15:val="{2B51E5DB-FE84-443F-9340-1CAC00D56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133"/>
  </w:style>
  <w:style w:type="paragraph" w:styleId="Heading1">
    <w:name w:val="heading 1"/>
    <w:basedOn w:val="Normal"/>
    <w:next w:val="Normal"/>
    <w:link w:val="Heading1Char"/>
    <w:uiPriority w:val="9"/>
    <w:qFormat/>
    <w:rsid w:val="00F34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524"/>
    <w:rPr>
      <w:rFonts w:eastAsiaTheme="majorEastAsia" w:cstheme="majorBidi"/>
      <w:color w:val="272727" w:themeColor="text1" w:themeTint="D8"/>
    </w:rPr>
  </w:style>
  <w:style w:type="paragraph" w:styleId="Title">
    <w:name w:val="Title"/>
    <w:basedOn w:val="Normal"/>
    <w:next w:val="Normal"/>
    <w:link w:val="TitleChar"/>
    <w:uiPriority w:val="10"/>
    <w:qFormat/>
    <w:rsid w:val="00F34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524"/>
    <w:pPr>
      <w:spacing w:before="160"/>
      <w:jc w:val="center"/>
    </w:pPr>
    <w:rPr>
      <w:i/>
      <w:iCs/>
      <w:color w:val="404040" w:themeColor="text1" w:themeTint="BF"/>
    </w:rPr>
  </w:style>
  <w:style w:type="character" w:customStyle="1" w:styleId="QuoteChar">
    <w:name w:val="Quote Char"/>
    <w:basedOn w:val="DefaultParagraphFont"/>
    <w:link w:val="Quote"/>
    <w:uiPriority w:val="29"/>
    <w:rsid w:val="00F34524"/>
    <w:rPr>
      <w:i/>
      <w:iCs/>
      <w:color w:val="404040" w:themeColor="text1" w:themeTint="BF"/>
    </w:rPr>
  </w:style>
  <w:style w:type="paragraph" w:styleId="ListParagraph">
    <w:name w:val="List Paragraph"/>
    <w:basedOn w:val="Normal"/>
    <w:uiPriority w:val="34"/>
    <w:qFormat/>
    <w:rsid w:val="00F34524"/>
    <w:pPr>
      <w:ind w:left="720"/>
      <w:contextualSpacing/>
    </w:pPr>
  </w:style>
  <w:style w:type="character" w:styleId="IntenseEmphasis">
    <w:name w:val="Intense Emphasis"/>
    <w:basedOn w:val="DefaultParagraphFont"/>
    <w:uiPriority w:val="21"/>
    <w:qFormat/>
    <w:rsid w:val="00F34524"/>
    <w:rPr>
      <w:i/>
      <w:iCs/>
      <w:color w:val="0F4761" w:themeColor="accent1" w:themeShade="BF"/>
    </w:rPr>
  </w:style>
  <w:style w:type="paragraph" w:styleId="IntenseQuote">
    <w:name w:val="Intense Quote"/>
    <w:basedOn w:val="Normal"/>
    <w:next w:val="Normal"/>
    <w:link w:val="IntenseQuoteChar"/>
    <w:uiPriority w:val="30"/>
    <w:qFormat/>
    <w:rsid w:val="00F34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524"/>
    <w:rPr>
      <w:i/>
      <w:iCs/>
      <w:color w:val="0F4761" w:themeColor="accent1" w:themeShade="BF"/>
    </w:rPr>
  </w:style>
  <w:style w:type="character" w:styleId="IntenseReference">
    <w:name w:val="Intense Reference"/>
    <w:basedOn w:val="DefaultParagraphFont"/>
    <w:uiPriority w:val="32"/>
    <w:qFormat/>
    <w:rsid w:val="00F34524"/>
    <w:rPr>
      <w:b/>
      <w:bCs/>
      <w:smallCaps/>
      <w:color w:val="0F4761" w:themeColor="accent1" w:themeShade="BF"/>
      <w:spacing w:val="5"/>
    </w:rPr>
  </w:style>
  <w:style w:type="table" w:styleId="TableGrid">
    <w:name w:val="Table Grid"/>
    <w:basedOn w:val="TableNormal"/>
    <w:uiPriority w:val="39"/>
    <w:rsid w:val="00F34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7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BFD"/>
  </w:style>
  <w:style w:type="paragraph" w:styleId="Footer">
    <w:name w:val="footer"/>
    <w:basedOn w:val="Normal"/>
    <w:link w:val="FooterChar"/>
    <w:uiPriority w:val="99"/>
    <w:unhideWhenUsed/>
    <w:rsid w:val="00997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image" Target="media/image2.png" />
  <Relationship Id="rId13" Type="http://schemas.openxmlformats.org/officeDocument/2006/relationships/image" Target="media/image7.png" />
  <Relationship Id="rId18" Type="http://schemas.openxmlformats.org/officeDocument/2006/relationships/image" Target="media/image12.png" />
  <Relationship Id="rId26" Type="http://schemas.openxmlformats.org/officeDocument/2006/relationships/image" Target="media/image20.png" />
  <Relationship Id="rId3" Type="http://schemas.openxmlformats.org/officeDocument/2006/relationships/settings" Target="settings.xml" />
  <Relationship Id="rId21" Type="http://schemas.openxmlformats.org/officeDocument/2006/relationships/image" Target="media/image15.png" />
  <Relationship Id="rId7" Type="http://schemas.openxmlformats.org/officeDocument/2006/relationships/image" Target="media/image1.png" />
  <Relationship Id="rId12" Type="http://schemas.openxmlformats.org/officeDocument/2006/relationships/image" Target="media/image6.png" />
  <Relationship Id="rId17" Type="http://schemas.openxmlformats.org/officeDocument/2006/relationships/image" Target="media/image11.png" />
  <Relationship Id="rId25" Type="http://schemas.openxmlformats.org/officeDocument/2006/relationships/image" Target="media/image19.png" />
  <Relationship Id="rId2" Type="http://schemas.openxmlformats.org/officeDocument/2006/relationships/styles" Target="styles.xml" />
  <Relationship Id="rId16" Type="http://schemas.openxmlformats.org/officeDocument/2006/relationships/image" Target="media/image10.png" />
  <Relationship Id="rId20" Type="http://schemas.openxmlformats.org/officeDocument/2006/relationships/image" Target="media/image14.png" />
  <Relationship Id="rId29" Type="http://schemas.openxmlformats.org/officeDocument/2006/relationships/image" Target="media/image23.png" />
  <Relationship Id="rId1" Type="http://schemas.openxmlformats.org/officeDocument/2006/relationships/numbering" Target="numbering.xml" />
  <Relationship Id="rId6" Type="http://schemas.openxmlformats.org/officeDocument/2006/relationships/endnotes" Target="endnotes.xml" />
  <Relationship Id="rId11" Type="http://schemas.openxmlformats.org/officeDocument/2006/relationships/image" Target="media/image5.png" />
  <Relationship Id="rId24" Type="http://schemas.openxmlformats.org/officeDocument/2006/relationships/image" Target="media/image18.png" />
  <Relationship Id="rId32" Type="http://schemas.openxmlformats.org/officeDocument/2006/relationships/theme" Target="theme/theme1.xml" />
  <Relationship Id="rId5" Type="http://schemas.openxmlformats.org/officeDocument/2006/relationships/footnotes" Target="footnotes.xml" />
  <Relationship Id="rId15" Type="http://schemas.openxmlformats.org/officeDocument/2006/relationships/image" Target="media/image9.png" />
  <Relationship Id="rId23" Type="http://schemas.openxmlformats.org/officeDocument/2006/relationships/image" Target="media/image17.png" />
  <Relationship Id="rId28" Type="http://schemas.openxmlformats.org/officeDocument/2006/relationships/image" Target="media/image22.png" />
  <Relationship Id="rId10" Type="http://schemas.openxmlformats.org/officeDocument/2006/relationships/image" Target="media/image4.png" />
  <Relationship Id="rId19" Type="http://schemas.openxmlformats.org/officeDocument/2006/relationships/image" Target="media/image13.png" />
  <Relationship Id="rId31" Type="http://schemas.openxmlformats.org/officeDocument/2006/relationships/fontTable" Target="fontTable.xml" />
  <Relationship Id="rId4" Type="http://schemas.openxmlformats.org/officeDocument/2006/relationships/webSettings" Target="webSettings.xml" />
  <Relationship Id="rId9" Type="http://schemas.openxmlformats.org/officeDocument/2006/relationships/image" Target="media/image3.png" />
  <Relationship Id="rId14" Type="http://schemas.openxmlformats.org/officeDocument/2006/relationships/image" Target="media/image8.png" />
  <Relationship Id="rId22" Type="http://schemas.openxmlformats.org/officeDocument/2006/relationships/image" Target="media/image16.png" />
  <Relationship Id="rId27" Type="http://schemas.openxmlformats.org/officeDocument/2006/relationships/image" Target="media/image21.png" />
  <Relationship Id="rId30" Type="http://schemas.openxmlformats.org/officeDocument/2006/relationships/image" Target="media/image24.png" />
  <Relationship Id="rId33" Type="http://schemas.openxmlformats.org/officeDocument/2006/relationships/image" Target="media/study_area_map.jpeg"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33</Pages>
  <Words>6474</Words>
  <Characters>36906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KARUNAKARAN</dc:creator>
  <cp:keywords/>
  <dc:description/>
  <cp:lastModifiedBy>KARUNAKARAN</cp:lastModifiedBy>
  <cp:revision>55</cp:revision>
  <dcterms:created xsi:type="dcterms:W3CDTF">2026-05-03T04:21:00Z</dcterms:created>
  <dcterms:modified xsi:type="dcterms:W3CDTF">2026-05-03T12:08:00Z</dcterms:modified>
</cp:coreProperties>
</file>