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48668F">
      <w:pPr>
        <w:pStyle w:val="36"/>
      </w:pPr>
      <w:r>
        <w:rPr>
          <w:rFonts w:ascii="Nirmala UI" w:hAnsi="Nirmala UI" w:eastAsia="Nirmala UI" w:cs="Nirmala UI"/>
          <w:color w:val="1F4E79"/>
        </w:rPr>
        <w:t>Software Requirements Specification</w:t>
      </w:r>
    </w:p>
    <w:p w14:paraId="06154543">
      <w:pPr>
        <w:pStyle w:val="2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613C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00F17A8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w="4320" w:type="dxa"/>
            <w:shd w:val="clear" w:color="auto" w:fill="DCE6F1"/>
          </w:tcPr>
          <w:p w14:paraId="4565FA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 w14:paraId="34601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FB2A4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w="4320" w:type="dxa"/>
          </w:tcPr>
          <w:p w14:paraId="6C22B2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SRS-001</w:t>
            </w:r>
          </w:p>
        </w:tc>
      </w:tr>
      <w:tr w14:paraId="2125C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EA7555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w="4320" w:type="dxa"/>
          </w:tcPr>
          <w:p w14:paraId="18DA9AA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 w14:paraId="6E508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E55D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w="4320" w:type="dxa"/>
          </w:tcPr>
          <w:p w14:paraId="1A6BD82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 w14:paraId="5B1E0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276F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w="4320" w:type="dxa"/>
          </w:tcPr>
          <w:p w14:paraId="1FA7DBC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 (Gate G1)</w:t>
            </w:r>
          </w:p>
        </w:tc>
      </w:tr>
      <w:tr w14:paraId="2D3E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BD9B5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Preceding document</w:t>
            </w:r>
          </w:p>
        </w:tc>
        <w:tc>
          <w:tcPr>
            <w:tcW w:w="4320" w:type="dxa"/>
          </w:tcPr>
          <w:p w14:paraId="0285CBF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(Feasibility Study)</w:t>
            </w:r>
          </w:p>
        </w:tc>
      </w:tr>
      <w:tr w14:paraId="6397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31952A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Succeeding documents</w:t>
            </w:r>
          </w:p>
        </w:tc>
        <w:tc>
          <w:tcPr>
            <w:tcW w:w="4320" w:type="dxa"/>
          </w:tcPr>
          <w:p w14:paraId="7299B0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HLD-001, TP-001</w:t>
            </w:r>
          </w:p>
        </w:tc>
      </w:tr>
      <w:tr w14:paraId="256BB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350FBB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Standard</w:t>
            </w:r>
          </w:p>
        </w:tc>
        <w:tc>
          <w:tcPr>
            <w:tcW w:w="4320" w:type="dxa"/>
          </w:tcPr>
          <w:p w14:paraId="2B9C15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Structured after IEEE 830-1998</w:t>
            </w:r>
          </w:p>
        </w:tc>
      </w:tr>
    </w:tbl>
    <w:p w14:paraId="057F2718"/>
    <w:p w14:paraId="358E5C70"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Gate notice.</w:t>
      </w:r>
      <w:r>
        <w:rPr>
          <w:rFonts w:ascii="Nirmala UI" w:hAnsi="Nirmala UI" w:eastAsia="Nirmala UI" w:cs="Nirmala UI"/>
          <w:i/>
          <w:color w:val="5A5A5A"/>
        </w:rPr>
        <w:t xml:space="preserve"> In the V-model adopted for this programme, this document is the baseline against which System Testing and UAT are written. No implementation of a V-model module should begin before this document is signed off (Gate G1).</w:t>
      </w:r>
    </w:p>
    <w:p w14:paraId="693E6646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0B97D274">
      <w:pPr>
        <w:pStyle w:val="2"/>
      </w:pPr>
      <w:r>
        <w:rPr>
          <w:rFonts w:ascii="Nirmala UI" w:hAnsi="Nirmala UI" w:eastAsia="Nirmala UI" w:cs="Nirmala UI"/>
          <w:color w:val="1F4E79"/>
        </w:rPr>
        <w:t>1. Introduction</w:t>
      </w:r>
    </w:p>
    <w:p w14:paraId="06CA379A">
      <w:pPr>
        <w:pStyle w:val="3"/>
      </w:pPr>
      <w:r>
        <w:rPr>
          <w:rFonts w:ascii="Nirmala UI" w:hAnsi="Nirmala UI" w:eastAsia="Nirmala UI" w:cs="Nirmala UI"/>
          <w:color w:val="1F4E79"/>
        </w:rPr>
        <w:t>1.1 Purpose</w:t>
      </w:r>
    </w:p>
    <w:p w14:paraId="42A49F87">
      <w:pPr>
        <w:spacing w:after="120"/>
      </w:pPr>
      <w:r>
        <w:rPr>
          <w:rFonts w:ascii="Nirmala UI" w:hAnsi="Nirmala UI" w:eastAsia="Nirmala UI" w:cs="Nirmala UI"/>
        </w:rPr>
        <w:t>This document specifies the requirements for a self-hosted voice AI orchestration</w:t>
      </w:r>
    </w:p>
    <w:p w14:paraId="0131B360">
      <w:pPr>
        <w:spacing w:after="120"/>
      </w:pPr>
      <w:r>
        <w:rPr>
          <w:rFonts w:ascii="Nirmala UI" w:hAnsi="Nirmala UI" w:eastAsia="Nirmala UI" w:cs="Nirmala UI"/>
        </w:rPr>
        <w:t>platform that will replace Dograh as the execution environment for BS Wealth Finance's</w:t>
      </w:r>
    </w:p>
    <w:p w14:paraId="23FB0100">
      <w:pPr>
        <w:spacing w:after="120"/>
      </w:pPr>
      <w:r>
        <w:rPr>
          <w:rFonts w:ascii="Nirmala UI" w:hAnsi="Nirmala UI" w:eastAsia="Nirmala UI" w:cs="Nirmala UI"/>
        </w:rPr>
        <w:t>outbound Indian-language voice agents.</w:t>
      </w:r>
    </w:p>
    <w:p w14:paraId="7DA80D6E">
      <w:pPr>
        <w:spacing w:after="120"/>
      </w:pPr>
      <w:r>
        <w:rPr>
          <w:rFonts w:ascii="Nirmala UI" w:hAnsi="Nirmala UI" w:eastAsia="Nirmala UI" w:cs="Nirmala UI"/>
        </w:rPr>
        <w:t>It is written for the implementer, and it is the source for the Test Plan (TP-001).</w:t>
      </w:r>
    </w:p>
    <w:p w14:paraId="2E4FD947">
      <w:pPr>
        <w:spacing w:after="120"/>
      </w:pPr>
      <w:r>
        <w:rPr>
          <w:rFonts w:ascii="Nirmala UI" w:hAnsi="Nirmala UI" w:eastAsia="Nirmala UI" w:cs="Nirmala UI"/>
        </w:rPr>
        <w:t>Every requirement carries a unique identifier so that test cases can trace back to it.</w:t>
      </w:r>
    </w:p>
    <w:p w14:paraId="1E194A9D">
      <w:pPr>
        <w:pStyle w:val="3"/>
      </w:pPr>
      <w:r>
        <w:rPr>
          <w:rFonts w:ascii="Nirmala UI" w:hAnsi="Nirmala UI" w:eastAsia="Nirmala UI" w:cs="Nirmala UI"/>
          <w:color w:val="1F4E79"/>
        </w:rPr>
        <w:t>1.2 Scope</w:t>
      </w:r>
    </w:p>
    <w:p w14:paraId="24C4BE58">
      <w:pPr>
        <w:spacing w:after="120"/>
      </w:pPr>
      <w:r>
        <w:rPr>
          <w:rFonts w:ascii="Nirmala UI" w:hAnsi="Nirmala UI" w:eastAsia="Nirmala UI" w:cs="Nirmala UI"/>
          <w:b/>
        </w:rPr>
        <w:t>In scope for v1</w:t>
      </w:r>
      <w:r>
        <w:rPr>
          <w:rFonts w:ascii="Nirmala UI" w:hAnsi="Nirmala UI" w:eastAsia="Nirmala UI" w:cs="Nirmala UI"/>
        </w:rPr>
        <w:t xml:space="preserve"> (confirmed non-negotiable by the product owner):</w:t>
      </w:r>
    </w:p>
    <w:p w14:paraId="308B14C8">
      <w:pPr>
        <w:pStyle w:val="23"/>
      </w:pPr>
      <w:r>
        <w:rPr>
          <w:rFonts w:ascii="Nirmala UI" w:hAnsi="Nirmala UI" w:eastAsia="Nirmala UI" w:cs="Nirmala UI"/>
        </w:rPr>
        <w:t>Outbound calling over the public telephone network</w:t>
      </w:r>
    </w:p>
    <w:p w14:paraId="28CCD099">
      <w:pPr>
        <w:pStyle w:val="23"/>
      </w:pPr>
      <w:r>
        <w:rPr>
          <w:rFonts w:ascii="Nirmala UI" w:hAnsi="Nirmala UI" w:eastAsia="Nirmala UI" w:cs="Nirmala UI"/>
        </w:rPr>
        <w:t>Campaign management: contact lists, dialing, concurrency control, retries, reporting</w:t>
      </w:r>
    </w:p>
    <w:p w14:paraId="37702434">
      <w:pPr>
        <w:pStyle w:val="23"/>
      </w:pPr>
      <w:r>
        <w:rPr>
          <w:rFonts w:ascii="Nirmala UI" w:hAnsi="Nirmala UI" w:eastAsia="Nirmala UI" w:cs="Nirmala UI"/>
        </w:rPr>
        <w:t>A conversation engine capable of tool calling and non-graph dialogue design</w:t>
      </w:r>
    </w:p>
    <w:p w14:paraId="07FFFD1C">
      <w:pPr>
        <w:pStyle w:val="23"/>
      </w:pPr>
      <w:r>
        <w:rPr>
          <w:rFonts w:ascii="Nirmala UI" w:hAnsi="Nirmala UI" w:eastAsia="Nirmala UI" w:cs="Nirmala UI"/>
        </w:rPr>
        <w:t>A pluggable speech-recognition layer supporting third-party and self-hosted models</w:t>
      </w:r>
    </w:p>
    <w:p w14:paraId="419C1805">
      <w:pPr>
        <w:pStyle w:val="23"/>
      </w:pPr>
      <w:r>
        <w:rPr>
          <w:rFonts w:ascii="Nirmala UI" w:hAnsi="Nirmala UI" w:eastAsia="Nirmala UI" w:cs="Nirmala UI"/>
        </w:rPr>
        <w:t>Call observability: transcripts, latency metrics, outcomes, recordings</w:t>
      </w:r>
    </w:p>
    <w:p w14:paraId="612F4206">
      <w:pPr>
        <w:pStyle w:val="23"/>
      </w:pPr>
      <w:r>
        <w:rPr>
          <w:rFonts w:ascii="Nirmala UI" w:hAnsi="Nirmala UI" w:eastAsia="Nirmala UI" w:cs="Nirmala UI"/>
        </w:rPr>
        <w:t>An operator dashboard</w:t>
      </w:r>
    </w:p>
    <w:p w14:paraId="5032037C">
      <w:pPr>
        <w:spacing w:after="120"/>
      </w:pPr>
      <w:r>
        <w:rPr>
          <w:rFonts w:ascii="Nirmala UI" w:hAnsi="Nirmala UI" w:eastAsia="Nirmala UI" w:cs="Nirmala UI"/>
          <w:b/>
        </w:rPr>
        <w:t>Explicitly out of scope for v1</w:t>
      </w:r>
      <w:r>
        <w:rPr>
          <w:rFonts w:ascii="Nirmala UI" w:hAnsi="Nirmala UI" w:eastAsia="Nirmala UI" w:cs="Nirmala UI"/>
        </w:rPr>
        <w:t>, deferred to later releases: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74C1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2A0A4B0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w="4320" w:type="dxa"/>
            <w:shd w:val="clear" w:color="auto" w:fill="DCE6F1"/>
          </w:tcPr>
          <w:p w14:paraId="14C1F01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</w:tr>
      <w:tr w14:paraId="095FB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660C8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Appointment booking and calendar integration</w:t>
            </w:r>
          </w:p>
        </w:tc>
        <w:tc>
          <w:tcPr>
            <w:tcW w:w="4320" w:type="dxa"/>
          </w:tcPr>
          <w:p w14:paraId="11707BE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72419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A4A0D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Visual agent-builder user interface</w:t>
            </w:r>
          </w:p>
        </w:tc>
        <w:tc>
          <w:tcPr>
            <w:tcW w:w="4320" w:type="dxa"/>
          </w:tcPr>
          <w:p w14:paraId="08DA0D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05FEC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8B3509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w="4320" w:type="dxa"/>
          </w:tcPr>
          <w:p w14:paraId="202B282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72DAD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6340D7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Multi-tenancy, per-client logins, self-serve onboarding</w:t>
            </w:r>
          </w:p>
        </w:tc>
        <w:tc>
          <w:tcPr>
            <w:tcW w:w="4320" w:type="dxa"/>
          </w:tcPr>
          <w:p w14:paraId="5194C20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</w:tr>
      <w:tr w14:paraId="6AD08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3BBC65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Usage metering and billing</w:t>
            </w:r>
          </w:p>
        </w:tc>
        <w:tc>
          <w:tcPr>
            <w:tcW w:w="4320" w:type="dxa"/>
          </w:tcPr>
          <w:p w14:paraId="00198D3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</w:tr>
      <w:tr w14:paraId="01131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D26379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Self-hosted fine-tuned ASR model</w:t>
            </w:r>
          </w:p>
        </w:tc>
        <w:tc>
          <w:tcPr>
            <w:tcW w:w="4320" w:type="dxa"/>
          </w:tcPr>
          <w:p w14:paraId="7C5218D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 (Phase 4 workstream)</w:t>
            </w:r>
          </w:p>
        </w:tc>
      </w:tr>
    </w:tbl>
    <w:p w14:paraId="407E7292"/>
    <w:p w14:paraId="1D35B7C8">
      <w:pPr>
        <w:spacing w:after="120"/>
      </w:pPr>
      <w:r>
        <w:rPr>
          <w:rFonts w:ascii="Nirmala UI" w:hAnsi="Nirmala UI" w:eastAsia="Nirmala UI" w:cs="Nirmala UI"/>
          <w:b/>
        </w:rPr>
        <w:t>Rationale for the deferrals.</w:t>
      </w:r>
      <w:r>
        <w:rPr>
          <w:rFonts w:ascii="Nirmala UI" w:hAnsi="Nirmala UI" w:eastAsia="Nirmala UI" w:cs="Nirmala UI"/>
        </w:rPr>
        <w:t xml:space="preserve"> The platform is operated by its owner on behalf of</w:t>
      </w:r>
    </w:p>
    <w:p w14:paraId="08E35878">
      <w:pPr>
        <w:spacing w:after="120"/>
      </w:pPr>
      <w:r>
        <w:rPr>
          <w:rFonts w:ascii="Nirmala UI" w:hAnsi="Nirmala UI" w:eastAsia="Nirmala UI" w:cs="Nirmala UI"/>
        </w:rPr>
        <w:t>clients; clients do not log in. This removes approximately 60% of what an equivalent</w:t>
      </w:r>
    </w:p>
    <w:p w14:paraId="2014DE3E">
      <w:pPr>
        <w:spacing w:after="120"/>
      </w:pPr>
      <w:r>
        <w:rPr>
          <w:rFonts w:ascii="Nirmala UI" w:hAnsi="Nirmala UI" w:eastAsia="Nirmala UI" w:cs="Nirmala UI"/>
        </w:rPr>
        <w:t>commercial product would require. Appointment booking is deferred despite being a</w:t>
      </w:r>
    </w:p>
    <w:p w14:paraId="258F00B6">
      <w:pPr>
        <w:spacing w:after="120"/>
      </w:pPr>
      <w:r>
        <w:rPr>
          <w:rFonts w:ascii="Nirmala UI" w:hAnsi="Nirmala UI" w:eastAsia="Nirmala UI" w:cs="Nirmala UI"/>
        </w:rPr>
        <w:t>motivating use case because v1 must first prove call quality parity; the tool-calling</w:t>
      </w:r>
    </w:p>
    <w:p w14:paraId="7876F40B">
      <w:pPr>
        <w:spacing w:after="120"/>
      </w:pPr>
      <w:r>
        <w:rPr>
          <w:rFonts w:ascii="Nirmala UI" w:hAnsi="Nirmala UI" w:eastAsia="Nirmala UI" w:cs="Nirmala UI"/>
        </w:rPr>
        <w:t>foundation it needs is nonetheless required in v1 (FR-BRAIN-05).</w:t>
      </w:r>
    </w:p>
    <w:p w14:paraId="28029D72">
      <w:pPr>
        <w:pStyle w:val="3"/>
      </w:pPr>
      <w:r>
        <w:rPr>
          <w:rFonts w:ascii="Nirmala UI" w:hAnsi="Nirmala UI" w:eastAsia="Nirmala UI" w:cs="Nirmala UI"/>
          <w:color w:val="1F4E79"/>
        </w:rPr>
        <w:t>1.3 Definitions and Abbreviations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D5B0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7AFBA2C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Term</w:t>
            </w:r>
          </w:p>
        </w:tc>
        <w:tc>
          <w:tcPr>
            <w:tcW w:w="4320" w:type="dxa"/>
            <w:shd w:val="clear" w:color="auto" w:fill="DCE6F1"/>
          </w:tcPr>
          <w:p w14:paraId="7261B78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Meaning</w:t>
            </w:r>
          </w:p>
        </w:tc>
      </w:tr>
      <w:tr w14:paraId="2CE5B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CA8F4E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</w:t>
            </w:r>
          </w:p>
        </w:tc>
        <w:tc>
          <w:tcPr>
            <w:tcW w:w="4320" w:type="dxa"/>
          </w:tcPr>
          <w:p w14:paraId="399FCAE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 configured voice persona: prompt, voice, model selection, and behaviour</w:t>
            </w:r>
          </w:p>
        </w:tc>
      </w:tr>
      <w:tr w14:paraId="43734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2A3A1D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</w:t>
            </w:r>
          </w:p>
        </w:tc>
        <w:tc>
          <w:tcPr>
            <w:tcW w:w="4320" w:type="dxa"/>
          </w:tcPr>
          <w:p w14:paraId="47BAF8F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One exchange: caller speaks, system responds</w:t>
            </w:r>
          </w:p>
        </w:tc>
      </w:tr>
      <w:tr w14:paraId="22A71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64AA3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 latency</w:t>
            </w:r>
          </w:p>
        </w:tc>
        <w:tc>
          <w:tcPr>
            <w:tcW w:w="4320" w:type="dxa"/>
          </w:tcPr>
          <w:p w14:paraId="1009F84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Elapsed time from end of caller speech to first audible system speech</w:t>
            </w:r>
          </w:p>
        </w:tc>
      </w:tr>
      <w:tr w14:paraId="63727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4697EB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TTFB</w:t>
            </w:r>
          </w:p>
        </w:tc>
        <w:tc>
          <w:tcPr>
            <w:tcW w:w="4320" w:type="dxa"/>
          </w:tcPr>
          <w:p w14:paraId="11E5FC4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Time to first byte/token from a model</w:t>
            </w:r>
          </w:p>
        </w:tc>
      </w:tr>
      <w:tr w14:paraId="660E7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E5A2D6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Endpointing</w:t>
            </w:r>
          </w:p>
        </w:tc>
        <w:tc>
          <w:tcPr>
            <w:tcW w:w="4320" w:type="dxa"/>
          </w:tcPr>
          <w:p w14:paraId="561880D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Deciding that the caller has finished speaking</w:t>
            </w:r>
          </w:p>
        </w:tc>
      </w:tr>
      <w:tr w14:paraId="7437F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E5EBBB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Barge-in</w:t>
            </w:r>
          </w:p>
        </w:tc>
        <w:tc>
          <w:tcPr>
            <w:tcW w:w="4320" w:type="dxa"/>
          </w:tcPr>
          <w:p w14:paraId="547BE9E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Caller interrupting system speech; system must stop talking</w:t>
            </w:r>
          </w:p>
        </w:tc>
      </w:tr>
      <w:tr w14:paraId="1A13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E81855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WER</w:t>
            </w:r>
          </w:p>
        </w:tc>
        <w:tc>
          <w:tcPr>
            <w:tcW w:w="4320" w:type="dxa"/>
          </w:tcPr>
          <w:p w14:paraId="740155E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Word Error Rate — standard speech-recognition accuracy measure</w:t>
            </w:r>
          </w:p>
        </w:tc>
      </w:tr>
      <w:tr w14:paraId="3AA98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27678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SIP</w:t>
            </w:r>
          </w:p>
        </w:tc>
        <w:tc>
          <w:tcPr>
            <w:tcW w:w="4320" w:type="dxa"/>
          </w:tcPr>
          <w:p w14:paraId="0A23551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Session Initiation Protocol — telephony signalling</w:t>
            </w:r>
          </w:p>
        </w:tc>
      </w:tr>
      <w:tr w14:paraId="1B50F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175E76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PSTN</w:t>
            </w:r>
          </w:p>
        </w:tc>
        <w:tc>
          <w:tcPr>
            <w:tcW w:w="4320" w:type="dxa"/>
          </w:tcPr>
          <w:p w14:paraId="48AFECB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Public Switched Telephone Network</w:t>
            </w:r>
          </w:p>
        </w:tc>
      </w:tr>
      <w:tr w14:paraId="76DB9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B57F75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DLT</w:t>
            </w:r>
          </w:p>
        </w:tc>
        <w:tc>
          <w:tcPr>
            <w:tcW w:w="4320" w:type="dxa"/>
          </w:tcPr>
          <w:p w14:paraId="1A34A08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Distributed Ledger Technology registry — Indian regulatory regime for commercial communications</w:t>
            </w:r>
          </w:p>
        </w:tc>
      </w:tr>
      <w:tr w14:paraId="07448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0CF7E9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DPDP</w:t>
            </w:r>
          </w:p>
        </w:tc>
        <w:tc>
          <w:tcPr>
            <w:tcW w:w="4320" w:type="dxa"/>
          </w:tcPr>
          <w:p w14:paraId="3EC04F3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Digital Personal Data Protection Act (India)</w:t>
            </w:r>
          </w:p>
        </w:tc>
      </w:tr>
      <w:tr w14:paraId="5DF6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A5867F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Brain</w:t>
            </w:r>
          </w:p>
        </w:tc>
        <w:tc>
          <w:tcPr>
            <w:tcW w:w="4320" w:type="dxa"/>
          </w:tcPr>
          <w:p w14:paraId="100084F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conversation-control service: decides what the agent says and does</w:t>
            </w:r>
          </w:p>
        </w:tc>
      </w:tr>
      <w:tr w14:paraId="083B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303C6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Disposition</w:t>
            </w:r>
          </w:p>
        </w:tc>
        <w:tc>
          <w:tcPr>
            <w:tcW w:w="4320" w:type="dxa"/>
          </w:tcPr>
          <w:p w14:paraId="1F42B7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recorded outcome of a call</w:t>
            </w:r>
          </w:p>
        </w:tc>
      </w:tr>
    </w:tbl>
    <w:p w14:paraId="59F0BC91"/>
    <w:p w14:paraId="7BFAA3D8">
      <w:pPr>
        <w:pStyle w:val="3"/>
      </w:pPr>
      <w:r>
        <w:rPr>
          <w:rFonts w:ascii="Nirmala UI" w:hAnsi="Nirmala UI" w:eastAsia="Nirmala UI" w:cs="Nirmala UI"/>
          <w:color w:val="1F4E79"/>
        </w:rPr>
        <w:t>1.4 References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2005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459365C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Ref</w:t>
            </w:r>
          </w:p>
        </w:tc>
        <w:tc>
          <w:tcPr>
            <w:tcW w:w="4320" w:type="dxa"/>
            <w:shd w:val="clear" w:color="auto" w:fill="DCE6F1"/>
          </w:tcPr>
          <w:p w14:paraId="38A88D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</w:tr>
      <w:tr w14:paraId="4D9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8FDA70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R1</w:t>
            </w:r>
          </w:p>
        </w:tc>
        <w:tc>
          <w:tcPr>
            <w:tcW w:w="4320" w:type="dxa"/>
          </w:tcPr>
          <w:p w14:paraId="2A07465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Feasibility Study</w:t>
            </w:r>
          </w:p>
        </w:tc>
      </w:tr>
      <w:tr w14:paraId="3DE38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0BD5F5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R2</w:t>
            </w:r>
          </w:p>
        </w:tc>
        <w:tc>
          <w:tcPr>
            <w:tcW w:w="4320" w:type="dxa"/>
          </w:tcPr>
          <w:p w14:paraId="1D0A713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LiveKit Agents documentation — STT and speech pipeline</w:t>
            </w:r>
          </w:p>
        </w:tc>
      </w:tr>
      <w:tr w14:paraId="73F1C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653ED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R3</w:t>
            </w:r>
          </w:p>
        </w:tc>
        <w:tc>
          <w:tcPr>
            <w:tcW w:w="4320" w:type="dxa"/>
          </w:tcPr>
          <w:p w14:paraId="0C58D08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AI4Bharat IndicConformer (MIT licence)</w:t>
            </w:r>
          </w:p>
        </w:tc>
      </w:tr>
      <w:tr w14:paraId="12ED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E6C59D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R4</w:t>
            </w:r>
          </w:p>
        </w:tc>
        <w:tc>
          <w:tcPr>
            <w:tcW w:w="4320" w:type="dxa"/>
          </w:tcPr>
          <w:p w14:paraId="2281AB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production measurements —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findings.md</w:t>
            </w:r>
            <w:r>
              <w:rPr>
                <w:rFonts w:ascii="Nirmala UI" w:hAnsi="Nirmala UI" w:eastAsia="Nirmala UI" w:cs="Nirmala UI"/>
                <w:sz w:val="18"/>
              </w:rPr>
              <w:t>, this repository</w:t>
            </w:r>
          </w:p>
        </w:tc>
      </w:tr>
      <w:tr w14:paraId="3A5CC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F313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R5</w:t>
            </w:r>
          </w:p>
        </w:tc>
        <w:tc>
          <w:tcPr>
            <w:tcW w:w="4320" w:type="dxa"/>
          </w:tcPr>
          <w:p w14:paraId="0FA24D81">
            <w:pPr>
              <w:spacing w:before="40" w:after="40" w:line="240" w:lineRule="auto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workflows/gptoss120b_prompts.md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tuned Telugu prompt corpus</w:t>
            </w:r>
          </w:p>
        </w:tc>
      </w:tr>
    </w:tbl>
    <w:p w14:paraId="6DB7C22A"/>
    <w:p w14:paraId="5BD34B0F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199A9AB7">
      <w:pPr>
        <w:pStyle w:val="2"/>
      </w:pPr>
      <w:r>
        <w:rPr>
          <w:rFonts w:ascii="Nirmala UI" w:hAnsi="Nirmala UI" w:eastAsia="Nirmala UI" w:cs="Nirmala UI"/>
          <w:color w:val="1F4E79"/>
        </w:rPr>
        <w:t>2. Overall Description</w:t>
      </w:r>
    </w:p>
    <w:p w14:paraId="64DAD823">
      <w:pPr>
        <w:pStyle w:val="3"/>
      </w:pPr>
      <w:r>
        <w:rPr>
          <w:rFonts w:ascii="Nirmala UI" w:hAnsi="Nirmala UI" w:eastAsia="Nirmala UI" w:cs="Nirmala UI"/>
          <w:color w:val="1F4E79"/>
        </w:rPr>
        <w:t>2.1 Product Perspective</w:t>
      </w:r>
    </w:p>
    <w:p w14:paraId="2F48E02D">
      <w:pPr>
        <w:spacing w:after="120"/>
      </w:pPr>
      <w:r>
        <w:rPr>
          <w:rFonts w:ascii="Nirmala UI" w:hAnsi="Nirmala UI" w:eastAsia="Nirmala UI" w:cs="Nirmala UI"/>
        </w:rPr>
        <w:t>The platform replaces Dograh in an existing operational context. It is not greenfield:</w:t>
      </w:r>
    </w:p>
    <w:p w14:paraId="64A113CF">
      <w:pPr>
        <w:spacing w:after="120"/>
      </w:pPr>
      <w:r>
        <w:rPr>
          <w:rFonts w:ascii="Nirmala UI" w:hAnsi="Nirmala UI" w:eastAsia="Nirmala UI" w:cs="Nirmala UI"/>
        </w:rPr>
        <w:t>it must interoperate with an existing dashboard, existing contact data, existing</w:t>
      </w:r>
    </w:p>
    <w:p w14:paraId="5A83E807">
      <w:pPr>
        <w:spacing w:after="120"/>
      </w:pPr>
      <w:r>
        <w:rPr>
          <w:rFonts w:ascii="Nirmala UI" w:hAnsi="Nirmala UI" w:eastAsia="Nirmala UI" w:cs="Nirmala UI"/>
        </w:rPr>
        <w:t>telephony arrangements, and an existing body of tuned Telugu prompts.</w:t>
      </w:r>
    </w:p>
    <w:p w14:paraId="4594EEDE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Contact data ──▶ Campaign Engine ──▶ Dialer ──▶ Telephony (SIP) ──▶ PSTN ──▶ Customer</w:t>
      </w:r>
    </w:p>
    <w:p w14:paraId="03CB530A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│</w:t>
      </w:r>
    </w:p>
    <w:p w14:paraId="68931668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▼</w:t>
      </w:r>
    </w:p>
    <w:p w14:paraId="0CCC3CC5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  Media Session (LiveKit)</w:t>
      </w:r>
    </w:p>
    <w:p w14:paraId="0ECD4BED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          │</w:t>
      </w:r>
    </w:p>
    <w:p w14:paraId="6926F126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┌─────────┼─────────┐</w:t>
      </w:r>
    </w:p>
    <w:p w14:paraId="240EC79E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▼         ▼         ▼</w:t>
      </w:r>
    </w:p>
    <w:p w14:paraId="301E691C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STT      Brain      TTS</w:t>
      </w:r>
    </w:p>
    <w:p w14:paraId="1A5D48E0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                    │         │         │</w:t>
      </w:r>
    </w:p>
    <w:p w14:paraId="1E69A421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▼                    └────┬────┘         │</w:t>
      </w:r>
    </w:p>
    <w:p w14:paraId="3F80888F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Observability ◀──────────────────┴──────────────┘</w:t>
      </w:r>
    </w:p>
    <w:p w14:paraId="02098A64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│</w:t>
      </w:r>
    </w:p>
    <w:p w14:paraId="4278FC28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     ▼</w:t>
      </w:r>
    </w:p>
    <w:p w14:paraId="46FC49B2">
      <w:pPr>
        <w:shd w:val="clear" w:color="auto" w:fill="F2F2F2"/>
        <w:spacing w:before="0" w:after="0"/>
        <w:ind w:left="360"/>
      </w:pPr>
      <w:r>
        <w:rPr>
          <w:rFonts w:ascii="Consolas" w:hAnsi="Consolas" w:eastAsia="Consolas" w:cs="Consolas"/>
          <w:sz w:val="16"/>
        </w:rPr>
        <w:t xml:space="preserve">                     Dashboard</w:t>
      </w:r>
    </w:p>
    <w:p w14:paraId="1090B0B7"/>
    <w:p w14:paraId="504EA570">
      <w:pPr>
        <w:pStyle w:val="3"/>
      </w:pPr>
      <w:r>
        <w:rPr>
          <w:rFonts w:ascii="Nirmala UI" w:hAnsi="Nirmala UI" w:eastAsia="Nirmala UI" w:cs="Nirmala UI"/>
          <w:color w:val="1F4E79"/>
        </w:rPr>
        <w:t>2.2 Product Functions (summary)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3D8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4D74595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Module</w:t>
            </w:r>
          </w:p>
        </w:tc>
        <w:tc>
          <w:tcPr>
            <w:tcW w:w="2880" w:type="dxa"/>
            <w:shd w:val="clear" w:color="auto" w:fill="DCE6F1"/>
          </w:tcPr>
          <w:p w14:paraId="2C84901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</w:t>
            </w:r>
          </w:p>
        </w:tc>
        <w:tc>
          <w:tcPr>
            <w:tcW w:w="2880" w:type="dxa"/>
            <w:shd w:val="clear" w:color="auto" w:fill="DCE6F1"/>
          </w:tcPr>
          <w:p w14:paraId="58EB14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 w14:paraId="54F7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5D68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Telephony Adapter</w:t>
            </w:r>
          </w:p>
        </w:tc>
        <w:tc>
          <w:tcPr>
            <w:tcW w:w="2880" w:type="dxa"/>
          </w:tcPr>
          <w:p w14:paraId="2809901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</w:t>
            </w:r>
          </w:p>
        </w:tc>
        <w:tc>
          <w:tcPr>
            <w:tcW w:w="2880" w:type="dxa"/>
          </w:tcPr>
          <w:p w14:paraId="442DC2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Originate and manage PSTN calls via SIP</w:t>
            </w:r>
          </w:p>
        </w:tc>
      </w:tr>
      <w:tr w14:paraId="160B0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C9A3D7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Media Pipeline</w:t>
            </w:r>
          </w:p>
        </w:tc>
        <w:tc>
          <w:tcPr>
            <w:tcW w:w="2880" w:type="dxa"/>
          </w:tcPr>
          <w:p w14:paraId="1AE96D0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PIPE</w:t>
            </w:r>
          </w:p>
        </w:tc>
        <w:tc>
          <w:tcPr>
            <w:tcW w:w="2880" w:type="dxa"/>
          </w:tcPr>
          <w:p w14:paraId="502E646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Audio in/out, STT, endpointing, TTS, barge-in</w:t>
            </w:r>
          </w:p>
        </w:tc>
      </w:tr>
      <w:tr w14:paraId="6D7D7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FB73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Conversation Engine (Brain)</w:t>
            </w:r>
          </w:p>
        </w:tc>
        <w:tc>
          <w:tcPr>
            <w:tcW w:w="2880" w:type="dxa"/>
          </w:tcPr>
          <w:p w14:paraId="2F201C8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w="2880" w:type="dxa"/>
          </w:tcPr>
          <w:p w14:paraId="4E9B88E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Decide what to say; execute tools</w:t>
            </w:r>
          </w:p>
        </w:tc>
      </w:tr>
      <w:tr w14:paraId="6F953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851AC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Agent Configuration</w:t>
            </w:r>
          </w:p>
        </w:tc>
        <w:tc>
          <w:tcPr>
            <w:tcW w:w="2880" w:type="dxa"/>
          </w:tcPr>
          <w:p w14:paraId="65934D9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AGENT</w:t>
            </w:r>
          </w:p>
        </w:tc>
        <w:tc>
          <w:tcPr>
            <w:tcW w:w="2880" w:type="dxa"/>
          </w:tcPr>
          <w:p w14:paraId="0CD6DB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Define, version and publish agents</w:t>
            </w:r>
          </w:p>
        </w:tc>
      </w:tr>
      <w:tr w14:paraId="28B2A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FE04F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Campaign &amp; Dialer</w:t>
            </w:r>
          </w:p>
        </w:tc>
        <w:tc>
          <w:tcPr>
            <w:tcW w:w="2880" w:type="dxa"/>
          </w:tcPr>
          <w:p w14:paraId="18F663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CAMP</w:t>
            </w:r>
          </w:p>
        </w:tc>
        <w:tc>
          <w:tcPr>
            <w:tcW w:w="2880" w:type="dxa"/>
          </w:tcPr>
          <w:p w14:paraId="7C1173C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Contact lists, scheduling, concurrency, retries</w:t>
            </w:r>
          </w:p>
        </w:tc>
      </w:tr>
      <w:tr w14:paraId="4D81D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043A4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Observability</w:t>
            </w:r>
          </w:p>
        </w:tc>
        <w:tc>
          <w:tcPr>
            <w:tcW w:w="2880" w:type="dxa"/>
          </w:tcPr>
          <w:p w14:paraId="28B1FA9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OBS</w:t>
            </w:r>
          </w:p>
        </w:tc>
        <w:tc>
          <w:tcPr>
            <w:tcW w:w="2880" w:type="dxa"/>
          </w:tcPr>
          <w:p w14:paraId="6E32764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Transcripts, metrics, recordings, dispositions</w:t>
            </w:r>
          </w:p>
        </w:tc>
      </w:tr>
      <w:tr w14:paraId="63D8B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538BAC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Operator Dashboard</w:t>
            </w:r>
          </w:p>
        </w:tc>
        <w:tc>
          <w:tcPr>
            <w:tcW w:w="2880" w:type="dxa"/>
          </w:tcPr>
          <w:p w14:paraId="6BC520D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UI</w:t>
            </w:r>
          </w:p>
        </w:tc>
        <w:tc>
          <w:tcPr>
            <w:tcW w:w="2880" w:type="dxa"/>
          </w:tcPr>
          <w:p w14:paraId="351491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Human control and review surface</w:t>
            </w:r>
          </w:p>
        </w:tc>
      </w:tr>
      <w:tr w14:paraId="181EA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CA7C6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Data &amp; Storage</w:t>
            </w:r>
          </w:p>
        </w:tc>
        <w:tc>
          <w:tcPr>
            <w:tcW w:w="2880" w:type="dxa"/>
          </w:tcPr>
          <w:p w14:paraId="04AE459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DATA</w:t>
            </w:r>
          </w:p>
        </w:tc>
        <w:tc>
          <w:tcPr>
            <w:tcW w:w="2880" w:type="dxa"/>
          </w:tcPr>
          <w:p w14:paraId="0DBD2E3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Persistence, retention, access</w:t>
            </w:r>
          </w:p>
        </w:tc>
      </w:tr>
      <w:tr w14:paraId="732B5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3AF91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Compliance</w:t>
            </w:r>
          </w:p>
        </w:tc>
        <w:tc>
          <w:tcPr>
            <w:tcW w:w="2880" w:type="dxa"/>
          </w:tcPr>
          <w:p w14:paraId="33BE7D8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CMP</w:t>
            </w:r>
          </w:p>
        </w:tc>
        <w:tc>
          <w:tcPr>
            <w:tcW w:w="2880" w:type="dxa"/>
          </w:tcPr>
          <w:p w14:paraId="1BEFC9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Consent, opt-out, disclosure, retention enforcement</w:t>
            </w:r>
          </w:p>
        </w:tc>
      </w:tr>
    </w:tbl>
    <w:p w14:paraId="10B0E102"/>
    <w:p w14:paraId="7E90EDBB">
      <w:pPr>
        <w:pStyle w:val="3"/>
      </w:pPr>
      <w:r>
        <w:rPr>
          <w:rFonts w:ascii="Nirmala UI" w:hAnsi="Nirmala UI" w:eastAsia="Nirmala UI" w:cs="Nirmala UI"/>
          <w:color w:val="1F4E79"/>
        </w:rPr>
        <w:t>2.3 User Characteristics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18B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4EADA9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User</w:t>
            </w:r>
          </w:p>
        </w:tc>
        <w:tc>
          <w:tcPr>
            <w:tcW w:w="2880" w:type="dxa"/>
            <w:shd w:val="clear" w:color="auto" w:fill="DCE6F1"/>
          </w:tcPr>
          <w:p w14:paraId="6F17BC7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Description</w:t>
            </w:r>
          </w:p>
        </w:tc>
        <w:tc>
          <w:tcPr>
            <w:tcW w:w="2880" w:type="dxa"/>
            <w:shd w:val="clear" w:color="auto" w:fill="DCE6F1"/>
          </w:tcPr>
          <w:p w14:paraId="026D116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Implication</w:t>
            </w:r>
          </w:p>
        </w:tc>
      </w:tr>
      <w:tr w14:paraId="10E9D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6D9A35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  <w:r>
              <w:rPr>
                <w:rFonts w:ascii="Nirmala UI" w:hAnsi="Nirmala UI" w:eastAsia="Nirmala UI" w:cs="Nirmala UI"/>
                <w:sz w:val="18"/>
              </w:rPr>
              <w:t xml:space="preserve"> (</w:t>
            </w:r>
            <w:r>
              <w:rPr>
                <w:rFonts w:hint="default" w:ascii="Nirmala UI" w:hAnsi="Nirmala UI" w:eastAsia="Nirmala UI" w:cs="Nirmala UI"/>
                <w:sz w:val="18"/>
                <w:lang w:val="en-US"/>
              </w:rPr>
              <w:t>Nithesh</w:t>
            </w:r>
            <w:bookmarkStart w:id="0" w:name="_GoBack"/>
            <w:bookmarkEnd w:id="0"/>
            <w:r>
              <w:rPr>
                <w:rFonts w:ascii="Nirmala UI" w:hAnsi="Nirmala UI" w:eastAsia="Nirmala UI" w:cs="Nirmala UI"/>
                <w:sz w:val="18"/>
              </w:rPr>
              <w:t>)</w:t>
            </w:r>
          </w:p>
        </w:tc>
        <w:tc>
          <w:tcPr>
            <w:tcW w:w="2880" w:type="dxa"/>
          </w:tcPr>
          <w:p w14:paraId="15239FC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Sole builder and operator. Technically capable but not a full-time platform engineer; time-constrained.</w:t>
            </w:r>
          </w:p>
        </w:tc>
        <w:tc>
          <w:tcPr>
            <w:tcW w:w="2880" w:type="dxa"/>
          </w:tcPr>
          <w:p w14:paraId="1134499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must be diagnosable quickly and must fail safely without supervision. Operational simplicity outweighs feature richness.</w:t>
            </w:r>
          </w:p>
        </w:tc>
      </w:tr>
      <w:tr w14:paraId="5EB93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C852D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Client</w:t>
            </w:r>
          </w:p>
        </w:tc>
        <w:tc>
          <w:tcPr>
            <w:tcW w:w="2880" w:type="dxa"/>
          </w:tcPr>
          <w:p w14:paraId="0A767F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Business owner receiving leads. No system access.</w:t>
            </w:r>
          </w:p>
        </w:tc>
        <w:tc>
          <w:tcPr>
            <w:tcW w:w="2880" w:type="dxa"/>
          </w:tcPr>
          <w:p w14:paraId="7A6D7EF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Outputs must be presentable without exposing internals.</w:t>
            </w:r>
          </w:p>
        </w:tc>
      </w:tr>
      <w:tr w14:paraId="32F84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407D0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 recipient</w:t>
            </w:r>
          </w:p>
        </w:tc>
        <w:tc>
          <w:tcPr>
            <w:tcW w:w="2880" w:type="dxa"/>
          </w:tcPr>
          <w:p w14:paraId="6B8FFD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Telugu-speaking member of the public, often on a low-quality mobile connection, frequently on speakerphone.</w:t>
            </w:r>
          </w:p>
        </w:tc>
        <w:tc>
          <w:tcPr>
            <w:tcW w:w="2880" w:type="dxa"/>
          </w:tcPr>
          <w:p w14:paraId="3A8F6C5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Audio robustness, echo tolerance, and interruption handling are functional requirements, not polish.</w:t>
            </w:r>
          </w:p>
        </w:tc>
      </w:tr>
    </w:tbl>
    <w:p w14:paraId="539586B4"/>
    <w:p w14:paraId="34CC3F38">
      <w:pPr>
        <w:pStyle w:val="3"/>
      </w:pPr>
      <w:r>
        <w:rPr>
          <w:rFonts w:ascii="Nirmala UI" w:hAnsi="Nirmala UI" w:eastAsia="Nirmala UI" w:cs="Nirmala UI"/>
          <w:color w:val="1F4E79"/>
        </w:rPr>
        <w:t>2.4 Constraints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F8FA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2C04891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4320" w:type="dxa"/>
            <w:shd w:val="clear" w:color="auto" w:fill="DCE6F1"/>
          </w:tcPr>
          <w:p w14:paraId="453CCF6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Constraint</w:t>
            </w:r>
          </w:p>
        </w:tc>
      </w:tr>
      <w:tr w14:paraId="1911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C96D1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C-01</w:t>
            </w:r>
          </w:p>
        </w:tc>
        <w:tc>
          <w:tcPr>
            <w:tcW w:w="4320" w:type="dxa"/>
          </w:tcPr>
          <w:p w14:paraId="33D534E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platform is self-hosted on existing Coolify infrastructure</w:t>
            </w:r>
          </w:p>
        </w:tc>
      </w:tr>
      <w:tr w14:paraId="2A113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EF6EF0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C-02</w:t>
            </w:r>
          </w:p>
        </w:tc>
        <w:tc>
          <w:tcPr>
            <w:tcW w:w="4320" w:type="dxa"/>
          </w:tcPr>
          <w:p w14:paraId="4290EC0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Telephony access is limited to what the provider offers; SIP trunking availability is an open item (FS-001 §3.5)</w:t>
            </w:r>
          </w:p>
        </w:tc>
      </w:tr>
      <w:tr w14:paraId="44456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BE1A4E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C-03</w:t>
            </w:r>
          </w:p>
        </w:tc>
        <w:tc>
          <w:tcPr>
            <w:tcW w:w="4320" w:type="dxa"/>
          </w:tcPr>
          <w:p w14:paraId="7CB6DB3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Primary language is Telugu; the system must not assume English-language behaviour anywhere</w:t>
            </w:r>
          </w:p>
        </w:tc>
      </w:tr>
      <w:tr w14:paraId="3E4FF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907956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C-04</w:t>
            </w:r>
          </w:p>
        </w:tc>
        <w:tc>
          <w:tcPr>
            <w:tcW w:w="4320" w:type="dxa"/>
          </w:tcPr>
          <w:p w14:paraId="66033D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Dograh remains live throughout development and must not be disrupted</w:t>
            </w:r>
          </w:p>
        </w:tc>
      </w:tr>
      <w:tr w14:paraId="434DA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ABB391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C-05</w:t>
            </w:r>
          </w:p>
        </w:tc>
        <w:tc>
          <w:tcPr>
            <w:tcW w:w="4320" w:type="dxa"/>
          </w:tcPr>
          <w:p w14:paraId="28BF35B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Live campaigns call real customers; defects have monetary and reputational cost</w:t>
            </w:r>
          </w:p>
        </w:tc>
      </w:tr>
      <w:tr w14:paraId="35797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E7BC8C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C-06</w:t>
            </w:r>
          </w:p>
        </w:tc>
        <w:tc>
          <w:tcPr>
            <w:tcW w:w="4320" w:type="dxa"/>
          </w:tcPr>
          <w:p w14:paraId="29F8F65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Single operator — no on-call rotation exists</w:t>
            </w:r>
          </w:p>
        </w:tc>
      </w:tr>
      <w:tr w14:paraId="5ADAA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BC1ECE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C-07</w:t>
            </w:r>
          </w:p>
        </w:tc>
        <w:tc>
          <w:tcPr>
            <w:tcW w:w="4320" w:type="dxa"/>
          </w:tcPr>
          <w:p w14:paraId="48EB04C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Indian regulatory regime (DLT/TRAI, DPDP) applies to all outbound calling</w:t>
            </w:r>
          </w:p>
        </w:tc>
      </w:tr>
    </w:tbl>
    <w:p w14:paraId="76CFF099"/>
    <w:p w14:paraId="43DD90ED">
      <w:pPr>
        <w:pStyle w:val="3"/>
      </w:pPr>
      <w:r>
        <w:rPr>
          <w:rFonts w:ascii="Nirmala UI" w:hAnsi="Nirmala UI" w:eastAsia="Nirmala UI" w:cs="Nirmala UI"/>
          <w:color w:val="1F4E79"/>
        </w:rPr>
        <w:t>2.5 Assumptions and Dependencies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F58E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3DC475E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1F7E03D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  <w:tc>
          <w:tcPr>
            <w:tcW w:w="2880" w:type="dxa"/>
            <w:shd w:val="clear" w:color="auto" w:fill="DCE6F1"/>
          </w:tcPr>
          <w:p w14:paraId="27BC41E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If false</w:t>
            </w:r>
          </w:p>
        </w:tc>
      </w:tr>
      <w:tr w14:paraId="06247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00F9C3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A-01</w:t>
            </w:r>
          </w:p>
        </w:tc>
        <w:tc>
          <w:tcPr>
            <w:tcW w:w="2880" w:type="dxa"/>
          </w:tcPr>
          <w:p w14:paraId="5742F22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telephony provider offers SIP trunking with G.711</w:t>
            </w:r>
          </w:p>
        </w:tc>
        <w:tc>
          <w:tcPr>
            <w:tcW w:w="2880" w:type="dxa"/>
          </w:tcPr>
          <w:p w14:paraId="14553F2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Migrate provider, or fall back to FS-001 §A3</w:t>
            </w:r>
          </w:p>
        </w:tc>
      </w:tr>
      <w:tr w14:paraId="6A9EB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2D276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A-02</w:t>
            </w:r>
          </w:p>
        </w:tc>
        <w:tc>
          <w:tcPr>
            <w:tcW w:w="2880" w:type="dxa"/>
          </w:tcPr>
          <w:p w14:paraId="1760D41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LiveKit self-hosting is viable on existing infrastructure</w:t>
            </w:r>
          </w:p>
        </w:tc>
        <w:tc>
          <w:tcPr>
            <w:tcW w:w="2880" w:type="dxa"/>
          </w:tcPr>
          <w:p w14:paraId="363638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Use LiveKit Cloud for v1</w:t>
            </w:r>
          </w:p>
        </w:tc>
      </w:tr>
      <w:tr w14:paraId="4FA00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DC57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A-03</w:t>
            </w:r>
          </w:p>
        </w:tc>
        <w:tc>
          <w:tcPr>
            <w:tcW w:w="2880" w:type="dxa"/>
          </w:tcPr>
          <w:p w14:paraId="3F44622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Existing MinIO recordings are usable for later ASR work</w:t>
            </w:r>
          </w:p>
        </w:tc>
        <w:tc>
          <w:tcPr>
            <w:tcW w:w="2880" w:type="dxa"/>
          </w:tcPr>
          <w:p w14:paraId="6A440E4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Phase 4 STT workstream is descoped</w:t>
            </w:r>
          </w:p>
        </w:tc>
      </w:tr>
      <w:tr w14:paraId="1DAA3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F3CE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A-04</w:t>
            </w:r>
          </w:p>
        </w:tc>
        <w:tc>
          <w:tcPr>
            <w:tcW w:w="2880" w:type="dxa"/>
          </w:tcPr>
          <w:p w14:paraId="737FFFA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Existing Supabase/Next.js dashboard can be extended</w:t>
            </w:r>
          </w:p>
        </w:tc>
        <w:tc>
          <w:tcPr>
            <w:tcW w:w="2880" w:type="dxa"/>
          </w:tcPr>
          <w:p w14:paraId="5437268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Dashboard cost increases materially</w:t>
            </w:r>
          </w:p>
        </w:tc>
      </w:tr>
      <w:tr w14:paraId="3C43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46AFC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A-05</w:t>
            </w:r>
          </w:p>
        </w:tc>
        <w:tc>
          <w:tcPr>
            <w:tcW w:w="2880" w:type="dxa"/>
          </w:tcPr>
          <w:p w14:paraId="355603B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Groq (or equivalent) remains available at usable rates and limits</w:t>
            </w:r>
          </w:p>
        </w:tc>
        <w:tc>
          <w:tcPr>
            <w:tcW w:w="2880" w:type="dxa"/>
          </w:tcPr>
          <w:p w14:paraId="6E34C26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Model abstraction (FR-BRAIN-02) absorbs the change</w:t>
            </w:r>
          </w:p>
        </w:tc>
      </w:tr>
    </w:tbl>
    <w:p w14:paraId="3F4717DE"/>
    <w:p w14:paraId="35FC903D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485192E1">
      <w:pPr>
        <w:pStyle w:val="2"/>
      </w:pPr>
      <w:r>
        <w:rPr>
          <w:rFonts w:ascii="Nirmala UI" w:hAnsi="Nirmala UI" w:eastAsia="Nirmala UI" w:cs="Nirmala UI"/>
          <w:color w:val="1F4E79"/>
        </w:rPr>
        <w:t>3. Functional Requirements</w:t>
      </w:r>
    </w:p>
    <w:p w14:paraId="4454AA2C">
      <w:pPr>
        <w:spacing w:after="120"/>
      </w:pPr>
      <w:r>
        <w:rPr>
          <w:rFonts w:ascii="Nirmala UI" w:hAnsi="Nirmala UI" w:eastAsia="Nirmala UI" w:cs="Nirmala UI"/>
        </w:rPr>
        <w:t xml:space="preserve">Priority uses MoSCoW: </w:t>
      </w:r>
      <w:r>
        <w:rPr>
          <w:rFonts w:ascii="Nirmala UI" w:hAnsi="Nirmala UI" w:eastAsia="Nirmala UI" w:cs="Nirmala UI"/>
          <w:b/>
        </w:rPr>
        <w:t>M</w:t>
      </w:r>
      <w:r>
        <w:rPr>
          <w:rFonts w:ascii="Nirmala UI" w:hAnsi="Nirmala UI" w:eastAsia="Nirmala UI" w:cs="Nirmala UI"/>
        </w:rPr>
        <w:t xml:space="preserve">ust, </w:t>
      </w:r>
      <w:r>
        <w:rPr>
          <w:rFonts w:ascii="Nirmala UI" w:hAnsi="Nirmala UI" w:eastAsia="Nirmala UI" w:cs="Nirmala UI"/>
          <w:b/>
        </w:rPr>
        <w:t>S</w:t>
      </w:r>
      <w:r>
        <w:rPr>
          <w:rFonts w:ascii="Nirmala UI" w:hAnsi="Nirmala UI" w:eastAsia="Nirmala UI" w:cs="Nirmala UI"/>
        </w:rPr>
        <w:t xml:space="preserve">hould, </w:t>
      </w:r>
      <w:r>
        <w:rPr>
          <w:rFonts w:ascii="Nirmala UI" w:hAnsi="Nirmala UI" w:eastAsia="Nirmala UI" w:cs="Nirmala UI"/>
          <w:b/>
        </w:rPr>
        <w:t>C</w:t>
      </w:r>
      <w:r>
        <w:rPr>
          <w:rFonts w:ascii="Nirmala UI" w:hAnsi="Nirmala UI" w:eastAsia="Nirmala UI" w:cs="Nirmala UI"/>
        </w:rPr>
        <w:t xml:space="preserve">ould, </w:t>
      </w:r>
      <w:r>
        <w:rPr>
          <w:rFonts w:ascii="Nirmala UI" w:hAnsi="Nirmala UI" w:eastAsia="Nirmala UI" w:cs="Nirmala UI"/>
          <w:b/>
        </w:rPr>
        <w:t>W</w:t>
      </w:r>
      <w:r>
        <w:rPr>
          <w:rFonts w:ascii="Nirmala UI" w:hAnsi="Nirmala UI" w:eastAsia="Nirmala UI" w:cs="Nirmala UI"/>
        </w:rPr>
        <w:t>on't (this release).</w:t>
      </w:r>
    </w:p>
    <w:p w14:paraId="7EE4BD6C">
      <w:pPr>
        <w:pStyle w:val="3"/>
      </w:pPr>
      <w:r>
        <w:rPr>
          <w:rFonts w:ascii="Nirmala UI" w:hAnsi="Nirmala UI" w:eastAsia="Nirmala UI" w:cs="Nirmala UI"/>
          <w:color w:val="1F4E79"/>
        </w:rPr>
        <w:t>3.1 Telephony Adapter (TEL)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5765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6112F22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5EA45FD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50E1459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56275A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4D61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CDDFC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FR-TEL-01</w:t>
            </w:r>
          </w:p>
        </w:tc>
        <w:tc>
          <w:tcPr>
            <w:tcW w:w="2160" w:type="dxa"/>
          </w:tcPr>
          <w:p w14:paraId="5969820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originate outbound PSTN calls to Indian mobile numbers via a SIP trunk.</w:t>
            </w:r>
          </w:p>
        </w:tc>
        <w:tc>
          <w:tcPr>
            <w:tcW w:w="2160" w:type="dxa"/>
          </w:tcPr>
          <w:p w14:paraId="48F6742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ABF087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348A2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203A6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FR-TEL-02</w:t>
            </w:r>
          </w:p>
        </w:tc>
        <w:tc>
          <w:tcPr>
            <w:tcW w:w="2160" w:type="dxa"/>
          </w:tcPr>
          <w:p w14:paraId="41DFCD9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telephony layer shall be implemented behind a provider-agnostic interface such that a provider can be substituted without changes to any other module.</w:t>
            </w:r>
          </w:p>
        </w:tc>
        <w:tc>
          <w:tcPr>
            <w:tcW w:w="2160" w:type="dxa"/>
          </w:tcPr>
          <w:p w14:paraId="1CD46E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09131E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2AF3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A109A3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FR-TEL-03</w:t>
            </w:r>
          </w:p>
        </w:tc>
        <w:tc>
          <w:tcPr>
            <w:tcW w:w="2160" w:type="dxa"/>
          </w:tcPr>
          <w:p w14:paraId="7B4714D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and record call-progress outcomes distinctly: answered, busy, no-answer, failed, rejected, invalid number.</w:t>
            </w:r>
          </w:p>
        </w:tc>
        <w:tc>
          <w:tcPr>
            <w:tcW w:w="2160" w:type="dxa"/>
          </w:tcPr>
          <w:p w14:paraId="2776DCA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6B4B86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43E8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DA8A54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FR-TEL-04</w:t>
            </w:r>
          </w:p>
        </w:tc>
        <w:tc>
          <w:tcPr>
            <w:tcW w:w="2160" w:type="dxa"/>
          </w:tcPr>
          <w:p w14:paraId="1F2AE5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answering machines / voicemail and terminate or branch according to agent configuration.</w:t>
            </w:r>
          </w:p>
        </w:tc>
        <w:tc>
          <w:tcPr>
            <w:tcW w:w="2160" w:type="dxa"/>
          </w:tcPr>
          <w:p w14:paraId="1294906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3338F25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614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0A7D63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FR-TEL-05</w:t>
            </w:r>
          </w:p>
        </w:tc>
        <w:tc>
          <w:tcPr>
            <w:tcW w:w="2160" w:type="dxa"/>
          </w:tcPr>
          <w:p w14:paraId="1063CF5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enforce a configurable maximum call duration and terminate calls exceeding it.</w:t>
            </w:r>
          </w:p>
        </w:tc>
        <w:tc>
          <w:tcPr>
            <w:tcW w:w="2160" w:type="dxa"/>
          </w:tcPr>
          <w:p w14:paraId="53705F3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881ACE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7AD8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A2169A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FR-TEL-06</w:t>
            </w:r>
          </w:p>
        </w:tc>
        <w:tc>
          <w:tcPr>
            <w:tcW w:w="2160" w:type="dxa"/>
          </w:tcPr>
          <w:p w14:paraId="64B1780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present a configured caller line identity (CLI) on outbound calls.</w:t>
            </w:r>
          </w:p>
        </w:tc>
        <w:tc>
          <w:tcPr>
            <w:tcW w:w="2160" w:type="dxa"/>
          </w:tcPr>
          <w:p w14:paraId="276284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44AC2C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3B8B7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411D4C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FR-TEL-07</w:t>
            </w:r>
          </w:p>
        </w:tc>
        <w:tc>
          <w:tcPr>
            <w:tcW w:w="2160" w:type="dxa"/>
          </w:tcPr>
          <w:p w14:paraId="0DF3736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warm or cold transfer of a live call to a human number.</w:t>
            </w:r>
          </w:p>
        </w:tc>
        <w:tc>
          <w:tcPr>
            <w:tcW w:w="2160" w:type="dxa"/>
          </w:tcPr>
          <w:p w14:paraId="3B8566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w="2160" w:type="dxa"/>
          </w:tcPr>
          <w:p w14:paraId="42221D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2EAD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D75E1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FR-TEL-08</w:t>
            </w:r>
          </w:p>
        </w:tc>
        <w:tc>
          <w:tcPr>
            <w:tcW w:w="2160" w:type="dxa"/>
          </w:tcPr>
          <w:p w14:paraId="7374659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accept inbound calls.</w:t>
            </w:r>
          </w:p>
        </w:tc>
        <w:tc>
          <w:tcPr>
            <w:tcW w:w="2160" w:type="dxa"/>
          </w:tcPr>
          <w:p w14:paraId="0B8FB1A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w="2160" w:type="dxa"/>
          </w:tcPr>
          <w:p w14:paraId="030CE5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47DC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513D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FR-TEL-09</w:t>
            </w:r>
          </w:p>
        </w:tc>
        <w:tc>
          <w:tcPr>
            <w:tcW w:w="2160" w:type="dxa"/>
          </w:tcPr>
          <w:p w14:paraId="280BEE6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call, the provider-side identifiers necessary to reconcile against provider billing records.</w:t>
            </w:r>
          </w:p>
        </w:tc>
        <w:tc>
          <w:tcPr>
            <w:tcW w:w="2160" w:type="dxa"/>
          </w:tcPr>
          <w:p w14:paraId="388DCC9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2393E38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00387597"/>
    <w:p w14:paraId="645AA196">
      <w:pPr>
        <w:pStyle w:val="3"/>
      </w:pPr>
      <w:r>
        <w:rPr>
          <w:rFonts w:ascii="Nirmala UI" w:hAnsi="Nirmala UI" w:eastAsia="Nirmala UI" w:cs="Nirmala UI"/>
          <w:color w:val="1F4E79"/>
        </w:rPr>
        <w:t>3.2 Media Pipeline (PIPE)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D0C7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75E8CD1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08EE451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20A65A6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159F4DE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47DD0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919A6D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FR-PIPE-01</w:t>
            </w:r>
          </w:p>
        </w:tc>
        <w:tc>
          <w:tcPr>
            <w:tcW w:w="2160" w:type="dxa"/>
          </w:tcPr>
          <w:p w14:paraId="071E458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stream call audio bidirectionally in real time between the PSTN leg and the processing pipeline.</w:t>
            </w:r>
          </w:p>
        </w:tc>
        <w:tc>
          <w:tcPr>
            <w:tcW w:w="2160" w:type="dxa"/>
          </w:tcPr>
          <w:p w14:paraId="351D473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1C1C6A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D13B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74C01D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FR-PIPE-02</w:t>
            </w:r>
          </w:p>
        </w:tc>
        <w:tc>
          <w:tcPr>
            <w:tcW w:w="2160" w:type="dxa"/>
          </w:tcPr>
          <w:p w14:paraId="21A82C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transcribe caller speech to text in the configured language using a streaming speech-recognition service.</w:t>
            </w:r>
          </w:p>
        </w:tc>
        <w:tc>
          <w:tcPr>
            <w:tcW w:w="2160" w:type="dxa"/>
          </w:tcPr>
          <w:p w14:paraId="7509C89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3B0CA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8C6C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A6E9A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FR-PIPE-03</w:t>
            </w:r>
          </w:p>
        </w:tc>
        <w:tc>
          <w:tcPr>
            <w:tcW w:w="2160" w:type="dxa"/>
          </w:tcPr>
          <w:p w14:paraId="4532FE8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speech-recognition component shall be abstracted behind an interface permitting substitution of any provider or self-hosted model without changes to other modules.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§3.3 — primary justification.)</w:t>
            </w:r>
          </w:p>
        </w:tc>
        <w:tc>
          <w:tcPr>
            <w:tcW w:w="2160" w:type="dxa"/>
          </w:tcPr>
          <w:p w14:paraId="3E53C55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76A8DE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C15A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72F05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FR-PIPE-04</w:t>
            </w:r>
          </w:p>
        </w:tc>
        <w:tc>
          <w:tcPr>
            <w:tcW w:w="2160" w:type="dxa"/>
          </w:tcPr>
          <w:p w14:paraId="5F6FA38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supplying a domain vocabulary / keyword-boost list to the speech-recognition component where the provider supports it.</w:t>
            </w:r>
          </w:p>
        </w:tc>
        <w:tc>
          <w:tcPr>
            <w:tcW w:w="2160" w:type="dxa"/>
          </w:tcPr>
          <w:p w14:paraId="1FA9337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13EBA3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8052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0FA01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FR-PIPE-05</w:t>
            </w:r>
          </w:p>
        </w:tc>
        <w:tc>
          <w:tcPr>
            <w:tcW w:w="2160" w:type="dxa"/>
          </w:tcPr>
          <w:p w14:paraId="2CC50DC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optional post-transcription correction pass before the transcript is passed to the Brain.</w:t>
            </w:r>
          </w:p>
        </w:tc>
        <w:tc>
          <w:tcPr>
            <w:tcW w:w="2160" w:type="dxa"/>
          </w:tcPr>
          <w:p w14:paraId="1221F9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w="2160" w:type="dxa"/>
          </w:tcPr>
          <w:p w14:paraId="4AB80DB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5547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0B64F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FR-PIPE-06</w:t>
            </w:r>
          </w:p>
        </w:tc>
        <w:tc>
          <w:tcPr>
            <w:tcW w:w="2160" w:type="dxa"/>
          </w:tcPr>
          <w:p w14:paraId="4D71D9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routing the same audio to two speech-recognition engines concurrently and selecting a result by confidence.</w:t>
            </w:r>
          </w:p>
        </w:tc>
        <w:tc>
          <w:tcPr>
            <w:tcW w:w="2160" w:type="dxa"/>
          </w:tcPr>
          <w:p w14:paraId="6CC9E38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</w:t>
            </w:r>
          </w:p>
        </w:tc>
        <w:tc>
          <w:tcPr>
            <w:tcW w:w="2160" w:type="dxa"/>
          </w:tcPr>
          <w:p w14:paraId="0012D3C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  <w:tr w14:paraId="609DA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96494B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FR-PIPE-07</w:t>
            </w:r>
          </w:p>
        </w:tc>
        <w:tc>
          <w:tcPr>
            <w:tcW w:w="2160" w:type="dxa"/>
          </w:tcPr>
          <w:p w14:paraId="28D59E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determine end-of-speech (endpointing) using a configurable strategy, and shall support a semantic/model-based turn detector in addition to silence-duration thresholds.</w:t>
            </w:r>
          </w:p>
        </w:tc>
        <w:tc>
          <w:tcPr>
            <w:tcW w:w="2160" w:type="dxa"/>
          </w:tcPr>
          <w:p w14:paraId="6CDC2E5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DEEB1B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3E6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FF555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FR-PIPE-08</w:t>
            </w:r>
          </w:p>
        </w:tc>
        <w:tc>
          <w:tcPr>
            <w:tcW w:w="2160" w:type="dxa"/>
          </w:tcPr>
          <w:p w14:paraId="2BBE9C5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end-of-speech silence threshold shall be configurable per agent and shall not be settable below 0.6 seconds for Telugu without an explicit override acknowledgement.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callers audibly protested being cut off at 0.35s.)</w:t>
            </w:r>
          </w:p>
        </w:tc>
        <w:tc>
          <w:tcPr>
            <w:tcW w:w="2160" w:type="dxa"/>
          </w:tcPr>
          <w:p w14:paraId="4A5A06D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52D9C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38D32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0DB5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FR-PIPE-09</w:t>
            </w:r>
          </w:p>
        </w:tc>
        <w:tc>
          <w:tcPr>
            <w:tcW w:w="2160" w:type="dxa"/>
          </w:tcPr>
          <w:p w14:paraId="655BAC9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register caller utterances of a single word as a valid turn.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Telugu one-word replies అవును / వద్దు / ఆ were previously not registered at all.)</w:t>
            </w:r>
          </w:p>
        </w:tc>
        <w:tc>
          <w:tcPr>
            <w:tcW w:w="2160" w:type="dxa"/>
          </w:tcPr>
          <w:p w14:paraId="28A3ED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F017A1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85D0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8C3A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FR-PIPE-10</w:t>
            </w:r>
          </w:p>
        </w:tc>
        <w:tc>
          <w:tcPr>
            <w:tcW w:w="2160" w:type="dxa"/>
          </w:tcPr>
          <w:p w14:paraId="34AB8A7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barge-in: when the caller begins speaking during system speech, system audio shall stop within 300 ms.</w:t>
            </w:r>
          </w:p>
        </w:tc>
        <w:tc>
          <w:tcPr>
            <w:tcW w:w="2160" w:type="dxa"/>
          </w:tcPr>
          <w:p w14:paraId="64469A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A18C83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2220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312977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FR-PIPE-11</w:t>
            </w:r>
          </w:p>
        </w:tc>
        <w:tc>
          <w:tcPr>
            <w:tcW w:w="2160" w:type="dxa"/>
          </w:tcPr>
          <w:p w14:paraId="50FC9A5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Barge-in shall be enable/disable-able per conversation stage.</w:t>
            </w:r>
          </w:p>
        </w:tc>
        <w:tc>
          <w:tcPr>
            <w:tcW w:w="2160" w:type="dxa"/>
          </w:tcPr>
          <w:p w14:paraId="5B55786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1F547AD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F032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8656D1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FR-PIPE-12</w:t>
            </w:r>
          </w:p>
        </w:tc>
        <w:tc>
          <w:tcPr>
            <w:tcW w:w="2160" w:type="dxa"/>
          </w:tcPr>
          <w:p w14:paraId="53464B2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apply acoustic echo suppression such that system speech returning through the caller's device is not transcribed as caller speech.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a full call was previously lost to the agent transcribing and answering itself.)</w:t>
            </w:r>
          </w:p>
        </w:tc>
        <w:tc>
          <w:tcPr>
            <w:tcW w:w="2160" w:type="dxa"/>
          </w:tcPr>
          <w:p w14:paraId="19EADC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ABDA0E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FB2E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14BD1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FR-PIPE-13</w:t>
            </w:r>
          </w:p>
        </w:tc>
        <w:tc>
          <w:tcPr>
            <w:tcW w:w="2160" w:type="dxa"/>
          </w:tcPr>
          <w:p w14:paraId="10B86A1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synthesise system speech in the configured language and voice via a streaming text-to-speech service.</w:t>
            </w:r>
          </w:p>
        </w:tc>
        <w:tc>
          <w:tcPr>
            <w:tcW w:w="2160" w:type="dxa"/>
          </w:tcPr>
          <w:p w14:paraId="2F7098D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FA33BF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06EB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B8C757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FR-PIPE-14</w:t>
            </w:r>
          </w:p>
        </w:tc>
        <w:tc>
          <w:tcPr>
            <w:tcW w:w="2160" w:type="dxa"/>
          </w:tcPr>
          <w:p w14:paraId="705880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text-to-speech component shall be abstracted behind an interface permitting provider substitution.</w:t>
            </w:r>
          </w:p>
        </w:tc>
        <w:tc>
          <w:tcPr>
            <w:tcW w:w="2160" w:type="dxa"/>
          </w:tcPr>
          <w:p w14:paraId="78CE80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AF04B0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3CF4A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8A01F8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FR-PIPE-15</w:t>
            </w:r>
          </w:p>
        </w:tc>
        <w:tc>
          <w:tcPr>
            <w:tcW w:w="2160" w:type="dxa"/>
          </w:tcPr>
          <w:p w14:paraId="310FB60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Speech synthesis speed and volume shall be configurable per agent.</w:t>
            </w:r>
          </w:p>
        </w:tc>
        <w:tc>
          <w:tcPr>
            <w:tcW w:w="2160" w:type="dxa"/>
          </w:tcPr>
          <w:p w14:paraId="6EA56CC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4FAABC0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67C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34CE2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FR-PIPE-16</w:t>
            </w:r>
          </w:p>
        </w:tc>
        <w:tc>
          <w:tcPr>
            <w:tcW w:w="2160" w:type="dxa"/>
          </w:tcPr>
          <w:p w14:paraId="73253F2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begin speaking as soon as the first synthesised audio chunk is available, rather than waiting for complete synthesis.</w:t>
            </w:r>
          </w:p>
        </w:tc>
        <w:tc>
          <w:tcPr>
            <w:tcW w:w="2160" w:type="dxa"/>
          </w:tcPr>
          <w:p w14:paraId="2C3CEDB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641DB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1C3F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262A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FR-PIPE-17</w:t>
            </w:r>
          </w:p>
        </w:tc>
        <w:tc>
          <w:tcPr>
            <w:tcW w:w="2160" w:type="dxa"/>
          </w:tcPr>
          <w:p w14:paraId="2BDC649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emit configurable filler speech when a Brain response or tool call is expected to exceed a threshold.</w:t>
            </w:r>
          </w:p>
        </w:tc>
        <w:tc>
          <w:tcPr>
            <w:tcW w:w="2160" w:type="dxa"/>
          </w:tcPr>
          <w:p w14:paraId="39A4A66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18A9750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7B54D001"/>
    <w:p w14:paraId="087BACBB">
      <w:pPr>
        <w:pStyle w:val="3"/>
      </w:pPr>
      <w:r>
        <w:rPr>
          <w:rFonts w:ascii="Nirmala UI" w:hAnsi="Nirmala UI" w:eastAsia="Nirmala UI" w:cs="Nirmala UI"/>
          <w:color w:val="1F4E79"/>
        </w:rPr>
        <w:t>3.3 Conversation Engine — Brain (BRAIN)</w:t>
      </w:r>
    </w:p>
    <w:p w14:paraId="0A59B545"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This module addresses FS-001 §3.2, the structural limitation of the incumbent system.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6263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61123B7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1306FF5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6272A70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3C9AC86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5286D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3E0F92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FR-BRAIN-01</w:t>
            </w:r>
          </w:p>
        </w:tc>
        <w:tc>
          <w:tcPr>
            <w:tcW w:w="2160" w:type="dxa"/>
          </w:tcPr>
          <w:p w14:paraId="453A5E0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generate agent responses from a single instruction set (prompt) plus conversation history, without requiring a predefined node graph.</w:t>
            </w:r>
          </w:p>
        </w:tc>
        <w:tc>
          <w:tcPr>
            <w:tcW w:w="2160" w:type="dxa"/>
          </w:tcPr>
          <w:p w14:paraId="27A14D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94673B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C7FA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741FA4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FR-BRAIN-02</w:t>
            </w:r>
          </w:p>
        </w:tc>
        <w:tc>
          <w:tcPr>
            <w:tcW w:w="2160" w:type="dxa"/>
          </w:tcPr>
          <w:p w14:paraId="7D17A85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language model shall be abstracted behind an interface permitting provider and model substitution by configuration.</w:t>
            </w:r>
          </w:p>
        </w:tc>
        <w:tc>
          <w:tcPr>
            <w:tcW w:w="2160" w:type="dxa"/>
          </w:tcPr>
          <w:p w14:paraId="4049E28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B7D23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B99B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083B79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FR-BRAIN-03</w:t>
            </w:r>
          </w:p>
        </w:tc>
        <w:tc>
          <w:tcPr>
            <w:tcW w:w="2160" w:type="dxa"/>
          </w:tcPr>
          <w:p w14:paraId="1C66DE4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maintain full conversation history for the duration of a call and make it available to the model, subject to a configurable context strategy.</w:t>
            </w:r>
          </w:p>
        </w:tc>
        <w:tc>
          <w:tcPr>
            <w:tcW w:w="2160" w:type="dxa"/>
          </w:tcPr>
          <w:p w14:paraId="65B1936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31796F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C71F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265B7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FR-BRAIN-04</w:t>
            </w:r>
          </w:p>
        </w:tc>
        <w:tc>
          <w:tcPr>
            <w:tcW w:w="2160" w:type="dxa"/>
          </w:tcPr>
          <w:p w14:paraId="4EEE4F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conversation-state variables that persist across turns within a call (e.g. captured name, loan type, qualification answers).</w:t>
            </w:r>
          </w:p>
        </w:tc>
        <w:tc>
          <w:tcPr>
            <w:tcW w:w="2160" w:type="dxa"/>
          </w:tcPr>
          <w:p w14:paraId="412DBD9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5D219D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B426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5C0573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FR-BRAIN-05</w:t>
            </w:r>
          </w:p>
        </w:tc>
        <w:tc>
          <w:tcPr>
            <w:tcW w:w="2160" w:type="dxa"/>
          </w:tcPr>
          <w:p w14:paraId="4ED8E29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support model-invoked tool calls at any point in the conversation, with the tool set defined per agent.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§3.2 — the capability the incumbent architecture cannot provide.)</w:t>
            </w:r>
          </w:p>
        </w:tc>
        <w:tc>
          <w:tcPr>
            <w:tcW w:w="2160" w:type="dxa"/>
          </w:tcPr>
          <w:p w14:paraId="53C6092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591189C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D01B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1A4D2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FR-BRAIN-06</w:t>
            </w:r>
          </w:p>
        </w:tc>
        <w:tc>
          <w:tcPr>
            <w:tcW w:w="2160" w:type="dxa"/>
          </w:tcPr>
          <w:p w14:paraId="24412BC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Tool execution shall be asynchronous with respect to speech, such that the agent can speak while a tool call is in progress.</w:t>
            </w:r>
          </w:p>
        </w:tc>
        <w:tc>
          <w:tcPr>
            <w:tcW w:w="2160" w:type="dxa"/>
          </w:tcPr>
          <w:p w14:paraId="67BD852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6E5827F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B48B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062AC1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FR-BRAIN-07</w:t>
            </w:r>
          </w:p>
        </w:tc>
        <w:tc>
          <w:tcPr>
            <w:tcW w:w="2160" w:type="dxa"/>
          </w:tcPr>
          <w:p w14:paraId="1D3C357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 structured data-extraction schema, populated during or at the end of the call.</w:t>
            </w:r>
          </w:p>
        </w:tc>
        <w:tc>
          <w:tcPr>
            <w:tcW w:w="2160" w:type="dxa"/>
          </w:tcPr>
          <w:p w14:paraId="07C5FD2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C7BB62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B0E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E66C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FR-BRAIN-08</w:t>
            </w:r>
          </w:p>
        </w:tc>
        <w:tc>
          <w:tcPr>
            <w:tcW w:w="2160" w:type="dxa"/>
          </w:tcPr>
          <w:p w14:paraId="134CA73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classify and record a call disposition on completion.</w:t>
            </w:r>
          </w:p>
        </w:tc>
        <w:tc>
          <w:tcPr>
            <w:tcW w:w="2160" w:type="dxa"/>
          </w:tcPr>
          <w:p w14:paraId="0F694C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70EA4D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6E31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A5D35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FR-BRAIN-09</w:t>
            </w:r>
          </w:p>
        </w:tc>
        <w:tc>
          <w:tcPr>
            <w:tcW w:w="2160" w:type="dxa"/>
          </w:tcPr>
          <w:p w14:paraId="43B8110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distinguish a correction from a refusal when classifying caller intent.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a caller correcting their loan type was wrongly treated as opting out and was told they would not be called again.)</w:t>
            </w:r>
          </w:p>
        </w:tc>
        <w:tc>
          <w:tcPr>
            <w:tcW w:w="2160" w:type="dxa"/>
          </w:tcPr>
          <w:p w14:paraId="3F6A2A0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5C69D0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FA88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04162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FR-BRAIN-10</w:t>
            </w:r>
          </w:p>
        </w:tc>
        <w:tc>
          <w:tcPr>
            <w:tcW w:w="2160" w:type="dxa"/>
          </w:tcPr>
          <w:p w14:paraId="6BCCF23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detect an explicit opt-out request and record it in a suppression list.</w:t>
            </w:r>
          </w:p>
        </w:tc>
        <w:tc>
          <w:tcPr>
            <w:tcW w:w="2160" w:type="dxa"/>
          </w:tcPr>
          <w:p w14:paraId="2FFE158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9F1F69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6CC2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3D1839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FR-BRAIN-11</w:t>
            </w:r>
          </w:p>
        </w:tc>
        <w:tc>
          <w:tcPr>
            <w:tcW w:w="2160" w:type="dxa"/>
          </w:tcPr>
          <w:p w14:paraId="083D1D2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terminate the call gracefully on completion, refusal or opt-out, delivering a closing statement exactly once.</w:t>
            </w:r>
          </w:p>
        </w:tc>
        <w:tc>
          <w:tcPr>
            <w:tcW w:w="2160" w:type="dxa"/>
          </w:tcPr>
          <w:p w14:paraId="1C45A24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44DD70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0334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0E6A84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FR-BRAIN-12</w:t>
            </w:r>
          </w:p>
        </w:tc>
        <w:tc>
          <w:tcPr>
            <w:tcW w:w="2160" w:type="dxa"/>
          </w:tcPr>
          <w:p w14:paraId="394BDDD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recover from a caller utterance that matches no anticipated path by re-prompting, and shall never produce silence as a result of an unhandled input.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the classic incumbent failure was a routing dead end, not latency.)</w:t>
            </w:r>
          </w:p>
        </w:tc>
        <w:tc>
          <w:tcPr>
            <w:tcW w:w="2160" w:type="dxa"/>
          </w:tcPr>
          <w:p w14:paraId="77618B2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571BE8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736C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CAE8A2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FR-BRAIN-13</w:t>
            </w:r>
          </w:p>
        </w:tc>
        <w:tc>
          <w:tcPr>
            <w:tcW w:w="2160" w:type="dxa"/>
          </w:tcPr>
          <w:p w14:paraId="0D729B2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 re-prompt for the same unanswered question shall be permitted at most a configurable number of times, default once.</w:t>
            </w:r>
          </w:p>
        </w:tc>
        <w:tc>
          <w:tcPr>
            <w:tcW w:w="2160" w:type="dxa"/>
          </w:tcPr>
          <w:p w14:paraId="01B02B1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C868A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4EE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17B1DE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FR-BRAIN-14</w:t>
            </w:r>
          </w:p>
        </w:tc>
        <w:tc>
          <w:tcPr>
            <w:tcW w:w="2160" w:type="dxa"/>
          </w:tcPr>
          <w:p w14:paraId="7160DB6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appointment scheduling via calendar tools.</w:t>
            </w:r>
          </w:p>
        </w:tc>
        <w:tc>
          <w:tcPr>
            <w:tcW w:w="2160" w:type="dxa"/>
          </w:tcPr>
          <w:p w14:paraId="669F357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w="2160" w:type="dxa"/>
          </w:tcPr>
          <w:p w14:paraId="5A626AF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</w:tbl>
    <w:p w14:paraId="2C43A527"/>
    <w:p w14:paraId="70064144">
      <w:pPr>
        <w:pStyle w:val="3"/>
      </w:pPr>
      <w:r>
        <w:rPr>
          <w:rFonts w:ascii="Nirmala UI" w:hAnsi="Nirmala UI" w:eastAsia="Nirmala UI" w:cs="Nirmala UI"/>
          <w:color w:val="1F4E79"/>
        </w:rPr>
        <w:t>3.4 Agent Configuration (AGENT)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F36E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405E92A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0D27214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2D1885A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0143CEA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70D6E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3237F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FR-AGENT-01</w:t>
            </w:r>
          </w:p>
        </w:tc>
        <w:tc>
          <w:tcPr>
            <w:tcW w:w="2160" w:type="dxa"/>
          </w:tcPr>
          <w:p w14:paraId="6788504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An agent shall be defined by a versioned configuration artefact containing: instruction set, language, model selection, STT selection, TTS voice, turn-taking parameters, tool set, extraction schema, and disposition vocabulary.</w:t>
            </w:r>
          </w:p>
        </w:tc>
        <w:tc>
          <w:tcPr>
            <w:tcW w:w="2160" w:type="dxa"/>
          </w:tcPr>
          <w:p w14:paraId="1F59390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25F784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84D6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41A619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FR-AGENT-02</w:t>
            </w:r>
          </w:p>
        </w:tc>
        <w:tc>
          <w:tcPr>
            <w:tcW w:w="2160" w:type="dxa"/>
          </w:tcPr>
          <w:p w14:paraId="4B30CE1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Agent configurations shall be stored in version control as the source of truth.</w:t>
            </w:r>
          </w:p>
        </w:tc>
        <w:tc>
          <w:tcPr>
            <w:tcW w:w="2160" w:type="dxa"/>
          </w:tcPr>
          <w:p w14:paraId="3C26178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58892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4E23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2E167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FR-AGENT-03</w:t>
            </w:r>
          </w:p>
        </w:tc>
        <w:tc>
          <w:tcPr>
            <w:tcW w:w="2160" w:type="dxa"/>
          </w:tcPr>
          <w:p w14:paraId="29061C6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deploying a specific agent version, and rolling back to a previous version.</w:t>
            </w:r>
          </w:p>
        </w:tc>
        <w:tc>
          <w:tcPr>
            <w:tcW w:w="2160" w:type="dxa"/>
          </w:tcPr>
          <w:p w14:paraId="5173E82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B27431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588B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66953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FR-AGENT-04</w:t>
            </w:r>
          </w:p>
        </w:tc>
        <w:tc>
          <w:tcPr>
            <w:tcW w:w="2160" w:type="dxa"/>
          </w:tcPr>
          <w:p w14:paraId="6F2B19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validate an agent configuration before deployment and reject invalid configurations with a specific error.</w:t>
            </w:r>
          </w:p>
        </w:tc>
        <w:tc>
          <w:tcPr>
            <w:tcW w:w="2160" w:type="dxa"/>
          </w:tcPr>
          <w:p w14:paraId="632128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6224E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D632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C90DA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FR-AGENT-05</w:t>
            </w:r>
          </w:p>
        </w:tc>
        <w:tc>
          <w:tcPr>
            <w:tcW w:w="2160" w:type="dxa"/>
          </w:tcPr>
          <w:p w14:paraId="13D8C9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Deployment of an agent configuration shall not silently alter any field not present in the submitted artefact.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the incumbent replaces whole configuration objects on write, which destroyed a model override in production.)</w:t>
            </w:r>
          </w:p>
        </w:tc>
        <w:tc>
          <w:tcPr>
            <w:tcW w:w="2160" w:type="dxa"/>
          </w:tcPr>
          <w:p w14:paraId="12D3188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48A051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3EC3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3376E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FR-AGENT-06</w:t>
            </w:r>
          </w:p>
        </w:tc>
        <w:tc>
          <w:tcPr>
            <w:tcW w:w="2160" w:type="dxa"/>
          </w:tcPr>
          <w:p w14:paraId="37675D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 dry-run mode that reports what a deployment would change without applying it.</w:t>
            </w:r>
          </w:p>
        </w:tc>
        <w:tc>
          <w:tcPr>
            <w:tcW w:w="2160" w:type="dxa"/>
          </w:tcPr>
          <w:p w14:paraId="67908F2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5D8A276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0E74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E79A33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FR-AGENT-07</w:t>
            </w:r>
          </w:p>
        </w:tc>
        <w:tc>
          <w:tcPr>
            <w:tcW w:w="2160" w:type="dxa"/>
          </w:tcPr>
          <w:p w14:paraId="35D4FD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provide a visual agent-builder interface.</w:t>
            </w:r>
          </w:p>
        </w:tc>
        <w:tc>
          <w:tcPr>
            <w:tcW w:w="2160" w:type="dxa"/>
          </w:tcPr>
          <w:p w14:paraId="7ABFD0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</w:t>
            </w:r>
          </w:p>
        </w:tc>
        <w:tc>
          <w:tcPr>
            <w:tcW w:w="2160" w:type="dxa"/>
          </w:tcPr>
          <w:p w14:paraId="66ADB7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</w:tr>
    </w:tbl>
    <w:p w14:paraId="07C5E0CC"/>
    <w:p w14:paraId="7894FD87">
      <w:pPr>
        <w:pStyle w:val="3"/>
      </w:pPr>
      <w:r>
        <w:rPr>
          <w:rFonts w:ascii="Nirmala UI" w:hAnsi="Nirmala UI" w:eastAsia="Nirmala UI" w:cs="Nirmala UI"/>
          <w:color w:val="1F4E79"/>
        </w:rPr>
        <w:t>3.5 Campaign and Dialer (CAMP)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911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1BA2714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5F1469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2DC5BC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54AAD85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5B5E6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A13D6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FR-CAMP-01</w:t>
            </w:r>
          </w:p>
        </w:tc>
        <w:tc>
          <w:tcPr>
            <w:tcW w:w="2160" w:type="dxa"/>
          </w:tcPr>
          <w:p w14:paraId="552996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accept a contact list by CSV upload with a defined schema.</w:t>
            </w:r>
          </w:p>
        </w:tc>
        <w:tc>
          <w:tcPr>
            <w:tcW w:w="2160" w:type="dxa"/>
          </w:tcPr>
          <w:p w14:paraId="729C1F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042A7A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C056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73CD0D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FR-CAMP-02</w:t>
            </w:r>
          </w:p>
        </w:tc>
        <w:tc>
          <w:tcPr>
            <w:tcW w:w="2160" w:type="dxa"/>
          </w:tcPr>
          <w:p w14:paraId="07D42CD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validate contact lists on upload, rejecting or flagging malformed and duplicate numbers.</w:t>
            </w:r>
          </w:p>
        </w:tc>
        <w:tc>
          <w:tcPr>
            <w:tcW w:w="2160" w:type="dxa"/>
          </w:tcPr>
          <w:p w14:paraId="329BEB2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4D93EE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BF3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74B8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FR-CAMP-03</w:t>
            </w:r>
          </w:p>
        </w:tc>
        <w:tc>
          <w:tcPr>
            <w:tcW w:w="2160" w:type="dxa"/>
          </w:tcPr>
          <w:p w14:paraId="3D16234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create a campaign binding a contact list to an agent version.</w:t>
            </w:r>
          </w:p>
        </w:tc>
        <w:tc>
          <w:tcPr>
            <w:tcW w:w="2160" w:type="dxa"/>
          </w:tcPr>
          <w:p w14:paraId="0D47AB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8973F7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2EAE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C0C19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FR-CAMP-04</w:t>
            </w:r>
          </w:p>
        </w:tc>
        <w:tc>
          <w:tcPr>
            <w:tcW w:w="2160" w:type="dxa"/>
          </w:tcPr>
          <w:p w14:paraId="6DAB24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start, pause, resume and stop a campaign.</w:t>
            </w:r>
          </w:p>
        </w:tc>
        <w:tc>
          <w:tcPr>
            <w:tcW w:w="2160" w:type="dxa"/>
          </w:tcPr>
          <w:p w14:paraId="657A063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6FAE34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45C7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50935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FR-CAMP-05</w:t>
            </w:r>
          </w:p>
        </w:tc>
        <w:tc>
          <w:tcPr>
            <w:tcW w:w="2160" w:type="dxa"/>
          </w:tcPr>
          <w:p w14:paraId="6420F90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enforce a configurable maximum number of concurrent calls per campaign and globally.</w:t>
            </w:r>
          </w:p>
        </w:tc>
        <w:tc>
          <w:tcPr>
            <w:tcW w:w="2160" w:type="dxa"/>
          </w:tcPr>
          <w:p w14:paraId="1DBA494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20B23A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4E4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F09DD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  <w:tc>
          <w:tcPr>
            <w:tcW w:w="2160" w:type="dxa"/>
          </w:tcPr>
          <w:p w14:paraId="36D222F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enforce configurable permitted calling hours and days, and shall not dial outside them.</w:t>
            </w:r>
          </w:p>
        </w:tc>
        <w:tc>
          <w:tcPr>
            <w:tcW w:w="2160" w:type="dxa"/>
          </w:tcPr>
          <w:p w14:paraId="2848DDA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24E34B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E257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13A73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FR-CAMP-07</w:t>
            </w:r>
          </w:p>
        </w:tc>
        <w:tc>
          <w:tcPr>
            <w:tcW w:w="2160" w:type="dxa"/>
          </w:tcPr>
          <w:p w14:paraId="1D05FD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retry unsuccessful calls according to a configurable policy (attempt cap, backoff interval, per-outcome rules).</w:t>
            </w:r>
          </w:p>
        </w:tc>
        <w:tc>
          <w:tcPr>
            <w:tcW w:w="2160" w:type="dxa"/>
          </w:tcPr>
          <w:p w14:paraId="48D2976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DD1031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7CB1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2A440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FR-CAMP-08</w:t>
            </w:r>
          </w:p>
        </w:tc>
        <w:tc>
          <w:tcPr>
            <w:tcW w:w="2160" w:type="dxa"/>
          </w:tcPr>
          <w:p w14:paraId="4F6496B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never dial a number present in the suppression list.</w:t>
            </w:r>
          </w:p>
        </w:tc>
        <w:tc>
          <w:tcPr>
            <w:tcW w:w="2160" w:type="dxa"/>
          </w:tcPr>
          <w:p w14:paraId="01E3976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C327D7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8F96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6B15C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FR-CAMP-09</w:t>
            </w:r>
          </w:p>
        </w:tc>
        <w:tc>
          <w:tcPr>
            <w:tcW w:w="2160" w:type="dxa"/>
          </w:tcPr>
          <w:p w14:paraId="0919E0D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record per-contact call state and make campaign progress visible in real time.</w:t>
            </w:r>
          </w:p>
        </w:tc>
        <w:tc>
          <w:tcPr>
            <w:tcW w:w="2160" w:type="dxa"/>
          </w:tcPr>
          <w:p w14:paraId="659D3FA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0F7B3D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CB8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A5939E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FR-CAMP-10</w:t>
            </w:r>
          </w:p>
        </w:tc>
        <w:tc>
          <w:tcPr>
            <w:tcW w:w="2160" w:type="dxa"/>
          </w:tcPr>
          <w:p w14:paraId="3FAA7E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resume a campaign correctly after a platform restart, without re-dialling completed contacts.</w:t>
            </w:r>
          </w:p>
        </w:tc>
        <w:tc>
          <w:tcPr>
            <w:tcW w:w="2160" w:type="dxa"/>
          </w:tcPr>
          <w:p w14:paraId="7DF5DD4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7CC899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9663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71DDB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FR-CAMP-11</w:t>
            </w:r>
          </w:p>
        </w:tc>
        <w:tc>
          <w:tcPr>
            <w:tcW w:w="2160" w:type="dxa"/>
          </w:tcPr>
          <w:p w14:paraId="4F0F98C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scheduling a campaign to begin at a future time.</w:t>
            </w:r>
          </w:p>
        </w:tc>
        <w:tc>
          <w:tcPr>
            <w:tcW w:w="2160" w:type="dxa"/>
          </w:tcPr>
          <w:p w14:paraId="11B5EE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7B8DCB5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DF44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D5C8D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FR-CAMP-12</w:t>
            </w:r>
          </w:p>
        </w:tc>
        <w:tc>
          <w:tcPr>
            <w:tcW w:w="2160" w:type="dxa"/>
          </w:tcPr>
          <w:p w14:paraId="447A20D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emit per-call results to a configurable webhook.</w:t>
            </w:r>
          </w:p>
        </w:tc>
        <w:tc>
          <w:tcPr>
            <w:tcW w:w="2160" w:type="dxa"/>
          </w:tcPr>
          <w:p w14:paraId="1FD56ED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64BC2F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DEF1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047AD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FR-CAMP-13</w:t>
            </w:r>
          </w:p>
        </w:tc>
        <w:tc>
          <w:tcPr>
            <w:tcW w:w="2160" w:type="dxa"/>
          </w:tcPr>
          <w:p w14:paraId="2E9924F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Webhook delivery shall be retried on failure and failures shall be visible to the operator.</w:t>
            </w:r>
          </w:p>
        </w:tc>
        <w:tc>
          <w:tcPr>
            <w:tcW w:w="2160" w:type="dxa"/>
          </w:tcPr>
          <w:p w14:paraId="5086D36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5FCF0B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6A98B43F"/>
    <w:p w14:paraId="23A449C6">
      <w:pPr>
        <w:pStyle w:val="3"/>
      </w:pPr>
      <w:r>
        <w:rPr>
          <w:rFonts w:ascii="Nirmala UI" w:hAnsi="Nirmala UI" w:eastAsia="Nirmala UI" w:cs="Nirmala UI"/>
          <w:color w:val="1F4E79"/>
        </w:rPr>
        <w:t>3.6 Observability (OBS)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53C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6A01430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2778FEA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1665C1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264E2A0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542A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406ADC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FR-OBS-01</w:t>
            </w:r>
          </w:p>
        </w:tc>
        <w:tc>
          <w:tcPr>
            <w:tcW w:w="2160" w:type="dxa"/>
          </w:tcPr>
          <w:p w14:paraId="69304CB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call, the full transcript with speaker attribution and per-utterance timestamps.</w:t>
            </w:r>
          </w:p>
        </w:tc>
        <w:tc>
          <w:tcPr>
            <w:tcW w:w="2160" w:type="dxa"/>
          </w:tcPr>
          <w:p w14:paraId="5F1BA59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94304E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7558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20EAE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FR-OBS-02</w:t>
            </w:r>
          </w:p>
        </w:tc>
        <w:tc>
          <w:tcPr>
            <w:tcW w:w="2160" w:type="dxa"/>
          </w:tcPr>
          <w:p w14:paraId="6C054C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record, per turn: end-of-speech time, STT completion time, model first-token time, first-audio-out time, and total turn latency.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(These are the measurements on which FS-001 §3.1 and NFR-PERF are judged.)</w:t>
            </w:r>
          </w:p>
        </w:tc>
        <w:tc>
          <w:tcPr>
            <w:tcW w:w="2160" w:type="dxa"/>
          </w:tcPr>
          <w:p w14:paraId="4D17454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3329A7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5B40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4EBBA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FR-OBS-03</w:t>
            </w:r>
          </w:p>
        </w:tc>
        <w:tc>
          <w:tcPr>
            <w:tcW w:w="2160" w:type="dxa"/>
          </w:tcPr>
          <w:p w14:paraId="630FAA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record per-call token consumption and estimated cost by component.</w:t>
            </w:r>
          </w:p>
        </w:tc>
        <w:tc>
          <w:tcPr>
            <w:tcW w:w="2160" w:type="dxa"/>
          </w:tcPr>
          <w:p w14:paraId="0D74B39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149F14C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F4E1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5771A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FR-OBS-04</w:t>
            </w:r>
          </w:p>
        </w:tc>
        <w:tc>
          <w:tcPr>
            <w:tcW w:w="2160" w:type="dxa"/>
          </w:tcPr>
          <w:p w14:paraId="739266E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store call audio recordings, subject to retention policy.</w:t>
            </w:r>
          </w:p>
        </w:tc>
        <w:tc>
          <w:tcPr>
            <w:tcW w:w="2160" w:type="dxa"/>
          </w:tcPr>
          <w:p w14:paraId="1533AE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EF9BFF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F066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FB39C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FR-OBS-05</w:t>
            </w:r>
          </w:p>
        </w:tc>
        <w:tc>
          <w:tcPr>
            <w:tcW w:w="2160" w:type="dxa"/>
          </w:tcPr>
          <w:p w14:paraId="5C33DDD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 structured error events with sufficient context to distinguish provider faults (rate limits, credit exhaustion, authentication) from application faults.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R4: two multi-day production outages were provider billing failures misdiagnosed as prompt defects.)</w:t>
            </w:r>
          </w:p>
        </w:tc>
        <w:tc>
          <w:tcPr>
            <w:tcW w:w="2160" w:type="dxa"/>
          </w:tcPr>
          <w:p w14:paraId="4DC5557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21F8FE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6F65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E7366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FR-OBS-06</w:t>
            </w:r>
          </w:p>
        </w:tc>
        <w:tc>
          <w:tcPr>
            <w:tcW w:w="2160" w:type="dxa"/>
          </w:tcPr>
          <w:p w14:paraId="0FF311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raise an operator alert when provider errors exceed a threshold.</w:t>
            </w:r>
          </w:p>
        </w:tc>
        <w:tc>
          <w:tcPr>
            <w:tcW w:w="2160" w:type="dxa"/>
          </w:tcPr>
          <w:p w14:paraId="58B3CD6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14665F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76DD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3290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FR-OBS-07</w:t>
            </w:r>
          </w:p>
        </w:tc>
        <w:tc>
          <w:tcPr>
            <w:tcW w:w="2160" w:type="dxa"/>
          </w:tcPr>
          <w:p w14:paraId="6E23694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expose aggregate reporting per campaign: connection rate, average duration, disposition distribution, latency distribution.</w:t>
            </w:r>
          </w:p>
        </w:tc>
        <w:tc>
          <w:tcPr>
            <w:tcW w:w="2160" w:type="dxa"/>
          </w:tcPr>
          <w:p w14:paraId="168EF92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9E8449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3D7B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7EE5C7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FR-OBS-08</w:t>
            </w:r>
          </w:p>
        </w:tc>
        <w:tc>
          <w:tcPr>
            <w:tcW w:w="2160" w:type="dxa"/>
          </w:tcPr>
          <w:p w14:paraId="194E408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allow export of transcripts and results.</w:t>
            </w:r>
          </w:p>
        </w:tc>
        <w:tc>
          <w:tcPr>
            <w:tcW w:w="2160" w:type="dxa"/>
          </w:tcPr>
          <w:p w14:paraId="5E30C2E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63C76A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67847CDF"/>
    <w:p w14:paraId="5DC9EBF5">
      <w:pPr>
        <w:pStyle w:val="3"/>
      </w:pPr>
      <w:r>
        <w:rPr>
          <w:rFonts w:ascii="Nirmala UI" w:hAnsi="Nirmala UI" w:eastAsia="Nirmala UI" w:cs="Nirmala UI"/>
          <w:color w:val="1F4E79"/>
        </w:rPr>
        <w:t>3.7 Operator Dashboard (UI)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DFC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549CD4D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1B1B639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4A6ED5D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67AB637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34852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FBE7C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FR-UI-01</w:t>
            </w:r>
          </w:p>
        </w:tc>
        <w:tc>
          <w:tcPr>
            <w:tcW w:w="2160" w:type="dxa"/>
          </w:tcPr>
          <w:p w14:paraId="3A2587E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upload of contact lists and creation of campaigns.</w:t>
            </w:r>
          </w:p>
        </w:tc>
        <w:tc>
          <w:tcPr>
            <w:tcW w:w="2160" w:type="dxa"/>
          </w:tcPr>
          <w:p w14:paraId="3AF71EC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89694A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56E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F7108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FR-UI-02</w:t>
            </w:r>
          </w:p>
        </w:tc>
        <w:tc>
          <w:tcPr>
            <w:tcW w:w="2160" w:type="dxa"/>
          </w:tcPr>
          <w:p w14:paraId="2FEAB40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start, pause, resume and stop of campaigns.</w:t>
            </w:r>
          </w:p>
        </w:tc>
        <w:tc>
          <w:tcPr>
            <w:tcW w:w="2160" w:type="dxa"/>
          </w:tcPr>
          <w:p w14:paraId="1E231A7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5A0EB8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3298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268E63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FR-UI-03</w:t>
            </w:r>
          </w:p>
        </w:tc>
        <w:tc>
          <w:tcPr>
            <w:tcW w:w="2160" w:type="dxa"/>
          </w:tcPr>
          <w:p w14:paraId="5042C62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display live campaign progress.</w:t>
            </w:r>
          </w:p>
        </w:tc>
        <w:tc>
          <w:tcPr>
            <w:tcW w:w="2160" w:type="dxa"/>
          </w:tcPr>
          <w:p w14:paraId="00249F0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5B808FA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193B7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088D01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FR-UI-04</w:t>
            </w:r>
          </w:p>
        </w:tc>
        <w:tc>
          <w:tcPr>
            <w:tcW w:w="2160" w:type="dxa"/>
          </w:tcPr>
          <w:p w14:paraId="61BED8C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review of an individual call: transcript, audio, latency, disposition, extracted data.</w:t>
            </w:r>
          </w:p>
        </w:tc>
        <w:tc>
          <w:tcPr>
            <w:tcW w:w="2160" w:type="dxa"/>
          </w:tcPr>
          <w:p w14:paraId="52DB13F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3955AA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9B13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75CD18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FR-UI-05</w:t>
            </w:r>
          </w:p>
        </w:tc>
        <w:tc>
          <w:tcPr>
            <w:tcW w:w="2160" w:type="dxa"/>
          </w:tcPr>
          <w:p w14:paraId="1C75EDC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allow placing a single test call to a specified number with a selected agent version.</w:t>
            </w:r>
          </w:p>
        </w:tc>
        <w:tc>
          <w:tcPr>
            <w:tcW w:w="2160" w:type="dxa"/>
          </w:tcPr>
          <w:p w14:paraId="284DB4E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23E5BE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A2B2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895A5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FR-UI-06</w:t>
            </w:r>
          </w:p>
        </w:tc>
        <w:tc>
          <w:tcPr>
            <w:tcW w:w="2160" w:type="dxa"/>
          </w:tcPr>
          <w:p w14:paraId="47EA3C0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display which agent version is deployed.</w:t>
            </w:r>
          </w:p>
        </w:tc>
        <w:tc>
          <w:tcPr>
            <w:tcW w:w="2160" w:type="dxa"/>
          </w:tcPr>
          <w:p w14:paraId="2466A93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69985A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7D9F5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B4A95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FR-UI-07</w:t>
            </w:r>
          </w:p>
        </w:tc>
        <w:tc>
          <w:tcPr>
            <w:tcW w:w="2160" w:type="dxa"/>
          </w:tcPr>
          <w:p w14:paraId="3A45464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require authentication.</w:t>
            </w:r>
          </w:p>
        </w:tc>
        <w:tc>
          <w:tcPr>
            <w:tcW w:w="2160" w:type="dxa"/>
          </w:tcPr>
          <w:p w14:paraId="519A095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4BBF0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358EE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A6BDB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FR-UI-08</w:t>
            </w:r>
          </w:p>
        </w:tc>
        <w:tc>
          <w:tcPr>
            <w:tcW w:w="2160" w:type="dxa"/>
          </w:tcPr>
          <w:p w14:paraId="499D001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support a text-based conversation preview against an agent without placing a call.</w:t>
            </w:r>
          </w:p>
        </w:tc>
        <w:tc>
          <w:tcPr>
            <w:tcW w:w="2160" w:type="dxa"/>
          </w:tcPr>
          <w:p w14:paraId="5FEADB3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6EEACF8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0A44B0D4"/>
    <w:p w14:paraId="515E8D88">
      <w:pPr>
        <w:pStyle w:val="3"/>
      </w:pPr>
      <w:r>
        <w:rPr>
          <w:rFonts w:ascii="Nirmala UI" w:hAnsi="Nirmala UI" w:eastAsia="Nirmala UI" w:cs="Nirmala UI"/>
          <w:color w:val="1F4E79"/>
        </w:rPr>
        <w:t>3.8 Data and Storage (DATA)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039E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2CA458C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4F4497B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2B5FBA8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76EE0C1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2C140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08491C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FR-DATA-01</w:t>
            </w:r>
          </w:p>
        </w:tc>
        <w:tc>
          <w:tcPr>
            <w:tcW w:w="2160" w:type="dxa"/>
          </w:tcPr>
          <w:p w14:paraId="6679FAF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persist contacts, campaigns, calls, turns, transcripts, dispositions, extracted data and agent versions.</w:t>
            </w:r>
          </w:p>
        </w:tc>
        <w:tc>
          <w:tcPr>
            <w:tcW w:w="2160" w:type="dxa"/>
          </w:tcPr>
          <w:p w14:paraId="4CDC312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35C7C8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9D88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37580E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FR-DATA-02</w:t>
            </w:r>
          </w:p>
        </w:tc>
        <w:tc>
          <w:tcPr>
            <w:tcW w:w="2160" w:type="dxa"/>
          </w:tcPr>
          <w:p w14:paraId="7D2C843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store call recordings in object storage separately from structured data.</w:t>
            </w:r>
          </w:p>
        </w:tc>
        <w:tc>
          <w:tcPr>
            <w:tcW w:w="2160" w:type="dxa"/>
          </w:tcPr>
          <w:p w14:paraId="2DBD10C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1E124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BE6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AAC07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  <w:tc>
          <w:tcPr>
            <w:tcW w:w="2160" w:type="dxa"/>
          </w:tcPr>
          <w:p w14:paraId="1F0E2F1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apply configurable retention periods per data class and delete data on expiry.</w:t>
            </w:r>
          </w:p>
        </w:tc>
        <w:tc>
          <w:tcPr>
            <w:tcW w:w="2160" w:type="dxa"/>
          </w:tcPr>
          <w:p w14:paraId="32D1695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BD0BE7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C9B7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1E242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FR-DATA-04</w:t>
            </w:r>
          </w:p>
        </w:tc>
        <w:tc>
          <w:tcPr>
            <w:tcW w:w="2160" w:type="dxa"/>
          </w:tcPr>
          <w:p w14:paraId="4642AD1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maintain a persistent suppression list surviving campaign and platform lifecycle.</w:t>
            </w:r>
          </w:p>
        </w:tc>
        <w:tc>
          <w:tcPr>
            <w:tcW w:w="2160" w:type="dxa"/>
          </w:tcPr>
          <w:p w14:paraId="785AA2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4CF431D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5394D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8DD71C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FR-DATA-05</w:t>
            </w:r>
          </w:p>
        </w:tc>
        <w:tc>
          <w:tcPr>
            <w:tcW w:w="2160" w:type="dxa"/>
          </w:tcPr>
          <w:p w14:paraId="6C63E0B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Database schema changes shall be applied by versioned, ordered migrations.</w:t>
            </w:r>
          </w:p>
        </w:tc>
        <w:tc>
          <w:tcPr>
            <w:tcW w:w="2160" w:type="dxa"/>
          </w:tcPr>
          <w:p w14:paraId="4B34947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3370750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89C0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1B83C1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FR-DATA-06</w:t>
            </w:r>
          </w:p>
        </w:tc>
        <w:tc>
          <w:tcPr>
            <w:tcW w:w="2160" w:type="dxa"/>
          </w:tcPr>
          <w:p w14:paraId="3DDC7AE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support export of a call corpus (audio plus transcript) for speech-model training.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(Enables the Phase 4 STT workstream, FS-001 §3.3.)</w:t>
            </w:r>
          </w:p>
        </w:tc>
        <w:tc>
          <w:tcPr>
            <w:tcW w:w="2160" w:type="dxa"/>
          </w:tcPr>
          <w:p w14:paraId="2025664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3C4D3ED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11F27530"/>
    <w:p w14:paraId="5E578F5C">
      <w:pPr>
        <w:pStyle w:val="3"/>
      </w:pPr>
      <w:r>
        <w:rPr>
          <w:rFonts w:ascii="Nirmala UI" w:hAnsi="Nirmala UI" w:eastAsia="Nirmala UI" w:cs="Nirmala UI"/>
          <w:color w:val="1F4E79"/>
        </w:rPr>
        <w:t>3.9 Compliance (CMP)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ED95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CE6F1"/>
          </w:tcPr>
          <w:p w14:paraId="3EA4133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160" w:type="dxa"/>
            <w:shd w:val="clear" w:color="auto" w:fill="DCE6F1"/>
          </w:tcPr>
          <w:p w14:paraId="709CDED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160" w:type="dxa"/>
            <w:shd w:val="clear" w:color="auto" w:fill="DCE6F1"/>
          </w:tcPr>
          <w:p w14:paraId="463D0D2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Priority</w:t>
            </w:r>
          </w:p>
        </w:tc>
        <w:tc>
          <w:tcPr>
            <w:tcW w:w="2160" w:type="dxa"/>
            <w:shd w:val="clear" w:color="auto" w:fill="DCE6F1"/>
          </w:tcPr>
          <w:p w14:paraId="7F65825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 w14:paraId="6279E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6EB483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FR-CMP-01</w:t>
            </w:r>
          </w:p>
        </w:tc>
        <w:tc>
          <w:tcPr>
            <w:tcW w:w="2160" w:type="dxa"/>
          </w:tcPr>
          <w:p w14:paraId="15DBDBD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not dial numbers on the suppression list under any circumstance, including manual test calls.</w:t>
            </w:r>
          </w:p>
        </w:tc>
        <w:tc>
          <w:tcPr>
            <w:tcW w:w="2160" w:type="dxa"/>
          </w:tcPr>
          <w:p w14:paraId="62A1D69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7FE6A8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0DAB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95141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FR-CMP-02</w:t>
            </w:r>
          </w:p>
        </w:tc>
        <w:tc>
          <w:tcPr>
            <w:tcW w:w="2160" w:type="dxa"/>
          </w:tcPr>
          <w:p w14:paraId="0BBA81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record, per contact, the basis and source of the contact record.</w:t>
            </w:r>
          </w:p>
        </w:tc>
        <w:tc>
          <w:tcPr>
            <w:tcW w:w="2160" w:type="dxa"/>
          </w:tcPr>
          <w:p w14:paraId="6CE4638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7657B22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25E6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58AF30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FR-CMP-03</w:t>
            </w:r>
          </w:p>
        </w:tc>
        <w:tc>
          <w:tcPr>
            <w:tcW w:w="2160" w:type="dxa"/>
          </w:tcPr>
          <w:p w14:paraId="1EF8138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support an agent-configurable automated-caller disclosure statement.</w:t>
            </w:r>
          </w:p>
        </w:tc>
        <w:tc>
          <w:tcPr>
            <w:tcW w:w="2160" w:type="dxa"/>
          </w:tcPr>
          <w:p w14:paraId="21B17C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17669EA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4E1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7B6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FR-CMP-04</w:t>
            </w:r>
          </w:p>
        </w:tc>
        <w:tc>
          <w:tcPr>
            <w:tcW w:w="2160" w:type="dxa"/>
          </w:tcPr>
          <w:p w14:paraId="58C0EE5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system shall record whether recording consent applies to each call, and shall mark recordings usable or not usable for model training accordingly.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(Traces FS-001 §6.4 — training on recordings is a secondary processing purpose.)</w:t>
            </w:r>
          </w:p>
        </w:tc>
        <w:tc>
          <w:tcPr>
            <w:tcW w:w="2160" w:type="dxa"/>
          </w:tcPr>
          <w:p w14:paraId="049B78D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6B77C01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4A3F9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A4A53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FR-CMP-05</w:t>
            </w:r>
          </w:p>
        </w:tc>
        <w:tc>
          <w:tcPr>
            <w:tcW w:w="2160" w:type="dxa"/>
          </w:tcPr>
          <w:p w14:paraId="6820C9E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provide an audit trail of campaign start/stop actions and agent deployments, with actor and timestamp.</w:t>
            </w:r>
          </w:p>
        </w:tc>
        <w:tc>
          <w:tcPr>
            <w:tcW w:w="2160" w:type="dxa"/>
          </w:tcPr>
          <w:p w14:paraId="2A8605E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</w:t>
            </w:r>
          </w:p>
        </w:tc>
        <w:tc>
          <w:tcPr>
            <w:tcW w:w="2160" w:type="dxa"/>
          </w:tcPr>
          <w:p w14:paraId="7B476A6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 w14:paraId="690B5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0F2E8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FR-CMP-06</w:t>
            </w:r>
          </w:p>
        </w:tc>
        <w:tc>
          <w:tcPr>
            <w:tcW w:w="2160" w:type="dxa"/>
          </w:tcPr>
          <w:p w14:paraId="662FC84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system shall enforce DLT-related constraints where applicable.</w:t>
            </w:r>
          </w:p>
        </w:tc>
        <w:tc>
          <w:tcPr>
            <w:tcW w:w="2160" w:type="dxa"/>
          </w:tcPr>
          <w:p w14:paraId="4B23CD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</w:t>
            </w:r>
          </w:p>
        </w:tc>
        <w:tc>
          <w:tcPr>
            <w:tcW w:w="2160" w:type="dxa"/>
          </w:tcPr>
          <w:p w14:paraId="0EF7AAB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</w:tbl>
    <w:p w14:paraId="655122FA"/>
    <w:p w14:paraId="5BC8D162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468E61E6">
      <w:pPr>
        <w:pStyle w:val="2"/>
      </w:pPr>
      <w:r>
        <w:rPr>
          <w:rFonts w:ascii="Nirmala UI" w:hAnsi="Nirmala UI" w:eastAsia="Nirmala UI" w:cs="Nirmala UI"/>
          <w:color w:val="1F4E79"/>
        </w:rPr>
        <w:t>4. Non-Functional Requirements</w:t>
      </w:r>
    </w:p>
    <w:p w14:paraId="35F79314">
      <w:pPr>
        <w:pStyle w:val="3"/>
      </w:pPr>
      <w:r>
        <w:rPr>
          <w:rFonts w:ascii="Nirmala UI" w:hAnsi="Nirmala UI" w:eastAsia="Nirmala UI" w:cs="Nirmala UI"/>
          <w:color w:val="1F4E79"/>
        </w:rPr>
        <w:t>4.1 Performance (PERF)</w:t>
      </w:r>
    </w:p>
    <w:p w14:paraId="1444C12B"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Baseline.</w:t>
      </w:r>
      <w:r>
        <w:rPr>
          <w:rFonts w:ascii="Nirmala UI" w:hAnsi="Nirmala UI" w:eastAsia="Nirmala UI" w:cs="Nirmala UI"/>
          <w:i/>
          <w:color w:val="5A5A5A"/>
        </w:rPr>
        <w:t xml:space="preserve"> The incumbent system measures turn latency p50 </w:t>
      </w:r>
      <w:r>
        <w:rPr>
          <w:rFonts w:ascii="Nirmala UI" w:hAnsi="Nirmala UI" w:eastAsia="Nirmala UI" w:cs="Nirmala UI"/>
          <w:b/>
          <w:i/>
          <w:color w:val="5A5A5A"/>
        </w:rPr>
        <w:t>1.95s</w:t>
      </w:r>
      <w:r>
        <w:rPr>
          <w:rFonts w:ascii="Nirmala UI" w:hAnsi="Nirmala UI" w:eastAsia="Nirmala UI" w:cs="Nirmala UI"/>
          <w:i/>
          <w:color w:val="5A5A5A"/>
        </w:rPr>
        <w:t xml:space="preserve">, of which ~95% is non-LLM. FS-001 §3.1 concludes the new platform should be expected to achieve </w:t>
      </w:r>
      <w:r>
        <w:rPr>
          <w:rFonts w:ascii="Nirmala UI" w:hAnsi="Nirmala UI" w:eastAsia="Nirmala UI" w:cs="Nirmala UI"/>
          <w:b/>
          <w:i/>
          <w:color w:val="5A5A5A"/>
        </w:rPr>
        <w:t>parity with headroom</w:t>
      </w:r>
      <w:r>
        <w:rPr>
          <w:rFonts w:ascii="Nirmala UI" w:hAnsi="Nirmala UI" w:eastAsia="Nirmala UI" w:cs="Nirmala UI"/>
          <w:i/>
          <w:color w:val="5A5A5A"/>
        </w:rPr>
        <w:t>, not an immediate improvement. Introducing a custom Brain service may initially increase latency. These targets are set accordingly and honestly.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9BE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39CD14D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37F8F4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880" w:type="dxa"/>
            <w:shd w:val="clear" w:color="auto" w:fill="DCE6F1"/>
          </w:tcPr>
          <w:p w14:paraId="3E39C22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 w14:paraId="59B64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6172A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NFR-PERF-01</w:t>
            </w:r>
          </w:p>
        </w:tc>
        <w:tc>
          <w:tcPr>
            <w:tcW w:w="2880" w:type="dxa"/>
          </w:tcPr>
          <w:p w14:paraId="0C89FEA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Turn latency (end of caller speech → first system audio), p50, Telugu</w:t>
            </w:r>
          </w:p>
        </w:tc>
        <w:tc>
          <w:tcPr>
            <w:tcW w:w="2880" w:type="dxa"/>
          </w:tcPr>
          <w:p w14:paraId="2188C16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1.95 s (parity gate G4)</w:t>
            </w:r>
          </w:p>
        </w:tc>
      </w:tr>
      <w:tr w14:paraId="046BD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16B9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NFR-PERF-02</w:t>
            </w:r>
          </w:p>
        </w:tc>
        <w:tc>
          <w:tcPr>
            <w:tcW w:w="2880" w:type="dxa"/>
          </w:tcPr>
          <w:p w14:paraId="43815FB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Turn latency, p95, Telugu</w:t>
            </w:r>
          </w:p>
        </w:tc>
        <w:tc>
          <w:tcPr>
            <w:tcW w:w="2880" w:type="dxa"/>
          </w:tcPr>
          <w:p w14:paraId="348695F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3.0 s</w:t>
            </w:r>
          </w:p>
        </w:tc>
      </w:tr>
      <w:tr w14:paraId="0E8E8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F762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NFR-PERF-03</w:t>
            </w:r>
          </w:p>
        </w:tc>
        <w:tc>
          <w:tcPr>
            <w:tcW w:w="2880" w:type="dxa"/>
          </w:tcPr>
          <w:p w14:paraId="700B56D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Turn latency, p50, stretch objective after tuning</w:t>
            </w:r>
          </w:p>
        </w:tc>
        <w:tc>
          <w:tcPr>
            <w:tcW w:w="2880" w:type="dxa"/>
          </w:tcPr>
          <w:p w14:paraId="555287B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1.50 s</w:t>
            </w:r>
          </w:p>
        </w:tc>
      </w:tr>
      <w:tr w14:paraId="7518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2A76B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NFR-PERF-04</w:t>
            </w:r>
          </w:p>
        </w:tc>
        <w:tc>
          <w:tcPr>
            <w:tcW w:w="2880" w:type="dxa"/>
          </w:tcPr>
          <w:p w14:paraId="3BE54EC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Barge-in stop time</w:t>
            </w:r>
          </w:p>
        </w:tc>
        <w:tc>
          <w:tcPr>
            <w:tcW w:w="2880" w:type="dxa"/>
          </w:tcPr>
          <w:p w14:paraId="189E500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300 ms</w:t>
            </w:r>
          </w:p>
        </w:tc>
      </w:tr>
      <w:tr w14:paraId="25FC7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8516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NFR-PERF-05</w:t>
            </w:r>
          </w:p>
        </w:tc>
        <w:tc>
          <w:tcPr>
            <w:tcW w:w="2880" w:type="dxa"/>
          </w:tcPr>
          <w:p w14:paraId="12BBE9D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Time from campaign start to first call initiated</w:t>
            </w:r>
          </w:p>
        </w:tc>
        <w:tc>
          <w:tcPr>
            <w:tcW w:w="2880" w:type="dxa"/>
          </w:tcPr>
          <w:p w14:paraId="74C483E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10 s</w:t>
            </w:r>
          </w:p>
        </w:tc>
      </w:tr>
      <w:tr w14:paraId="72DFA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09F307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NFR-PERF-06</w:t>
            </w:r>
          </w:p>
        </w:tc>
        <w:tc>
          <w:tcPr>
            <w:tcW w:w="2880" w:type="dxa"/>
          </w:tcPr>
          <w:p w14:paraId="3381A7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Every turn shall have latency components recorded per FR-OBS-02</w:t>
            </w:r>
          </w:p>
        </w:tc>
        <w:tc>
          <w:tcPr>
            <w:tcW w:w="2880" w:type="dxa"/>
          </w:tcPr>
          <w:p w14:paraId="54CCAA6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100% of turns</w:t>
            </w:r>
          </w:p>
        </w:tc>
      </w:tr>
      <w:tr w14:paraId="7B11E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EC8E0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NFR-PERF-07</w:t>
            </w:r>
          </w:p>
        </w:tc>
        <w:tc>
          <w:tcPr>
            <w:tcW w:w="2880" w:type="dxa"/>
          </w:tcPr>
          <w:p w14:paraId="3C1DD85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Filler speech shall be emitted when a response is expected to exceed</w:t>
            </w:r>
          </w:p>
        </w:tc>
        <w:tc>
          <w:tcPr>
            <w:tcW w:w="2880" w:type="dxa"/>
          </w:tcPr>
          <w:p w14:paraId="08303EC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1.2 s</w:t>
            </w:r>
          </w:p>
        </w:tc>
      </w:tr>
    </w:tbl>
    <w:p w14:paraId="1F282B1A"/>
    <w:p w14:paraId="6FE8D687"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Measurement note.</w:t>
      </w:r>
      <w:r>
        <w:rPr>
          <w:rFonts w:ascii="Nirmala UI" w:hAnsi="Nirmala UI" w:eastAsia="Nirmala UI" w:cs="Nirmala UI"/>
          <w:i/>
          <w:color w:val="5A5A5A"/>
        </w:rPr>
        <w:t xml:space="preserve"> Model TTFB shall not be used as a proxy for responsiveness. On reasoning models it measures the first reasoning token, not the first spoken word, and was previously misleading by an order of magnitude. Turn latency per FR-OBS-02 is the governing metric.</w:t>
      </w:r>
    </w:p>
    <w:p w14:paraId="1C278EFA">
      <w:pPr>
        <w:pStyle w:val="3"/>
      </w:pPr>
      <w:r>
        <w:rPr>
          <w:rFonts w:ascii="Nirmala UI" w:hAnsi="Nirmala UI" w:eastAsia="Nirmala UI" w:cs="Nirmala UI"/>
          <w:color w:val="1F4E79"/>
        </w:rPr>
        <w:t>4.2 Accuracy and Quality (QUAL)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7D7B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0D11B91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653D59C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880" w:type="dxa"/>
            <w:shd w:val="clear" w:color="auto" w:fill="DCE6F1"/>
          </w:tcPr>
          <w:p w14:paraId="2D37B5F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 w14:paraId="3140C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BDDDC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NFR-QUAL-01</w:t>
            </w:r>
          </w:p>
        </w:tc>
        <w:tc>
          <w:tcPr>
            <w:tcW w:w="2880" w:type="dxa"/>
          </w:tcPr>
          <w:p w14:paraId="399469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Telugu transcript Word Error Rate on a held-out set of real call audio shall be no worse than the incumbent</w:t>
            </w:r>
          </w:p>
        </w:tc>
        <w:tc>
          <w:tcPr>
            <w:tcW w:w="2880" w:type="dxa"/>
          </w:tcPr>
          <w:p w14:paraId="1E75778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Parity at G4</w:t>
            </w:r>
          </w:p>
        </w:tc>
      </w:tr>
      <w:tr w14:paraId="67156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B564CF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NFR-QUAL-02</w:t>
            </w:r>
          </w:p>
        </w:tc>
        <w:tc>
          <w:tcPr>
            <w:tcW w:w="2880" w:type="dxa"/>
          </w:tcPr>
          <w:p w14:paraId="063F20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Entity accuracy (names, cities, amounts, product terms) shall be measured and reported separately from overall WER</w:t>
            </w:r>
          </w:p>
        </w:tc>
        <w:tc>
          <w:tcPr>
            <w:tcW w:w="2880" w:type="dxa"/>
          </w:tcPr>
          <w:p w14:paraId="29AC58D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Measured, baselined at G4</w:t>
            </w:r>
          </w:p>
        </w:tc>
      </w:tr>
      <w:tr w14:paraId="5218C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CC171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NFR-QUAL-03</w:t>
            </w:r>
          </w:p>
        </w:tc>
        <w:tc>
          <w:tcPr>
            <w:tcW w:w="2880" w:type="dxa"/>
          </w:tcPr>
          <w:p w14:paraId="3B4379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System speech shall not be transcribed as caller speech</w:t>
            </w:r>
          </w:p>
        </w:tc>
        <w:tc>
          <w:tcPr>
            <w:tcW w:w="2880" w:type="dxa"/>
          </w:tcPr>
          <w:p w14:paraId="6B8808A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0 occurrences in the acceptance set</w:t>
            </w:r>
          </w:p>
        </w:tc>
      </w:tr>
      <w:tr w14:paraId="29E03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AA73C4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NFR-QUAL-04</w:t>
            </w:r>
          </w:p>
        </w:tc>
        <w:tc>
          <w:tcPr>
            <w:tcW w:w="2880" w:type="dxa"/>
          </w:tcPr>
          <w:p w14:paraId="578586D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Single-word caller replies shall register as turns</w:t>
            </w:r>
          </w:p>
        </w:tc>
        <w:tc>
          <w:tcPr>
            <w:tcW w:w="2880" w:type="dxa"/>
          </w:tcPr>
          <w:p w14:paraId="1AC58B2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  <w:tr w14:paraId="462C9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DD4AD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NFR-QUAL-05</w:t>
            </w:r>
          </w:p>
        </w:tc>
        <w:tc>
          <w:tcPr>
            <w:tcW w:w="2880" w:type="dxa"/>
          </w:tcPr>
          <w:p w14:paraId="7BFB66A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Calls ending with no system speech ("silent calls")</w:t>
            </w:r>
          </w:p>
        </w:tc>
        <w:tc>
          <w:tcPr>
            <w:tcW w:w="2880" w:type="dxa"/>
          </w:tcPr>
          <w:p w14:paraId="61D7A5F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 w14:paraId="01264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9F1C4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NFR-QUAL-06</w:t>
            </w:r>
          </w:p>
        </w:tc>
        <w:tc>
          <w:tcPr>
            <w:tcW w:w="2880" w:type="dxa"/>
          </w:tcPr>
          <w:p w14:paraId="26AC09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Corrections misclassified as opt-outs</w:t>
            </w:r>
          </w:p>
        </w:tc>
        <w:tc>
          <w:tcPr>
            <w:tcW w:w="2880" w:type="dxa"/>
          </w:tcPr>
          <w:p w14:paraId="7EFE1E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 w14:paraId="014BE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F5F91D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NFR-QUAL-07</w:t>
            </w:r>
          </w:p>
        </w:tc>
        <w:tc>
          <w:tcPr>
            <w:tcW w:w="2880" w:type="dxa"/>
          </w:tcPr>
          <w:p w14:paraId="465784C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Closing statement delivered more than once per call</w:t>
            </w:r>
          </w:p>
        </w:tc>
        <w:tc>
          <w:tcPr>
            <w:tcW w:w="2880" w:type="dxa"/>
          </w:tcPr>
          <w:p w14:paraId="1F7E977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0</w:t>
            </w:r>
          </w:p>
        </w:tc>
      </w:tr>
      <w:tr w14:paraId="71BAC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EF76F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NFR-QUAL-08</w:t>
            </w:r>
          </w:p>
        </w:tc>
        <w:tc>
          <w:tcPr>
            <w:tcW w:w="2880" w:type="dxa"/>
          </w:tcPr>
          <w:p w14:paraId="61E8F0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Operator acceptance by ear on live calls</w:t>
            </w:r>
          </w:p>
        </w:tc>
        <w:tc>
          <w:tcPr>
            <w:tcW w:w="2880" w:type="dxa"/>
          </w:tcPr>
          <w:p w14:paraId="31FCA23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Required at G6</w:t>
            </w:r>
          </w:p>
        </w:tc>
      </w:tr>
    </w:tbl>
    <w:p w14:paraId="4FE93DB1"/>
    <w:p w14:paraId="67B7DFD0"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NFR-QUAL-08 is deliberate.</w:t>
      </w:r>
      <w:r>
        <w:rPr>
          <w:rFonts w:ascii="Nirmala UI" w:hAnsi="Nirmala UI" w:eastAsia="Nirmala UI" w:cs="Nirmala UI"/>
          <w:i/>
          <w:color w:val="5A5A5A"/>
        </w:rPr>
        <w:t xml:space="preserve"> Metric parity is necessary but not sufficient. The incumbent has previously passed automated gates while sounding wrong on a real call.</w:t>
      </w:r>
    </w:p>
    <w:p w14:paraId="7D8E4511">
      <w:pPr>
        <w:pStyle w:val="3"/>
      </w:pPr>
      <w:r>
        <w:rPr>
          <w:rFonts w:ascii="Nirmala UI" w:hAnsi="Nirmala UI" w:eastAsia="Nirmala UI" w:cs="Nirmala UI"/>
          <w:color w:val="1F4E79"/>
        </w:rPr>
        <w:t>4.3 Reliability and Availability (REL)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9AB0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43C4EEF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6AC7106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880" w:type="dxa"/>
            <w:shd w:val="clear" w:color="auto" w:fill="DCE6F1"/>
          </w:tcPr>
          <w:p w14:paraId="0F49EB5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 w14:paraId="2A7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E2AF4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NFR-REL-01</w:t>
            </w:r>
          </w:p>
        </w:tc>
        <w:tc>
          <w:tcPr>
            <w:tcW w:w="2880" w:type="dxa"/>
          </w:tcPr>
          <w:p w14:paraId="59077E4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Calls lost to platform fault, as a proportion of calls attempted</w:t>
            </w:r>
          </w:p>
        </w:tc>
        <w:tc>
          <w:tcPr>
            <w:tcW w:w="2880" w:type="dxa"/>
          </w:tcPr>
          <w:p w14:paraId="14529B2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&lt; 1%</w:t>
            </w:r>
          </w:p>
        </w:tc>
      </w:tr>
      <w:tr w14:paraId="30EDA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DFC043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NFR-REL-02</w:t>
            </w:r>
          </w:p>
        </w:tc>
        <w:tc>
          <w:tcPr>
            <w:tcW w:w="2880" w:type="dxa"/>
          </w:tcPr>
          <w:p w14:paraId="460E39C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 platform restart shall not lose campaign state</w:t>
            </w:r>
          </w:p>
        </w:tc>
        <w:tc>
          <w:tcPr>
            <w:tcW w:w="2880" w:type="dxa"/>
          </w:tcPr>
          <w:p w14:paraId="4EFED43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 w14:paraId="5145A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8DF0B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NFR-REL-03</w:t>
            </w:r>
          </w:p>
        </w:tc>
        <w:tc>
          <w:tcPr>
            <w:tcW w:w="2880" w:type="dxa"/>
          </w:tcPr>
          <w:p w14:paraId="0C8A274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 single call failure shall not affect other in-flight calls</w:t>
            </w:r>
          </w:p>
        </w:tc>
        <w:tc>
          <w:tcPr>
            <w:tcW w:w="2880" w:type="dxa"/>
          </w:tcPr>
          <w:p w14:paraId="23112B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 w14:paraId="08112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3FAF4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NFR-REL-04</w:t>
            </w:r>
          </w:p>
        </w:tc>
        <w:tc>
          <w:tcPr>
            <w:tcW w:w="2880" w:type="dxa"/>
          </w:tcPr>
          <w:p w14:paraId="2F6DA79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Provider faults (rate limit, credit exhaustion, auth failure) shall be surfaced as distinct, alertable events rather than as generic call failures</w:t>
            </w:r>
          </w:p>
        </w:tc>
        <w:tc>
          <w:tcPr>
            <w:tcW w:w="2880" w:type="dxa"/>
          </w:tcPr>
          <w:p w14:paraId="4352C1C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Guaranteed</w:t>
            </w:r>
          </w:p>
        </w:tc>
      </w:tr>
      <w:tr w14:paraId="47B57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4A960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NFR-REL-05</w:t>
            </w:r>
          </w:p>
        </w:tc>
        <w:tc>
          <w:tcPr>
            <w:tcW w:w="2880" w:type="dxa"/>
          </w:tcPr>
          <w:p w14:paraId="6E52F6C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Rollback to the previous agent version</w:t>
            </w:r>
          </w:p>
        </w:tc>
        <w:tc>
          <w:tcPr>
            <w:tcW w:w="2880" w:type="dxa"/>
          </w:tcPr>
          <w:p w14:paraId="556D293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5 minutes</w:t>
            </w:r>
          </w:p>
        </w:tc>
      </w:tr>
      <w:tr w14:paraId="5EE3B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0DA9B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NFR-REL-06</w:t>
            </w:r>
          </w:p>
        </w:tc>
        <w:tc>
          <w:tcPr>
            <w:tcW w:w="2880" w:type="dxa"/>
          </w:tcPr>
          <w:p w14:paraId="2B864FE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Rollback to Dograh for a migrated vertical</w:t>
            </w:r>
          </w:p>
        </w:tc>
        <w:tc>
          <w:tcPr>
            <w:tcW w:w="2880" w:type="dxa"/>
          </w:tcPr>
          <w:p w14:paraId="0085683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≤ 30 minutes, documented runbook</w:t>
            </w:r>
          </w:p>
        </w:tc>
      </w:tr>
    </w:tbl>
    <w:p w14:paraId="74DA10F1"/>
    <w:p w14:paraId="6770EC16">
      <w:pPr>
        <w:pStyle w:val="3"/>
      </w:pPr>
      <w:r>
        <w:rPr>
          <w:rFonts w:ascii="Nirmala UI" w:hAnsi="Nirmala UI" w:eastAsia="Nirmala UI" w:cs="Nirmala UI"/>
          <w:color w:val="1F4E79"/>
        </w:rPr>
        <w:t>4.4 Scalability (SCAL)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93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24488AC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47FE6E5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  <w:tc>
          <w:tcPr>
            <w:tcW w:w="2880" w:type="dxa"/>
            <w:shd w:val="clear" w:color="auto" w:fill="DCE6F1"/>
          </w:tcPr>
          <w:p w14:paraId="5498FDD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 w14:paraId="07711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65A557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NFR-SCAL-01</w:t>
            </w:r>
          </w:p>
        </w:tc>
        <w:tc>
          <w:tcPr>
            <w:tcW w:w="2880" w:type="dxa"/>
          </w:tcPr>
          <w:p w14:paraId="1399CF4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Concurrent calls supported on v1 infrastructure</w:t>
            </w:r>
          </w:p>
        </w:tc>
        <w:tc>
          <w:tcPr>
            <w:tcW w:w="2880" w:type="dxa"/>
          </w:tcPr>
          <w:p w14:paraId="2BCB1FB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≥ 10</w:t>
            </w:r>
          </w:p>
        </w:tc>
      </w:tr>
      <w:tr w14:paraId="07E27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85740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NFR-SCAL-02</w:t>
            </w:r>
          </w:p>
        </w:tc>
        <w:tc>
          <w:tcPr>
            <w:tcW w:w="2880" w:type="dxa"/>
          </w:tcPr>
          <w:p w14:paraId="62D09A5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Architecture shall permit horizontal scaling of call handling without redesign</w:t>
            </w:r>
          </w:p>
        </w:tc>
        <w:tc>
          <w:tcPr>
            <w:tcW w:w="2880" w:type="dxa"/>
          </w:tcPr>
          <w:p w14:paraId="5B6C215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Design property</w:t>
            </w:r>
          </w:p>
        </w:tc>
      </w:tr>
      <w:tr w14:paraId="2AAB7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6E6B29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NFR-SCAL-03</w:t>
            </w:r>
          </w:p>
        </w:tc>
        <w:tc>
          <w:tcPr>
            <w:tcW w:w="2880" w:type="dxa"/>
          </w:tcPr>
          <w:p w14:paraId="7530D1A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Contacts per campaign</w:t>
            </w:r>
          </w:p>
        </w:tc>
        <w:tc>
          <w:tcPr>
            <w:tcW w:w="2880" w:type="dxa"/>
          </w:tcPr>
          <w:p w14:paraId="036B4A9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≥ 50,000</w:t>
            </w:r>
          </w:p>
        </w:tc>
      </w:tr>
    </w:tbl>
    <w:p w14:paraId="4A21A70C"/>
    <w:p w14:paraId="213DD62C">
      <w:pPr>
        <w:pStyle w:val="3"/>
      </w:pPr>
      <w:r>
        <w:rPr>
          <w:rFonts w:ascii="Nirmala UI" w:hAnsi="Nirmala UI" w:eastAsia="Nirmala UI" w:cs="Nirmala UI"/>
          <w:color w:val="1F4E79"/>
        </w:rPr>
        <w:t>4.5 Security (SEC)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2CE5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5E25ED7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4320" w:type="dxa"/>
            <w:shd w:val="clear" w:color="auto" w:fill="DCE6F1"/>
          </w:tcPr>
          <w:p w14:paraId="38AB405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 w14:paraId="55EC3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A3DF0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NFR-SEC-01</w:t>
            </w:r>
          </w:p>
        </w:tc>
        <w:tc>
          <w:tcPr>
            <w:tcW w:w="4320" w:type="dxa"/>
          </w:tcPr>
          <w:p w14:paraId="3D3A71A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All credentials and API keys shall be held in environment configuration, never in source control or agent artefacts.</w:t>
            </w:r>
          </w:p>
        </w:tc>
      </w:tr>
      <w:tr w14:paraId="0801D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59C2DC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NFR-SEC-02</w:t>
            </w:r>
          </w:p>
        </w:tc>
        <w:tc>
          <w:tcPr>
            <w:tcW w:w="4320" w:type="dxa"/>
          </w:tcPr>
          <w:p w14:paraId="3CED380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All external interfaces shall be served over TLS.</w:t>
            </w:r>
          </w:p>
        </w:tc>
      </w:tr>
      <w:tr w14:paraId="74B25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C1E356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NFR-SEC-03</w:t>
            </w:r>
          </w:p>
        </w:tc>
        <w:tc>
          <w:tcPr>
            <w:tcW w:w="4320" w:type="dxa"/>
          </w:tcPr>
          <w:p w14:paraId="3FAF333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dashboard shall be authenticated; no unauthenticated route shall expose call data.</w:t>
            </w:r>
          </w:p>
        </w:tc>
      </w:tr>
      <w:tr w14:paraId="38FE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08DA19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NFR-SEC-04</w:t>
            </w:r>
          </w:p>
        </w:tc>
        <w:tc>
          <w:tcPr>
            <w:tcW w:w="4320" w:type="dxa"/>
          </w:tcPr>
          <w:p w14:paraId="477A614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Webhook deliveries shall be signed so recipients can verify origin.</w:t>
            </w:r>
          </w:p>
        </w:tc>
      </w:tr>
      <w:tr w14:paraId="56708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F417A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NFR-SEC-05</w:t>
            </w:r>
          </w:p>
        </w:tc>
        <w:tc>
          <w:tcPr>
            <w:tcW w:w="4320" w:type="dxa"/>
          </w:tcPr>
          <w:p w14:paraId="042B526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Call recordings and transcripts shall not be publicly addressable; access shall require authorisation and be time-limited.</w:t>
            </w:r>
          </w:p>
        </w:tc>
      </w:tr>
      <w:tr w14:paraId="45F15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FEDBD8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NFR-SEC-06</w:t>
            </w:r>
          </w:p>
        </w:tc>
        <w:tc>
          <w:tcPr>
            <w:tcW w:w="4320" w:type="dxa"/>
          </w:tcPr>
          <w:p w14:paraId="43325D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Personal data shall not be transmitted to any provider not required for the call.</w:t>
            </w:r>
          </w:p>
        </w:tc>
      </w:tr>
      <w:tr w14:paraId="1EE07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143AB4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NFR-SEC-07</w:t>
            </w:r>
          </w:p>
        </w:tc>
        <w:tc>
          <w:tcPr>
            <w:tcW w:w="4320" w:type="dxa"/>
          </w:tcPr>
          <w:p w14:paraId="31A92CF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Access to production credentials shall be logged.</w:t>
            </w:r>
          </w:p>
        </w:tc>
      </w:tr>
    </w:tbl>
    <w:p w14:paraId="76B2F5E8"/>
    <w:p w14:paraId="6FEE4960">
      <w:pPr>
        <w:pStyle w:val="3"/>
      </w:pPr>
      <w:r>
        <w:rPr>
          <w:rFonts w:ascii="Nirmala UI" w:hAnsi="Nirmala UI" w:eastAsia="Nirmala UI" w:cs="Nirmala UI"/>
          <w:color w:val="1F4E79"/>
        </w:rPr>
        <w:t>4.6 Maintainability (MAINT)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920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24BA61D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4320" w:type="dxa"/>
            <w:shd w:val="clear" w:color="auto" w:fill="DCE6F1"/>
          </w:tcPr>
          <w:p w14:paraId="26549F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 w14:paraId="6554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36A3F7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NFR-MAINT-01</w:t>
            </w:r>
          </w:p>
        </w:tc>
        <w:tc>
          <w:tcPr>
            <w:tcW w:w="4320" w:type="dxa"/>
          </w:tcPr>
          <w:p w14:paraId="3AA575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Each module shall be independently testable, with external dependencies replaceable by test doubles.</w:t>
            </w:r>
          </w:p>
        </w:tc>
      </w:tr>
      <w:tr w14:paraId="4726A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C92211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NFR-MAINT-02</w:t>
            </w:r>
          </w:p>
        </w:tc>
        <w:tc>
          <w:tcPr>
            <w:tcW w:w="4320" w:type="dxa"/>
          </w:tcPr>
          <w:p w14:paraId="2CAB0E6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Provider integrations (telephony, STT, LLM, TTS) shall each sit behind an interface with at least two implementations, or one implementation plus a test double, to prove the abstraction.</w:t>
            </w:r>
          </w:p>
        </w:tc>
      </w:tr>
      <w:tr w14:paraId="4C105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3A4B05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NFR-MAINT-03</w:t>
            </w:r>
          </w:p>
        </w:tc>
        <w:tc>
          <w:tcPr>
            <w:tcW w:w="4320" w:type="dxa"/>
          </w:tcPr>
          <w:p w14:paraId="5A85A07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 developer shall be able to run the system end-to-end locally without placing a real call.</w:t>
            </w:r>
          </w:p>
        </w:tc>
      </w:tr>
      <w:tr w14:paraId="4B2A3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61D8C1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NFR-MAINT-04</w:t>
            </w:r>
          </w:p>
        </w:tc>
        <w:tc>
          <w:tcPr>
            <w:tcW w:w="4320" w:type="dxa"/>
          </w:tcPr>
          <w:p w14:paraId="0A494DD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Every production failure mode listed in R4 shall have a documented diagnostic procedure.</w:t>
            </w:r>
          </w:p>
        </w:tc>
      </w:tr>
      <w:tr w14:paraId="261A2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F64A65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NFR-MAINT-05</w:t>
            </w:r>
          </w:p>
        </w:tc>
        <w:tc>
          <w:tcPr>
            <w:tcW w:w="4320" w:type="dxa"/>
          </w:tcPr>
          <w:p w14:paraId="1B46FC0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Configuration shall be declarative and version-controlled.</w:t>
            </w:r>
          </w:p>
        </w:tc>
      </w:tr>
    </w:tbl>
    <w:p w14:paraId="1FAA44CC"/>
    <w:p w14:paraId="1865977E">
      <w:pPr>
        <w:pStyle w:val="3"/>
      </w:pPr>
      <w:r>
        <w:rPr>
          <w:rFonts w:ascii="Nirmala UI" w:hAnsi="Nirmala UI" w:eastAsia="Nirmala UI" w:cs="Nirmala UI"/>
          <w:color w:val="1F4E79"/>
        </w:rPr>
        <w:t>4.7 Usability (USE)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2F1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4BD3297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4320" w:type="dxa"/>
            <w:shd w:val="clear" w:color="auto" w:fill="DCE6F1"/>
          </w:tcPr>
          <w:p w14:paraId="1941967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 w14:paraId="365A5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7542BC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NFR-USE-01</w:t>
            </w:r>
          </w:p>
        </w:tc>
        <w:tc>
          <w:tcPr>
            <w:tcW w:w="4320" w:type="dxa"/>
          </w:tcPr>
          <w:p w14:paraId="3805B1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An operator shall be able to determine why a specific call failed within 2 minutes, from the dashboard alone.</w:t>
            </w:r>
          </w:p>
        </w:tc>
      </w:tr>
      <w:tr w14:paraId="7959B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15E2B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NFR-USE-02</w:t>
            </w:r>
          </w:p>
        </w:tc>
        <w:tc>
          <w:tcPr>
            <w:tcW w:w="4320" w:type="dxa"/>
          </w:tcPr>
          <w:p w14:paraId="10F807D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Destructive actions (start campaign, deploy agent) shall require explicit confirmation and shall state their real-world consequence, including that real calls will be placed.</w:t>
            </w:r>
          </w:p>
        </w:tc>
      </w:tr>
      <w:tr w14:paraId="4F196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559D1B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NFR-USE-03</w:t>
            </w:r>
          </w:p>
        </w:tc>
        <w:tc>
          <w:tcPr>
            <w:tcW w:w="4320" w:type="dxa"/>
          </w:tcPr>
          <w:p w14:paraId="7F4FA90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Dry-run shall be the default for any deployment command.</w:t>
            </w:r>
          </w:p>
        </w:tc>
      </w:tr>
    </w:tbl>
    <w:p w14:paraId="667F4B35"/>
    <w:p w14:paraId="37D0C9E8"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NFR-USE-02 and NFR-USE-03</w:t>
      </w:r>
      <w:r>
        <w:rPr>
          <w:rFonts w:ascii="Nirmala UI" w:hAnsi="Nirmala UI" w:eastAsia="Nirmala UI" w:cs="Nirmala UI"/>
          <w:i/>
          <w:color w:val="5A5A5A"/>
        </w:rPr>
        <w:t xml:space="preserve"> encode existing operating practice: deploy scripts in this environment default to dry run because publishing places real, billed calls.</w:t>
      </w:r>
    </w:p>
    <w:p w14:paraId="1D78B859">
      <w:pPr>
        <w:pStyle w:val="3"/>
      </w:pPr>
      <w:r>
        <w:rPr>
          <w:rFonts w:ascii="Nirmala UI" w:hAnsi="Nirmala UI" w:eastAsia="Nirmala UI" w:cs="Nirmala UI"/>
          <w:color w:val="1F4E79"/>
        </w:rPr>
        <w:t>4.8 Portability (PORT)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F75E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725D733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4320" w:type="dxa"/>
            <w:shd w:val="clear" w:color="auto" w:fill="DCE6F1"/>
          </w:tcPr>
          <w:p w14:paraId="0FC2EB3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 w14:paraId="532E3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566936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NFR-PORT-01</w:t>
            </w:r>
          </w:p>
        </w:tc>
        <w:tc>
          <w:tcPr>
            <w:tcW w:w="4320" w:type="dxa"/>
          </w:tcPr>
          <w:p w14:paraId="3C05254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The platform shall run on the existing container infrastructure.</w:t>
            </w:r>
          </w:p>
        </w:tc>
      </w:tr>
      <w:tr w14:paraId="41491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D8EFF8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NFR-PORT-02</w:t>
            </w:r>
          </w:p>
        </w:tc>
        <w:tc>
          <w:tcPr>
            <w:tcW w:w="4320" w:type="dxa"/>
          </w:tcPr>
          <w:p w14:paraId="372C2DE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No component shall depend on a managed service that cannot be self-hosted, except third-party model and telephony providers.</w:t>
            </w:r>
          </w:p>
        </w:tc>
      </w:tr>
    </w:tbl>
    <w:p w14:paraId="1B6E26B9"/>
    <w:p w14:paraId="5E7E2755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14FA73D9">
      <w:pPr>
        <w:pStyle w:val="2"/>
      </w:pPr>
      <w:r>
        <w:rPr>
          <w:rFonts w:ascii="Nirmala UI" w:hAnsi="Nirmala UI" w:eastAsia="Nirmala UI" w:cs="Nirmala UI"/>
          <w:color w:val="1F4E79"/>
        </w:rPr>
        <w:t>5. External Interface Requirements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0940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6E239C4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54EDD47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Interface</w:t>
            </w:r>
          </w:p>
        </w:tc>
        <w:tc>
          <w:tcPr>
            <w:tcW w:w="2880" w:type="dxa"/>
            <w:shd w:val="clear" w:color="auto" w:fill="DCE6F1"/>
          </w:tcPr>
          <w:p w14:paraId="2B568A7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 w14:paraId="57DB9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1A401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EI-01</w:t>
            </w:r>
          </w:p>
        </w:tc>
        <w:tc>
          <w:tcPr>
            <w:tcW w:w="2880" w:type="dxa"/>
          </w:tcPr>
          <w:p w14:paraId="070A381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Telephony provider</w:t>
            </w:r>
          </w:p>
        </w:tc>
        <w:tc>
          <w:tcPr>
            <w:tcW w:w="2880" w:type="dxa"/>
          </w:tcPr>
          <w:p w14:paraId="49CF9AF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 xml:space="preserve">SIP trunk; G.711 (PCMU/PCMA) audio; outbound origination from a customer-hosted media server. </w:t>
            </w:r>
            <w:r>
              <w:rPr>
                <w:rFonts w:ascii="Nirmala UI" w:hAnsi="Nirmala UI" w:eastAsia="Nirmala UI" w:cs="Nirmala UI"/>
                <w:i/>
                <w:sz w:val="18"/>
              </w:rPr>
              <w:t>Contingent on FS-001 §3.5.</w:t>
            </w:r>
          </w:p>
        </w:tc>
      </w:tr>
      <w:tr w14:paraId="25B86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86085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EI-02</w:t>
            </w:r>
          </w:p>
        </w:tc>
        <w:tc>
          <w:tcPr>
            <w:tcW w:w="2880" w:type="dxa"/>
          </w:tcPr>
          <w:p w14:paraId="5B882248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Speech recognition</w:t>
            </w:r>
          </w:p>
        </w:tc>
        <w:tc>
          <w:tcPr>
            <w:tcW w:w="2880" w:type="dxa"/>
          </w:tcPr>
          <w:p w14:paraId="1334A27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Streaming audio in, incremental transcript out, with confidence; must accommodate both hosted APIs and a self-hosted model endpoint.</w:t>
            </w:r>
          </w:p>
        </w:tc>
      </w:tr>
      <w:tr w14:paraId="2611A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1D49CD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EI-03</w:t>
            </w:r>
          </w:p>
        </w:tc>
        <w:tc>
          <w:tcPr>
            <w:tcW w:w="2880" w:type="dxa"/>
          </w:tcPr>
          <w:p w14:paraId="7DF4527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Language model</w:t>
            </w:r>
          </w:p>
        </w:tc>
        <w:tc>
          <w:tcPr>
            <w:tcW w:w="2880" w:type="dxa"/>
          </w:tcPr>
          <w:p w14:paraId="04A17A9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Chat-completion style interface with tool-calling support; OpenAI-compatible endpoints shall be usable by base-URL configuration.</w:t>
            </w:r>
          </w:p>
        </w:tc>
      </w:tr>
      <w:tr w14:paraId="16F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0667CC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EI-04</w:t>
            </w:r>
          </w:p>
        </w:tc>
        <w:tc>
          <w:tcPr>
            <w:tcW w:w="2880" w:type="dxa"/>
          </w:tcPr>
          <w:p w14:paraId="6E01DBB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Text to speech</w:t>
            </w:r>
          </w:p>
        </w:tc>
        <w:tc>
          <w:tcPr>
            <w:tcW w:w="2880" w:type="dxa"/>
          </w:tcPr>
          <w:p w14:paraId="38A0831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Streaming synthesis; first-chunk delivery before completion.</w:t>
            </w:r>
          </w:p>
        </w:tc>
      </w:tr>
      <w:tr w14:paraId="5AA7A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21086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EI-05</w:t>
            </w:r>
          </w:p>
        </w:tc>
        <w:tc>
          <w:tcPr>
            <w:tcW w:w="2880" w:type="dxa"/>
          </w:tcPr>
          <w:p w14:paraId="5BC7F0B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Object storage</w:t>
            </w:r>
          </w:p>
        </w:tc>
        <w:tc>
          <w:tcPr>
            <w:tcW w:w="2880" w:type="dxa"/>
          </w:tcPr>
          <w:p w14:paraId="6E4E351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S3-compatible (existing MinIO).</w:t>
            </w:r>
          </w:p>
        </w:tc>
      </w:tr>
      <w:tr w14:paraId="2E829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D7C176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EI-06</w:t>
            </w:r>
          </w:p>
        </w:tc>
        <w:tc>
          <w:tcPr>
            <w:tcW w:w="2880" w:type="dxa"/>
          </w:tcPr>
          <w:p w14:paraId="709F8A4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w="2880" w:type="dxa"/>
          </w:tcPr>
          <w:p w14:paraId="607F64E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PostgreSQL-compatible (existing Supabase).</w:t>
            </w:r>
          </w:p>
        </w:tc>
      </w:tr>
      <w:tr w14:paraId="5C344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0B0AAC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EI-07</w:t>
            </w:r>
          </w:p>
        </w:tc>
        <w:tc>
          <w:tcPr>
            <w:tcW w:w="2880" w:type="dxa"/>
          </w:tcPr>
          <w:p w14:paraId="045440B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Outbound webhook</w:t>
            </w:r>
          </w:p>
        </w:tc>
        <w:tc>
          <w:tcPr>
            <w:tcW w:w="2880" w:type="dxa"/>
          </w:tcPr>
          <w:p w14:paraId="77A5BC2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Signed HTTP POST of call results to a client-configured endpoint.</w:t>
            </w:r>
          </w:p>
        </w:tc>
      </w:tr>
      <w:tr w14:paraId="47AB4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E93FE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EI-08</w:t>
            </w:r>
          </w:p>
        </w:tc>
        <w:tc>
          <w:tcPr>
            <w:tcW w:w="2880" w:type="dxa"/>
          </w:tcPr>
          <w:p w14:paraId="3119FB1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Dashboard API</w:t>
            </w:r>
          </w:p>
        </w:tc>
        <w:tc>
          <w:tcPr>
            <w:tcW w:w="2880" w:type="dxa"/>
          </w:tcPr>
          <w:p w14:paraId="684BB4A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Authenticated HTTP API consumed by the existing Next.js application.</w:t>
            </w:r>
          </w:p>
        </w:tc>
      </w:tr>
    </w:tbl>
    <w:p w14:paraId="19ABD1A5"/>
    <w:p w14:paraId="464A6F1D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409BFE3E">
      <w:pPr>
        <w:pStyle w:val="2"/>
      </w:pPr>
      <w:r>
        <w:rPr>
          <w:rFonts w:ascii="Nirmala UI" w:hAnsi="Nirmala UI" w:eastAsia="Nirmala UI" w:cs="Nirmala UI"/>
          <w:color w:val="1F4E79"/>
        </w:rPr>
        <w:t>6. Requirement Traceability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A066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2F97DC2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  <w:tc>
          <w:tcPr>
            <w:tcW w:w="4320" w:type="dxa"/>
            <w:shd w:val="clear" w:color="auto" w:fill="DCE6F1"/>
          </w:tcPr>
          <w:p w14:paraId="40D2B0C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Requirements produced</w:t>
            </w:r>
          </w:p>
        </w:tc>
      </w:tr>
      <w:tr w14:paraId="7D76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0B9E24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§3.2 — no mid-call tool calling</w:t>
            </w:r>
          </w:p>
        </w:tc>
        <w:tc>
          <w:tcPr>
            <w:tcW w:w="4320" w:type="dxa"/>
          </w:tcPr>
          <w:p w14:paraId="6FE8698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FR-BRAIN-01, FR-BRAIN-05, FR-BRAIN-06</w:t>
            </w:r>
          </w:p>
        </w:tc>
      </w:tr>
      <w:tr w14:paraId="30572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3FD2FA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§3.3 — STT customization</w:t>
            </w:r>
          </w:p>
        </w:tc>
        <w:tc>
          <w:tcPr>
            <w:tcW w:w="4320" w:type="dxa"/>
          </w:tcPr>
          <w:p w14:paraId="72D28A99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FR-PIPE-03, FR-PIPE-04, FR-PIPE-05, FR-PIPE-06, FR-DATA-06, NFR-QUAL-01, NFR-QUAL-02</w:t>
            </w:r>
          </w:p>
        </w:tc>
      </w:tr>
      <w:tr w14:paraId="509A5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2500F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§3.1 — latency evidence</w:t>
            </w:r>
          </w:p>
        </w:tc>
        <w:tc>
          <w:tcPr>
            <w:tcW w:w="4320" w:type="dxa"/>
          </w:tcPr>
          <w:p w14:paraId="7A29A7D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NFR-PERF-01…07, FR-OBS-02</w:t>
            </w:r>
          </w:p>
        </w:tc>
      </w:tr>
      <w:tr w14:paraId="77C39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CF65A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§3.5 — Vobiz SIP gate</w:t>
            </w:r>
          </w:p>
        </w:tc>
        <w:tc>
          <w:tcPr>
            <w:tcW w:w="4320" w:type="dxa"/>
          </w:tcPr>
          <w:p w14:paraId="744D37C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FR-TEL-02, EI-01, A-01</w:t>
            </w:r>
          </w:p>
        </w:tc>
      </w:tr>
      <w:tr w14:paraId="61A5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BEB936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§5.3 — single-operator risk</w:t>
            </w:r>
          </w:p>
        </w:tc>
        <w:tc>
          <w:tcPr>
            <w:tcW w:w="4320" w:type="dxa"/>
          </w:tcPr>
          <w:p w14:paraId="1CCE87B1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NFR-REL-05, NFR-REL-06, NFR-USE-01…03, NFR-MAINT-04</w:t>
            </w:r>
          </w:p>
        </w:tc>
      </w:tr>
      <w:tr w14:paraId="47F92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3F4462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FS-001 §6.2 — regulatory</w:t>
            </w:r>
          </w:p>
        </w:tc>
        <w:tc>
          <w:tcPr>
            <w:tcW w:w="4320" w:type="dxa"/>
          </w:tcPr>
          <w:p w14:paraId="27606C1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FR-CMP-01…06, FR-DATA-03, NFR-SEC-05</w:t>
            </w:r>
          </w:p>
        </w:tc>
      </w:tr>
      <w:tr w14:paraId="60579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877A50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R4 — production incident history</w:t>
            </w:r>
          </w:p>
        </w:tc>
        <w:tc>
          <w:tcPr>
            <w:tcW w:w="4320" w:type="dxa"/>
          </w:tcPr>
          <w:p w14:paraId="447311C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FR-PIPE-08, FR-PIPE-09, FR-PIPE-12, FR-BRAIN-09, FR-BRAIN-11, FR-BRAIN-12, FR-AGENT-05, FR-OBS-05, NFR-QUAL-03…07</w:t>
            </w:r>
          </w:p>
        </w:tc>
      </w:tr>
    </w:tbl>
    <w:p w14:paraId="668209BC"/>
    <w:p w14:paraId="4F4847A1"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final row is the most valuable in this document. Each of those requirements exists because the behaviour it mandates was previously absent and caused a real, diagnosed production failure. They are not speculative.</w:t>
      </w:r>
    </w:p>
    <w:p w14:paraId="5694D4B7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48706B73">
      <w:pPr>
        <w:pStyle w:val="2"/>
      </w:pPr>
      <w:r>
        <w:rPr>
          <w:rFonts w:ascii="Nirmala UI" w:hAnsi="Nirmala UI" w:eastAsia="Nirmala UI" w:cs="Nirmala UI"/>
          <w:color w:val="1F4E79"/>
        </w:rPr>
        <w:t>7. Acceptance Criteria Summary (Gate Mapping)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3015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CE6F1"/>
          </w:tcPr>
          <w:p w14:paraId="4837C9D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w="4320" w:type="dxa"/>
            <w:shd w:val="clear" w:color="auto" w:fill="DCE6F1"/>
          </w:tcPr>
          <w:p w14:paraId="7497D01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Requirements that must pass</w:t>
            </w:r>
          </w:p>
        </w:tc>
      </w:tr>
      <w:tr w14:paraId="59B90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06CFA5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G3 — First call</w:t>
            </w:r>
          </w:p>
        </w:tc>
        <w:tc>
          <w:tcPr>
            <w:tcW w:w="4320" w:type="dxa"/>
          </w:tcPr>
          <w:p w14:paraId="56AEC05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FR-TEL-01/03, FR-PIPE-01/02/07/13, FR-BRAIN-01, FR-OBS-01</w:t>
            </w:r>
          </w:p>
        </w:tc>
      </w:tr>
      <w:tr w14:paraId="587CE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6263A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G4 — Quality parity</w:t>
            </w:r>
          </w:p>
        </w:tc>
        <w:tc>
          <w:tcPr>
            <w:tcW w:w="4320" w:type="dxa"/>
          </w:tcPr>
          <w:p w14:paraId="5260CB9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NFR-PERF-01/02, NFR-QUAL-01…07, FR-PIPE-08/09/10/12</w:t>
            </w:r>
          </w:p>
        </w:tc>
      </w:tr>
      <w:tr w14:paraId="5E5BF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12E338F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G5 — Campaign parity</w:t>
            </w:r>
          </w:p>
        </w:tc>
        <w:tc>
          <w:tcPr>
            <w:tcW w:w="4320" w:type="dxa"/>
          </w:tcPr>
          <w:p w14:paraId="5ACA6D7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FR-CAMP-01…12, FR-OBS-07, NFR-REL-02</w:t>
            </w:r>
          </w:p>
        </w:tc>
      </w:tr>
      <w:tr w14:paraId="416A7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576F9D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G6 — UAT</w:t>
            </w:r>
          </w:p>
        </w:tc>
        <w:tc>
          <w:tcPr>
            <w:tcW w:w="4320" w:type="dxa"/>
          </w:tcPr>
          <w:p w14:paraId="0CE8E14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NFR-QUAL-08, NFR-USE-01…03, FR-UI-01…07</w:t>
            </w:r>
          </w:p>
        </w:tc>
      </w:tr>
      <w:tr w14:paraId="16C9D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26690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G7 — Cut-over</w:t>
            </w:r>
          </w:p>
        </w:tc>
        <w:tc>
          <w:tcPr>
            <w:tcW w:w="4320" w:type="dxa"/>
          </w:tcPr>
          <w:p w14:paraId="6C5BE5FB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FR-CMP-01…06, NFR-REL-06, NFR-SEC-01…05</w:t>
            </w:r>
          </w:p>
        </w:tc>
      </w:tr>
    </w:tbl>
    <w:p w14:paraId="3946C19E"/>
    <w:p w14:paraId="5838B06D"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 w14:paraId="4454B3BB">
      <w:pPr>
        <w:pStyle w:val="2"/>
      </w:pPr>
      <w:r>
        <w:rPr>
          <w:rFonts w:ascii="Nirmala UI" w:hAnsi="Nirmala UI" w:eastAsia="Nirmala UI" w:cs="Nirmala UI"/>
          <w:color w:val="1F4E79"/>
        </w:rPr>
        <w:t>Appendix A — Open Requirement Items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3464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CE6F1"/>
          </w:tcPr>
          <w:p w14:paraId="6F8BB09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w="2880" w:type="dxa"/>
            <w:shd w:val="clear" w:color="auto" w:fill="DCE6F1"/>
          </w:tcPr>
          <w:p w14:paraId="593F736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w="2880" w:type="dxa"/>
            <w:shd w:val="clear" w:color="auto" w:fill="DCE6F1"/>
          </w:tcPr>
          <w:p w14:paraId="0CD30DE5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 w14:paraId="5CF44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F7B7A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RQ-1</w:t>
            </w:r>
          </w:p>
        </w:tc>
        <w:tc>
          <w:tcPr>
            <w:tcW w:w="2880" w:type="dxa"/>
          </w:tcPr>
          <w:p w14:paraId="5779593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Confirm SIP and codec support (FS-001 OI-1)</w:t>
            </w:r>
          </w:p>
        </w:tc>
        <w:tc>
          <w:tcPr>
            <w:tcW w:w="2880" w:type="dxa"/>
          </w:tcPr>
          <w:p w14:paraId="41CA1B6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EI-01, FR-TEL-01</w:t>
            </w:r>
          </w:p>
        </w:tc>
      </w:tr>
      <w:tr w14:paraId="5B05A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7481A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RQ-2</w:t>
            </w:r>
          </w:p>
        </w:tc>
        <w:tc>
          <w:tcPr>
            <w:tcW w:w="2880" w:type="dxa"/>
          </w:tcPr>
          <w:p w14:paraId="37E0CB16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Confirm DLT obligations applicable to CLI and disclosure</w:t>
            </w:r>
          </w:p>
        </w:tc>
        <w:tc>
          <w:tcPr>
            <w:tcW w:w="2880" w:type="dxa"/>
          </w:tcPr>
          <w:p w14:paraId="47C54833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FR-CMP-03, FR-CMP-06</w:t>
            </w:r>
          </w:p>
        </w:tc>
      </w:tr>
      <w:tr w14:paraId="74344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DC2FF2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RQ-3</w:t>
            </w:r>
          </w:p>
        </w:tc>
        <w:tc>
          <w:tcPr>
            <w:tcW w:w="2880" w:type="dxa"/>
          </w:tcPr>
          <w:p w14:paraId="2ECA3C12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Confirm consent basis permits ASR training use</w:t>
            </w:r>
          </w:p>
        </w:tc>
        <w:tc>
          <w:tcPr>
            <w:tcW w:w="2880" w:type="dxa"/>
          </w:tcPr>
          <w:p w14:paraId="05F8637C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FR-CMP-04, FR-DATA-06</w:t>
            </w:r>
          </w:p>
        </w:tc>
      </w:tr>
      <w:tr w14:paraId="00A85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E83A844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RQ-4</w:t>
            </w:r>
          </w:p>
        </w:tc>
        <w:tc>
          <w:tcPr>
            <w:tcW w:w="2880" w:type="dxa"/>
          </w:tcPr>
          <w:p w14:paraId="691AA84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Confirm required retention periods per data class</w:t>
            </w:r>
          </w:p>
        </w:tc>
        <w:tc>
          <w:tcPr>
            <w:tcW w:w="2880" w:type="dxa"/>
          </w:tcPr>
          <w:p w14:paraId="09AAA900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</w:tr>
      <w:tr w14:paraId="12A62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1E7F8A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RQ-5</w:t>
            </w:r>
          </w:p>
        </w:tc>
        <w:tc>
          <w:tcPr>
            <w:tcW w:w="2880" w:type="dxa"/>
          </w:tcPr>
          <w:p w14:paraId="28BFC40E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Define the held-out Telugu audio set for WER measurement</w:t>
            </w:r>
          </w:p>
        </w:tc>
        <w:tc>
          <w:tcPr>
            <w:tcW w:w="2880" w:type="dxa"/>
          </w:tcPr>
          <w:p w14:paraId="429FEBD7">
            <w:pPr>
              <w:spacing w:before="40" w:after="40" w:line="240" w:lineRule="auto"/>
            </w:pPr>
            <w:r>
              <w:rPr>
                <w:rFonts w:ascii="Nirmala UI" w:hAnsi="Nirmala UI" w:eastAsia="Nirmala UI" w:cs="Nirmala UI"/>
                <w:sz w:val="18"/>
              </w:rPr>
              <w:t>NFR-QUAL-01, NFR-QUAL-02</w:t>
            </w:r>
          </w:p>
        </w:tc>
      </w:tr>
    </w:tbl>
    <w:p w14:paraId="5C00091E"/>
    <w:p w14:paraId="5F3ACFF2"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RQ-5 is an engineering prerequisite for Gate G4 and should be assembled early: without an agreed measurement set, "accuracy parity" cannot be demonstrated or disputed.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irmala UI">
    <w:panose1 w:val="020B0502040204020203"/>
    <w:charset w:val="00"/>
    <w:family w:val="auto"/>
    <w:pitch w:val="default"/>
    <w:sig w:usb0="80FF8023" w:usb1="0200004A" w:usb2="00000200" w:usb3="0004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1080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3875</Words>
  <Characters>23107</Characters>
  <Lines>0</Lines>
  <Paragraphs>0</Paragraphs>
  <TotalTime>3</TotalTime>
  <ScaleCrop>false</ScaleCrop>
  <LinksUpToDate>false</LinksUpToDate>
  <CharactersWithSpaces>26742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vishnu</cp:lastModifiedBy>
  <dcterms:modified xsi:type="dcterms:W3CDTF">2026-08-23T05:11:42Z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eyJoZGlkIjoiM2UyODQ1ZGNkNGNjODBlMmNkMThkM2FjYzQ5MDE5ZmQifQ==</vt:lpwstr>
  </property>
  <property fmtid="{D5CDD505-2E9C-101B-9397-08002B2CF9AE}" pid="3" name="KSOProductBuildVer">
    <vt:lpwstr>1033-12.1.0.28032</vt:lpwstr>
  </property>
  <property fmtid="{D5CDD505-2E9C-101B-9397-08002B2CF9AE}" pid="4" name="ICV">
    <vt:lpwstr>6740E5B9C8FF47BAB40B7403A6A140EF_12</vt:lpwstr>
  </property>
</Properties>
</file>