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SHAR Research Plan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Suspicious Human Activity Recognition — GKLYOLO11 + SEAMCNN pipeline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Literature synthesis of 29 papers · SOTA gap analysis · build plan — July 2026</w:t>
      </w:r>
    </w:p>
    <w:p>
      <w:pPr>
        <w:pStyle w:val="Heading1"/>
        <w:spacing w:after="160" w:before="360"/>
      </w:pPr>
      <w:r>
        <w:t xml:space="preserve">1. TL;DR</w:t>
      </w:r>
    </w:p>
    <w:p>
      <w:pPr>
        <w:spacing w:after="120"/>
      </w:pPr>
      <w:r>
        <w:t xml:space="preserve">Your proposal is a three-stage pipeline: denoise video frames (ESVDAE), segment/detect with a modified YOLOv11 (GKLYOLO11 = C2PSA+MSDAM attention, ASFF head, Slide Loss), then classify suspicious activity with an SE-attention multiscale CNN (SEAMCNN), evaluated on UCF-Crime and Avenue. The good news: the specific combination is unpublished and buildable, and it maps cleanly onto your faculty's "filter noise → Result 1, classify → Result 2" structure. The honest news: every individual module is borrowed from existing papers, the field's cutting edge has moved to vision-language and weakly-supervised methods, and two parts of the proposal need fixing before you build (Sections 4 and 5). This plan tells you what to keep, what to upgrade, what to claim as novel, and exactly what experiments make the paper defensible.</w:t>
      </w:r>
    </w:p>
    <w:p>
      <w:pPr>
        <w:pStyle w:val="Heading1"/>
        <w:spacing w:after="160" w:before="360"/>
      </w:pPr>
      <w:r>
        <w:t xml:space="preserve">2. What your 29 papers say (synthesis)</w:t>
      </w:r>
    </w:p>
    <w:p>
      <w:pPr>
        <w:spacing w:after="120"/>
      </w:pPr>
      <w:r>
        <w:t xml:space="preserve">All 29 papers now have structured JSON extractions in the papers/ folder, organized by your topic folders. The pattern across folders: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Denoising/VAE (1 paper): </w:t>
      </w:r>
      <w:r>
        <w:t xml:space="preserve">the Kalman-VAE paper is about vehicle odometry frame prediction, not surveillance denoising. Weak support for ESVDAE. You are missing citations for denoising autoencoders proper — and missing the modern denoising baselines entirely (Section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 Loss (3 papers): </w:t>
      </w:r>
      <w:r>
        <w:t xml:space="preserve">Ginseng-YOLO (2025) is your best template — YOLOv11n + attention + Slide Loss with clean ablations showing Slide Loss lifts recall on ambiguous samples. MS-YOLO shows the same loss helps class imbalance, which is exactly UCF-Crime's problem (rare anomalies vs abundant Normal).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ASFF head (6 papers): </w:t>
      </w:r>
      <w:r>
        <w:t xml:space="preserve">AF-YOLO (IEEE TCSVT 2026) is the strongest paper in your whole stack — it shows adaptive fusion evolved past ASFF into non-adjacent-scale fusion (PAFFN). A reviewer will ask why you used 2019-era ASFF instead. The Ali 2023 AVAD paper is your direct competitor: BS + autoencoder + YOLO on UCF-Crime/Avenue, 94.94% avg AUC — you will be compared against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Dilated attention (3 papers): </w:t>
      </w:r>
      <w:r>
        <w:t xml:space="preserve">DilateFormer (IEEE TMM 2023) is the source of your MSDAM — your C2SPA-MSDAM is DilateFormer's MSDA block inserted into YOLOv11's C2PSA module. Must-read, must-cite, must-differentiate.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Squeeze-Excitation (3 papers): </w:t>
      </w:r>
      <w:r>
        <w:t xml:space="preserve">Your SEAMCNN architecture (multiscale conv along the time axis + SEA block, the m/p/s notation, reduction factor r) is ported almost verbatim from the SEMSCNN EEG/brain-signal paper (Jin et al. 2025, your ref [36]). Reviewers can find this. Reframe it as "adapting a proven biosignal architecture to video" and validate the port, or redesign the classifier (Section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UCF-Crime (3 papers): </w:t>
      </w:r>
      <w:r>
        <w:t xml:space="preserve">RareAnom (Pattern Recognition 2023) benchmarks detection AND classification on UCF-Crime at three supervision levels — closest published evaluation protocol to your Result 1/Result 2 structure. UCF-Crime-DVS (AAAI-25) shows what top-venue novelty looks like now: new modality, not module swaps.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 (9 papers): </w:t>
      </w:r>
      <w:r>
        <w:t xml:space="preserve">Four surveys (use Waghchaware 2024 as the primary related-work citation; Arshad 2022 explicitly states suspicious-activity detection is underexplored — quote that in your intro). Dwivedi 2023 (InceptionV3+LSTM, 11 datasets) and Zaidi 2024 (time-distributed CNN, 90.14%) are your comparison-table baselines. Beritelli 2025 shows stock YOLOv11 gets only 65% on real surveillance — perfect motivation for your enhancements. Two papers (IJARSCT, IJSRED) are too weak to cite.</w:t>
      </w:r>
    </w:p>
    <w:p>
      <w:pPr>
        <w:pStyle w:val="Heading1"/>
        <w:spacing w:after="160" w:before="360"/>
      </w:pPr>
      <w:r>
        <w:t xml:space="preserve">3. Where the field actually is (2025–26 SOTA)</w:t>
      </w:r>
    </w:p>
    <w:p>
      <w:pPr>
        <w:spacing w:after="120"/>
      </w:pPr>
      <w:r>
        <w:t xml:space="preserve">This matters because your reviewers will know it, and because it defines what you can and cannot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Video anomaly detection on UCF-Crime: </w:t>
      </w:r>
      <w:r>
        <w:t xml:space="preserve">the SOTA is weakly-supervised and vision-language based. RelVid reports 87.71% frame-level AUC using VLM relational learning; ASK-HINT (WACV 2026) gets SOTA training-free results by prompting frozen VLMs; TEVAD fuses I3D features with caption embeddings (85.3% AUC). Note these report AUC on temporal anomaly detection — a different task from your frame classification, so you are not competing head-on, but you must position against them in related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Detection backbones: </w:t>
      </w:r>
      <w:r>
        <w:t xml:space="preserve">YOLOv12 (NeurIPS 2025) is now the attention-centric successor to YOLOv11 — area attention + R-ELAN, +1.2% mAP over v11 at the same speed. Ultralytics supports it with the same API. Using or at least ablating v12 makes your work current instead of one generation behind.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Denoising: </w:t>
      </w:r>
      <w:r>
        <w:t xml:space="preserve">stacked VAEs are a 2018-era approach. Current SOTA is NAFNet, Restormer (transformer restoration), diffusion-based (DiffPIR), and state-space models (VmambaIR). ESVDAE will lose a head-to-head PSNR/SSIM comparison against these — so the paper must either include them as baselines (better) or justify ESVDAE on efficiency grounds.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 imbalance: </w:t>
      </w:r>
      <w:r>
        <w:t xml:space="preserve">focal loss and class-reweighted cross-entropy are the standard on UCF-Crime; published per-class results show rare short anomalies (arrest, burglary) score far below salient ones (explosion, fighting). A Slide-Loss-style adaptive weighting for the classifier is a fresh angle here — this is one of your best novelty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Video classifiers: </w:t>
      </w:r>
      <w:r>
        <w:t xml:space="preserve">VideoMAE V2 pretrained transformers fine-tune well even on 3–4k-video datasets. A VideoMAE-small baseline is feasible with AI-assisted development and would modernize Result 2.</w:t>
      </w:r>
    </w:p>
    <w:p>
      <w:pPr>
        <w:pStyle w:val="Heading1"/>
        <w:spacing w:after="160" w:before="360"/>
      </w:pPr>
      <w:r>
        <w:t xml:space="preserve">4. Honest novelty assessment</w:t>
      </w:r>
    </w:p>
    <w:p>
      <w:pPr>
        <w:spacing w:after="120"/>
      </w:pPr>
      <w:r>
        <w:t xml:space="preserve">Searches for </w:t>
      </w:r>
      <w:r>
        <w:rPr>
          <w:b/>
          <w:bCs/>
        </w:rPr>
        <w:t xml:space="preserve">GKLYOLO11, ESVDAE, SEAMCNN</w:t>
      </w:r>
      <w:r>
        <w:t xml:space="preserve"> (as named) find no published work — the combination and naming are yours. But the components are not: MSDAM = DilateFormer's MSDA; ASFF = Liu et al. 2019; Slide Loss = YOLO-FaceV2; SE = SENet 2018; SEAMCNN = SEMSCNN (EEG) ported to frames. If the paper claims these as contributions, it gets rejected. What IS defensibly novel: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systematic study nobody in your stack does: </w:t>
      </w:r>
      <w:r>
        <w:t xml:space="preserve">does denoising actually help downstream segmentation and classification? Controlled noise injection (Gaussian, salt-and-pepper, speckle, low-light) → denoise with 5–6 methods (classical filters, ESVDAE, NAFNet/Restormer) → measure PSNR/SSIM (Result 1) AND downstream accuracy delta (Result 2). This satisfies your faculty's structure exactly and is a real empirical contribution.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Imbalance-aware adaptive loss for SHAR classification: </w:t>
      </w:r>
      <w:r>
        <w:t xml:space="preserve">port Slide Loss's dynamic hard-sample weighting from detection to the multi-class classifier, compare against focal loss and class-reweighted CE on UCF-Crime's rare classes. Report per-class F1, not just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Cross-domain port of SEA-multiscale (if kept): </w:t>
      </w:r>
      <w:r>
        <w:t xml:space="preserve">explicitly frame SEAMCNN as adapting a biosignal architecture to video frames, with ablations proving the SEA block and multiscale kernels each contribute.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integrated system + reproducible benchmark: </w:t>
      </w:r>
      <w:r>
        <w:t xml:space="preserve">end-to-end pipeline evaluated on UCF-Crime + Avenue (+ RareAnom as a stretch), with code released.</w:t>
      </w:r>
    </w:p>
    <w:p>
      <w:pPr>
        <w:spacing w:after="120"/>
      </w:pPr>
      <w:r>
        <w:rPr>
          <w:b/>
          <w:bCs/>
        </w:rPr>
        <w:t xml:space="preserve">Two fixes before you build: </w:t>
      </w:r>
      <w:r>
        <w:t xml:space="preserve">(a) the proposal writes "C2SPA" — YOLOv11's module is C2PSA (Cross-Stage Partial with Spatial Attention); fix the name everywhere. (b) The proposal's dataset description ("1,266,345 train images") is the Kaggle frame-extract of UCF-Crime — fine, but say explicitly that you do frame-level classification, not temporal anomaly detection, or reviewers will compare your accuracy against AUC-based VAD numbers and confusion will hurt you.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Recommended pipeline (what to build)</w:t>
      </w:r>
    </w:p>
    <w:p>
      <w:pPr>
        <w:spacing w:after="120"/>
      </w:pPr>
      <w:r>
        <w:t xml:space="preserve">Keep the three-stage structure — it matches the faculty guidance — but upgrade the internals: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49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Proposal (as written)</w:t>
            </w:r>
          </w:p>
        </w:tc>
        <w:tc>
          <w:tcPr>
            <w:tcW w:type="dxa" w:w="4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Stage 0 – data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UCF-Crime frames + Avenue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Keep. Add controlled noise-injection protocol (this is what makes Result 1 scientific). Stretch: add RareAnom.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Stage 1 – denoise (RESULT 1)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ESVDAE only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Comparative study: median/Gaussian/bilateral/NLM filters + ESVDAE + NAFNet (pretrained). Report PSNR/SSIM + downstream accuracy delta. Pick the winner as the pipeline default.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Stage 2 – detect/segment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GKLYOLO11 (YOLOv11-seg + C2PSA-MSDAM + ASFFH + Slide Loss)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 as core contribution. Build incrementally with ablations at each step. Ablate YOLOv11 vs YOLOv12 base. Consider AFPN/PAFFN-style fusion as an ASFFH variant if time allows.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Stage 3 – features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ResNet50 + GAP + softmax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 as baseline only — it is a 2015 backbone. Add ConvNeXt-T or a ViT-S as a second feature extractor for one comparison row.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Stage 4 – classify (RESULT 2)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SEAMCNN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Keep but reframe (Section 4.3) + add Slide-Loss-for-classification variant. Baselines: ResNet50-TL, CNN+LSTM, VideoMAE-small (stretch). Add Grad-CAM visualizations (cheap explainability novelty, as in SEMSF-Net).</w:t>
            </w:r>
          </w:p>
        </w:tc>
      </w:tr>
    </w:tbl>
    <w:p>
      <w:pPr>
        <w:spacing w:after="120"/>
      </w:pPr>
      <w:r>
        <w:t xml:space="preserve">Faculty mapping: </w:t>
      </w:r>
      <w:r>
        <w:rPr>
          <w:b/>
          <w:bCs/>
        </w:rPr>
        <w:t xml:space="preserve">RESULT 1</w:t>
      </w:r>
      <w:r>
        <w:t xml:space="preserve"> = Stage 1 denoising comparison (multiple filters → quantitative winner). </w:t>
      </w:r>
      <w:r>
        <w:rPr>
          <w:b/>
          <w:bCs/>
        </w:rPr>
        <w:t xml:space="preserve">RESULT 2</w:t>
      </w:r>
      <w:r>
        <w:t xml:space="preserve"> = Stage 4 multi-class classification (13 anomaly classes + Normal). The detection stage sits between them as your main architectural contribution.</w:t>
      </w:r>
    </w:p>
    <w:p>
      <w:pPr>
        <w:pStyle w:val="Heading1"/>
        <w:spacing w:after="160" w:before="360"/>
      </w:pPr>
      <w:r>
        <w:t xml:space="preserve">6. Build order (AI-assisted, ~5 phases)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1 – Baselines first. </w:t>
      </w:r>
      <w:r>
        <w:t xml:space="preserve">Get UCF-Crime frames + Avenue loading; train stock YOLOv11-seg and ResNet50-TL classifier; reproduce a CNN+LSTM baseline. You now have the comparison table's bottom rows and a working harness. (Also proves the pipeline before any novelty is added — do not skip.)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2 – RESULT 1. </w:t>
      </w:r>
      <w:r>
        <w:t xml:space="preserve">Noise injection protocol; implement classical filters; implement ESVDAE (stack 2–3 VDAE layers, entropy-weighted loss); run pretrained NAFNet. Table: method × noise-type × (PSNR, SSIM, downstream accuracy).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3 – GKLYOLO11, one module at a time. </w:t>
      </w:r>
      <w:r>
        <w:t xml:space="preserve">v11-seg → +C2PSA-MSDAM → +ASFFH → +Slide Loss, logging mAP50/mAP50-95 after each (this IS your ablation table — Ginseng-YOLO shows the format). Then swap base to YOLOv12 for one run.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4 – RESULT 2. </w:t>
      </w:r>
      <w:r>
        <w:t xml:space="preserve">SEAMCNN on denoised, detector-cropped frames; loss comparison CE vs focal vs class-weighted vs Slide-style; per-class F1 + confusion matrix + Grad-CAM. Stretch: VideoMAE-small fine-tune.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Phase 5 – Robustness + writing. </w:t>
      </w:r>
      <w:r>
        <w:t xml:space="preserve">Unseen-video generalization test (copy Zaidi 2024's YouTube protocol); optional RareAnom eval; ablation consolidation; paper writing using Ginseng-YOLO's structure as the template.</w:t>
      </w:r>
    </w:p>
    <w:p>
      <w:pPr>
        <w:pStyle w:val="Heading1"/>
        <w:spacing w:after="160" w:before="360"/>
      </w:pPr>
      <w:r>
        <w:t xml:space="preserve">7. Evaluation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Datasets: </w:t>
      </w:r>
      <w:r>
        <w:t xml:space="preserve">UCF-Crime (Kaggle frame version; 14 classes), CUHK Avenue. Optional: RareAnom, UCF-Crime-DVS references for related work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 1 metrics: </w:t>
      </w:r>
      <w:r>
        <w:t xml:space="preserve">PSNR, SSIM per noise type; plus downstream Δaccuracy (the novel part).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Detection metrics: </w:t>
      </w:r>
      <w:r>
        <w:t xml:space="preserve">mAP@50, mAP@50:95, mask mAP (segmentation), params, GFLOPs, FPS.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 2 metrics: </w:t>
      </w:r>
      <w:r>
        <w:t xml:space="preserve">accuracy, macro precision/recall/F1 (macro, because of imbalance), per-class F1, confusion matrix. Do NOT report only overall accuracy — Normal-class dominance inflates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Ablations (minimum): </w:t>
      </w:r>
      <w:r>
        <w:t xml:space="preserve">each GKLYOLO11 module; each SEAMCNN component (multiscale, SEA); denoiser on/off for downstream tasks; loss function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Baselines to beat/report: </w:t>
      </w:r>
      <w:r>
        <w:t xml:space="preserve">AVAD (Ali 2023), Dwivedi 2023, Zaidi 2024, stock YOLOv11/v12, ResNet50-TL, CNN+LSTM.</w:t>
      </w:r>
    </w:p>
    <w:p>
      <w:pPr>
        <w:pStyle w:val="Heading1"/>
        <w:spacing w:after="160" w:before="360"/>
      </w:pPr>
      <w:r>
        <w:t xml:space="preserve">8. Risks and likely reviewer objections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Objection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Pre-emptive answer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"Modules are borrowed; where is the novelty?"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 with the denoising→downstream study and the imbalance-aware loss study; frame architecture as integration + adaptation, never invention.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"Why ASFF (2019) and not AFPN/PAFFN?"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Cite AF-YOLO; either add a PAFFN variant row or justify ASFF by compute budget.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"SEAMCNN looks like the EEG paper"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Cite it openly as the source, present the port + video-specific ablations as the contribution.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"Why not VLM-based like RelVid/ASK-HINT?"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Different task (frame classification vs temporal AUC) + edge-deployability argument; add a CLIP zero-shot row if you want to be bulletproof.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"UCF-Crime frames are not actually noisy"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That is why the controlled noise-injection protocol exists; also cite transceiver-noise motivation from your abstract carefully — do not overclaim.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"Accuracy numbers vs published AUC numbers"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State explicitly the task is multi-class frame classification; compare only against classification papers.</w:t>
            </w:r>
          </w:p>
        </w:tc>
      </w:tr>
    </w:tbl>
    <w:p>
      <w:pPr>
        <w:pStyle w:val="Heading1"/>
        <w:spacing w:after="160" w:before="360"/>
      </w:pPr>
      <w:r>
        <w:t xml:space="preserve">9. Priority reading list (from your own stack)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DilateFormer </w:t>
      </w:r>
      <w:r>
        <w:t xml:space="preserve">(TMM 2023) — source of MSDAM. Read §III–IV.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Ginseng-YOLO </w:t>
      </w:r>
      <w:r>
        <w:t xml:space="preserve">(2025) — paper template: YOLOv11 + modules + Slide Loss with ablations.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AVAD, Ali </w:t>
      </w:r>
      <w:r>
        <w:t xml:space="preserve">(IET 2023) — your direct competitor on UCF-Crime + Avenue.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AF-YOLO </w:t>
      </w:r>
      <w:r>
        <w:t xml:space="preserve">(TCSVT 2026) — modern adaptive fusion; know it to defend ASFFH.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SEMSCNN, Jin et al. </w:t>
      </w:r>
      <w:r>
        <w:t xml:space="preserve">(IEEE IoT-J 2025) — SEAMCNN's source; know exactly what you changed.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RareAnom </w:t>
      </w:r>
      <w:r>
        <w:t xml:space="preserve">(PR 2023) — evaluation protocol + optional extra dataset.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Waghchaware &amp; Joshi </w:t>
      </w:r>
      <w:r>
        <w:t xml:space="preserve">(KAIS 2024) — primary survey citation for related work.</w:t>
      </w:r>
    </w:p>
    <w:p>
      <w:pPr>
        <w:spacing w:after="120"/>
      </w:pPr>
      <w:r>
        <w:t xml:space="preserve">Everything else in the papers/ folder JSONs is tagged with a recommendation field (Must Read / Useful / Optional / Skip). Two papers are flagged Skip — do not cite them.</w:t>
      </w:r>
    </w:p>
    <w:p>
      <w:pPr>
        <w:spacing w:before="20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 calibration note: the per-paper JSONs were produced from extracted text (abstract, conclusion, metrics) — for the 5–7 load-bearing papers above, spend 10 minutes each with the actual PDF (architecture figure + results table) before citing them in your manuscript.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2026-07-16T05:55:22.253Z</dcterms:created>
  <dcterms:modified xsi:type="dcterms:W3CDTF">2026-07-16T05:55:22.254Z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