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Product Specifications &amp; Lifecycle Report</w:t>
      </w:r>
    </w:p>
    <w:p>
      <w:r>
        <w:t>This document is generated specifically to test the Pandoc extraction pipeline. It contains complex multi-level tables with merged cells and coloured headers, nested bullet and numbered lists, inline text formatting, and multi-paragraph cells — all structures that cause Pandoc to emit HTML table tags.</w:t>
      </w:r>
    </w:p>
    <w:p>
      <w:pPr>
        <w:pStyle w:val="Heading1"/>
      </w:pPr>
      <w:r>
        <w:t>1. Inline Text Formatting</w:t>
      </w:r>
    </w:p>
    <w:p>
      <w:r>
        <w:rPr>
          <w:b/>
          <w:color w:val="C80000"/>
          <w:sz w:val="22"/>
        </w:rPr>
        <w:t xml:space="preserve">Bold red text.  </w:t>
      </w:r>
      <w:r>
        <w:rPr>
          <w:i/>
        </w:rPr>
        <w:t xml:space="preserve">Italic text.  </w:t>
      </w:r>
      <w:r>
        <w:rPr>
          <w:u w:val="single"/>
        </w:rPr>
        <w:t xml:space="preserve">Underlined text.  </w:t>
      </w:r>
      <w:r>
        <w:rPr>
          <w:b/>
          <w:i/>
          <w:color w:val="0046B4"/>
        </w:rPr>
        <w:t>Bold + Italic + Blue.</w:t>
      </w:r>
    </w:p>
    <w:p>
      <w:pPr>
        <w:pStyle w:val="Heading1"/>
      </w:pPr>
      <w:r>
        <w:t>2. Nested Bullet &amp; Numbered Lists</w:t>
      </w:r>
    </w:p>
    <w:p>
      <w:pPr>
        <w:pStyle w:val="ListBullet"/>
      </w:pPr>
      <w:r>
        <w:t>Alpha Product Line</w:t>
      </w:r>
    </w:p>
    <w:p>
      <w:pPr>
        <w:pStyle w:val="ListBullet2"/>
      </w:pPr>
      <w:r>
        <w:t>Sub-category A</w:t>
      </w:r>
    </w:p>
    <w:p>
      <w:pPr>
        <w:pStyle w:val="ListBullet3"/>
      </w:pPr>
      <w:r>
        <w:t>Detail level — specifications here</w:t>
      </w:r>
    </w:p>
    <w:p>
      <w:pPr>
        <w:pStyle w:val="ListBullet2"/>
      </w:pPr>
      <w:r>
        <w:t>Sub-category B</w:t>
      </w:r>
    </w:p>
    <w:p>
      <w:pPr>
        <w:pStyle w:val="ListBullet3"/>
      </w:pPr>
      <w:r>
        <w:t>Detail level — specifications here</w:t>
      </w:r>
    </w:p>
    <w:p>
      <w:pPr>
        <w:pStyle w:val="ListBullet"/>
      </w:pPr>
      <w:r>
        <w:t>Beta Product Line</w:t>
      </w:r>
    </w:p>
    <w:p>
      <w:pPr>
        <w:pStyle w:val="ListBullet2"/>
      </w:pPr>
      <w:r>
        <w:t>Sub-category A</w:t>
      </w:r>
    </w:p>
    <w:p>
      <w:pPr>
        <w:pStyle w:val="ListBullet3"/>
      </w:pPr>
      <w:r>
        <w:t>Detail level — specifications here</w:t>
      </w:r>
    </w:p>
    <w:p>
      <w:pPr>
        <w:pStyle w:val="ListBullet2"/>
      </w:pPr>
      <w:r>
        <w:t>Sub-category B</w:t>
      </w:r>
    </w:p>
    <w:p>
      <w:pPr>
        <w:pStyle w:val="ListBullet3"/>
      </w:pPr>
      <w:r>
        <w:t>Detail level — specifications here</w:t>
      </w:r>
    </w:p>
    <w:p>
      <w:pPr>
        <w:pStyle w:val="ListBullet"/>
      </w:pPr>
      <w:r>
        <w:t>Gamma Product Line</w:t>
      </w:r>
    </w:p>
    <w:p>
      <w:pPr>
        <w:pStyle w:val="ListBullet2"/>
      </w:pPr>
      <w:r>
        <w:t>Sub-category A</w:t>
      </w:r>
    </w:p>
    <w:p>
      <w:pPr>
        <w:pStyle w:val="ListBullet3"/>
      </w:pPr>
      <w:r>
        <w:t>Detail level — specifications here</w:t>
      </w:r>
    </w:p>
    <w:p>
      <w:pPr>
        <w:pStyle w:val="ListBullet2"/>
      </w:pPr>
      <w:r>
        <w:t>Sub-category B</w:t>
      </w:r>
    </w:p>
    <w:p>
      <w:pPr>
        <w:pStyle w:val="ListBullet3"/>
      </w:pPr>
      <w:r>
        <w:t>Detail level — specifications here</w:t>
      </w:r>
    </w:p>
    <w:p>
      <w:pPr>
        <w:pStyle w:val="Heading2"/>
      </w:pPr>
      <w:r>
        <w:t>Numbered Steps</w:t>
      </w:r>
    </w:p>
    <w:p>
      <w:pPr>
        <w:pStyle w:val="ListNumber"/>
      </w:pPr>
      <w:r>
        <w:t>Gather all input DOCX files.</w:t>
      </w:r>
    </w:p>
    <w:p>
      <w:pPr>
        <w:pStyle w:val="ListNumber"/>
      </w:pPr>
      <w:r>
        <w:t>Run them through the Pandoc pipeline.</w:t>
      </w:r>
    </w:p>
    <w:p>
      <w:pPr>
        <w:pStyle w:val="ListNumber"/>
      </w:pPr>
      <w:r>
        <w:t>Review the generated Markdown output.</w:t>
      </w:r>
    </w:p>
    <w:p>
      <w:pPr>
        <w:pStyle w:val="ListNumber"/>
      </w:pPr>
      <w:r>
        <w:t>Verify with the QA team.</w:t>
      </w:r>
    </w:p>
    <w:p>
      <w:pPr>
        <w:pStyle w:val="Heading1"/>
      </w:pPr>
      <w:r>
        <w:t>3. Simple Product Table</w:t>
      </w:r>
    </w:p>
    <w:p>
      <w:r>
        <w:t>This is a standard table Pandoc should render as a GFM pipe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Product ID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Price (£)</w:t>
            </w:r>
          </w:p>
        </w:tc>
      </w:tr>
      <w:tr>
        <w:tc>
          <w:tcPr>
            <w:tcW w:type="dxa" w:w="2160"/>
          </w:tcPr>
          <w:p>
            <w:r>
              <w:t>P-001</w:t>
            </w:r>
          </w:p>
        </w:tc>
        <w:tc>
          <w:tcPr>
            <w:tcW w:type="dxa" w:w="2160"/>
          </w:tcPr>
          <w:p>
            <w:r>
              <w:t>Funeral Plan Gold</w:t>
            </w:r>
          </w:p>
        </w:tc>
        <w:tc>
          <w:tcPr>
            <w:tcW w:type="dxa" w:w="2160"/>
          </w:tcPr>
          <w:p>
            <w:r>
              <w:t>Insurance</w:t>
            </w:r>
          </w:p>
        </w:tc>
        <w:tc>
          <w:tcPr>
            <w:tcW w:type="dxa" w:w="2160"/>
          </w:tcPr>
          <w:p>
            <w:r>
              <w:t>£4,500</w:t>
            </w:r>
          </w:p>
        </w:tc>
      </w:tr>
      <w:tr>
        <w:tc>
          <w:tcPr>
            <w:tcW w:type="dxa" w:w="2160"/>
          </w:tcPr>
          <w:p>
            <w:r>
              <w:t>P-002</w:t>
            </w:r>
          </w:p>
        </w:tc>
        <w:tc>
          <w:tcPr>
            <w:tcW w:type="dxa" w:w="2160"/>
          </w:tcPr>
          <w:p>
            <w:r>
              <w:t>Funeral Plan Silver</w:t>
            </w:r>
          </w:p>
        </w:tc>
        <w:tc>
          <w:tcPr>
            <w:tcW w:type="dxa" w:w="2160"/>
          </w:tcPr>
          <w:p>
            <w:r>
              <w:t>Insurance</w:t>
            </w:r>
          </w:p>
        </w:tc>
        <w:tc>
          <w:tcPr>
            <w:tcW w:type="dxa" w:w="2160"/>
          </w:tcPr>
          <w:p>
            <w:r>
              <w:t>£3,200</w:t>
            </w:r>
          </w:p>
        </w:tc>
      </w:tr>
      <w:tr>
        <w:tc>
          <w:tcPr>
            <w:tcW w:type="dxa" w:w="2160"/>
          </w:tcPr>
          <w:p>
            <w:r>
              <w:t>P-003</w:t>
            </w:r>
          </w:p>
        </w:tc>
        <w:tc>
          <w:tcPr>
            <w:tcW w:type="dxa" w:w="2160"/>
          </w:tcPr>
          <w:p>
            <w:r>
              <w:t>Probate Service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£1,800</w:t>
            </w:r>
          </w:p>
        </w:tc>
      </w:tr>
      <w:tr>
        <w:tc>
          <w:tcPr>
            <w:tcW w:type="dxa" w:w="2160"/>
          </w:tcPr>
          <w:p>
            <w:r>
              <w:t>P-004</w:t>
            </w:r>
          </w:p>
        </w:tc>
        <w:tc>
          <w:tcPr>
            <w:tcW w:type="dxa" w:w="2160"/>
          </w:tcPr>
          <w:p>
            <w:r>
              <w:t>Will Writing Kit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£299</w:t>
            </w:r>
          </w:p>
        </w:tc>
      </w:tr>
    </w:tbl>
    <w:p/>
    <w:p>
      <w:pPr>
        <w:pStyle w:val="Heading1"/>
      </w:pPr>
      <w:r>
        <w:t>4. Complex Merged-Cell Table (triggers HTML output)</w:t>
      </w:r>
    </w:p>
    <w:p>
      <w:r>
        <w:t>This table uses cell merging (colspan/rowspan). Pandoc cannot represent this in standard Markdown, so it will emit HTML &lt;table&gt; tags.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ANNUAL PRODUCT LIFECYCLE SUMMARY</w:t>
            </w:r>
          </w:p>
        </w:tc>
      </w:tr>
      <w:tr>
        <w:tc>
          <w:tcPr>
            <w:tcW w:type="dxa" w:w="3456"/>
            <w:gridSpan w:val="2"/>
            <w:shd w:val="clear" w:color="auto" w:fill="4472C4"/>
          </w:tcPr>
          <w:p>
            <w:r/>
            <w:r>
              <w:rPr>
                <w:b/>
                <w:color w:val="FFFFFF"/>
                <w:sz w:val="22"/>
              </w:rPr>
              <w:t>Product Details</w:t>
            </w:r>
          </w:p>
        </w:tc>
        <w:tc>
          <w:tcPr>
            <w:tcW w:type="dxa" w:w="3456"/>
            <w:gridSpan w:val="2"/>
            <w:shd w:val="clear" w:color="auto" w:fill="4472C4"/>
          </w:tcPr>
          <w:p>
            <w:r/>
            <w:r>
              <w:rPr>
                <w:b/>
                <w:color w:val="FFFFFF"/>
                <w:sz w:val="22"/>
              </w:rPr>
              <w:t>Financial Performance</w:t>
            </w:r>
          </w:p>
        </w:tc>
        <w:tc>
          <w:tcPr>
            <w:tcW w:type="dxa" w:w="1728"/>
            <w:shd w:val="clear" w:color="auto" w:fill="4472C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728"/>
            <w:shd w:val="clear" w:color="auto" w:fill="D9E1F2"/>
          </w:tcPr>
          <w:p>
            <w:r>
              <w:rPr>
                <w:b/>
                <w:color w:val="1F497D"/>
                <w:sz w:val="22"/>
              </w:rPr>
              <w:t>Code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F497D"/>
                <w:sz w:val="22"/>
              </w:rPr>
              <w:t>Name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F497D"/>
                <w:sz w:val="22"/>
              </w:rPr>
              <w:t>Q1 Revenue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F497D"/>
                <w:sz w:val="22"/>
              </w:rPr>
              <w:t>Q2 Revenue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F497D"/>
                <w:sz w:val="22"/>
              </w:rPr>
              <w:t>Lifecycle</w:t>
            </w:r>
          </w:p>
        </w:tc>
      </w:tr>
      <w:tr>
        <w:tc>
          <w:tcPr>
            <w:tcW w:type="dxa" w:w="1728"/>
          </w:tcPr>
          <w:p>
            <w:r>
              <w:t>P-001</w:t>
            </w:r>
          </w:p>
        </w:tc>
        <w:tc>
          <w:tcPr>
            <w:tcW w:type="dxa" w:w="1728"/>
          </w:tcPr>
          <w:p>
            <w:r>
              <w:t>Funeral Plan Gold</w:t>
            </w:r>
          </w:p>
        </w:tc>
        <w:tc>
          <w:tcPr>
            <w:tcW w:type="dxa" w:w="1728"/>
          </w:tcPr>
          <w:p>
            <w:r>
              <w:t>£420,000</w:t>
            </w:r>
          </w:p>
        </w:tc>
        <w:tc>
          <w:tcPr>
            <w:tcW w:type="dxa" w:w="1728"/>
          </w:tcPr>
          <w:p>
            <w:r>
              <w:t>£380,000</w:t>
            </w:r>
          </w:p>
        </w:tc>
        <w:tc>
          <w:tcPr>
            <w:tcW w:type="dxa" w:w="1728"/>
            <w:shd w:val="clear" w:color="auto" w:fill="70AD47"/>
          </w:tcPr>
          <w:p>
            <w:r>
              <w:rPr>
                <w:b/>
                <w:color w:val="FFFFFF"/>
                <w:sz w:val="22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t>P-002</w:t>
            </w:r>
          </w:p>
        </w:tc>
        <w:tc>
          <w:tcPr>
            <w:tcW w:type="dxa" w:w="1728"/>
          </w:tcPr>
          <w:p>
            <w:r>
              <w:t>Funeral Plan Silver</w:t>
            </w:r>
          </w:p>
        </w:tc>
        <w:tc>
          <w:tcPr>
            <w:tcW w:type="dxa" w:w="1728"/>
          </w:tcPr>
          <w:p>
            <w:r>
              <w:t>£290,000</w:t>
            </w:r>
          </w:p>
        </w:tc>
        <w:tc>
          <w:tcPr>
            <w:tcW w:type="dxa" w:w="1728"/>
          </w:tcPr>
          <w:p>
            <w:r>
              <w:t>£310,000</w:t>
            </w:r>
          </w:p>
        </w:tc>
        <w:tc>
          <w:tcPr>
            <w:tcW w:type="dxa" w:w="1728"/>
            <w:shd w:val="clear" w:color="auto" w:fill="70AD47"/>
          </w:tcPr>
          <w:p>
            <w:r>
              <w:rPr>
                <w:b/>
                <w:color w:val="FFFFFF"/>
                <w:sz w:val="22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t>P-003</w:t>
            </w:r>
          </w:p>
        </w:tc>
        <w:tc>
          <w:tcPr>
            <w:tcW w:type="dxa" w:w="1728"/>
          </w:tcPr>
          <w:p>
            <w:r>
              <w:t>Probate Service</w:t>
            </w:r>
          </w:p>
        </w:tc>
        <w:tc>
          <w:tcPr>
            <w:tcW w:type="dxa" w:w="1728"/>
          </w:tcPr>
          <w:p>
            <w:r>
              <w:t>£120,000</w:t>
            </w:r>
          </w:p>
        </w:tc>
        <w:tc>
          <w:tcPr>
            <w:tcW w:type="dxa" w:w="1728"/>
          </w:tcPr>
          <w:p>
            <w:r>
              <w:t>£145,000</w:t>
            </w:r>
          </w:p>
        </w:tc>
        <w:tc>
          <w:tcPr>
            <w:tcW w:type="dxa" w:w="1728"/>
            <w:shd w:val="clear" w:color="auto" w:fill="ED7D31"/>
          </w:tcPr>
          <w:p>
            <w:r>
              <w:rPr>
                <w:b/>
                <w:color w:val="FFFFFF"/>
                <w:sz w:val="22"/>
              </w:rPr>
              <w:t>Under Review</w:t>
            </w:r>
          </w:p>
        </w:tc>
      </w:tr>
    </w:tbl>
    <w:p/>
    <w:p>
      <w:pPr>
        <w:pStyle w:val="Heading1"/>
      </w:pPr>
      <w:r>
        <w:t>5. Table With Multi-Paragraph Cells</w:t>
      </w:r>
    </w:p>
    <w:p>
      <w:r>
        <w:t>Cells with multiple paragraphs also force Pandoc into HTML mode because GFM pipe tables cannot contain newlines inside a cell.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75623"/>
          </w:tcPr>
          <w:p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2880"/>
            <w:shd w:val="clear" w:color="auto" w:fill="375623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880"/>
            <w:shd w:val="clear" w:color="auto" w:fill="375623"/>
          </w:tcPr>
          <w:p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Extraction Engine</w:t>
            </w:r>
          </w:p>
        </w:tc>
        <w:tc>
          <w:tcPr>
            <w:tcW w:type="dxa" w:w="2880"/>
          </w:tcPr>
          <w:p>
            <w:r>
              <w:t>Primary: Pandoc (gfm)</w:t>
            </w:r>
          </w:p>
          <w:p>
            <w:r>
              <w:t>Fallback: MarkItDown</w:t>
            </w:r>
          </w:p>
          <w:p>
            <w:r>
              <w:t>Legacy: Docling</w:t>
            </w:r>
          </w:p>
        </w:tc>
        <w:tc>
          <w:tcPr>
            <w:tcW w:type="dxa" w:w="2880"/>
          </w:tcPr>
          <w:p>
            <w:r>
              <w:t>Configured per router</w:t>
            </w:r>
          </w:p>
        </w:tc>
      </w:tr>
      <w:tr>
        <w:tc>
          <w:tcPr>
            <w:tcW w:type="dxa" w:w="2880"/>
          </w:tcPr>
          <w:p>
            <w:r>
              <w:t>Output Format</w:t>
            </w:r>
          </w:p>
        </w:tc>
        <w:tc>
          <w:tcPr>
            <w:tcW w:type="dxa" w:w="2880"/>
          </w:tcPr>
          <w:p>
            <w:r>
              <w:t>GitHub Flavoured Markdown (.md)</w:t>
            </w:r>
          </w:p>
        </w:tc>
        <w:tc>
          <w:tcPr>
            <w:tcW w:type="dxa" w:w="2880"/>
          </w:tcPr>
          <w:p>
            <w:r>
              <w:t>Stored in SharePoint</w:t>
            </w:r>
          </w:p>
        </w:tc>
      </w:tr>
    </w:tbl>
    <w:p/>
    <w:p>
      <w:pPr>
        <w:pStyle w:val="Heading1"/>
      </w:pPr>
      <w:r>
        <w:t>6. Important Notes</w:t>
      </w:r>
    </w:p>
    <w:p>
      <w:pPr>
        <w:pStyle w:val="IntenseQuote"/>
      </w:pPr>
      <w:r>
        <w:t>All documents processed by this pipeline are subject to the 3-stage lifecycle: Raw → Draft → Final. No document reaches downstream AI systems until it has been signed off by an authorised verifier.</w:t>
      </w:r>
    </w:p>
    <w:p>
      <w:pPr>
        <w:pStyle w:val="Heading1"/>
      </w:pPr>
      <w:r>
        <w:t>7. Wide Multi-Column Data Table (forces HTML)</w:t>
      </w:r>
    </w:p>
    <w:p>
      <w:r>
        <w:t>A table with 8+ narrow columns where the header row spans 2 levels also cannot be expressed in GFM — Pandoc will emit HTML.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320"/>
            <w:gridSpan w:val="4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Q1 Metrics</w:t>
            </w:r>
          </w:p>
        </w:tc>
        <w:tc>
          <w:tcPr>
            <w:tcW w:type="dxa" w:w="4320"/>
            <w:gridSpan w:val="4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Q2 Metrics</w:t>
            </w:r>
          </w:p>
        </w:tc>
      </w:tr>
      <w:tr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Jan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Feb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Mar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Total Q1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Apr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May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Jun</w:t>
            </w:r>
          </w:p>
        </w:tc>
        <w:tc>
          <w:tcPr>
            <w:tcW w:type="dxa" w:w="1080"/>
            <w:shd w:val="clear" w:color="auto" w:fill="C4A0DC"/>
          </w:tcPr>
          <w:p>
            <w:r>
              <w:rPr>
                <w:b/>
                <w:color w:val="320050"/>
                <w:sz w:val="22"/>
              </w:rPr>
              <w:t>Total Q2</w:t>
            </w:r>
          </w:p>
        </w:tc>
      </w:tr>
      <w:tr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142</w:t>
            </w:r>
          </w:p>
        </w:tc>
        <w:tc>
          <w:tcPr>
            <w:tcW w:type="dxa" w:w="1080"/>
          </w:tcPr>
          <w:p>
            <w:r>
              <w:t>397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485</w:t>
            </w:r>
          </w:p>
        </w:tc>
      </w:tr>
      <w:tr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210</w:t>
            </w:r>
          </w:p>
        </w:tc>
        <w:tc>
          <w:tcPr>
            <w:tcW w:type="dxa" w:w="1080"/>
          </w:tcPr>
          <w:p>
            <w:r>
              <w:t>195</w:t>
            </w:r>
          </w:p>
        </w:tc>
        <w:tc>
          <w:tcPr>
            <w:tcW w:type="dxa" w:w="1080"/>
          </w:tcPr>
          <w:p>
            <w:r>
              <w:t>605</w:t>
            </w:r>
          </w:p>
        </w:tc>
        <w:tc>
          <w:tcPr>
            <w:tcW w:type="dxa" w:w="1080"/>
          </w:tcPr>
          <w:p>
            <w:r>
              <w:t>220</w:t>
            </w:r>
          </w:p>
        </w:tc>
        <w:tc>
          <w:tcPr>
            <w:tcW w:type="dxa" w:w="1080"/>
          </w:tcPr>
          <w:p>
            <w:r>
              <w:t>230</w:t>
            </w:r>
          </w:p>
        </w:tc>
        <w:tc>
          <w:tcPr>
            <w:tcW w:type="dxa" w:w="1080"/>
          </w:tcPr>
          <w:p>
            <w:r>
              <w:t>215</w:t>
            </w:r>
          </w:p>
        </w:tc>
        <w:tc>
          <w:tcPr>
            <w:tcW w:type="dxa" w:w="1080"/>
          </w:tcPr>
          <w:p>
            <w:r>
              <w:t>665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255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305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