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подведения итогов определения поставщика (подрядчика, исполнителя) № 0373200087824002359</w:t>
      </w:r>
    </w:p>
    <w:p>
      <w:pPr/>
      <w:r>
        <w:rPr/>
        <w:t xml:space="preserve"/>
      </w:r>
    </w:p>
    <w:p>
      <w:pPr>
        <w:jc w:val="right"/>
      </w:pPr>
      <w:r>
        <w:rPr>
          <w:b w:val="0"/>
          <w:bCs w:val="0"/>
        </w:rPr>
        <w:t xml:space="preserve">Дата подведения итогов определения поставщика (подрядчика, исполнителя): 25.12.2024г.</w:t>
      </w:r>
    </w:p>
    <w:p>
      <w:pPr/>
      <w:r>
        <w:rPr/>
        <w:t xml:space="preserve"/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Способ определения поставщика (подрядчика, исполнителя): Электронный аукцион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Номер извещения об осуществлении закупки: 0373200087824002359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Определение поставщика (подрядчика, исполнителя) осуществляет:</w:t>
      </w:r>
    </w:p>
    <w:p>
      <w:pPr>
        <w:jc w:val="both"/>
      </w:pPr>
      <w:r>
        <w:rPr/>
        <w:t xml:space="preserve">ГОСУДАРСТВЕННОЕ БЮДЖЕТНОЕ УЧРЕЖДЕНИЕ ЗДРАВООХРАНЕНИЯ ГОРОДА МОСКВЫ "МОСКОВСКИЙ МНОГОПРОФИЛЬНЫЙ КЛИНИЧЕСКИЙ ЦЕНТР "КОММУНАРКА" ДЕПАРТАМЕНТА ЗДРАВООХРАНЕНИЯ ГОРОДА МОСКВЫ"</w:t>
      </w:r>
    </w:p>
    <w:p>
      <w:pPr/>
      <w:r>
        <w:rPr/>
        <w:t xml:space="preserve"/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Заказчик(и):</w:t>
      </w:r>
    </w:p>
    <w:p>
      <w:pPr>
        <w:jc w:val="both"/>
      </w:pPr>
      <w:r>
        <w:rPr/>
        <w:t xml:space="preserve">ГОСУДАРСТВЕННОЕ БЮДЖЕТНОЕ УЧРЕЖДЕНИЕ ЗДРАВООХРАНЕНИЯ ГОРОДА МОСКВЫ "МОСКОВСКИЙ МНОГОПРОФИЛЬНЫЙ КЛИНИЧЕСКИЙ ЦЕНТР "КОММУНАРКА" ДЕПАРТАМЕНТА ЗДРАВООХРАНЕНИЯ ГОРОДА МОСКВЫ"</w:t>
      </w:r>
    </w:p>
    <w:p>
      <w:pPr/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Идентификационный код закупки: 242771609955477510100125270010000244</w:t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Наименование объекта закупки: Поставка расходного материала "Насос инфузионный эластомерный".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Максимальное значение цены контракта: 26 542 356,42 руб.</w:t>
      </w:r>
      <w:br/>
      <w:r>
        <w:rPr/>
        <w:t xml:space="preserve">Начальная сумма цен единиц товара, работы, услуги: 15 594,6 руб.</w:t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Извещение об осуществлении закупки размещено «17» декабря 2024г. на официальном сайте единой информационной системы в сфере закупок http://zakupki.gov.ru/, а также на сайте электронной площадки АО «ЕЭТП» http://roseltorg.ru.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На заседании комиссии по осуществлению закупок присутствовали:</w:t>
      </w:r>
    </w:p>
    <w:tbl>
      <w:tblGrid>
        <w:gridCol w:w="6000" w:type="dxa"/>
        <w:gridCol w:w="3050" w:type="dxa"/>
        <w:gridCol w:w="1500" w:type="dxa"/>
      </w:tblGrid>
      <w:tblPr>
        <w:tblStyle w:val="style83129"/>
      </w:tblPr>
      <w:tr>
        <w:trPr/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Состав комиссии по осуществлению закупок</w:t>
            </w:r>
          </w:p>
        </w:tc>
        <w:tc>
          <w:tcPr>
            <w:tcW w:w="30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Роль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Право голоса</w:t>
            </w:r>
          </w:p>
        </w:tc>
      </w:tr>
      <w:tr>
        <w:trPr/>
        <w:tc>
          <w:tcPr>
            <w:tcW w:w="6000" w:type="dxa"/>
            <w:vAlign w:val="center"/>
          </w:tcPr>
          <w:p>
            <w:pPr>
              <w:jc w:val="center"/>
            </w:pPr>
            <w:r>
              <w:rPr/>
              <w:t xml:space="preserve">Дружинина Ольга Викторовна</w:t>
            </w:r>
          </w:p>
        </w:tc>
        <w:tc>
          <w:tcPr>
            <w:tcW w:w="3050" w:type="dxa"/>
            <w:vAlign w:val="center"/>
          </w:tcPr>
          <w:p>
            <w:pPr>
              <w:jc w:val="center"/>
            </w:pPr>
            <w:r>
              <w:rPr/>
              <w:t xml:space="preserve">Член комиссии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/>
              <w:t xml:space="preserve">Да</w:t>
            </w:r>
          </w:p>
        </w:tc>
      </w:tr>
      <w:tr>
        <w:trPr/>
        <w:tc>
          <w:tcPr>
            <w:tcW w:w="6000" w:type="dxa"/>
            <w:vAlign w:val="center"/>
          </w:tcPr>
          <w:p>
            <w:pPr>
              <w:jc w:val="center"/>
            </w:pPr>
            <w:r>
              <w:rPr/>
              <w:t xml:space="preserve">Жигалина Виктория Викторовна</w:t>
            </w:r>
          </w:p>
        </w:tc>
        <w:tc>
          <w:tcPr>
            <w:tcW w:w="3050" w:type="dxa"/>
            <w:vAlign w:val="center"/>
          </w:tcPr>
          <w:p>
            <w:pPr>
              <w:jc w:val="center"/>
            </w:pPr>
            <w:r>
              <w:rPr/>
              <w:t xml:space="preserve">Председатель комиссии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/>
              <w:t xml:space="preserve">Да</w:t>
            </w:r>
          </w:p>
        </w:tc>
      </w:tr>
      <w:tr>
        <w:trPr/>
        <w:tc>
          <w:tcPr>
            <w:tcW w:w="6000" w:type="dxa"/>
            <w:vAlign w:val="center"/>
          </w:tcPr>
          <w:p>
            <w:pPr>
              <w:jc w:val="center"/>
            </w:pPr>
            <w:r>
              <w:rPr/>
              <w:t xml:space="preserve">Фадеев Максим Александрович</w:t>
            </w:r>
          </w:p>
        </w:tc>
        <w:tc>
          <w:tcPr>
            <w:tcW w:w="3050" w:type="dxa"/>
            <w:vAlign w:val="center"/>
          </w:tcPr>
          <w:p>
            <w:pPr>
              <w:jc w:val="center"/>
            </w:pPr>
            <w:r>
              <w:rPr/>
              <w:t xml:space="preserve">Секретарь комиссии (без права голоса)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/>
              <w:t xml:space="preserve">Нет</w:t>
            </w:r>
          </w:p>
        </w:tc>
      </w:tr>
      <w:tr>
        <w:trPr/>
        <w:tc>
          <w:tcPr>
            <w:tcW w:w="6000" w:type="dxa"/>
            <w:vAlign w:val="center"/>
          </w:tcPr>
          <w:p>
            <w:pPr>
              <w:jc w:val="center"/>
            </w:pPr>
            <w:r>
              <w:rPr/>
              <w:t xml:space="preserve">Шульгина Юлия Геннадьевна</w:t>
            </w:r>
          </w:p>
        </w:tc>
        <w:tc>
          <w:tcPr>
            <w:tcW w:w="3050" w:type="dxa"/>
            <w:vAlign w:val="center"/>
          </w:tcPr>
          <w:p>
            <w:pPr>
              <w:jc w:val="center"/>
            </w:pPr>
            <w:r>
              <w:rPr/>
              <w:t xml:space="preserve">Член комиссии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/>
              <w:t xml:space="preserve">Да</w:t>
            </w:r>
          </w:p>
        </w:tc>
      </w:tr>
    </w:tbl>
    <w:p/>
    <w:p>
      <w:pPr/>
      <w:r>
        <w:rPr/>
        <w:t xml:space="preserve">Комиссия правомочна осуществлять свои функции, в заседании комиссии участвовало не менее чем пятьдесят процентов общего числа ее членов.</w:t>
      </w:r>
    </w:p>
    <w:p>
      <w:pPr/>
      <w:r>
        <w:rPr/>
        <w:t xml:space="preserve"/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В связи с тем, что по окончании срока подачи заявок на участие в электронном аукционе была подана только одна заявка на участие в нем, на основании пункта 1 части 1 статьи 52 Федерального закона от 05 апреля 2013 г. № 44-ФЗ (далее - Закон № 44-ФЗ), определение поставщика (подрядчика, исполнителя) признается несостоявшимся.</w:t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Члены комиссии по осуществлению закупок рассмотрели заявку на участие в закупке, а также информацию и документы, предусмотренные пунктом 2 и 3 части 6 статьи 43 Федерального закона от 05 апреля 2013 г. № 44-ФЗ на соответствие требованиям, установленным извещением об осуществлении закупки, и приняли решение:</w:t>
      </w:r>
    </w:p>
    <w:tbl>
      <w:tblGrid>
        <w:gridCol w:w="1350" w:type="dxa"/>
        <w:gridCol w:w="1350" w:type="dxa"/>
        <w:gridCol w:w="3350" w:type="dxa"/>
        <w:gridCol w:w="2250" w:type="dxa"/>
        <w:gridCol w:w="2250" w:type="dxa"/>
      </w:tblGrid>
      <w:tblPr>
        <w:tblStyle w:val="style56704"/>
      </w:tblPr>
      <w:tr>
        <w:trPr/>
        <w:tc>
          <w:tcPr>
            <w:tcW w:w="13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Идентификационный номер заявки, присвоенный оператором электронной площадки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заявки, присвоенный оператором электронной площадки</w:t>
            </w:r>
          </w:p>
        </w:tc>
        <w:tc>
          <w:tcPr>
            <w:tcW w:w="33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соответствии извещению об осуществлении закупки или решение об отклонении/отстранении (с обоснованием) заявки на участие в закупке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 по осуществлению закупок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члена комиссии по осуществлению закупок</w:t>
            </w:r>
          </w:p>
        </w:tc>
      </w:tr>
      <w:tr>
        <w:trPr/>
        <w:tc>
          <w:tcPr>
            <w:tcW w:w="1350" w:type="dxa"/>
            <w:vAlign w:val="center"/>
            <w:vMerge w:val="restart"/>
          </w:tcPr>
          <w:p>
            <w:pPr>
              <w:jc w:val="center"/>
            </w:pPr>
            <w:r>
              <w:rPr/>
              <w:t xml:space="preserve">1431939</w:t>
            </w:r>
          </w:p>
        </w:tc>
        <w:tc>
          <w:tcPr>
            <w:tcW w:w="1350" w:type="dxa"/>
            <w:vAlign w:val="center"/>
            <w:vMerge w:val="restart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3350" w:type="dxa"/>
            <w:vAlign w:val="center"/>
            <w:vMerge w:val="restart"/>
          </w:tcPr>
          <w:p>
            <w:pPr>
              <w:jc w:val="center"/>
            </w:pPr>
            <w:r>
              <w:rPr/>
              <w:t xml:space="preserve">Признать заявку соответствующей извещению об осуществлении закупки. 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/>
              <w:t xml:space="preserve">Дружинина Ольга Викторовна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/>
              <w:t xml:space="preserve">Признать заявку соответствующей извещению об осуществлении закупки. </w:t>
            </w:r>
          </w:p>
        </w:tc>
      </w:tr>
      <w:tr>
        <w:trPr/>
        <w:tc>
          <w:tcPr>
            <w:tcW w:w="1350" w:type="dxa"/>
            <w:vAlign w:val="center"/>
            <w:vMerge w:val="continue"/>
          </w:tcPr>
          <w:p>
            <w:pPr>
              <w:jc w:val="center"/>
            </w:pPr>
            <w:r>
              <w:rPr/>
              <w:t xml:space="preserve">1431939</w:t>
            </w:r>
          </w:p>
        </w:tc>
        <w:tc>
          <w:tcPr>
            <w:tcW w:w="1350" w:type="dxa"/>
            <w:vAlign w:val="center"/>
            <w:vMerge w:val="continue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3350" w:type="dxa"/>
            <w:vAlign w:val="center"/>
            <w:vMerge w:val="continue"/>
          </w:tcPr>
          <w:p>
            <w:pPr>
              <w:jc w:val="center"/>
            </w:pPr>
            <w:r>
              <w:rPr/>
              <w:t xml:space="preserve">Признать заявку соответствующей извещению об осуществлении закупки. 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/>
              <w:t xml:space="preserve">Жигалина Виктория Викторовна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/>
              <w:t xml:space="preserve">Признать заявку соответствующей извещению об осуществлении закупки. </w:t>
            </w:r>
          </w:p>
        </w:tc>
      </w:tr>
      <w:tr>
        <w:trPr/>
        <w:tc>
          <w:tcPr>
            <w:tcW w:w="1350" w:type="dxa"/>
            <w:vAlign w:val="center"/>
            <w:vMerge w:val="continue"/>
          </w:tcPr>
          <w:p>
            <w:pPr>
              <w:jc w:val="center"/>
            </w:pPr>
            <w:r>
              <w:rPr/>
              <w:t xml:space="preserve">1431939</w:t>
            </w:r>
          </w:p>
        </w:tc>
        <w:tc>
          <w:tcPr>
            <w:tcW w:w="1350" w:type="dxa"/>
            <w:vAlign w:val="center"/>
            <w:vMerge w:val="continue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3350" w:type="dxa"/>
            <w:vAlign w:val="center"/>
            <w:vMerge w:val="continue"/>
          </w:tcPr>
          <w:p>
            <w:pPr>
              <w:jc w:val="center"/>
            </w:pPr>
            <w:r>
              <w:rPr/>
              <w:t xml:space="preserve">Признать заявку соответствующей извещению об осуществлении закупки. 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/>
              <w:t xml:space="preserve">Шульгина Юлия Геннадьевна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</w:pPr>
            <w:r>
              <w:rPr/>
              <w:t xml:space="preserve">Признать заявку соответствующей извещению об осуществлении закупки. </w:t>
            </w:r>
          </w:p>
        </w:tc>
      </w:tr>
    </w:tbl>
    <w:p>
      <w:pPr/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На основании результатов рассмотрения заявки участника, члены комиссии присвоили порядковый номер:</w:t>
      </w:r>
    </w:p>
    <w:tbl>
      <w:tblGrid>
        <w:gridCol w:w="2100" w:type="dxa"/>
        <w:gridCol w:w="2100" w:type="dxa"/>
        <w:gridCol w:w="3200" w:type="dxa"/>
        <w:gridCol w:w="3150" w:type="dxa"/>
      </w:tblGrid>
      <w:tblPr>
        <w:tblStyle w:val="style37732"/>
      </w:tblPr>
      <w:tr>
        <w:trPr/>
        <w:tc>
          <w:tcPr>
            <w:tcW w:w="210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номер, присвоенный комиссией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Идентификационный номер заявки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 заявки</w:t>
            </w:r>
          </w:p>
        </w:tc>
        <w:tc>
          <w:tcPr>
            <w:tcW w:w="3150" w:type="dxa"/>
            <w:vAlign w:val="center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цен единиц товара, работ, услуг, руб</w:t>
            </w:r>
          </w:p>
        </w:tc>
      </w:tr>
      <w:tr>
        <w:trPr/>
        <w:tc>
          <w:tcPr>
            <w:tcW w:w="2100" w:type="dxa"/>
            <w:vAlign w:val="center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</w:pPr>
            <w:r>
              <w:rPr/>
              <w:t xml:space="preserve">1431939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/>
              <w:t xml:space="preserve">19.12.2024 21:04:31 (MCK +0)</w:t>
            </w:r>
          </w:p>
        </w:tc>
        <w:tc>
          <w:tcPr>
            <w:tcW w:w="3150" w:type="dxa"/>
            <w:vAlign w:val="center"/>
          </w:tcPr>
          <w:p>
            <w:pPr>
              <w:jc w:val="center"/>
            </w:pPr>
            <w:r>
              <w:rPr/>
              <w:t xml:space="preserve">15 594,60</w:t>
            </w:r>
          </w:p>
        </w:tc>
      </w:tr>
    </w:tbl>
    <w:p>
      <w:pPr/>
      <w:r>
        <w:rPr/>
        <w:t xml:space="preserve"/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По результатам подведения итогов определения поставщика (подрядчика, исполнителя) контракт заключается с участником закупки с идентификационным номером № 1431939 по максимальному значению цены контракта 26 542 356,42 руб. руб. (Двадцать шесть миллионов пятьсот сорок две тысячи триста пятьдесят шесть рублей 42 копейки) в соответствии с п. 25 ч. 1 ст. 93 Федерального закона №44-ФЗ в порядке, установленном настоящим Федеральным Законом.</w:t>
      </w:r>
    </w:p>
    <w:p>
      <w:pPr>
        <w:keepLines w:val="1"/>
        <w:jc w:val="both"/>
        <w:spacing w:after="96"/>
        <w:numPr>
          <w:ilvl w:val="0"/>
          <w:numId w:val="4"/>
        </w:numPr>
      </w:pPr>
      <w:r>
        <w:rPr/>
        <w:t xml:space="preserve">Настоящий протокол сформирован с использованием электронной площадки АО «ЕЭТП», подписан усиленными электронными подписями всех присутствующих членов комиссии, подписан усиленной электронной подписью лица, имеющего право действовать от имени заказчика и направлен оператору электронной площадки АО «ЕЭТП» по адресу в сети «Интернет»: http://roseltorg.ru.</w:t>
      </w:r>
    </w:p>
    <w:sectPr>
      <w:pgSz w:orient="portrait" w:w="11905.511811023622" w:h="16837.79527559055"/>
      <w:pgMar w:top="566.9291338582676" w:right="566.9291338582676" w:bottom="566.9291338582676" w:left="850.3937007874015" w:header="720" w:footer="720" w:gutter="0"/>
      <w:cols w:num="1" w:space="720"/>
    </w:sectPr>
    <w:p>
      <w:r>
        <w:br w:type="page"/>
        <w:lastRenderedPageBreak/>
      </w:r>
    </w:p>
    <w:p>
      <w:pPr/>
      <w:br/>
      <w:br/>
      <w:r>
        <w:rPr/>
        <w:t xml:space="preserve">Документ подписан электронной подписью</w:t>
      </w:r>
    </w:p>
    <w:p>
      <w:pPr/>
      <w:br/>
      <w:r>
        <w:rPr/>
        <w:t xml:space="preserve"/>
      </w:r>
    </w:p>
    <w:tbl>
      <w:tblGrid>
        <w:gridCol w:w="2000" w:type="dxa"/>
        <w:gridCol w:w="3000" w:type="dxa"/>
        <w:gridCol w:w="3000" w:type="dxa"/>
        <w:gridCol w:w="2000" w:type="dxa"/>
      </w:tblGrid>
      <w:tblPr>
        <w:tblStyle w:val="style15287"/>
      </w:tblP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Роль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Сертификат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b w:val="1"/>
                <w:bCs w:val="1"/>
              </w:rPr>
              <w:t xml:space="preserve">Дата и время подписания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/>
              <w:t xml:space="preserve">Член комиссии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Дружинина Ольга Викторовна, ГОСУДАРСТВЕННОЕ БЮДЖЕТНОЕ УЧРЕЖДЕНИЕ ЗДРАВООХРАНЕНИЯ ГОРОДА МОСКВЫ "МОСКОВСКИЙ МНОГОПРОФИЛЬНЫЙ КЛИНИЧЕСКИЙ ЦЕНТР "КОММУНАРКА" ДЕПАРТАМЕНТА ЗДРАВООХРАНЕНИЯ ГОРОДА МОСКВЫ"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A6000B39D39589AE805C355E3B09381F, Действителен с 28.05.2024 по 21.08.2025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/>
              <w:t xml:space="preserve">25.12.2024 13:47:40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/>
              <w:t xml:space="preserve">Член комиссии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Шульгина Юлия Геннадьевна, ГОСУДАРСТВЕННОЕ БЮДЖЕТНОЕ УЧРЕЖДЕНИЕ ЗДРАВООХРАНЕНИЯ ГОРОДА МОСКВЫ "МОСКОВСКИЙ МНОГОПРОФИЛЬНЫЙ КЛИНИЧЕСКИЙ ЦЕНТР "КОММУНАРКА" ДЕПАРТАМЕНТА ЗДРАВООХРАНЕНИЯ ГОРОДА МОСКВЫ"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D0D2E5A1008C119BC836643520094F6A, Действителен с 28.05.2024 по 21.08.2025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/>
              <w:t xml:space="preserve">25.12.2024 13:55:54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left"/>
            </w:pPr>
            <w:r>
              <w:rPr/>
              <w:t xml:space="preserve">Председатель комиссии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Жигалина Виктория Викторовна, ГОСУДАРСТВЕННОЕ БЮДЖЕТНОЕ УЧРЕЖДЕНИЕ ЗДРАВООХРАНЕНИЯ ГОРОДА МОСКВЫ "МОСКОВСКИЙ МНОГОПРОФИЛЬНЫЙ КЛИНИЧЕСКИЙ ЦЕНТР "КОММУНАРКА" ДЕПАРТАМЕНТА ЗДРАВООХРАНЕНИЯ ГОРОДА МОСКВЫ"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/>
              <w:t xml:space="preserve">ED088AFF570BF36E28ADAB48FB0B4319, Действителен с 03.12.2024 по 26.02.2026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/>
              <w:t xml:space="preserve">25.12.2024 19:59:53</w:t>
            </w:r>
          </w:p>
        </w:tc>
      </w:tr>
    </w:tbl>
    <w:sectPr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5FB15DE1"/>
    <w:multiLevelType w:val="multilevel"/>
    <w:lvl w:ilvl="0">
      <w:start w:val="1"/>
      <w:numFmt w:val="decimal"/>
      <w:suff w:val="tab"/>
      <w:lvlText w:val="%1."/>
      <w:pPr>
        <w:tabs>
          <w:tab w:val="num" w:pos="360"/>
        </w:tabs>
        <w:ind w:left="0" w:hanging="360"/>
      </w:pPr>
      <w:rPr>
        <w:rFonts/>
      </w:rPr>
    </w:lvl>
    <w:lvl w:ilvl="1">
      <w:start w:val="1"/>
      <w:numFmt w:val="decimal"/>
      <w:suff w:val="tab"/>
      <w:lvlText w:val="%1.%2."/>
      <w:pPr>
        <w:tabs>
          <w:tab w:val="num" w:pos="360"/>
        </w:tabs>
        <w:ind w:left="360" w:hanging="360"/>
      </w:pPr>
      <w:rPr>
        <w:rFonts/>
      </w:rPr>
    </w:lvl>
    <w:lvl w:ilvl="2">
      <w:start w:val="1"/>
      <w:numFmt w:val="decimal"/>
      <w:suff w:val="tab"/>
      <w:lvlText w:val="%1.%2.%3."/>
      <w:pPr>
        <w:tabs>
          <w:tab w:val="num" w:pos="432"/>
        </w:tabs>
        <w:ind w:left="792" w:hanging="792"/>
      </w:pPr>
      <w:rPr>
        <w:rFonts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18"/>
        <w:szCs w:val="18"/>
        <w:lang w:val="ru-ru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jc w:val="both"/>
      <w:spacing w:after="96"/>
    </w:pPr>
  </w:style>
  <w:style w:type="table" w:customStyle="1" w:styleId="style83129">
    <w:name w:val="style83129"/>
    <w:uiPriority w:val="99"/>
    <w:tblPr>
      <w:tblW w:w="0" w:type="auto"/>
      <w:tblLayout w:type="autofit"/>
      <w:bidiVisual w:val="0"/>
      <w:tblCellMar>
        <w:top w:w="25" w:type="dxa"/>
        <w:left w:w="25" w:type="dxa"/>
        <w:right w:w="25" w:type="dxa"/>
        <w:bottom w:w="25" w:type="dxa"/>
      </w:tblCellMar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6704">
    <w:name w:val="style56704"/>
    <w:uiPriority w:val="99"/>
    <w:tblPr>
      <w:tblW w:w="0" w:type="auto"/>
      <w:tblLayout w:type="autofit"/>
      <w:bidiVisual w:val="0"/>
      <w:tblCellMar>
        <w:top w:w="25" w:type="dxa"/>
        <w:left w:w="25" w:type="dxa"/>
        <w:right w:w="25" w:type="dxa"/>
        <w:bottom w:w="25" w:type="dxa"/>
      </w:tblCellMar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7732">
    <w:name w:val="style37732"/>
    <w:uiPriority w:val="99"/>
    <w:tblPr>
      <w:tblW w:w="0" w:type="auto"/>
      <w:tblLayout w:type="autofit"/>
      <w:bidiVisual w:val="0"/>
      <w:tblCellMar>
        <w:top w:w="25" w:type="dxa"/>
        <w:left w:w="25" w:type="dxa"/>
        <w:right w:w="25" w:type="dxa"/>
        <w:bottom w:w="25" w:type="dxa"/>
      </w:tblCellMar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2024-12-25T11:12:38+03:00</dcterms:created>
  <dcterms:modified xsi:type="dcterms:W3CDTF">2024-12-25T11:12:38+03:00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