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15828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519"/>
        <w:gridCol w:w="9309"/>
      </w:tblGrid>
      <w:tr w:rsidR="00CA27E4" w:rsidTr="00ED25EE">
        <w:trPr>
          <w:trHeight w:val="688"/>
        </w:trPr>
        <w:tc>
          <w:tcPr>
            <w:tcW w:w="6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A27E4" w:rsidRDefault="00CA27E4" w:rsidP="00ED25EE">
            <w:pPr>
              <w:widowControl/>
              <w:suppressAutoHyphens w:val="0"/>
              <w:spacing w:line="274" w:lineRule="exact"/>
              <w:jc w:val="both"/>
              <w:rPr>
                <w:rFonts w:eastAsia="Times New Roman"/>
                <w:color w:val="auto"/>
                <w:spacing w:val="-1"/>
                <w:kern w:val="0"/>
                <w:sz w:val="16"/>
                <w:szCs w:val="16"/>
                <w:lang w:eastAsia="ru-RU"/>
              </w:rPr>
            </w:pPr>
            <w:r>
              <w:rPr>
                <w:rFonts w:eastAsia="Times New Roman"/>
                <w:color w:val="auto"/>
                <w:spacing w:val="-1"/>
                <w:kern w:val="0"/>
                <w:sz w:val="16"/>
                <w:szCs w:val="16"/>
                <w:lang w:eastAsia="ru-RU"/>
              </w:rPr>
              <w:t>Требование к товару</w:t>
            </w:r>
          </w:p>
        </w:tc>
        <w:tc>
          <w:tcPr>
            <w:tcW w:w="9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A27E4" w:rsidRDefault="00CA27E4" w:rsidP="00ED25EE">
            <w:pPr>
              <w:widowControl/>
              <w:suppressAutoHyphens w:val="0"/>
              <w:spacing w:line="276" w:lineRule="auto"/>
              <w:jc w:val="both"/>
              <w:rPr>
                <w:rFonts w:eastAsia="Times New Roman"/>
                <w:color w:val="auto"/>
                <w:kern w:val="0"/>
                <w:sz w:val="16"/>
                <w:szCs w:val="16"/>
                <w:lang w:eastAsia="ru-RU"/>
              </w:rPr>
            </w:pPr>
            <w:r>
              <w:rPr>
                <w:rFonts w:eastAsia="Times New Roman"/>
                <w:color w:val="auto"/>
                <w:kern w:val="0"/>
                <w:sz w:val="16"/>
                <w:szCs w:val="16"/>
                <w:lang w:eastAsia="ru-RU"/>
              </w:rPr>
              <w:t xml:space="preserve">Поставляемый товар должен быть новым, не бывшим в употреблении, пригодным к использованию, без видимых признаков повреждения, по своему качеству и комплектности должен соответствовать требованиям законодательства Российской Федерации, государственных стандартов, технических условий, технических регламентов или иных нормативных правовых актов, регулирующих предмет Контракта </w:t>
            </w:r>
            <w:r>
              <w:rPr>
                <w:rFonts w:eastAsia="Times New Roman"/>
                <w:i/>
                <w:color w:val="auto"/>
                <w:kern w:val="0"/>
                <w:sz w:val="16"/>
                <w:szCs w:val="16"/>
                <w:lang w:eastAsia="ru-RU"/>
              </w:rPr>
              <w:t>(Данное требование является безусловным к исполнению, и не требует отдельного подтверждения (указания) в составе заявки)</w:t>
            </w:r>
            <w:r>
              <w:rPr>
                <w:rFonts w:eastAsia="Times New Roman"/>
                <w:color w:val="auto"/>
                <w:kern w:val="0"/>
                <w:sz w:val="16"/>
                <w:szCs w:val="16"/>
                <w:lang w:eastAsia="ru-RU"/>
              </w:rPr>
              <w:t xml:space="preserve">. </w:t>
            </w:r>
          </w:p>
        </w:tc>
      </w:tr>
      <w:tr w:rsidR="00CA27E4" w:rsidTr="00ED25EE">
        <w:trPr>
          <w:trHeight w:val="688"/>
        </w:trPr>
        <w:tc>
          <w:tcPr>
            <w:tcW w:w="6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A27E4" w:rsidRDefault="00CA27E4" w:rsidP="00ED25EE">
            <w:pPr>
              <w:widowControl/>
              <w:suppressAutoHyphens w:val="0"/>
              <w:spacing w:line="276" w:lineRule="auto"/>
              <w:jc w:val="both"/>
              <w:rPr>
                <w:rFonts w:eastAsia="Times New Roman"/>
                <w:color w:val="auto"/>
                <w:spacing w:val="-1"/>
                <w:kern w:val="0"/>
                <w:sz w:val="16"/>
                <w:szCs w:val="16"/>
                <w:lang w:eastAsia="ru-RU"/>
              </w:rPr>
            </w:pPr>
            <w:r>
              <w:rPr>
                <w:rFonts w:eastAsia="Times New Roman"/>
                <w:color w:val="auto"/>
                <w:kern w:val="0"/>
                <w:sz w:val="16"/>
                <w:szCs w:val="16"/>
                <w:lang w:eastAsia="ru-RU"/>
              </w:rPr>
              <w:t>Требования к гарантийному сроку товара и (или) объему предоставления гарантий их качества, к гарантийному обслуживанию товара, к расходам на эксплуатацию товара, к обязательности осуществления монтажа и наладки товара, к обучению лиц, осуществляющих использование и обслуживание товара, устанавливаются заказчиком при необходимости</w:t>
            </w:r>
          </w:p>
        </w:tc>
        <w:tc>
          <w:tcPr>
            <w:tcW w:w="9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A27E4" w:rsidRDefault="00CA27E4" w:rsidP="00ED25EE">
            <w:pPr>
              <w:widowControl/>
              <w:suppressAutoHyphens w:val="0"/>
              <w:spacing w:line="276" w:lineRule="auto"/>
              <w:jc w:val="both"/>
              <w:rPr>
                <w:rFonts w:eastAsia="Times New Roman"/>
                <w:color w:val="auto"/>
                <w:kern w:val="0"/>
                <w:sz w:val="16"/>
                <w:szCs w:val="16"/>
                <w:lang w:eastAsia="ru-RU"/>
              </w:rPr>
            </w:pPr>
            <w:r>
              <w:rPr>
                <w:rFonts w:eastAsia="Times New Roman"/>
                <w:color w:val="auto"/>
                <w:kern w:val="0"/>
                <w:sz w:val="16"/>
                <w:szCs w:val="16"/>
                <w:lang w:eastAsia="ru-RU"/>
              </w:rPr>
              <w:t xml:space="preserve">Поставщик гарантирует поставить товар с остаточным сроком годности не менее 6 месяцев на момент поставки товара. </w:t>
            </w:r>
            <w:r>
              <w:rPr>
                <w:rFonts w:eastAsia="Times New Roman"/>
                <w:i/>
                <w:color w:val="auto"/>
                <w:kern w:val="0"/>
                <w:sz w:val="16"/>
                <w:szCs w:val="16"/>
                <w:lang w:eastAsia="ru-RU"/>
              </w:rPr>
              <w:t>(Данное требование является безусловным к исполнению, и не требует отдельного подтверждения (указания) в составе заявки).</w:t>
            </w:r>
          </w:p>
        </w:tc>
      </w:tr>
      <w:tr w:rsidR="00CA27E4" w:rsidTr="00ED25EE">
        <w:trPr>
          <w:trHeight w:val="688"/>
        </w:trPr>
        <w:tc>
          <w:tcPr>
            <w:tcW w:w="6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27E4" w:rsidRDefault="00CA27E4" w:rsidP="00ED25EE">
            <w:pPr>
              <w:widowControl/>
              <w:suppressAutoHyphens w:val="0"/>
              <w:spacing w:line="276" w:lineRule="auto"/>
              <w:jc w:val="both"/>
              <w:rPr>
                <w:rFonts w:eastAsia="Times New Roman"/>
                <w:color w:val="auto"/>
                <w:kern w:val="0"/>
                <w:sz w:val="16"/>
                <w:szCs w:val="16"/>
                <w:lang w:eastAsia="ru-RU"/>
              </w:rPr>
            </w:pPr>
            <w:r>
              <w:rPr>
                <w:rFonts w:eastAsia="Times New Roman"/>
                <w:color w:val="auto"/>
                <w:kern w:val="0"/>
                <w:sz w:val="16"/>
                <w:szCs w:val="16"/>
                <w:lang w:eastAsia="ru-RU"/>
              </w:rPr>
              <w:t>Требования к упаковке</w:t>
            </w:r>
          </w:p>
        </w:tc>
        <w:tc>
          <w:tcPr>
            <w:tcW w:w="9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27E4" w:rsidRDefault="00CA27E4" w:rsidP="00ED25EE">
            <w:pPr>
              <w:widowControl/>
              <w:suppressAutoHyphens w:val="0"/>
              <w:spacing w:line="276" w:lineRule="auto"/>
              <w:jc w:val="both"/>
              <w:rPr>
                <w:rFonts w:eastAsia="Times New Roman"/>
                <w:color w:val="auto"/>
                <w:kern w:val="0"/>
                <w:sz w:val="16"/>
                <w:szCs w:val="16"/>
                <w:lang w:eastAsia="ru-RU"/>
              </w:rPr>
            </w:pPr>
            <w:r>
              <w:rPr>
                <w:rFonts w:eastAsia="Times New Roman"/>
                <w:color w:val="auto"/>
                <w:kern w:val="0"/>
                <w:sz w:val="16"/>
                <w:szCs w:val="16"/>
                <w:lang w:eastAsia="ru-RU"/>
              </w:rPr>
              <w:t xml:space="preserve">Стерильная индивидуальная упаковка </w:t>
            </w:r>
            <w:r>
              <w:rPr>
                <w:rFonts w:eastAsia="Times New Roman"/>
                <w:i/>
                <w:color w:val="auto"/>
                <w:kern w:val="0"/>
                <w:sz w:val="16"/>
                <w:szCs w:val="16"/>
                <w:lang w:eastAsia="ru-RU"/>
              </w:rPr>
              <w:t>(Данное требование является безусловным к исполнению, и не требует отдельного подтверждения (указания) в составе заявки).</w:t>
            </w:r>
          </w:p>
        </w:tc>
      </w:tr>
    </w:tbl>
    <w:p w:rsidR="00A960D6" w:rsidRDefault="00A960D6">
      <w:pPr>
        <w:pStyle w:val="ConsNormal"/>
        <w:widowControl/>
        <w:tabs>
          <w:tab w:val="center" w:pos="4677"/>
          <w:tab w:val="left" w:pos="7513"/>
        </w:tabs>
        <w:ind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GoBack"/>
      <w:bookmarkEnd w:id="0"/>
    </w:p>
    <w:p w:rsidR="00A960D6" w:rsidRDefault="00A960D6">
      <w:pPr>
        <w:jc w:val="center"/>
        <w:rPr>
          <w:b/>
          <w:color w:val="auto"/>
          <w:sz w:val="16"/>
          <w:szCs w:val="16"/>
        </w:rPr>
      </w:pPr>
    </w:p>
    <w:p w:rsidR="00A960D6" w:rsidRDefault="00A960D6">
      <w:pPr>
        <w:jc w:val="center"/>
        <w:rPr>
          <w:b/>
          <w:color w:val="auto"/>
          <w:sz w:val="16"/>
          <w:szCs w:val="16"/>
        </w:rPr>
      </w:pPr>
    </w:p>
    <w:p w:rsidR="00A960D6" w:rsidRDefault="00B93B15">
      <w:pPr>
        <w:jc w:val="center"/>
        <w:rPr>
          <w:color w:val="auto"/>
          <w:sz w:val="16"/>
          <w:szCs w:val="16"/>
        </w:rPr>
      </w:pPr>
      <w:r>
        <w:rPr>
          <w:b/>
          <w:color w:val="auto"/>
          <w:sz w:val="16"/>
          <w:szCs w:val="16"/>
        </w:rPr>
        <w:t>Описание объекта закупки</w:t>
      </w:r>
    </w:p>
    <w:p w:rsidR="00A960D6" w:rsidRDefault="00A960D6">
      <w:pPr>
        <w:spacing w:line="360" w:lineRule="auto"/>
        <w:rPr>
          <w:color w:val="000000"/>
          <w:sz w:val="16"/>
          <w:szCs w:val="16"/>
          <w:lang w:val="en-US" w:bidi="ru-RU"/>
        </w:rPr>
      </w:pPr>
    </w:p>
    <w:tbl>
      <w:tblPr>
        <w:tblpPr w:leftFromText="180" w:rightFromText="180" w:vertAnchor="text" w:horzAnchor="page" w:tblpX="170" w:tblpY="80"/>
        <w:tblOverlap w:val="never"/>
        <w:tblW w:w="16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692"/>
        <w:gridCol w:w="1301"/>
        <w:gridCol w:w="2332"/>
        <w:gridCol w:w="1400"/>
        <w:gridCol w:w="1301"/>
        <w:gridCol w:w="2153"/>
        <w:gridCol w:w="1836"/>
        <w:gridCol w:w="1608"/>
        <w:gridCol w:w="923"/>
        <w:gridCol w:w="1425"/>
      </w:tblGrid>
      <w:tr w:rsidR="00A960D6">
        <w:trPr>
          <w:trHeight w:val="462"/>
        </w:trPr>
        <w:tc>
          <w:tcPr>
            <w:tcW w:w="648" w:type="dxa"/>
            <w:vMerge w:val="restart"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60D6" w:rsidRDefault="00B93B15">
            <w:pPr>
              <w:pStyle w:val="18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№ п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/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</w:t>
            </w:r>
          </w:p>
        </w:tc>
        <w:tc>
          <w:tcPr>
            <w:tcW w:w="1692" w:type="dxa"/>
            <w:vMerge w:val="restart"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60D6" w:rsidRDefault="00B93B15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Наименование товара, работы, услуги</w:t>
            </w:r>
          </w:p>
        </w:tc>
        <w:tc>
          <w:tcPr>
            <w:tcW w:w="1301" w:type="dxa"/>
            <w:vMerge w:val="restart"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</w:p>
          <w:p w:rsidR="00A960D6" w:rsidRDefault="00B93B15">
            <w:pPr>
              <w:pStyle w:val="1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Код позиции</w:t>
            </w:r>
          </w:p>
        </w:tc>
        <w:tc>
          <w:tcPr>
            <w:tcW w:w="7186" w:type="dxa"/>
            <w:gridSpan w:val="4"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60D6" w:rsidRDefault="00B93B15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товара, работы, услуги</w:t>
            </w:r>
            <w:r>
              <w:rPr>
                <w:rFonts w:ascii="Times New Roman" w:hAnsi="Times New Roman" w:cs="Times New Roman"/>
                <w:sz w:val="16"/>
                <w:szCs w:val="16"/>
                <w:lang w:val="en-US" w:bidi="ru-RU"/>
              </w:rPr>
              <w:br/>
            </w:r>
          </w:p>
        </w:tc>
        <w:tc>
          <w:tcPr>
            <w:tcW w:w="1836" w:type="dxa"/>
            <w:vMerge w:val="restart"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Информация о товарном знаке и знаках обслуживания</w:t>
            </w:r>
          </w:p>
        </w:tc>
        <w:tc>
          <w:tcPr>
            <w:tcW w:w="1608" w:type="dxa"/>
            <w:vMerge w:val="restart"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>Кол</w:t>
            </w:r>
            <w:r>
              <w:rPr>
                <w:rFonts w:ascii="Times New Roman" w:hAnsi="Times New Roman" w:cs="Times New Roman"/>
                <w:sz w:val="16"/>
                <w:szCs w:val="16"/>
                <w:lang w:val="en-US" w:bidi="ru-RU"/>
              </w:rPr>
              <w:t>-в</w:t>
            </w:r>
            <w:r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>о</w:t>
            </w:r>
          </w:p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</w:tc>
        <w:tc>
          <w:tcPr>
            <w:tcW w:w="923" w:type="dxa"/>
            <w:vMerge w:val="restart"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>Ед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en-US" w:bidi="ru-RU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>изм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en-US" w:bidi="ru-RU"/>
              </w:rPr>
              <w:t>.</w:t>
            </w:r>
          </w:p>
        </w:tc>
        <w:tc>
          <w:tcPr>
            <w:tcW w:w="1425" w:type="dxa"/>
            <w:vMerge w:val="restart"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>Обоснование</w:t>
            </w:r>
          </w:p>
        </w:tc>
      </w:tr>
      <w:tr w:rsidR="00A960D6">
        <w:trPr>
          <w:trHeight w:val="613"/>
        </w:trPr>
        <w:tc>
          <w:tcPr>
            <w:tcW w:w="648" w:type="dxa"/>
            <w:vMerge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92" w:type="dxa"/>
            <w:vMerge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1" w:type="dxa"/>
            <w:vMerge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32" w:type="dxa"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>Наименование характеристики</w:t>
            </w:r>
          </w:p>
        </w:tc>
        <w:tc>
          <w:tcPr>
            <w:tcW w:w="1400" w:type="dxa"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 xml:space="preserve">Значение </w:t>
            </w:r>
            <w:r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>характеристики</w:t>
            </w:r>
          </w:p>
        </w:tc>
        <w:tc>
          <w:tcPr>
            <w:tcW w:w="1301" w:type="dxa"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>Единица</w:t>
            </w:r>
            <w:r>
              <w:rPr>
                <w:rFonts w:ascii="Times New Roman" w:hAnsi="Times New Roman" w:cs="Times New Roman"/>
                <w:sz w:val="16"/>
                <w:szCs w:val="16"/>
                <w:lang w:val="en-US" w:bidi="ru-RU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>измерения</w:t>
            </w:r>
            <w:r>
              <w:rPr>
                <w:rFonts w:ascii="Times New Roman" w:hAnsi="Times New Roman" w:cs="Times New Roman"/>
                <w:sz w:val="16"/>
                <w:szCs w:val="16"/>
                <w:lang w:val="en-US" w:bidi="ru-RU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lang w:val="en-US" w:bidi="ru-RU"/>
              </w:rPr>
              <w:br/>
            </w:r>
            <w:r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>характеристики</w:t>
            </w:r>
            <w:r>
              <w:rPr>
                <w:rFonts w:ascii="Times New Roman" w:hAnsi="Times New Roman" w:cs="Times New Roman"/>
                <w:sz w:val="16"/>
                <w:szCs w:val="16"/>
                <w:lang w:val="en-US" w:bidi="ru-RU"/>
              </w:rPr>
              <w:br/>
            </w:r>
          </w:p>
        </w:tc>
        <w:tc>
          <w:tcPr>
            <w:tcW w:w="2153" w:type="dxa"/>
          </w:tcPr>
          <w:p w:rsidR="00A960D6" w:rsidRPr="00CA27E4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  <w:p w:rsidR="00A960D6" w:rsidRPr="00CA27E4" w:rsidRDefault="00B93B15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r w:rsidRPr="00CA27E4">
              <w:rPr>
                <w:rFonts w:ascii="Times New Roman" w:hAnsi="Times New Roman" w:cs="Times New Roman"/>
                <w:sz w:val="16"/>
                <w:szCs w:val="16"/>
                <w:lang w:bidi="ru-RU"/>
              </w:rPr>
              <w:t>Инструкция по заполнению характеристик в заявке</w:t>
            </w:r>
          </w:p>
        </w:tc>
        <w:tc>
          <w:tcPr>
            <w:tcW w:w="1836" w:type="dxa"/>
            <w:vMerge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</w:tc>
        <w:tc>
          <w:tcPr>
            <w:tcW w:w="1608" w:type="dxa"/>
            <w:vMerge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</w:tc>
        <w:tc>
          <w:tcPr>
            <w:tcW w:w="923" w:type="dxa"/>
            <w:vMerge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</w:tc>
        <w:tc>
          <w:tcPr>
            <w:tcW w:w="1425" w:type="dxa"/>
            <w:vMerge/>
          </w:tcPr>
          <w:p w:rsidR="00A960D6" w:rsidRDefault="00A960D6">
            <w:pPr>
              <w:pStyle w:val="18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</w:p>
        </w:tc>
      </w:tr>
      <w:tr w:rsidR="00A960D6">
        <w:trPr>
          <w:trHeight w:val="3435"/>
        </w:trPr>
        <w:tc>
          <w:tcPr>
            <w:tcW w:w="648" w:type="dxa"/>
          </w:tcPr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right="57"/>
              <w:rPr>
                <w:color w:val="000000"/>
                <w:sz w:val="16"/>
                <w:szCs w:val="16"/>
              </w:rPr>
            </w:pPr>
          </w:p>
          <w:p w:rsidR="00A960D6" w:rsidRDefault="00B93B15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val="en-US" w:bidi="ru-RU"/>
              </w:rPr>
            </w:pPr>
            <w:r>
              <w:rPr>
                <w:sz w:val="16"/>
                <w:szCs w:val="16"/>
                <w:lang w:bidi="ru-RU"/>
              </w:rPr>
              <w:t>1</w:t>
            </w:r>
          </w:p>
        </w:tc>
        <w:tc>
          <w:tcPr>
            <w:tcW w:w="1692" w:type="dxa"/>
          </w:tcPr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val="en-US" w:bidi="ru-RU"/>
              </w:rPr>
            </w:pPr>
            <w:r>
              <w:rPr>
                <w:sz w:val="16"/>
                <w:szCs w:val="16"/>
                <w:lang w:bidi="ru-RU"/>
              </w:rPr>
              <w:t xml:space="preserve">Насос </w:t>
            </w:r>
            <w:proofErr w:type="spellStart"/>
            <w:r>
              <w:rPr>
                <w:sz w:val="16"/>
                <w:szCs w:val="16"/>
                <w:lang w:bidi="ru-RU"/>
              </w:rPr>
              <w:t>инфузионный</w:t>
            </w:r>
            <w:proofErr w:type="spellEnd"/>
            <w:r>
              <w:rPr>
                <w:sz w:val="16"/>
                <w:szCs w:val="16"/>
                <w:lang w:bidi="ru-RU"/>
              </w:rPr>
              <w:t xml:space="preserve"> </w:t>
            </w:r>
            <w:proofErr w:type="spellStart"/>
            <w:r>
              <w:rPr>
                <w:sz w:val="16"/>
                <w:szCs w:val="16"/>
                <w:lang w:bidi="ru-RU"/>
              </w:rPr>
              <w:t>эластомерный</w:t>
            </w:r>
            <w:proofErr w:type="spellEnd"/>
          </w:p>
        </w:tc>
        <w:tc>
          <w:tcPr>
            <w:tcW w:w="1301" w:type="dxa"/>
          </w:tcPr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color w:val="000000"/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  <w:r>
              <w:rPr>
                <w:color w:val="000000"/>
                <w:sz w:val="16"/>
                <w:szCs w:val="16"/>
                <w:lang w:val="en-US" w:bidi="ru-RU"/>
              </w:rPr>
              <w:t xml:space="preserve"> </w:t>
            </w:r>
            <w:r>
              <w:rPr>
                <w:sz w:val="16"/>
                <w:szCs w:val="16"/>
                <w:lang w:bidi="ru-RU"/>
              </w:rPr>
              <w:t>32.50.50.190-00002771</w:t>
            </w:r>
          </w:p>
        </w:tc>
        <w:tc>
          <w:tcPr>
            <w:tcW w:w="7186" w:type="dxa"/>
            <w:gridSpan w:val="4"/>
          </w:tcPr>
          <w:tbl>
            <w:tblPr>
              <w:tblW w:w="7209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224"/>
              <w:gridCol w:w="1403"/>
              <w:gridCol w:w="1298"/>
              <w:gridCol w:w="2284"/>
            </w:tblGrid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Скорость инфузии регулируемая, мл/час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≤ 15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</w:t>
                  </w:r>
                  <w:r w:rsidRPr="00CA27E4">
                    <w:rPr>
                      <w:sz w:val="16"/>
                      <w:szCs w:val="16"/>
                    </w:rPr>
                    <w:t xml:space="preserve">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Объем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резервуара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≥ 300 и ≤ 400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Кубический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сантиметр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>;^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миллилитр</w:t>
                  </w:r>
                  <w:proofErr w:type="spellEnd"/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Возможность выбора</w:t>
                  </w:r>
                  <w:r w:rsidRPr="00CA27E4">
                    <w:rPr>
                      <w:sz w:val="16"/>
                      <w:szCs w:val="16"/>
                    </w:rPr>
                    <w:t xml:space="preserve"> не менее 15 скоростей, с шагом регулировки не более 1 мл., с возможностью немедленной остановки инфузии (режим ''0'')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Время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инфузии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,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часов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≥ 20 и ≤ 300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</w:r>
                  <w:r w:rsidRPr="00CA27E4">
                    <w:rPr>
                      <w:sz w:val="16"/>
                      <w:szCs w:val="16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Объем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заполнения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≥ 300 и ≤ 399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Кубический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сантиметр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>;^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миллилитр</w:t>
                  </w:r>
                  <w:proofErr w:type="spellEnd"/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Остаточный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объем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в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линии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≤ 3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Кубический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сантиметр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>;^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миллилитр</w:t>
                  </w:r>
                  <w:proofErr w:type="spellEnd"/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Скорость инфузии устанавливается с помощью извлекаемого ключа управления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соответствие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</w:t>
                  </w:r>
                  <w:r w:rsidRPr="00CA27E4">
                    <w:rPr>
                      <w:sz w:val="16"/>
                      <w:szCs w:val="16"/>
                    </w:rPr>
                    <w:t xml:space="preserve">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Наличие резервуара, состоящего из эластичного химически инертного медицинского силикона, не содержит латекс и фталаты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соответствие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Высокопрочный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защитный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пластиковый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корпус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Механизм, контролирующий точность подачи раствора, и обеспечивающий гарантию точности инфузии при заполнении резервуара от 50% </w:t>
                  </w:r>
                  <w:r w:rsidRPr="00CA27E4">
                    <w:rPr>
                      <w:sz w:val="16"/>
                      <w:szCs w:val="16"/>
                    </w:rPr>
                    <w:t>от объема резервуара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Шкалы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деления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с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шагом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≤ 10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Кубический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сантиметр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>;^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миллилитр</w:t>
                  </w:r>
                  <w:proofErr w:type="spellEnd"/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r w:rsidRPr="00CA27E4">
                    <w:rPr>
                      <w:sz w:val="16"/>
                      <w:szCs w:val="16"/>
                    </w:rPr>
                    <w:t>Порт для заполнения препарата с запорным клапаном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соответствие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2 фильтра грубой очистки в порту заполнения, для защиты инфузионной линии от окклюзии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</w:r>
                  <w:r w:rsidRPr="00CA27E4">
                    <w:rPr>
                      <w:sz w:val="16"/>
                      <w:szCs w:val="16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колпачек со встроенным воздушным фильтромна на дистальном конце удлинительной линии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Устройство, </w:t>
                  </w:r>
                  <w:r w:rsidRPr="00CA27E4">
                    <w:rPr>
                      <w:sz w:val="16"/>
                      <w:szCs w:val="16"/>
                    </w:rPr>
                    <w:t>создающее равное давление как в самой помпе, так и в катетере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Инфузионная линия защищена от перегибов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соответствие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</w:t>
                  </w:r>
                  <w:r w:rsidRPr="00CA27E4">
                    <w:rPr>
                      <w:sz w:val="16"/>
                      <w:szCs w:val="16"/>
                    </w:rPr>
                    <w:t xml:space="preserve">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Удлинительная линия снабжена инфузионным фильтром с размером ячеек 1,2 микрона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соответствие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Скользящий зажим на инфузионной линии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Лента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для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крепления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помпы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Система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блокировки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болюса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Нет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Значение </w:t>
                  </w:r>
                  <w:r w:rsidRPr="00CA27E4">
                    <w:rPr>
                      <w:sz w:val="16"/>
                      <w:szCs w:val="16"/>
                    </w:rPr>
                    <w:t>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Регулирование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скорости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инфузии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Да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Путь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введения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лекарственного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препарата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Внутривенный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Значение </w:t>
                  </w:r>
                  <w:r w:rsidRPr="00CA27E4">
                    <w:rPr>
                      <w:sz w:val="16"/>
                      <w:szCs w:val="16"/>
                    </w:rPr>
                    <w:t>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Болюс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Нет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Защита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от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УФ-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лучей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Да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Скорость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инфузии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,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мл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>/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час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15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</w:tbl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</w:p>
        </w:tc>
        <w:tc>
          <w:tcPr>
            <w:tcW w:w="1836" w:type="dxa"/>
          </w:tcPr>
          <w:p w:rsidR="00A960D6" w:rsidRDefault="00A960D6">
            <w:pPr>
              <w:jc w:val="center"/>
              <w:rPr>
                <w:color w:val="auto"/>
                <w:sz w:val="16"/>
                <w:szCs w:val="16"/>
              </w:rPr>
            </w:pPr>
          </w:p>
          <w:p w:rsidR="00A960D6" w:rsidRDefault="00A960D6">
            <w:pPr>
              <w:jc w:val="center"/>
              <w:rPr>
                <w:color w:val="auto"/>
                <w:sz w:val="16"/>
                <w:szCs w:val="16"/>
              </w:rPr>
            </w:pPr>
          </w:p>
          <w:p w:rsidR="00A960D6" w:rsidRDefault="00A960D6">
            <w:pPr>
              <w:pStyle w:val="22"/>
              <w:rPr>
                <w:color w:val="auto"/>
                <w:sz w:val="16"/>
                <w:szCs w:val="16"/>
              </w:rPr>
            </w:pPr>
          </w:p>
        </w:tc>
        <w:tc>
          <w:tcPr>
            <w:tcW w:w="1608" w:type="dxa"/>
          </w:tcPr>
          <w:p w:rsidR="00A960D6" w:rsidRDefault="00A960D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A960D6" w:rsidRDefault="00B93B1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r w:rsidRPr="00CA27E4">
              <w:rPr>
                <w:rFonts w:ascii="Times New Roman" w:hAnsi="Times New Roman" w:cs="Times New Roman"/>
                <w:sz w:val="16"/>
                <w:szCs w:val="16"/>
              </w:rPr>
              <w:t>Невозможно определить количество товара, объем подлежащих выполнению работ, оказанию услуг (в соответствии с ч. 24 ст. 22 фз 44)</w:t>
            </w:r>
          </w:p>
        </w:tc>
        <w:tc>
          <w:tcPr>
            <w:tcW w:w="923" w:type="dxa"/>
          </w:tcPr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right="57"/>
              <w:rPr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22"/>
              <w:shd w:val="clear" w:color="auto" w:fill="auto"/>
              <w:spacing w:before="0" w:after="0" w:line="240" w:lineRule="auto"/>
              <w:ind w:right="57"/>
              <w:rPr>
                <w:sz w:val="16"/>
                <w:szCs w:val="16"/>
                <w:lang w:bidi="ru-RU"/>
              </w:rPr>
            </w:pPr>
            <w:r>
              <w:rPr>
                <w:sz w:val="16"/>
                <w:szCs w:val="16"/>
                <w:lang w:bidi="ru-RU"/>
              </w:rPr>
              <w:t>ШТ</w:t>
            </w:r>
          </w:p>
        </w:tc>
        <w:tc>
          <w:tcPr>
            <w:tcW w:w="1425" w:type="dxa"/>
          </w:tcPr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  <w:r>
              <w:rPr>
                <w:sz w:val="16"/>
                <w:szCs w:val="16"/>
                <w:lang w:bidi="ru-RU"/>
              </w:rPr>
              <w:t>Применение параметров</w:t>
            </w:r>
            <w:r>
              <w:rPr>
                <w:sz w:val="16"/>
                <w:szCs w:val="16"/>
                <w:lang w:bidi="ru-RU"/>
              </w:rPr>
              <w:t xml:space="preserve">, условных обозначений и терминологии, касающихся технических, функциональных (потребительских свойств) и качественных характеристик объекта закупки, не учтенных каталогом товаров, работ, услуг обусловлено необходимостью поставки товара (оказания </w:t>
            </w:r>
            <w:r>
              <w:rPr>
                <w:sz w:val="16"/>
                <w:szCs w:val="16"/>
                <w:lang w:bidi="ru-RU"/>
              </w:rPr>
              <w:lastRenderedPageBreak/>
              <w:t>услуги/ в</w:t>
            </w:r>
            <w:r>
              <w:rPr>
                <w:sz w:val="16"/>
                <w:szCs w:val="16"/>
                <w:lang w:bidi="ru-RU"/>
              </w:rPr>
              <w:t>ыполнения работы) надлежащего качества, с параметрами в наибольшей степени удовлетворяющими потребности Заказчика</w:t>
            </w:r>
          </w:p>
        </w:tc>
      </w:tr>
      <w:tr w:rsidR="00A960D6">
        <w:trPr>
          <w:trHeight w:val="3435"/>
        </w:trPr>
        <w:tc>
          <w:tcPr>
            <w:tcW w:w="648" w:type="dxa"/>
          </w:tcPr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right="57"/>
              <w:rPr>
                <w:color w:val="000000"/>
                <w:sz w:val="16"/>
                <w:szCs w:val="16"/>
              </w:rPr>
            </w:pPr>
          </w:p>
          <w:p w:rsidR="00A960D6" w:rsidRDefault="00B93B15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val="en-US" w:bidi="ru-RU"/>
              </w:rPr>
            </w:pPr>
            <w:r>
              <w:rPr>
                <w:sz w:val="16"/>
                <w:szCs w:val="16"/>
                <w:lang w:bidi="ru-RU"/>
              </w:rPr>
              <w:t>2</w:t>
            </w:r>
          </w:p>
        </w:tc>
        <w:tc>
          <w:tcPr>
            <w:tcW w:w="1692" w:type="dxa"/>
          </w:tcPr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val="en-US" w:bidi="ru-RU"/>
              </w:rPr>
            </w:pPr>
            <w:r>
              <w:rPr>
                <w:sz w:val="16"/>
                <w:szCs w:val="16"/>
                <w:lang w:bidi="ru-RU"/>
              </w:rPr>
              <w:t xml:space="preserve">Насос </w:t>
            </w:r>
            <w:proofErr w:type="spellStart"/>
            <w:r>
              <w:rPr>
                <w:sz w:val="16"/>
                <w:szCs w:val="16"/>
                <w:lang w:bidi="ru-RU"/>
              </w:rPr>
              <w:t>инфузионный</w:t>
            </w:r>
            <w:proofErr w:type="spellEnd"/>
            <w:r>
              <w:rPr>
                <w:sz w:val="16"/>
                <w:szCs w:val="16"/>
                <w:lang w:bidi="ru-RU"/>
              </w:rPr>
              <w:t xml:space="preserve"> </w:t>
            </w:r>
            <w:proofErr w:type="spellStart"/>
            <w:r>
              <w:rPr>
                <w:sz w:val="16"/>
                <w:szCs w:val="16"/>
                <w:lang w:bidi="ru-RU"/>
              </w:rPr>
              <w:t>эластомерный</w:t>
            </w:r>
            <w:proofErr w:type="spellEnd"/>
          </w:p>
        </w:tc>
        <w:tc>
          <w:tcPr>
            <w:tcW w:w="1301" w:type="dxa"/>
          </w:tcPr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color w:val="000000"/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  <w:r>
              <w:rPr>
                <w:color w:val="000000"/>
                <w:sz w:val="16"/>
                <w:szCs w:val="16"/>
                <w:lang w:val="en-US" w:bidi="ru-RU"/>
              </w:rPr>
              <w:t xml:space="preserve"> </w:t>
            </w:r>
            <w:r>
              <w:rPr>
                <w:sz w:val="16"/>
                <w:szCs w:val="16"/>
                <w:lang w:bidi="ru-RU"/>
              </w:rPr>
              <w:t>32.50.50.190-00002926</w:t>
            </w:r>
          </w:p>
        </w:tc>
        <w:tc>
          <w:tcPr>
            <w:tcW w:w="7186" w:type="dxa"/>
            <w:gridSpan w:val="4"/>
          </w:tcPr>
          <w:tbl>
            <w:tblPr>
              <w:tblW w:w="7209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224"/>
              <w:gridCol w:w="1403"/>
              <w:gridCol w:w="1298"/>
              <w:gridCol w:w="2284"/>
            </w:tblGrid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Скорость инфузии регулируемая, мл/час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≤ 15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</w:t>
                  </w:r>
                  <w:r w:rsidRPr="00CA27E4">
                    <w:rPr>
                      <w:sz w:val="16"/>
                      <w:szCs w:val="16"/>
                    </w:rPr>
                    <w:t xml:space="preserve">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Объем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резервуара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≥ 600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Кубический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сантиметр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>;^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миллилитр</w:t>
                  </w:r>
                  <w:proofErr w:type="spellEnd"/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Возможность выбора</w:t>
                  </w:r>
                  <w:r w:rsidRPr="00CA27E4">
                    <w:rPr>
                      <w:sz w:val="16"/>
                      <w:szCs w:val="16"/>
                    </w:rPr>
                    <w:t xml:space="preserve"> не менее 15 скоростей, с шагом регулировки не более 1 мл., с возможностью немедленной остановки инфузии (режим ''0'')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Время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инфузии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,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часов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≥ 40 и ≤ 600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</w:r>
                  <w:r w:rsidRPr="00CA27E4">
                    <w:rPr>
                      <w:sz w:val="16"/>
                      <w:szCs w:val="16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Остаточный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объем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в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линии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≤ 3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Кубический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сантиметр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>;^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миллилитр</w:t>
                  </w:r>
                  <w:proofErr w:type="spellEnd"/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Скорость инфузии</w:t>
                  </w:r>
                  <w:r w:rsidRPr="00CA27E4">
                    <w:rPr>
                      <w:sz w:val="16"/>
                      <w:szCs w:val="16"/>
                    </w:rPr>
                    <w:t xml:space="preserve"> устанавливается с помощью извлекаемого ключа управления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соответствие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Наличие резервуара, состоящего из эластичного химически инертного медицинского силикона, не содержит латекс</w:t>
                  </w:r>
                  <w:r w:rsidRPr="00CA27E4">
                    <w:rPr>
                      <w:sz w:val="16"/>
                      <w:szCs w:val="16"/>
                    </w:rPr>
                    <w:t xml:space="preserve"> и фталаты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соответствие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Высокопрочный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защитный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пластиковый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корпус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Механизм, контролирующий</w:t>
                  </w:r>
                  <w:r w:rsidRPr="00CA27E4">
                    <w:rPr>
                      <w:sz w:val="16"/>
                      <w:szCs w:val="16"/>
                    </w:rPr>
                    <w:t xml:space="preserve"> точность подачи раствора, и обеспечивающий гарантию точности инфузии при заполнении резервуара от 50% от объема резервуара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Шкалы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деления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с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шагом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≤ 10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Кубический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сантиметр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>;^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миллилитр</w:t>
                  </w:r>
                  <w:proofErr w:type="spellEnd"/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Порт для заполнения препарата с запорным клапаном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соответствие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2 </w:t>
                  </w:r>
                  <w:r w:rsidRPr="00CA27E4">
                    <w:rPr>
                      <w:sz w:val="16"/>
                      <w:szCs w:val="16"/>
                    </w:rPr>
                    <w:t>фильтра грубой очистки в порту заполнения, для защиты инфузионной линии от окклюзии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колпачек со встроенным воздушным фильтромна на дистальном конце удлинительной линии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Устройство, создающее равное давление как в самой помпе, так и в катетере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r w:rsidRPr="00CA27E4">
                    <w:rPr>
                      <w:sz w:val="16"/>
                      <w:szCs w:val="16"/>
                    </w:rPr>
                    <w:t>Инфузионная линия защищена от перегибов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соответствие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Удлинительная линия снабжена инфузионным фильтром с размером ячеек 1,2 микрона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соответствие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Значение </w:t>
                  </w:r>
                  <w:r w:rsidRPr="00CA27E4">
                    <w:rPr>
                      <w:sz w:val="16"/>
                      <w:szCs w:val="16"/>
                    </w:rPr>
                    <w:t>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Скользящий зажим на инфузионной линии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Pr="00CA27E4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 w:rsidRPr="00CA27E4">
                          <w:rPr>
                            <w:sz w:val="16"/>
                            <w:szCs w:val="16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Лента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для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крепления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помпы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наличие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</w:t>
                  </w:r>
                  <w:r w:rsidRPr="00CA27E4">
                    <w:rPr>
                      <w:sz w:val="16"/>
                      <w:szCs w:val="16"/>
                    </w:rPr>
                    <w:t xml:space="preserve">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Болюс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Нет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Система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блокировки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болюса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Нет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Путь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введения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лекарственного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препарата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Внутривенный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Защита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от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УФ-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лучей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Да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Регулирование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скорости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инфузии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Да</w:t>
                        </w:r>
                        <w:proofErr w:type="spellEnd"/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Скорость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инфузии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,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мл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>/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час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15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  <w:tr w:rsidR="00A960D6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 w:rsidRPr="00CA27E4">
                    <w:rPr>
                      <w:sz w:val="16"/>
                      <w:szCs w:val="16"/>
                    </w:rPr>
                    <w:lastRenderedPageBreak/>
                    <w:br/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Объем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заполнения</w:t>
                  </w:r>
                  <w:proofErr w:type="spellEnd"/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A960D6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rFonts w:ascii="Liberation Serif" w:hAnsi="Liberation Serif" w:cs="Liberation Serif"/>
                            <w:sz w:val="2"/>
                            <w:szCs w:val="2"/>
                            <w:lang w:val="en-US"/>
                          </w:rPr>
                        </w:pPr>
                      </w:p>
                    </w:tc>
                  </w:tr>
                  <w:tr w:rsidR="00A960D6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"/>
                            <w:szCs w:val="2"/>
                            <w:lang w:val="en-US"/>
                          </w:rPr>
                        </w:pPr>
                      </w:p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</w:pPr>
                      </w:p>
                    </w:tc>
                    <w:tc>
                      <w:tcPr>
                        <w:tcW w:w="1364" w:type="dxa"/>
                      </w:tcPr>
                      <w:p w:rsidR="00A960D6" w:rsidRDefault="00B93B15">
                        <w:pPr>
                          <w:framePr w:hSpace="180" w:wrap="around" w:vAnchor="text" w:hAnchor="page" w:x="170" w:y="80"/>
                          <w:suppressOverlap/>
                          <w:jc w:val="center"/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br/>
                          <w:t>≥ 600</w:t>
                        </w:r>
                      </w:p>
                    </w:tc>
                    <w:tc>
                      <w:tcPr>
                        <w:tcW w:w="19" w:type="dxa"/>
                      </w:tcPr>
                      <w:p w:rsidR="00A960D6" w:rsidRDefault="00A960D6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A960D6" w:rsidRDefault="00A960D6">
                  <w:pPr>
                    <w:framePr w:hSpace="180" w:wrap="around" w:vAnchor="text" w:hAnchor="page" w:x="170" w:y="80"/>
                    <w:suppressOverlap/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Default="00B93B15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br/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Кубический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сантиметр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>;^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миллилитр</w:t>
                  </w:r>
                  <w:proofErr w:type="spellEnd"/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:rsidR="00A960D6" w:rsidRPr="00CA27E4" w:rsidRDefault="00B93B15">
                  <w:pPr>
                    <w:framePr w:hSpace="180" w:wrap="around" w:vAnchor="text" w:hAnchor="page" w:x="170" w:y="80"/>
                    <w:suppressOverlap/>
                    <w:jc w:val="center"/>
                  </w:pPr>
                  <w:r w:rsidRPr="00CA27E4">
                    <w:rPr>
                      <w:sz w:val="16"/>
                      <w:szCs w:val="16"/>
                    </w:rPr>
                    <w:br/>
                  </w:r>
                  <w:r w:rsidRPr="00CA27E4">
                    <w:rPr>
                      <w:sz w:val="16"/>
                      <w:szCs w:val="16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</w:tbl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</w:p>
        </w:tc>
        <w:tc>
          <w:tcPr>
            <w:tcW w:w="1836" w:type="dxa"/>
          </w:tcPr>
          <w:p w:rsidR="00A960D6" w:rsidRDefault="00A960D6">
            <w:pPr>
              <w:jc w:val="center"/>
              <w:rPr>
                <w:color w:val="auto"/>
                <w:sz w:val="16"/>
                <w:szCs w:val="16"/>
              </w:rPr>
            </w:pPr>
          </w:p>
          <w:p w:rsidR="00A960D6" w:rsidRDefault="00A960D6">
            <w:pPr>
              <w:jc w:val="center"/>
              <w:rPr>
                <w:color w:val="auto"/>
                <w:sz w:val="16"/>
                <w:szCs w:val="16"/>
              </w:rPr>
            </w:pPr>
          </w:p>
          <w:p w:rsidR="00A960D6" w:rsidRDefault="00A960D6">
            <w:pPr>
              <w:pStyle w:val="22"/>
              <w:rPr>
                <w:color w:val="auto"/>
                <w:sz w:val="16"/>
                <w:szCs w:val="16"/>
              </w:rPr>
            </w:pPr>
          </w:p>
        </w:tc>
        <w:tc>
          <w:tcPr>
            <w:tcW w:w="1608" w:type="dxa"/>
          </w:tcPr>
          <w:p w:rsidR="00A960D6" w:rsidRDefault="00A960D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A960D6" w:rsidRDefault="00B93B1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  <w:lang w:bidi="ru-RU"/>
              </w:rPr>
            </w:pPr>
            <w:r w:rsidRPr="00CA27E4">
              <w:rPr>
                <w:rFonts w:ascii="Times New Roman" w:hAnsi="Times New Roman" w:cs="Times New Roman"/>
                <w:sz w:val="16"/>
                <w:szCs w:val="16"/>
              </w:rPr>
              <w:t>Невозможно определить количество товара, объем подлежащих выполнению работ, оказанию услуг (в соответствии с ч. 24 ст. 22 фз 44)</w:t>
            </w:r>
          </w:p>
        </w:tc>
        <w:tc>
          <w:tcPr>
            <w:tcW w:w="923" w:type="dxa"/>
          </w:tcPr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right="57"/>
              <w:rPr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22"/>
              <w:shd w:val="clear" w:color="auto" w:fill="auto"/>
              <w:spacing w:before="0" w:after="0" w:line="240" w:lineRule="auto"/>
              <w:ind w:right="57"/>
              <w:rPr>
                <w:sz w:val="16"/>
                <w:szCs w:val="16"/>
                <w:lang w:bidi="ru-RU"/>
              </w:rPr>
            </w:pPr>
            <w:r>
              <w:rPr>
                <w:sz w:val="16"/>
                <w:szCs w:val="16"/>
                <w:lang w:bidi="ru-RU"/>
              </w:rPr>
              <w:t>ШТ</w:t>
            </w:r>
          </w:p>
        </w:tc>
        <w:tc>
          <w:tcPr>
            <w:tcW w:w="1425" w:type="dxa"/>
          </w:tcPr>
          <w:p w:rsidR="00A960D6" w:rsidRDefault="00A960D6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</w:p>
          <w:p w:rsidR="00A960D6" w:rsidRDefault="00B93B15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  <w:r>
              <w:rPr>
                <w:sz w:val="16"/>
                <w:szCs w:val="16"/>
                <w:lang w:bidi="ru-RU"/>
              </w:rPr>
              <w:t>Применение параметров, условных обозначений и</w:t>
            </w:r>
            <w:r>
              <w:rPr>
                <w:sz w:val="16"/>
                <w:szCs w:val="16"/>
                <w:lang w:bidi="ru-RU"/>
              </w:rPr>
              <w:t xml:space="preserve"> терминологии, касающихся технических, функциональных (потребительских свойств) и качественных характеристик объекта закупки, не учтенных каталогом товаров, работ, услуг обусловлено необходимостью поставки товара (оказания услуги/ выполнения работы) надлеж</w:t>
            </w:r>
            <w:r>
              <w:rPr>
                <w:sz w:val="16"/>
                <w:szCs w:val="16"/>
                <w:lang w:bidi="ru-RU"/>
              </w:rPr>
              <w:t>ащего качества, с параметрами в наибольшей степени удовлетворяющими потребности Заказчика</w:t>
            </w:r>
          </w:p>
        </w:tc>
      </w:tr>
    </w:tbl>
    <w:p w:rsidR="00A960D6" w:rsidRDefault="00A960D6">
      <w:pPr>
        <w:pStyle w:val="af5"/>
        <w:tabs>
          <w:tab w:val="left" w:pos="2880"/>
        </w:tabs>
        <w:ind w:left="0" w:firstLine="567"/>
        <w:rPr>
          <w:b/>
          <w:color w:val="000000"/>
          <w:sz w:val="16"/>
          <w:szCs w:val="16"/>
        </w:rPr>
      </w:pPr>
    </w:p>
    <w:p w:rsidR="00A960D6" w:rsidRDefault="00B93B15">
      <w:pPr>
        <w:pStyle w:val="af5"/>
        <w:tabs>
          <w:tab w:val="left" w:pos="2880"/>
        </w:tabs>
        <w:ind w:left="0" w:firstLine="567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Единицы измерения:</w:t>
      </w:r>
    </w:p>
    <w:p w:rsidR="00A960D6" w:rsidRDefault="00B93B15">
      <w:pPr>
        <w:pStyle w:val="af5"/>
        <w:tabs>
          <w:tab w:val="left" w:pos="2880"/>
        </w:tabs>
        <w:ind w:left="0" w:firstLine="567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В случае наличия технических опечаток в единицах измерения показателей, их следует читать в соответствии с Международной системой единиц (СИ).</w:t>
      </w:r>
    </w:p>
    <w:p w:rsidR="00A960D6" w:rsidRDefault="00B93B15">
      <w:pPr>
        <w:pStyle w:val="af5"/>
        <w:tabs>
          <w:tab w:val="left" w:pos="2880"/>
        </w:tabs>
        <w:ind w:left="0" w:firstLine="567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Обоснование необходимости использования показателей, требований, условных обозначений и терминологии не установленных в соответствии с законодательством о техническом регулировании, законодательством о стандартизации РФ: </w:t>
      </w:r>
    </w:p>
    <w:p w:rsidR="00A960D6" w:rsidRDefault="00B93B15">
      <w:pPr>
        <w:pStyle w:val="af5"/>
        <w:tabs>
          <w:tab w:val="left" w:pos="2880"/>
        </w:tabs>
        <w:ind w:left="0" w:firstLine="567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Применение параметров, условных об</w:t>
      </w:r>
      <w:r>
        <w:rPr>
          <w:color w:val="000000"/>
          <w:sz w:val="16"/>
          <w:szCs w:val="16"/>
        </w:rPr>
        <w:t>означений и терминологии, касающихся технических, функциональных (потребительских свойств) и качественных характеристик товара, не учтенных Техническими Регламентами Таможенного Союза и национальными стандартами обусловлено необходимостью поставки товара н</w:t>
      </w:r>
      <w:r>
        <w:rPr>
          <w:color w:val="000000"/>
          <w:sz w:val="16"/>
          <w:szCs w:val="16"/>
        </w:rPr>
        <w:t>адлежащего качества, с параметрами в наибольшей степени удовлетворяющими потребности Заказчика.</w:t>
      </w:r>
    </w:p>
    <w:p w:rsidR="00A960D6" w:rsidRDefault="00A960D6">
      <w:pPr>
        <w:spacing w:line="360" w:lineRule="auto"/>
        <w:rPr>
          <w:color w:val="000000"/>
          <w:sz w:val="16"/>
          <w:szCs w:val="16"/>
          <w:lang w:bidi="ru-RU"/>
        </w:rPr>
      </w:pPr>
    </w:p>
    <w:p w:rsidR="00A960D6" w:rsidRDefault="00A960D6">
      <w:pPr>
        <w:spacing w:line="360" w:lineRule="auto"/>
        <w:rPr>
          <w:color w:val="000000"/>
          <w:sz w:val="16"/>
          <w:szCs w:val="16"/>
          <w:lang w:bidi="ru-RU"/>
        </w:rPr>
      </w:pPr>
    </w:p>
    <w:p w:rsidR="00A960D6" w:rsidRDefault="00A960D6">
      <w:pPr>
        <w:spacing w:line="360" w:lineRule="auto"/>
        <w:rPr>
          <w:color w:val="000000"/>
          <w:sz w:val="16"/>
          <w:szCs w:val="16"/>
          <w:lang w:bidi="ru-RU"/>
        </w:rPr>
      </w:pPr>
    </w:p>
    <w:p w:rsidR="00A960D6" w:rsidRDefault="00A960D6">
      <w:pPr>
        <w:spacing w:line="360" w:lineRule="auto"/>
        <w:rPr>
          <w:color w:val="000000"/>
          <w:lang w:bidi="ru-RU"/>
        </w:rPr>
      </w:pPr>
    </w:p>
    <w:p w:rsidR="00A960D6" w:rsidRDefault="00A960D6">
      <w:pPr>
        <w:spacing w:line="360" w:lineRule="auto"/>
        <w:rPr>
          <w:color w:val="000000"/>
          <w:lang w:bidi="ru-RU"/>
        </w:rPr>
      </w:pPr>
    </w:p>
    <w:p w:rsidR="00A960D6" w:rsidRDefault="00A960D6">
      <w:pPr>
        <w:spacing w:line="360" w:lineRule="auto"/>
        <w:rPr>
          <w:color w:val="000000"/>
          <w:lang w:bidi="ru-RU"/>
        </w:rPr>
      </w:pPr>
    </w:p>
    <w:p w:rsidR="00A960D6" w:rsidRDefault="00A960D6">
      <w:pPr>
        <w:spacing w:line="360" w:lineRule="auto"/>
        <w:rPr>
          <w:color w:val="000000"/>
          <w:lang w:bidi="ru-RU"/>
        </w:rPr>
      </w:pPr>
    </w:p>
    <w:p w:rsidR="00A960D6" w:rsidRDefault="00A960D6">
      <w:pPr>
        <w:spacing w:line="360" w:lineRule="auto"/>
        <w:rPr>
          <w:color w:val="000000"/>
          <w:lang w:bidi="ru-RU"/>
        </w:rPr>
      </w:pPr>
    </w:p>
    <w:p w:rsidR="00A960D6" w:rsidRDefault="00A960D6">
      <w:pPr>
        <w:spacing w:line="360" w:lineRule="auto"/>
        <w:rPr>
          <w:color w:val="000000"/>
          <w:lang w:bidi="ru-RU"/>
        </w:rPr>
      </w:pPr>
    </w:p>
    <w:p w:rsidR="00A960D6" w:rsidRDefault="00A960D6">
      <w:pPr>
        <w:spacing w:line="360" w:lineRule="auto"/>
        <w:rPr>
          <w:color w:val="000000"/>
          <w:lang w:bidi="ru-RU"/>
        </w:rPr>
      </w:pPr>
    </w:p>
    <w:p w:rsidR="00A960D6" w:rsidRDefault="00A960D6">
      <w:pPr>
        <w:spacing w:line="360" w:lineRule="auto"/>
        <w:rPr>
          <w:color w:val="000000"/>
          <w:lang w:bidi="ru-RU"/>
        </w:rPr>
      </w:pPr>
    </w:p>
    <w:p w:rsidR="00A960D6" w:rsidRDefault="00A960D6">
      <w:pPr>
        <w:spacing w:line="360" w:lineRule="auto"/>
        <w:rPr>
          <w:color w:val="000000"/>
          <w:lang w:bidi="ru-RU"/>
        </w:rPr>
      </w:pPr>
    </w:p>
    <w:p w:rsidR="00A960D6" w:rsidRDefault="00A960D6">
      <w:pPr>
        <w:spacing w:line="360" w:lineRule="auto"/>
        <w:rPr>
          <w:color w:val="000000"/>
          <w:lang w:bidi="ru-RU"/>
        </w:rPr>
      </w:pPr>
    </w:p>
    <w:p w:rsidR="00A960D6" w:rsidRDefault="00A960D6">
      <w:pPr>
        <w:spacing w:line="360" w:lineRule="auto"/>
        <w:rPr>
          <w:color w:val="000000"/>
          <w:lang w:bidi="ru-RU"/>
        </w:rPr>
      </w:pPr>
    </w:p>
    <w:p w:rsidR="00A960D6" w:rsidRDefault="00A960D6">
      <w:pPr>
        <w:pStyle w:val="af5"/>
        <w:tabs>
          <w:tab w:val="left" w:pos="2880"/>
        </w:tabs>
        <w:ind w:left="0" w:firstLine="567"/>
        <w:rPr>
          <w:color w:val="000000"/>
        </w:rPr>
      </w:pPr>
    </w:p>
    <w:p w:rsidR="00A75CAC" w:rsidRDefault="00B93B15">
      <w:pPr>
        <w:jc w:val="both"/>
        <w:rPr>
          <w:color w:val="000000"/>
        </w:rPr>
      </w:pPr>
    </w:p>
    <w:sectPr w:rsidR="00A75CAC">
      <w:pgSz w:w="16838" w:h="11906" w:orient="landscape"/>
      <w:pgMar w:top="1134" w:right="425" w:bottom="680" w:left="357" w:header="720" w:footer="720" w:gutter="0"/>
      <w:cols w:space="720"/>
      <w:docGrid w:linePitch="28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default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8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0D6"/>
    <w:rsid w:val="00A960D6"/>
    <w:rsid w:val="00B93B15"/>
    <w:rsid w:val="00CA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0EA3612C-1A37-45DD-836A-A7281BE4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color w:val="00000A"/>
      <w:kern w:val="1"/>
      <w:lang w:eastAsia="zh-CN"/>
    </w:rPr>
  </w:style>
  <w:style w:type="paragraph" w:styleId="1">
    <w:name w:val="heading 1"/>
    <w:basedOn w:val="a"/>
    <w:next w:val="a0"/>
    <w:qFormat/>
    <w:pPr>
      <w:widowControl/>
      <w:numPr>
        <w:numId w:val="1"/>
      </w:numPr>
      <w:tabs>
        <w:tab w:val="left" w:pos="0"/>
      </w:tabs>
      <w:outlineLvl w:val="0"/>
    </w:pPr>
    <w:rPr>
      <w:b/>
      <w:bCs/>
      <w:caps/>
      <w:color w:val="333333"/>
      <w:sz w:val="21"/>
      <w:szCs w:val="21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pPr>
      <w:widowControl/>
      <w:spacing w:after="120"/>
      <w:jc w:val="both"/>
    </w:pPr>
    <w:rPr>
      <w:sz w:val="24"/>
    </w:rPr>
  </w:style>
  <w:style w:type="character" w:customStyle="1" w:styleId="a4">
    <w:name w:val="Основной текст Знак"/>
    <w:link w:val="a0"/>
    <w:rPr>
      <w:color w:val="00000A"/>
      <w:kern w:val="1"/>
      <w:sz w:val="24"/>
      <w:lang w:eastAsia="zh-CN"/>
    </w:rPr>
  </w:style>
  <w:style w:type="character" w:customStyle="1" w:styleId="30">
    <w:name w:val="Заголовок 3 Знак"/>
    <w:link w:val="3"/>
    <w:uiPriority w:val="9"/>
    <w:semiHidden/>
    <w:rPr>
      <w:rFonts w:ascii="Calibri Light" w:eastAsia="Times New Roman" w:hAnsi="Calibri Light" w:cs="Times New Roman"/>
      <w:b/>
      <w:bCs/>
      <w:color w:val="00000A"/>
      <w:kern w:val="1"/>
      <w:sz w:val="26"/>
      <w:szCs w:val="26"/>
      <w:lang w:eastAsia="zh-CN"/>
    </w:rPr>
  </w:style>
  <w:style w:type="character" w:styleId="a5">
    <w:name w:val="Emphasis"/>
    <w:qFormat/>
    <w:rPr>
      <w:i/>
      <w:iCs/>
    </w:rPr>
  </w:style>
  <w:style w:type="character" w:styleId="a6">
    <w:name w:val="Hyperlink"/>
    <w:rPr>
      <w:color w:val="0000FF"/>
      <w:u w:val="single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paragraph" w:styleId="a9">
    <w:name w:val="Title"/>
    <w:basedOn w:val="a"/>
    <w:next w:val="a0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a">
    <w:name w:val="List"/>
    <w:basedOn w:val="a0"/>
    <w:rPr>
      <w:rFonts w:cs="Mangal"/>
    </w:rPr>
  </w:style>
  <w:style w:type="paragraph" w:styleId="ab">
    <w:name w:val="Normal (Web)"/>
    <w:basedOn w:val="a"/>
    <w:uiPriority w:val="99"/>
    <w:unhideWhenUsed/>
    <w:rPr>
      <w:sz w:val="24"/>
      <w:szCs w:val="24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table" w:styleId="ac">
    <w:name w:val="Table Grid"/>
    <w:basedOn w:val="a2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31">
    <w:name w:val="Основной шрифт абзаца3"/>
  </w:style>
  <w:style w:type="character" w:customStyle="1" w:styleId="2">
    <w:name w:val="Основной шрифт абзаца2"/>
  </w:style>
  <w:style w:type="character" w:customStyle="1" w:styleId="10">
    <w:name w:val="Основной шрифт абзаца1"/>
  </w:style>
  <w:style w:type="character" w:customStyle="1" w:styleId="DefaultParagraphFont0">
    <w:name w:val="Default Paragraph Font_0"/>
  </w:style>
  <w:style w:type="character" w:customStyle="1" w:styleId="ad">
    <w:name w:val="Текст выноски Знак"/>
    <w:rPr>
      <w:rFonts w:ascii="Tahoma" w:hAnsi="Tahoma" w:cs="Tahoma"/>
      <w:sz w:val="16"/>
      <w:szCs w:val="16"/>
    </w:rPr>
  </w:style>
  <w:style w:type="character" w:customStyle="1" w:styleId="tx1">
    <w:name w:val="tx1"/>
    <w:rPr>
      <w:b/>
      <w:bCs/>
    </w:rPr>
  </w:style>
  <w:style w:type="character" w:customStyle="1" w:styleId="apple-style-span">
    <w:name w:val="apple-style-span"/>
  </w:style>
  <w:style w:type="character" w:customStyle="1" w:styleId="m1">
    <w:name w:val="m1"/>
    <w:rPr>
      <w:color w:val="0000FF"/>
    </w:rPr>
  </w:style>
  <w:style w:type="character" w:customStyle="1" w:styleId="11">
    <w:name w:val="Знак примечания1"/>
    <w:rPr>
      <w:sz w:val="16"/>
      <w:szCs w:val="16"/>
    </w:rPr>
  </w:style>
  <w:style w:type="character" w:customStyle="1" w:styleId="ae">
    <w:name w:val="Текст примечания Знак"/>
    <w:rPr>
      <w:rFonts w:ascii="Times New Roman" w:hAnsi="Times New Roman" w:cs="Times New Roman"/>
    </w:rPr>
  </w:style>
  <w:style w:type="character" w:customStyle="1" w:styleId="af">
    <w:name w:val="Название Знак"/>
    <w:rPr>
      <w:rFonts w:ascii="Times New Roman" w:hAnsi="Times New Roman" w:cs="Times New Roman"/>
      <w:b/>
      <w:bCs/>
      <w:sz w:val="28"/>
      <w:szCs w:val="24"/>
    </w:rPr>
  </w:style>
  <w:style w:type="character" w:customStyle="1" w:styleId="af0">
    <w:name w:val="Верхний колонтитул Знак"/>
    <w:rPr>
      <w:rFonts w:ascii="Times New Roman" w:hAnsi="Times New Roman" w:cs="Times New Roman"/>
    </w:rPr>
  </w:style>
  <w:style w:type="character" w:customStyle="1" w:styleId="12">
    <w:name w:val="Заголовок 1 Знак"/>
    <w:rPr>
      <w:rFonts w:ascii="Times New Roman" w:hAnsi="Times New Roman" w:cs="Times New Roman"/>
      <w:b/>
      <w:bCs/>
      <w:caps/>
      <w:color w:val="333333"/>
      <w:sz w:val="21"/>
      <w:szCs w:val="21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color w:val="00000A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eastAsia="Times New Roman" w:cs="Times New Roman"/>
    </w:rPr>
  </w:style>
  <w:style w:type="character" w:customStyle="1" w:styleId="ListLabel5">
    <w:name w:val="ListLabel 5"/>
    <w:rPr>
      <w:rFonts w:cs="Times New Roman"/>
      <w:b/>
      <w:color w:val="00000A"/>
    </w:rPr>
  </w:style>
  <w:style w:type="character" w:customStyle="1" w:styleId="ListLabel6">
    <w:name w:val="ListLabel 6"/>
    <w:rPr>
      <w:rFonts w:eastAsia="Times New Roman" w:cs="Times New Roman"/>
      <w:b w:val="0"/>
      <w:i w:val="0"/>
      <w:color w:val="00000A"/>
      <w:sz w:val="24"/>
      <w:szCs w:val="24"/>
    </w:rPr>
  </w:style>
  <w:style w:type="character" w:customStyle="1" w:styleId="ListLabel7">
    <w:name w:val="ListLabel 7"/>
    <w:rPr>
      <w:rFonts w:cs="Times New Roman"/>
      <w:color w:val="00000A"/>
    </w:rPr>
  </w:style>
  <w:style w:type="character" w:customStyle="1" w:styleId="af1">
    <w:name w:val="Маркеры списка"/>
    <w:rPr>
      <w:rFonts w:ascii="OpenSymbol" w:eastAsia="OpenSymbol" w:hAnsi="OpenSymbol" w:cs="OpenSymbol"/>
    </w:rPr>
  </w:style>
  <w:style w:type="paragraph" w:customStyle="1" w:styleId="4">
    <w:name w:val="Указатель4"/>
    <w:basedOn w:val="a"/>
    <w:pPr>
      <w:suppressLineNumbers/>
    </w:pPr>
    <w:rPr>
      <w:rFonts w:cs="Mangal"/>
    </w:rPr>
  </w:style>
  <w:style w:type="paragraph" w:customStyle="1" w:styleId="32">
    <w:name w:val="Название объекта3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3">
    <w:name w:val="Указатель3"/>
    <w:basedOn w:val="a"/>
    <w:pPr>
      <w:suppressLineNumbers/>
    </w:pPr>
    <w:rPr>
      <w:rFonts w:cs="Mangal"/>
    </w:rPr>
  </w:style>
  <w:style w:type="paragraph" w:customStyle="1" w:styleId="20">
    <w:name w:val="Название объекта2"/>
    <w:basedOn w:val="a"/>
    <w:next w:val="a0"/>
    <w:pPr>
      <w:widowControl/>
      <w:jc w:val="center"/>
    </w:pPr>
    <w:rPr>
      <w:b/>
      <w:bCs/>
      <w:sz w:val="28"/>
      <w:szCs w:val="24"/>
    </w:rPr>
  </w:style>
  <w:style w:type="paragraph" w:customStyle="1" w:styleId="21">
    <w:name w:val="Указатель2"/>
    <w:basedOn w:val="a"/>
    <w:pPr>
      <w:suppressLineNumbers/>
    </w:pPr>
    <w:rPr>
      <w:rFonts w:cs="Mangal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4">
    <w:name w:val="Указатель1"/>
    <w:basedOn w:val="a"/>
    <w:pPr>
      <w:suppressLineNumbers/>
    </w:pPr>
    <w:rPr>
      <w:rFonts w:cs="Mangal"/>
    </w:rPr>
  </w:style>
  <w:style w:type="paragraph" w:customStyle="1" w:styleId="15">
    <w:name w:val="Текст выноски1"/>
    <w:basedOn w:val="a"/>
    <w:rPr>
      <w:rFonts w:ascii="Tahoma" w:hAnsi="Tahoma" w:cs="Tahoma"/>
      <w:sz w:val="16"/>
      <w:szCs w:val="16"/>
    </w:rPr>
  </w:style>
  <w:style w:type="paragraph" w:customStyle="1" w:styleId="ConsNonformat">
    <w:name w:val="ConsNonformat"/>
    <w:pPr>
      <w:suppressAutoHyphens/>
    </w:pPr>
    <w:rPr>
      <w:color w:val="00000A"/>
      <w:kern w:val="1"/>
      <w:sz w:val="22"/>
      <w:lang w:eastAsia="zh-CN"/>
    </w:rPr>
  </w:style>
  <w:style w:type="paragraph" w:customStyle="1" w:styleId="16">
    <w:name w:val="Абзац списка1"/>
    <w:basedOn w:val="a"/>
    <w:pPr>
      <w:widowControl/>
      <w:ind w:left="720"/>
      <w:contextualSpacing/>
    </w:pPr>
  </w:style>
  <w:style w:type="paragraph" w:customStyle="1" w:styleId="17">
    <w:name w:val="Текст примечания1"/>
    <w:basedOn w:val="a"/>
  </w:style>
  <w:style w:type="paragraph" w:customStyle="1" w:styleId="18">
    <w:name w:val="Без интервала1"/>
    <w:pPr>
      <w:suppressAutoHyphens/>
    </w:pPr>
    <w:rPr>
      <w:rFonts w:ascii="Calibri" w:hAnsi="Calibri" w:cs="Calibri"/>
      <w:color w:val="00000A"/>
      <w:kern w:val="1"/>
      <w:sz w:val="22"/>
      <w:szCs w:val="22"/>
      <w:lang w:eastAsia="zh-CN"/>
    </w:rPr>
  </w:style>
  <w:style w:type="paragraph" w:customStyle="1" w:styleId="ConsNormal">
    <w:name w:val="ConsNormal"/>
    <w:pPr>
      <w:widowControl w:val="0"/>
      <w:suppressAutoHyphens/>
      <w:ind w:firstLine="720"/>
    </w:pPr>
    <w:rPr>
      <w:rFonts w:ascii="Arial" w:hAnsi="Arial" w:cs="Arial"/>
      <w:color w:val="00000A"/>
      <w:kern w:val="1"/>
      <w:lang w:eastAsia="zh-CN"/>
    </w:rPr>
  </w:style>
  <w:style w:type="paragraph" w:customStyle="1" w:styleId="19">
    <w:name w:val="Абзац списка1"/>
    <w:basedOn w:val="a"/>
    <w:pPr>
      <w:widowControl/>
      <w:spacing w:before="192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af2">
    <w:name w:val="Декоративный"/>
    <w:pPr>
      <w:suppressAutoHyphens/>
      <w:jc w:val="center"/>
    </w:pPr>
    <w:rPr>
      <w:b/>
      <w:color w:val="00000A"/>
      <w:kern w:val="1"/>
      <w:sz w:val="24"/>
      <w:lang w:eastAsia="zh-CN"/>
    </w:rPr>
  </w:style>
  <w:style w:type="paragraph" w:customStyle="1" w:styleId="1a">
    <w:name w:val="Обычный (веб)1"/>
    <w:basedOn w:val="a"/>
    <w:pPr>
      <w:widowControl/>
      <w:spacing w:before="150" w:after="280"/>
    </w:pPr>
    <w:rPr>
      <w:rFonts w:ascii="Arial" w:hAnsi="Arial" w:cs="Arial"/>
      <w:sz w:val="21"/>
      <w:szCs w:val="21"/>
    </w:rPr>
  </w:style>
  <w:style w:type="paragraph" w:customStyle="1" w:styleId="af3">
    <w:name w:val="Содержимое таблицы"/>
    <w:basedOn w:val="a"/>
    <w:pPr>
      <w:suppressLineNumbers/>
    </w:pPr>
  </w:style>
  <w:style w:type="paragraph" w:customStyle="1" w:styleId="af4">
    <w:name w:val="Заголовок таблицы"/>
    <w:basedOn w:val="af3"/>
    <w:pPr>
      <w:jc w:val="center"/>
    </w:pPr>
    <w:rPr>
      <w:b/>
      <w:bCs/>
    </w:rPr>
  </w:style>
  <w:style w:type="paragraph" w:styleId="af5">
    <w:name w:val="List Paragraph"/>
    <w:basedOn w:val="a"/>
    <w:uiPriority w:val="34"/>
    <w:qFormat/>
    <w:pPr>
      <w:widowControl/>
      <w:suppressAutoHyphens w:val="0"/>
      <w:ind w:left="720"/>
      <w:contextualSpacing/>
    </w:pPr>
    <w:rPr>
      <w:color w:val="auto"/>
      <w:kern w:val="0"/>
      <w:lang w:eastAsia="ru-RU"/>
    </w:rPr>
  </w:style>
  <w:style w:type="paragraph" w:customStyle="1" w:styleId="22">
    <w:name w:val="Основной текст (2)"/>
    <w:basedOn w:val="a"/>
    <w:qFormat/>
    <w:pPr>
      <w:shd w:val="clear" w:color="auto" w:fill="FFFFFF"/>
      <w:spacing w:before="360" w:after="600" w:line="0" w:lineRule="atLeast"/>
      <w:jc w:val="center"/>
    </w:pPr>
  </w:style>
  <w:style w:type="paragraph" w:customStyle="1" w:styleId="ConsPlusNormal">
    <w:name w:val="ConsPlusNormal"/>
    <w:uiPriority w:val="99"/>
    <w:qFormat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 на размещение государственного заказа на проведение обследования с оценкой технического состояния строительных конструк</vt:lpstr>
    </vt:vector>
  </TitlesOfParts>
  <Company/>
  <LinksUpToDate>false</LinksUpToDate>
  <CharactersWithSpaces>10791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размещение государственного заказа на проведение обследования с оценкой технического состояния строительных конструк</dc:title>
  <dc:creator>u036</dc:creator>
  <cp:lastModifiedBy>Елизавета Баулина</cp:lastModifiedBy>
  <cp:revision>2</cp:revision>
  <cp:lastPrinted>2018-02-08T18:51:00Z</cp:lastPrinted>
  <dcterms:created xsi:type="dcterms:W3CDTF">2024-11-21T04:19:00Z</dcterms:created>
  <dcterms:modified xsi:type="dcterms:W3CDTF">2024-11-21T04:19:00Z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579964AE033848F7A11B9D504914731A</vt:lpwstr>
  </property>
  <property fmtid="{D5CDD505-2E9C-101B-9397-08002B2CF9AE}" pid="3" name="KSOProductBuildVer">
    <vt:lpwstr>1049-12.2.0.16909</vt:lpwstr>
  </property>
</Properties>
</file>