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sz w:val="28"/>
          <w:szCs w:val="28"/>
        </w:rPr>
      </w:pPr>
      <w:r>
        <w:rPr>
          <w:rFonts w:cs="Times New Roman" w:ascii="Times New Roman" w:hAnsi="Times New Roman"/>
          <w:b/>
          <w:sz w:val="28"/>
          <w:szCs w:val="28"/>
        </w:rPr>
        <w:t>Требования к содержанию, составу заявки на участие в электронном аукционе</w:t>
      </w:r>
    </w:p>
    <w:p>
      <w:pPr>
        <w:pStyle w:val="Normal"/>
        <w:spacing w:lineRule="auto" w:line="240" w:before="0" w:after="0"/>
        <w:jc w:val="both"/>
        <w:rPr>
          <w:rFonts w:ascii="Times New Roman" w:hAnsi="Times New Roman" w:cs="Times New Roman"/>
          <w:b/>
          <w:b/>
          <w:u w:val="single"/>
        </w:rPr>
      </w:pPr>
      <w:r>
        <w:rPr>
          <w:rFonts w:cs="Times New Roman" w:ascii="Times New Roman" w:hAnsi="Times New Roman"/>
          <w:b/>
          <w:u w:val="single"/>
        </w:rPr>
        <w:t>Для участия в конкурентном способе заявка на участие в закупке, если иное не предусмотрено Законом 44-ФЗ, должна содержать:</w:t>
      </w:r>
    </w:p>
    <w:p>
      <w:pPr>
        <w:pStyle w:val="Normal"/>
        <w:spacing w:lineRule="auto" w:line="240" w:before="0" w:after="0"/>
        <w:jc w:val="both"/>
        <w:rPr>
          <w:rFonts w:ascii="Times New Roman" w:hAnsi="Times New Roman" w:cs="Times New Roman"/>
          <w:b/>
          <w:b/>
          <w:u w:val="single"/>
        </w:rPr>
      </w:pPr>
      <w:r>
        <w:rPr>
          <w:rFonts w:cs="Times New Roman" w:ascii="Times New Roman" w:hAnsi="Times New Roman"/>
          <w:b/>
          <w:u w:val="single"/>
        </w:rPr>
      </w:r>
    </w:p>
    <w:tbl>
      <w:tblPr>
        <w:tblStyle w:val="a6"/>
        <w:tblW w:w="9718"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718"/>
      </w:tblGrid>
      <w:tr>
        <w:trPr/>
        <w:tc>
          <w:tcPr>
            <w:tcW w:w="9718" w:type="dxa"/>
            <w:tcBorders/>
          </w:tcPr>
          <w:p>
            <w:pPr>
              <w:pStyle w:val="ListParagraph"/>
              <w:widowControl/>
              <w:numPr>
                <w:ilvl w:val="0"/>
                <w:numId w:val="1"/>
              </w:numPr>
              <w:spacing w:lineRule="auto" w:line="240" w:before="0" w:after="0"/>
              <w:contextualSpacing/>
              <w:jc w:val="both"/>
              <w:rPr>
                <w:rFonts w:ascii="Times New Roman" w:hAnsi="Times New Roman" w:cs="Times New Roman"/>
                <w:b/>
                <w:b/>
              </w:rPr>
            </w:pPr>
            <w:r>
              <w:rPr>
                <w:rFonts w:cs="Times New Roman" w:ascii="Times New Roman" w:hAnsi="Times New Roman"/>
                <w:b/>
                <w:kern w:val="0"/>
                <w:lang w:val="ru-RU" w:bidi="ar-SA"/>
              </w:rPr>
              <w:t>Информацию и документы об участнике закупки:</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 xml:space="preserve">1.1.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1.3.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1.4.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1.5.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1.6.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1.7.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pStyle w:val="Normal"/>
              <w:widowControl/>
              <w:spacing w:lineRule="auto" w:line="240" w:before="0" w:after="0"/>
              <w:jc w:val="both"/>
              <w:rPr>
                <w:rFonts w:ascii="Times New Roman" w:hAnsi="Times New Roman" w:cs="Times New Roman"/>
                <w:b/>
                <w:b/>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1.8. решение о согласии на совершение или о последующем одобрении крупной сделки, если требование о наличии такого решения установлено законодательством РФ,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 xml:space="preserve">1.9. декларация о соответствии участника закупки требованиям, установленным </w:t>
            </w:r>
            <w:r>
              <w:rPr>
                <w:rFonts w:cs="Times New Roman" w:ascii="Times New Roman" w:hAnsi="Times New Roman"/>
                <w:color w:val="0000FF"/>
                <w:kern w:val="0"/>
                <w:lang w:val="ru-RU" w:bidi="ar-SA"/>
              </w:rPr>
              <w:t>п. 3</w:t>
            </w:r>
            <w:r>
              <w:rPr>
                <w:rFonts w:cs="Times New Roman" w:ascii="Times New Roman" w:hAnsi="Times New Roman"/>
                <w:kern w:val="0"/>
                <w:lang w:val="ru-RU" w:bidi="ar-SA"/>
              </w:rPr>
              <w:t xml:space="preserve"> - </w:t>
            </w:r>
            <w:r>
              <w:rPr>
                <w:rFonts w:cs="Times New Roman" w:ascii="Times New Roman" w:hAnsi="Times New Roman"/>
                <w:color w:val="0000FF"/>
                <w:kern w:val="0"/>
                <w:lang w:val="ru-RU" w:bidi="ar-SA"/>
              </w:rPr>
              <w:t>5</w:t>
            </w:r>
            <w:r>
              <w:rPr>
                <w:rFonts w:cs="Times New Roman" w:ascii="Times New Roman" w:hAnsi="Times New Roman"/>
                <w:kern w:val="0"/>
                <w:lang w:val="ru-RU" w:bidi="ar-SA"/>
              </w:rPr>
              <w:t xml:space="preserve">, </w:t>
            </w:r>
            <w:r>
              <w:rPr>
                <w:rFonts w:cs="Times New Roman" w:ascii="Times New Roman" w:hAnsi="Times New Roman"/>
                <w:color w:val="0000FF"/>
                <w:kern w:val="0"/>
                <w:lang w:val="ru-RU" w:bidi="ar-SA"/>
              </w:rPr>
              <w:t>7</w:t>
            </w:r>
            <w:r>
              <w:rPr>
                <w:rFonts w:cs="Times New Roman" w:ascii="Times New Roman" w:hAnsi="Times New Roman"/>
                <w:kern w:val="0"/>
                <w:lang w:val="ru-RU" w:bidi="ar-SA"/>
              </w:rPr>
              <w:t xml:space="preserve"> - </w:t>
            </w:r>
            <w:r>
              <w:rPr>
                <w:rFonts w:cs="Times New Roman" w:ascii="Times New Roman" w:hAnsi="Times New Roman"/>
                <w:color w:val="0000FF"/>
                <w:kern w:val="0"/>
                <w:lang w:val="ru-RU" w:bidi="ar-SA"/>
              </w:rPr>
              <w:t>11 ч. 1 ст. 31</w:t>
            </w:r>
            <w:r>
              <w:rPr>
                <w:rFonts w:cs="Times New Roman" w:ascii="Times New Roman" w:hAnsi="Times New Roman"/>
                <w:kern w:val="0"/>
                <w:lang w:val="ru-RU" w:bidi="ar-SA"/>
              </w:rPr>
              <w:t xml:space="preserve"> Закона 44-ФЗ</w:t>
            </w:r>
          </w:p>
        </w:tc>
      </w:tr>
      <w:tr>
        <w:trPr/>
        <w:tc>
          <w:tcPr>
            <w:tcW w:w="9718" w:type="dxa"/>
            <w:tcBorders/>
          </w:tcPr>
          <w:p>
            <w:pPr>
              <w:pStyle w:val="Normal"/>
              <w:widowControl/>
              <w:spacing w:before="0" w:after="160"/>
              <w:jc w:val="both"/>
              <w:rPr>
                <w:rFonts w:ascii="Times New Roman" w:hAnsi="Times New Roman" w:cs="Times New Roman"/>
                <w:b/>
                <w:b/>
                <w:bCs/>
              </w:rPr>
            </w:pPr>
            <w:r>
              <w:rPr>
                <w:rFonts w:cs="Times New Roman" w:ascii="Times New Roman" w:hAnsi="Times New Roman"/>
                <w:kern w:val="0"/>
                <w:lang w:val="ru-RU" w:bidi="ar-SA"/>
              </w:rPr>
              <w:t>1.10</w:t>
            </w:r>
            <w:r>
              <w:rPr>
                <w:rFonts w:cs="Times New Roman" w:ascii="Times New Roman" w:hAnsi="Times New Roman"/>
                <w:bCs/>
                <w:kern w:val="0"/>
                <w:lang w:val="ru-RU" w:bidi="ar-SA"/>
              </w:rPr>
              <w:t xml:space="preserve">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pPr>
              <w:pStyle w:val="Normal"/>
              <w:widowControl/>
              <w:spacing w:lineRule="auto" w:line="240" w:before="0" w:after="0"/>
              <w:jc w:val="both"/>
              <w:rPr>
                <w:rFonts w:ascii="Times New Roman" w:hAnsi="Times New Roman" w:cs="Times New Roman"/>
              </w:rPr>
            </w:pPr>
            <w:r>
              <w:rPr>
                <w:rFonts w:cs="Times New Roman" w:ascii="Times New Roman" w:hAnsi="Times New Roman"/>
                <w:b/>
                <w:kern w:val="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1.11. реквизиты счета участника закупки, на который в соответствии с законодательством РФ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РФ такой счет открывается после заключения контракта.</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1.12. –</w:t>
            </w:r>
          </w:p>
        </w:tc>
      </w:tr>
      <w:tr>
        <w:trPr>
          <w:trHeight w:val="90" w:hRule="atLeast"/>
        </w:trPr>
        <w:tc>
          <w:tcPr>
            <w:tcW w:w="9718"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kern w:val="0"/>
                <w:lang w:val="ru-RU" w:bidi="ar-SA"/>
              </w:rPr>
              <w:t>1.13. –</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 xml:space="preserve">1.14. </w:t>
            </w:r>
            <w:r>
              <w:rPr>
                <w:rFonts w:cs="Times New Roman" w:ascii="Times New Roman" w:hAnsi="Times New Roman"/>
                <w:kern w:val="0"/>
                <w:sz w:val="20"/>
                <w:lang w:val="ru-RU" w:bidi="ar-SA"/>
              </w:rPr>
              <w:t xml:space="preserve">декларация о принадлежности участника закупки к организации инвалидов, предусмотренной </w:t>
            </w:r>
            <w:r>
              <w:rPr>
                <w:rFonts w:cs="Times New Roman" w:ascii="Times New Roman" w:hAnsi="Times New Roman"/>
                <w:color w:val="0000FF"/>
                <w:kern w:val="0"/>
                <w:sz w:val="20"/>
                <w:lang w:val="ru-RU" w:bidi="ar-SA"/>
              </w:rPr>
              <w:t>ч. 2 ст. 29</w:t>
            </w:r>
            <w:r>
              <w:rPr>
                <w:rFonts w:cs="Times New Roman" w:ascii="Times New Roman" w:hAnsi="Times New Roman"/>
                <w:kern w:val="0"/>
                <w:sz w:val="20"/>
                <w:lang w:val="ru-RU" w:bidi="ar-SA"/>
              </w:rPr>
              <w:t xml:space="preserve"> Закона 44-ФЗ (если участник закупки является такой организацией)</w:t>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sz w:val="20"/>
                <w:lang w:val="ru-RU" w:bidi="ar-SA"/>
              </w:rPr>
              <w:t xml:space="preserve"> </w:t>
            </w:r>
            <w:r>
              <w:rPr>
                <w:rFonts w:cs="Times New Roman" w:ascii="Times New Roman" w:hAnsi="Times New Roman"/>
                <w:b/>
                <w:kern w:val="0"/>
                <w:sz w:val="20"/>
                <w:lang w:val="ru-RU" w:bidi="ar-SA"/>
              </w:rPr>
              <w:t>Данная информация и документы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(п.2 ч.6 ст.43 Закона 44-ФЗ)</w:t>
            </w:r>
          </w:p>
        </w:tc>
      </w:tr>
      <w:tr>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p>
            <w:pPr>
              <w:pStyle w:val="Normal"/>
              <w:widowControl/>
              <w:spacing w:before="0" w:after="160"/>
              <w:jc w:val="both"/>
              <w:rPr>
                <w:rFonts w:ascii="Times New Roman" w:hAnsi="Times New Roman" w:cs="Times New Roman"/>
              </w:rPr>
            </w:pPr>
            <w:r>
              <w:rPr>
                <w:rFonts w:cs="Times New Roman" w:ascii="Times New Roman" w:hAnsi="Times New Roman"/>
                <w:kern w:val="0"/>
                <w:lang w:val="en-US" w:bidi="ar-SA"/>
              </w:rPr>
              <w:t>1.15-</w:t>
            </w:r>
          </w:p>
          <w:p>
            <w:pPr>
              <w:pStyle w:val="Normal"/>
              <w:widowControl/>
              <w:spacing w:before="0" w:after="160"/>
              <w:jc w:val="both"/>
              <w:rPr>
                <w:rFonts w:ascii="Times New Roman" w:hAnsi="Times New Roman" w:cs="Times New Roman"/>
              </w:rPr>
            </w:pPr>
            <w:r>
              <w:rPr>
                <w:rFonts w:cs="Times New Roman" w:ascii="Times New Roman" w:hAnsi="Times New Roman"/>
                <w:kern w:val="0"/>
                <w:lang w:val="ru-RU" w:bidi="ar-SA"/>
              </w:rPr>
            </w:r>
          </w:p>
        </w:tc>
      </w:tr>
      <w:tr>
        <w:trPr>
          <w:trHeight w:val="537" w:hRule="atLeast"/>
        </w:trPr>
        <w:tc>
          <w:tcPr>
            <w:tcW w:w="9718" w:type="dxa"/>
            <w:tcBorders/>
          </w:tcPr>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t xml:space="preserve"> </w:t>
            </w:r>
          </w:p>
          <w:p>
            <w:pPr>
              <w:pStyle w:val="Normal"/>
              <w:widowControl/>
              <w:spacing w:before="0" w:after="160"/>
              <w:jc w:val="left"/>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tc>
      </w:tr>
      <w:tr>
        <w:trPr/>
        <w:tc>
          <w:tcPr>
            <w:tcW w:w="9718" w:type="dxa"/>
            <w:tcBorders/>
          </w:tcPr>
          <w:p>
            <w:pPr>
              <w:pStyle w:val="Normal"/>
              <w:widowControl/>
              <w:spacing w:lineRule="auto" w:line="240" w:before="0" w:after="0"/>
              <w:ind w:firstLine="313"/>
              <w:jc w:val="both"/>
              <w:rPr>
                <w:rFonts w:ascii="Times New Roman" w:hAnsi="Times New Roman" w:cs="Times New Roman"/>
              </w:rPr>
            </w:pPr>
            <w:r>
              <w:rPr>
                <w:rFonts w:cs="Times New Roman" w:ascii="Times New Roman" w:hAnsi="Times New Roman"/>
                <w:b/>
                <w:kern w:val="0"/>
                <w:lang w:val="ru-RU" w:bidi="ar-SA"/>
              </w:rPr>
              <w:t>2</w:t>
            </w:r>
            <w:r>
              <w:rPr>
                <w:rFonts w:cs="Times New Roman" w:ascii="Times New Roman" w:hAnsi="Times New Roman"/>
                <w:kern w:val="0"/>
                <w:lang w:val="ru-RU" w:bidi="ar-SA"/>
              </w:rPr>
              <w:t xml:space="preserve">. </w:t>
            </w:r>
            <w:r>
              <w:rPr>
                <w:rFonts w:cs="Times New Roman" w:ascii="Times New Roman" w:hAnsi="Times New Roman"/>
                <w:b/>
                <w:kern w:val="0"/>
                <w:lang w:val="ru-RU" w:bidi="ar-SA"/>
              </w:rPr>
              <w:t>Предложение участника закупки в отношении объекта закупки:</w:t>
            </w:r>
          </w:p>
        </w:tc>
      </w:tr>
      <w:tr>
        <w:trPr>
          <w:trHeight w:val="5821" w:hRule="atLeast"/>
        </w:trPr>
        <w:tc>
          <w:tcPr>
            <w:tcW w:w="9718" w:type="dxa"/>
            <w:tcBorders/>
          </w:tcPr>
          <w:p>
            <w:pPr>
              <w:pStyle w:val="Normal"/>
              <w:widowControl/>
              <w:spacing w:lineRule="auto" w:line="240" w:before="0" w:after="0"/>
              <w:jc w:val="both"/>
              <w:rPr>
                <w:rFonts w:ascii="Times New Roman" w:hAnsi="Times New Roman" w:cs="Times New Roman"/>
                <w:b/>
                <w:b/>
                <w:i/>
                <w:i/>
                <w:u w:val="single"/>
              </w:rPr>
            </w:pPr>
            <w:r>
              <w:rPr>
                <w:rFonts w:cs="Times New Roman" w:ascii="Times New Roman" w:hAnsi="Times New Roman"/>
                <w:b/>
                <w:kern w:val="0"/>
                <w:u w:val="single"/>
                <w:lang w:val="ru-RU" w:bidi="ar-SA"/>
              </w:rPr>
              <w:t>В случае осуществления закупки товара, в том числе поставляемого заказчику при выполнении закупаемых работ, оказании закупаемых услуг</w:t>
            </w:r>
            <w:r>
              <w:rPr>
                <w:rFonts w:cs="Times New Roman" w:ascii="Times New Roman" w:hAnsi="Times New Roman"/>
                <w:b/>
                <w:i/>
                <w:kern w:val="0"/>
                <w:u w:val="single"/>
                <w:lang w:val="ru-RU" w:bidi="ar-SA"/>
              </w:rPr>
              <w:t>:</w:t>
            </w:r>
          </w:p>
          <w:p>
            <w:pPr>
              <w:pStyle w:val="ListParagraph"/>
              <w:widowControl/>
              <w:spacing w:lineRule="auto" w:line="240" w:before="0" w:after="0"/>
              <w:ind w:left="0" w:firstLine="440"/>
              <w:contextualSpacing/>
              <w:jc w:val="both"/>
              <w:rPr>
                <w:rFonts w:ascii="Times New Roman" w:hAnsi="Times New Roman" w:cs="Times New Roman"/>
                <w:b/>
                <w:b/>
                <w:bCs/>
                <w:i/>
                <w:i/>
                <w:iCs/>
              </w:rPr>
            </w:pPr>
            <w:r>
              <w:rPr>
                <w:rFonts w:cs="Times New Roman" w:ascii="Times New Roman" w:hAnsi="Times New Roman"/>
                <w:b/>
                <w:bCs/>
                <w:i/>
                <w:iCs/>
                <w:kern w:val="0"/>
                <w:lang w:val="ru-RU" w:bidi="ar-SA"/>
              </w:rPr>
              <w:t xml:space="preserve">1. характеристики предлагаемого участником закупки товара, соответствующие показателям, установленным в описании объекта закупки в соответствии с </w:t>
            </w:r>
            <w:r>
              <w:rPr>
                <w:rFonts w:cs="Times New Roman" w:ascii="Times New Roman" w:hAnsi="Times New Roman"/>
                <w:b/>
                <w:bCs/>
                <w:i/>
                <w:iCs/>
                <w:color w:val="0000FF"/>
                <w:kern w:val="0"/>
                <w:lang w:val="ru-RU" w:bidi="ar-SA"/>
              </w:rPr>
              <w:t>ч. 2 ст. 33</w:t>
            </w:r>
            <w:r>
              <w:rPr>
                <w:rFonts w:cs="Times New Roman" w:ascii="Times New Roman" w:hAnsi="Times New Roman"/>
                <w:b/>
                <w:bCs/>
                <w:i/>
                <w:iCs/>
                <w:kern w:val="0"/>
                <w:lang w:val="ru-RU" w:bidi="ar-SA"/>
              </w:rPr>
              <w:t xml:space="preserve"> Закона 44-ФЗ, товарный знак (при наличии у товара товарного знака). Информация, предусмотренная </w:t>
            </w:r>
            <w:r>
              <w:rPr>
                <w:rFonts w:cs="Times New Roman" w:ascii="Times New Roman" w:hAnsi="Times New Roman"/>
                <w:b/>
                <w:bCs/>
                <w:i/>
                <w:iCs/>
                <w:color w:val="0000FF"/>
                <w:kern w:val="0"/>
                <w:lang w:val="ru-RU" w:bidi="ar-SA"/>
              </w:rPr>
              <w:t>подпунктом «а» п. 2 ч. 1</w:t>
            </w:r>
            <w:r>
              <w:rPr>
                <w:rFonts w:cs="Times New Roman" w:ascii="Times New Roman" w:hAnsi="Times New Roman"/>
                <w:b/>
                <w:bCs/>
                <w:i/>
                <w:iCs/>
                <w:kern w:val="0"/>
                <w:lang w:val="ru-RU" w:bidi="ar-SA"/>
              </w:rPr>
              <w:t xml:space="preserve"> ст. 43  Закона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w:t>
            </w:r>
            <w:bookmarkStart w:id="0" w:name="_GoBack"/>
            <w:bookmarkEnd w:id="0"/>
            <w:r>
              <w:rPr>
                <w:rFonts w:cs="Times New Roman" w:ascii="Times New Roman" w:hAnsi="Times New Roman"/>
                <w:b/>
                <w:bCs/>
                <w:i/>
                <w:iCs/>
                <w:kern w:val="0"/>
                <w:lang w:val="ru-RU" w:bidi="ar-SA"/>
              </w:rPr>
              <w:t>паемых работ, оказании закупаемых услуг, обозначенного таким товарным знаком</w:t>
            </w:r>
          </w:p>
          <w:p>
            <w:pPr>
              <w:pStyle w:val="ListParagraph"/>
              <w:widowControl/>
              <w:spacing w:lineRule="auto" w:line="240" w:before="0" w:after="0"/>
              <w:contextualSpacing/>
              <w:jc w:val="both"/>
              <w:rPr>
                <w:rFonts w:ascii="Times New Roman" w:hAnsi="Times New Roman" w:cs="Times New Roman"/>
                <w:b/>
                <w:b/>
                <w:bCs/>
                <w:i/>
                <w:i/>
                <w:iCs/>
              </w:rPr>
            </w:pPr>
            <w:r>
              <w:rPr>
                <w:rFonts w:cs="Times New Roman" w:ascii="Times New Roman" w:hAnsi="Times New Roman"/>
                <w:b/>
                <w:bCs/>
                <w:i/>
                <w:iCs/>
                <w:kern w:val="0"/>
                <w:lang w:val="ru-RU" w:bidi="ar-SA"/>
              </w:rPr>
            </w:r>
          </w:p>
          <w:p>
            <w:pPr>
              <w:pStyle w:val="ListParagraph"/>
              <w:widowControl/>
              <w:spacing w:lineRule="auto" w:line="240" w:before="0" w:after="0"/>
              <w:ind w:left="0" w:firstLine="440"/>
              <w:contextualSpacing/>
              <w:jc w:val="both"/>
              <w:rPr>
                <w:rFonts w:ascii="Times New Roman" w:hAnsi="Times New Roman" w:cs="Times New Roman"/>
                <w:b/>
                <w:b/>
                <w:bCs/>
                <w:i/>
                <w:i/>
                <w:iCs/>
              </w:rPr>
            </w:pPr>
            <w:r>
              <w:rPr>
                <w:rFonts w:cs="Times New Roman" w:ascii="Times New Roman" w:hAnsi="Times New Roman"/>
                <w:b/>
                <w:bCs/>
                <w:i/>
                <w:iCs/>
                <w:kern w:val="0"/>
                <w:lang w:val="ru-RU" w:bidi="ar-SA"/>
              </w:rPr>
              <w:t>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 2 ст. 43  Закона 44-ФЗ</w:t>
            </w:r>
          </w:p>
          <w:p>
            <w:pPr>
              <w:pStyle w:val="ListParagraph"/>
              <w:widowControl/>
              <w:spacing w:lineRule="auto" w:line="240" w:before="0" w:after="0"/>
              <w:contextualSpacing/>
              <w:jc w:val="both"/>
              <w:rPr>
                <w:rFonts w:ascii="Times New Roman" w:hAnsi="Times New Roman" w:cs="Times New Roman"/>
                <w:b/>
                <w:b/>
                <w:bCs/>
                <w:i/>
                <w:i/>
                <w:iCs/>
              </w:rPr>
            </w:pPr>
            <w:r>
              <w:rPr>
                <w:rFonts w:cs="Times New Roman" w:ascii="Times New Roman" w:hAnsi="Times New Roman"/>
                <w:b/>
                <w:bCs/>
                <w:i/>
                <w:iCs/>
                <w:kern w:val="0"/>
                <w:lang w:val="ru-RU" w:bidi="ar-SA"/>
              </w:rPr>
            </w:r>
          </w:p>
          <w:p>
            <w:pPr>
              <w:pStyle w:val="ListParagraph"/>
              <w:widowControl/>
              <w:spacing w:lineRule="auto" w:line="240" w:before="0" w:after="0"/>
              <w:ind w:left="0" w:hanging="0"/>
              <w:contextualSpacing/>
              <w:jc w:val="both"/>
              <w:rPr>
                <w:rFonts w:ascii="Times New Roman" w:hAnsi="Times New Roman" w:cs="Times New Roman"/>
                <w:b/>
                <w:b/>
                <w:bCs/>
                <w:i/>
                <w:i/>
                <w:iCs/>
              </w:rPr>
            </w:pPr>
            <w:r>
              <w:rPr>
                <w:rFonts w:cs="Times New Roman" w:ascii="Times New Roman" w:hAnsi="Times New Roman"/>
                <w:i/>
                <w:iCs/>
                <w:kern w:val="0"/>
                <w:lang w:val="ru-RU" w:bidi="ar-SA"/>
              </w:rPr>
              <w:t xml:space="preserve">   </w:t>
            </w:r>
            <w:r>
              <w:rPr>
                <w:rFonts w:cs="Times New Roman" w:ascii="Times New Roman" w:hAnsi="Times New Roman"/>
                <w:b/>
                <w:bCs/>
                <w:i/>
                <w:iCs/>
                <w:kern w:val="0"/>
                <w:lang w:val="ru-RU" w:bidi="ar-SA"/>
              </w:rPr>
              <w:t xml:space="preserve">3. документы, подтверждающие соответствие товара, работы или услуги требованиям, установленным в соответствии с законодательством РФ </w:t>
            </w:r>
            <w:r>
              <w:rPr>
                <w:rFonts w:cs="Times New Roman" w:ascii="Times New Roman" w:hAnsi="Times New Roman"/>
                <w:b/>
                <w:bCs/>
                <w:i/>
                <w:iCs/>
                <w:kern w:val="0"/>
                <w:u w:val="single"/>
                <w:lang w:val="ru-RU" w:bidi="ar-SA"/>
              </w:rPr>
              <w:t>(в случае, если в соответствии с законодательством РФ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br/>
            </w:r>
            <w:r>
              <w:rPr>
                <w:rFonts w:cs="Times New Roman" w:ascii="Times New Roman" w:hAnsi="Times New Roman"/>
                <w:kern w:val="0"/>
                <w:highlight w:val="lightGray"/>
                <w:lang w:val="ru-RU" w:bidi="ar-SA"/>
              </w:rPr>
              <w:t>копия действующего регистрационного удостоверения, выданного Министерством здравоохранения (и социального развития) РФ или Федеральной службой по надзору в сфере здравоохранения (и социального развития) РФ, или уполномоченным органом референтного государства (в соответствии с Решением Совета Евразийской экономической комиссии). При предоставлении нескольких товарных знаков участнику закупки необходимо предоставить копии действующих регистрационных удостоверений на каждый предлагаемый товар.</w:t>
            </w:r>
          </w:p>
          <w:p>
            <w:pPr>
              <w:pStyle w:val="ListParagraph"/>
              <w:widowControl/>
              <w:spacing w:lineRule="auto" w:line="240" w:before="0" w:after="0"/>
              <w:ind w:left="0" w:hanging="0"/>
              <w:contextualSpacing/>
              <w:jc w:val="both"/>
              <w:rPr>
                <w:rFonts w:ascii="Times New Roman" w:hAnsi="Times New Roman" w:cs="Times New Roman"/>
              </w:rPr>
            </w:pPr>
            <w:r>
              <w:rPr>
                <w:rFonts w:cs="Times New Roman" w:ascii="Times New Roman" w:hAnsi="Times New Roman"/>
                <w:kern w:val="0"/>
                <w:lang w:val="ru-RU" w:bidi="ar-SA"/>
              </w:rPr>
            </w:r>
          </w:p>
          <w:p>
            <w:pPr>
              <w:pStyle w:val="ListParagraph"/>
              <w:widowControl/>
              <w:spacing w:lineRule="auto" w:line="240" w:before="0" w:after="0"/>
              <w:ind w:left="0" w:firstLine="330"/>
              <w:contextualSpacing/>
              <w:jc w:val="both"/>
              <w:rPr>
                <w:rFonts w:ascii="Times New Roman" w:hAnsi="Times New Roman" w:cs="Times New Roman"/>
                <w:b/>
                <w:b/>
                <w:bCs/>
                <w:i/>
                <w:i/>
                <w:iCs/>
              </w:rPr>
            </w:pPr>
            <w:r>
              <w:rPr>
                <w:rFonts w:cs="Times New Roman" w:ascii="Times New Roman" w:hAnsi="Times New Roman"/>
                <w:b/>
                <w:bCs/>
                <w:i/>
                <w:iCs/>
                <w:kern w:val="0"/>
                <w:lang w:val="ru-RU" w:bidi="ar-SA"/>
              </w:rPr>
              <w:t>4.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pPr>
              <w:pStyle w:val="ListParagraph"/>
              <w:widowControl/>
              <w:spacing w:lineRule="auto" w:line="240" w:before="0" w:after="0"/>
              <w:ind w:left="360" w:hanging="0"/>
              <w:contextualSpacing/>
              <w:jc w:val="both"/>
              <w:rPr>
                <w:rFonts w:ascii="Times New Roman" w:hAnsi="Times New Roman" w:cs="Times New Roman"/>
              </w:rPr>
            </w:pPr>
            <w:r>
              <w:rPr>
                <w:rFonts w:cs="Times New Roman" w:ascii="Times New Roman" w:hAnsi="Times New Roman"/>
                <w:kern w:val="0"/>
                <w:lang w:val="ru-RU" w:bidi="ar-SA"/>
              </w:rPr>
            </w:r>
          </w:p>
        </w:tc>
      </w:tr>
      <w:tr>
        <w:trPr/>
        <w:tc>
          <w:tcPr>
            <w:tcW w:w="9718" w:type="dxa"/>
            <w:tcBorders/>
            <w:tcMar>
              <w:left w:w="0" w:type="dxa"/>
            </w:tcMar>
          </w:tcPr>
          <w:p>
            <w:pPr>
              <w:pStyle w:val="Normal"/>
              <w:widowControl/>
              <w:spacing w:lineRule="auto" w:line="240" w:before="0" w:after="0"/>
              <w:ind w:firstLine="540"/>
              <w:jc w:val="both"/>
              <w:rPr>
                <w:rFonts w:ascii="Times New Roman" w:hAnsi="Times New Roman" w:cs="Times New Roman"/>
              </w:rPr>
            </w:pPr>
            <w:r>
              <w:rPr>
                <w:rFonts w:cs="Times New Roman" w:ascii="Times New Roman" w:hAnsi="Times New Roman"/>
                <w:kern w:val="0"/>
                <w:lang w:val="ru-RU" w:bidi="ar-SA"/>
              </w:rPr>
              <w:t xml:space="preserve">  </w:t>
            </w:r>
          </w:p>
          <w:p>
            <w:pPr>
              <w:pStyle w:val="Normal"/>
              <w:widowControl/>
              <w:spacing w:lineRule="auto" w:line="240" w:before="0" w:after="0"/>
              <w:ind w:firstLine="540"/>
              <w:jc w:val="both"/>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ind w:firstLine="540"/>
              <w:jc w:val="both"/>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p>
            <w:pPr>
              <w:pStyle w:val="Normal"/>
              <w:widowControl/>
              <w:spacing w:lineRule="auto" w:line="240" w:before="0" w:after="0"/>
              <w:jc w:val="both"/>
              <w:rPr>
                <w:rFonts w:ascii="Times New Roman" w:hAnsi="Times New Roman" w:cs="Times New Roman"/>
              </w:rPr>
            </w:pPr>
            <w:r>
              <w:rPr>
                <w:rFonts w:cs="Times New Roman" w:ascii="Times New Roman" w:hAnsi="Times New Roman"/>
                <w:kern w:val="0"/>
                <w:lang w:val="ru-RU" w:bidi="ar-SA"/>
              </w:rPr>
            </w:r>
          </w:p>
        </w:tc>
      </w:tr>
    </w:tbl>
    <w:p>
      <w:pPr>
        <w:pStyle w:val="ListParagraph"/>
        <w:ind w:left="1080" w:hanging="0"/>
        <w:jc w:val="both"/>
        <w:rPr>
          <w:rFonts w:ascii="Times New Roman" w:hAnsi="Times New Roman" w:cs="Times New Roman"/>
          <w:b/>
          <w:b/>
          <w:bCs/>
          <w:i/>
          <w:i/>
          <w:iCs/>
        </w:rPr>
      </w:pPr>
      <w:r>
        <w:rPr>
          <w:rFonts w:cs="Times New Roman" w:ascii="Times New Roman" w:hAnsi="Times New Roman"/>
          <w:b/>
          <w:bCs/>
          <w:i/>
          <w:iCs/>
        </w:rPr>
      </w:r>
    </w:p>
    <w:p>
      <w:pPr>
        <w:pStyle w:val="Normal"/>
        <w:spacing w:before="0" w:after="160"/>
        <w:jc w:val="center"/>
        <w:rPr/>
      </w:pPr>
      <w:r>
        <w:rPr/>
      </w:r>
    </w:p>
    <w:sectPr>
      <w:type w:val="nextPage"/>
      <w:pgSz w:w="11906" w:h="16838"/>
      <w:pgMar w:left="1701" w:right="850" w:header="0" w:top="1134"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Calibri">
    <w:charset w:val="cc"/>
    <w:family w:val="roman"/>
    <w:pitch w:val="variable"/>
  </w:font>
  <w:font w:name="Segoe UI">
    <w:charset w:val="cc"/>
    <w:family w:val="roman"/>
    <w:pitch w:val="variable"/>
  </w:font>
  <w:font w:name="Courier New">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8"/>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eastAsia="en-US" w:val="ru-RU" w:bidi="ar-SA"/>
    </w:rPr>
  </w:style>
  <w:style w:type="character" w:styleId="DefaultParagraphFont" w:default="1">
    <w:name w:val="Default Paragraph Font"/>
    <w:uiPriority w:val="1"/>
    <w:semiHidden/>
    <w:unhideWhenUsed/>
    <w:qFormat/>
    <w:rPr/>
  </w:style>
  <w:style w:type="character" w:styleId="Style14">
    <w:name w:val="Интернет-ссылка"/>
    <w:basedOn w:val="DefaultParagraphFont"/>
    <w:uiPriority w:val="99"/>
    <w:unhideWhenUsed/>
    <w:qFormat/>
    <w:rPr>
      <w:color w:val="0563C1" w:themeColor="hyperlink"/>
      <w:u w:val="single"/>
    </w:rPr>
  </w:style>
  <w:style w:type="character" w:styleId="Style15" w:customStyle="1">
    <w:name w:val="Текст выноски Знак"/>
    <w:basedOn w:val="DefaultParagraphFont"/>
    <w:link w:val="a4"/>
    <w:uiPriority w:val="99"/>
    <w:semiHidden/>
    <w:qFormat/>
    <w:rPr>
      <w:rFonts w:ascii="Segoe UI" w:hAnsi="Segoe UI" w:cs="Segoe UI"/>
      <w:sz w:val="18"/>
      <w:szCs w:val="18"/>
    </w:rPr>
  </w:style>
  <w:style w:type="character" w:styleId="HTML" w:customStyle="1">
    <w:name w:val="Стандартный HTML Знак"/>
    <w:basedOn w:val="DefaultParagraphFont"/>
    <w:link w:val="HTML"/>
    <w:uiPriority w:val="99"/>
    <w:qFormat/>
    <w:rPr>
      <w:rFonts w:ascii="Courier New" w:hAnsi="Courier New" w:eastAsia="Times New Roman" w:cs="Courier New"/>
      <w:sz w:val="20"/>
      <w:szCs w:val="20"/>
      <w:lang w:eastAsia="ru-RU"/>
    </w:rPr>
  </w:style>
  <w:style w:type="paragraph" w:styleId="Style16">
    <w:name w:val="Заголовок"/>
    <w:basedOn w:val="Normal"/>
    <w:next w:val="Style17"/>
    <w:qFormat/>
    <w:pPr>
      <w:keepNext w:val="true"/>
      <w:spacing w:before="240" w:after="120"/>
    </w:pPr>
    <w:rPr>
      <w:rFonts w:ascii="Liberation Sans" w:hAnsi="Liberation Sans" w:eastAsia="Microsoft YaHei" w:cs="Lucida Sans"/>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Lucida Sans"/>
    </w:rPr>
  </w:style>
  <w:style w:type="paragraph" w:styleId="Style19">
    <w:name w:val="Caption"/>
    <w:basedOn w:val="Normal"/>
    <w:qFormat/>
    <w:pPr>
      <w:suppressLineNumbers/>
      <w:spacing w:before="120" w:after="120"/>
    </w:pPr>
    <w:rPr>
      <w:rFonts w:cs="Lucida Sans"/>
      <w:i/>
      <w:iCs/>
      <w:sz w:val="24"/>
      <w:szCs w:val="24"/>
    </w:rPr>
  </w:style>
  <w:style w:type="paragraph" w:styleId="Style20">
    <w:name w:val="Указатель"/>
    <w:basedOn w:val="Normal"/>
    <w:qFormat/>
    <w:pPr>
      <w:suppressLineNumbers/>
    </w:pPr>
    <w:rPr>
      <w:rFonts w:cs="Lucida Sans"/>
    </w:rPr>
  </w:style>
  <w:style w:type="paragraph" w:styleId="BalloonText">
    <w:name w:val="Balloon Text"/>
    <w:basedOn w:val="Normal"/>
    <w:link w:val="a5"/>
    <w:uiPriority w:val="99"/>
    <w:semiHidden/>
    <w:unhideWhenUsed/>
    <w:qFormat/>
    <w:pPr>
      <w:spacing w:lineRule="auto" w:line="240" w:before="0" w:after="0"/>
    </w:pPr>
    <w:rPr>
      <w:rFonts w:ascii="Segoe UI" w:hAnsi="Segoe UI" w:cs="Segoe UI"/>
      <w:sz w:val="18"/>
      <w:szCs w:val="18"/>
    </w:rPr>
  </w:style>
  <w:style w:type="paragraph" w:styleId="HTMLPreformatted">
    <w:name w:val="HTML Preformatted"/>
    <w:basedOn w:val="Normal"/>
    <w:link w:val="HTML0"/>
    <w:uiPriority w:val="99"/>
    <w:unhideWhenUsed/>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paragraph" w:styleId="ListParagraph">
    <w:name w:val="List Paragraph"/>
    <w:basedOn w:val="Normal"/>
    <w:uiPriority w:val="34"/>
    <w:qFormat/>
    <w:pPr>
      <w:spacing w:before="0" w:after="16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LibreOffice/7.0.2.2$Windows_X86_64 LibreOffice_project/8349ace3c3162073abd90d81fd06dcfb6b36b994</Application>
  <Pages>4</Pages>
  <Words>1402</Words>
  <Characters>10357</Characters>
  <CharactersWithSpaces>11738</CharactersWithSpaces>
  <Paragraphs>35</Paragraphs>
  <Company>Romeo1994</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2024-11-15T05:48:00Z</dcterms:created>
  <dc:creator>Татьяна Преловская</dc:creator>
  <dc:description/>
  <dc:language>ru-RU</dc:language>
  <cp:lastModifiedBy/>
  <cp:lastPrinted>2022-01-18T10:37:00Z</cp:lastPrinted>
  <dcterms:modified xsi:type="dcterms:W3CDTF">2024-12-03T13:06:31Z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Romeo1994</vt:lpwstr>
  </property>
  <property fmtid="{D5CDD505-2E9C-101B-9397-08002B2CF9AE}" pid="4" name="DocSecurity">
    <vt:i4>0</vt:i4>
  </property>
  <property fmtid="{D5CDD505-2E9C-101B-9397-08002B2CF9AE}" pid="5" name="HyperlinksChanged">
    <vt:bool>0</vt:bool>
  </property>
  <property fmtid="{D5CDD505-2E9C-101B-9397-08002B2CF9AE}" pid="6" name="ICV">
    <vt:lpwstr>7B2226113DE245BC86087738BFF32D96</vt:lpwstr>
  </property>
  <property fmtid="{D5CDD505-2E9C-101B-9397-08002B2CF9AE}" pid="7" name="KSOProductBuildVer">
    <vt:lpwstr>1049-12.2.0.16909</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