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ПРОТОКОЛ ПОДВЕДЕНИЯ ИТОГОВ ОПРЕДЕЛЕНИЯ ПОСТАВЩИКА</w:t>
      </w:r>
    </w:p>
    <w:p>
      <w:pPr>
        <w:pStyle w:val="Normal"/>
        <w:spacing w:lineRule="auto" w:line="240" w:before="0" w:after="360"/>
        <w:ind w:left="0" w:right="0" w:hanging="0"/>
        <w:jc w:val="center"/>
        <w:rPr>
          <w:b/>
          <w:b/>
          <w:bCs/>
        </w:rPr>
      </w:pPr>
      <w:r>
        <w:rPr>
          <w:rFonts w:cs="Times New Roman"/>
          <w:b/>
          <w:bCs/>
          <w:sz w:val="24"/>
          <w:szCs w:val="24"/>
        </w:rPr>
        <w:t xml:space="preserve">№ </w:t>
      </w:r>
      <w:r>
        <w:rPr>
          <w:rFonts w:cs="Times New Roman"/>
          <w:b/>
          <w:bCs/>
          <w:i w:val="false"/>
          <w:iCs w:val="false"/>
          <w:caps w:val="false"/>
          <w:smallCaps w:val="false"/>
          <w:color w:val="000000"/>
          <w:sz w:val="24"/>
          <w:szCs w:val="24"/>
          <w:shd w:fill="auto" w:val="clear"/>
          <w:lang w:val="en-US" w:eastAsia="zh-CN" w:bidi="hi-IN"/>
        </w:rPr>
        <w:t>0372100048826000117</w:t>
      </w:r>
    </w:p>
    <w:p>
      <w:pPr>
        <w:pStyle w:val="Normal"/>
        <w:widowControl w:val="false"/>
        <w:spacing w:lineRule="auto" w:line="240" w:before="120" w:after="240"/>
        <w:ind w:left="0" w:right="0" w:hanging="0"/>
        <w:jc w:val="right"/>
        <w:rPr/>
      </w:pPr>
      <w:r>
        <w:rPr>
          <w:rFonts w:eastAsia="Calibri" w:cs="Times New Roman"/>
          <w:sz w:val="24"/>
          <w:szCs w:val="24"/>
          <w:shd w:fill="auto" w:val="clear"/>
          <w:lang w:val="en-US" w:eastAsia="zh-CN" w:bidi="hi-IN"/>
        </w:rPr>
        <w:t>11.02.2026</w:t>
      </w:r>
    </w:p>
    <w:p>
      <w:pPr>
        <w:pStyle w:val="Normal"/>
        <w:spacing w:lineRule="auto" w:line="240" w:before="120" w:after="120"/>
        <w:ind w:left="0" w:right="0" w:hanging="0"/>
        <w:jc w:val="left"/>
        <w:rPr/>
      </w:pPr>
      <w:r>
        <w:rPr>
          <w:rFonts w:cs="Times New Roman"/>
          <w:b/>
          <w:bCs/>
          <w:sz w:val="24"/>
          <w:szCs w:val="24"/>
        </w:rPr>
        <w:t>Заказчик</w:t>
      </w:r>
      <w:r>
        <w:rPr>
          <w:rFonts w:cs="Times New Roman"/>
          <w:sz w:val="24"/>
          <w:szCs w:val="24"/>
          <w:lang w:val="en-US"/>
        </w:rPr>
        <w:t>:</w:t>
      </w:r>
      <w:r>
        <w:rPr>
          <w:rFonts w:cs="Times New Roman"/>
          <w:sz w:val="24"/>
          <w:szCs w:val="24"/>
          <w:shd w:fill="auto" w:val="clear"/>
          <w:lang w:val="en-US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 w:eastAsia="zh-CN" w:bidi="hi-IN"/>
        </w:rPr>
        <w:t>ФЕДЕРАЛЬНОЕ ГОСУДАРСТВЕННОЕ БЮДЖЕТНОЕ УЧРЕЖДЕНИЕ "НАЦИОНАЛЬНЫЙ МЕДИЦИНСКИЙ ИССЛЕДОВАТЕЛЬСКИЙ ЦЕНТР ОНКОЛОГИИ ИМЕНИ Н.Н. ПЕТРОВА" МИНИСТЕРСТВА ЗДРАВООХРАНЕНИЯ РОССИЙСКОЙ ФЕДЕРАЦИИ</w:t>
      </w:r>
      <w:r>
        <w:rPr>
          <w:rFonts w:cs="Times New Roman"/>
          <w:sz w:val="24"/>
          <w:szCs w:val="24"/>
          <w:lang w:val="en-US" w:eastAsia="zh-CN" w:bidi="hi-IN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-567" w:leader="none"/>
        </w:tabs>
        <w:spacing w:lineRule="auto" w:line="240" w:before="120" w:after="120"/>
        <w:ind w:left="0" w:right="0" w:hanging="0"/>
        <w:jc w:val="left"/>
        <w:rPr/>
      </w:pPr>
      <w:r>
        <w:rPr>
          <w:rFonts w:cs="Times New Roman"/>
          <w:b/>
          <w:bCs/>
          <w:sz w:val="24"/>
          <w:szCs w:val="24"/>
          <w:shd w:fill="auto" w:val="clear"/>
          <w:lang w:eastAsia="zh-CN" w:bidi="hi-IN"/>
        </w:rPr>
        <w:t>Идентификационный код закупки</w:t>
      </w:r>
      <w:r>
        <w:rPr>
          <w:rFonts w:cs="Times New Roman"/>
          <w:sz w:val="24"/>
          <w:szCs w:val="24"/>
          <w:shd w:fill="auto" w:val="clear"/>
          <w:lang w:eastAsia="zh-CN" w:bidi="hi-IN"/>
        </w:rPr>
        <w:t>:</w:t>
      </w:r>
      <w:r>
        <w:rPr>
          <w:rFonts w:cs="Times New Roman"/>
          <w:sz w:val="24"/>
          <w:szCs w:val="24"/>
          <w:shd w:fill="auto" w:val="clear"/>
          <w:lang w:val="en-US" w:eastAsia="zh-CN" w:bidi="hi-IN"/>
        </w:rPr>
        <w:t xml:space="preserve"> 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  <w:shd w:fill="auto" w:val="clear"/>
          <w:lang w:val="en-US" w:eastAsia="zh-CN" w:bidi="hi-IN"/>
        </w:rPr>
        <w:t>261782100688778430100100400010000244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-567" w:leader="none"/>
        </w:tabs>
        <w:spacing w:lineRule="auto" w:line="240" w:before="120" w:after="120"/>
        <w:ind w:left="0" w:right="0" w:hanging="0"/>
        <w:jc w:val="left"/>
        <w:rPr/>
      </w:pPr>
      <w:r>
        <w:rPr>
          <w:rFonts w:cs="Times New Roman"/>
          <w:b/>
          <w:bCs/>
          <w:sz w:val="24"/>
          <w:szCs w:val="24"/>
          <w:shd w:fill="auto" w:val="clear"/>
        </w:rPr>
        <w:t>Номер</w:t>
      </w:r>
      <w:r>
        <w:rPr>
          <w:rFonts w:cs="Times New Roman"/>
          <w:b/>
          <w:bCs/>
          <w:sz w:val="24"/>
          <w:szCs w:val="24"/>
          <w:shd w:fill="auto" w:val="clear"/>
          <w:lang w:val="en-US"/>
        </w:rPr>
        <w:t xml:space="preserve"> </w:t>
      </w:r>
      <w:r>
        <w:rPr>
          <w:rFonts w:cs="Times New Roman"/>
          <w:b/>
          <w:bCs/>
          <w:sz w:val="24"/>
          <w:szCs w:val="24"/>
          <w:shd w:fill="auto" w:val="clear"/>
        </w:rPr>
        <w:t>закупки</w:t>
      </w:r>
      <w:r>
        <w:rPr>
          <w:rFonts w:cs="Times New Roman"/>
          <w:sz w:val="24"/>
          <w:szCs w:val="24"/>
          <w:shd w:fill="auto" w:val="clear"/>
          <w:lang w:val="en-US"/>
        </w:rPr>
        <w:t xml:space="preserve">: 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  <w:shd w:fill="auto" w:val="clear"/>
          <w:lang w:val="en-US" w:eastAsia="zh-CN" w:bidi="hi-IN"/>
        </w:rPr>
        <w:t>0372100048826000117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-567" w:leader="none"/>
        </w:tabs>
        <w:spacing w:lineRule="auto" w:line="240" w:before="120" w:after="120"/>
        <w:ind w:left="0" w:right="0" w:hanging="0"/>
        <w:jc w:val="left"/>
        <w:rPr/>
      </w:pPr>
      <w:r>
        <w:rPr>
          <w:rFonts w:cs="Times New Roman"/>
          <w:b/>
          <w:bCs/>
          <w:sz w:val="24"/>
          <w:szCs w:val="24"/>
          <w:shd w:fill="auto" w:val="clear"/>
        </w:rPr>
        <w:t>Наименование объекта закупки</w:t>
      </w:r>
      <w:r>
        <w:rPr>
          <w:rFonts w:cs="Times New Roman"/>
          <w:sz w:val="24"/>
          <w:szCs w:val="24"/>
          <w:shd w:fill="auto" w:val="clear"/>
        </w:rPr>
        <w:t xml:space="preserve">: </w:t>
      </w:r>
      <w:r>
        <w:rPr>
          <w:rFonts w:cs="Times New Roman"/>
          <w:sz w:val="24"/>
          <w:szCs w:val="24"/>
          <w:shd w:fill="auto" w:val="clear"/>
          <w:lang w:val="en-US"/>
        </w:rPr>
        <w:t>Насос инфузионный эластомерный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-567" w:leader="none"/>
        </w:tabs>
        <w:spacing w:lineRule="auto" w:line="240" w:before="120" w:after="120"/>
        <w:ind w:left="0" w:right="0" w:hanging="0"/>
        <w:jc w:val="left"/>
        <w:rPr/>
      </w:pPr>
      <w:r>
        <w:rPr>
          <w:rFonts w:cs="Times New Roman"/>
          <w:b/>
          <w:bCs/>
          <w:sz w:val="24"/>
          <w:szCs w:val="24"/>
          <w:shd w:fill="auto" w:val="clear"/>
        </w:rPr>
        <w:t>Начальная (максимальная) цена контракта</w:t>
      </w:r>
      <w:r>
        <w:rPr>
          <w:rFonts w:cs="Times New Roman"/>
          <w:sz w:val="24"/>
          <w:szCs w:val="24"/>
          <w:shd w:fill="auto" w:val="clear"/>
        </w:rPr>
        <w:t xml:space="preserve">: </w:t>
      </w:r>
      <w:r>
        <w:rPr>
          <w:rFonts w:cs="Times New Roman"/>
          <w:sz w:val="24"/>
          <w:szCs w:val="24"/>
          <w:shd w:fill="auto" w:val="clear"/>
          <w:lang w:val="en-US" w:eastAsia="zh-CN" w:bidi="hi-IN"/>
        </w:rPr>
        <w:t>248 000.00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-567" w:leader="none"/>
        </w:tabs>
        <w:spacing w:lineRule="auto" w:line="240" w:before="120" w:after="120"/>
        <w:ind w:left="0" w:right="0" w:hanging="0"/>
        <w:jc w:val="left"/>
        <w:rPr/>
      </w:pPr>
      <w:r>
        <w:rPr>
          <w:rFonts w:cs="Times New Roman"/>
          <w:sz w:val="24"/>
          <w:szCs w:val="24"/>
          <w:shd w:fill="auto" w:val="clear"/>
        </w:rPr>
        <w:t xml:space="preserve">Извещение о проведении закупки, </w:t>
      </w:r>
      <w:r>
        <w:rPr>
          <w:rFonts w:eastAsia="Calibri" w:cs="Times New Roman"/>
          <w:color w:val="000000"/>
          <w:sz w:val="24"/>
          <w:szCs w:val="24"/>
          <w:u w:val="none"/>
          <w:shd w:fill="auto" w:val="clear"/>
          <w:lang w:val="ru-RU" w:eastAsia="en-US" w:bidi="ar-SA"/>
        </w:rPr>
        <w:t>осуществляемой в соответствии с частью 12 статьи 93 Закона № 44-ФЗ,</w:t>
      </w:r>
      <w:r>
        <w:rPr>
          <w:rFonts w:cs="Times New Roman"/>
          <w:sz w:val="24"/>
          <w:szCs w:val="24"/>
          <w:shd w:fill="auto" w:val="clear"/>
        </w:rPr>
        <w:t xml:space="preserve"> размещено на официальном сайте единой информационной системы в сфере закупок </w:t>
      </w:r>
      <w:hyperlink r:id="rId2" w:tgtFrame="http://zakupki.gov.ru/">
        <w:r>
          <w:rPr>
            <w:rFonts w:cs="Times New Roman"/>
            <w:color w:val="0070C0"/>
            <w:sz w:val="24"/>
            <w:szCs w:val="24"/>
            <w:shd w:fill="auto" w:val="clear"/>
          </w:rPr>
          <w:t>http://zakupki.gov.ru/</w:t>
        </w:r>
      </w:hyperlink>
      <w:r>
        <w:rPr>
          <w:rFonts w:cs="Times New Roman"/>
          <w:sz w:val="24"/>
          <w:szCs w:val="24"/>
          <w:shd w:fill="auto" w:val="clear"/>
        </w:rPr>
        <w:t xml:space="preserve">, а также на сайте электронной площадки «АО РАД» </w:t>
      </w:r>
      <w:hyperlink r:id="rId3" w:tgtFrame="https://gz.lot-online.ru/">
        <w:r>
          <w:rPr>
            <w:rFonts w:cs="Times New Roman"/>
            <w:color w:val="0070C0"/>
            <w:sz w:val="24"/>
            <w:szCs w:val="24"/>
            <w:shd w:fill="auto" w:val="clear"/>
          </w:rPr>
          <w:t>https://gz.lot-online.ru/</w:t>
        </w:r>
      </w:hyperlink>
      <w:r>
        <w:rPr>
          <w:rFonts w:cs="Times New Roman"/>
          <w:sz w:val="24"/>
          <w:szCs w:val="24"/>
          <w:shd w:fill="auto" w:val="clear"/>
        </w:rPr>
        <w:t>.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-567" w:leader="none"/>
        </w:tabs>
        <w:spacing w:lineRule="auto" w:line="240" w:before="120" w:after="120"/>
        <w:ind w:left="0" w:right="0" w:hanging="0"/>
        <w:jc w:val="left"/>
        <w:rPr/>
      </w:pPr>
      <w:r>
        <w:rPr>
          <w:rFonts w:cs="Times New Roman"/>
          <w:b w:val="false"/>
          <w:i w:val="false"/>
          <w:caps w:val="false"/>
          <w:smallCaps w:val="false"/>
          <w:color w:val="000000"/>
          <w:sz w:val="24"/>
          <w:szCs w:val="24"/>
          <w:shd w:fill="auto" w:val="clear"/>
          <w:lang w:val="en-US" w:eastAsia="zh-CN" w:bidi="hi-IN"/>
        </w:rPr>
        <w:t/>
      </w:r>
      <w:r>
        <w:rPr>
          <w:rFonts w:cs="Times New Roman"/>
          <w:b/>
          <w:bCs/>
          <w:sz w:val="24"/>
          <w:szCs w:val="24"/>
          <w:shd w:fill="auto" w:val="clear"/>
        </w:rPr>
        <w:t>Дата подведения итогов</w:t>
      </w:r>
      <w:r>
        <w:rPr>
          <w:rFonts w:cs="Times New Roman"/>
          <w:sz w:val="24"/>
          <w:szCs w:val="24"/>
          <w:shd w:fill="auto" w:val="clear"/>
        </w:rPr>
        <w:t xml:space="preserve">: </w:t>
      </w:r>
      <w:r>
        <w:rPr>
          <w:rFonts w:cs="Times New Roman"/>
          <w:sz w:val="24"/>
          <w:szCs w:val="24"/>
          <w:shd w:fill="auto" w:val="clear"/>
          <w:lang w:val="en-US" w:eastAsia="zh-CN" w:bidi="hi-IN"/>
        </w:rPr>
        <w:t>10.02.2026 17:03:50 (MSK+00:00)</w:t>
      </w:r>
      <w:r>
        <w:rPr>
          <w:rFonts w:cs="Times New Roman"/>
          <w:b w:val="false"/>
          <w:i w:val="false"/>
          <w:caps w:val="false"/>
          <w:smallCaps w:val="false"/>
          <w:color w:val="000000"/>
          <w:sz w:val="24"/>
          <w:szCs w:val="24"/>
          <w:shd w:fill="auto" w:val="clear"/>
          <w:lang w:val="en-US" w:eastAsia="zh-CN" w:bidi="hi-IN"/>
        </w:rPr>
        <w:t/>
      </w:r>
    </w:p>
    <w:p>
      <w:pPr>
        <w:pStyle w:val="LOnormal1"/>
        <w:spacing w:lineRule="auto" w:line="240" w:before="120" w:after="120"/>
        <w:ind w:left="0" w:right="0" w:hanging="0"/>
        <w:jc w:val="both"/>
        <w:rPr/>
      </w:pPr>
      <w:r>
        <w:rPr>
          <w:rFonts w:cs="Times New Roman"/>
          <w:sz w:val="24"/>
          <w:szCs w:val="24"/>
          <w:shd w:fill="auto" w:val="clear"/>
        </w:rPr>
        <w:t>На момент окончания срока определения заявок на участие в закупке, осуществляемой в соответствии</w:t>
      </w:r>
      <w:r>
        <w:rPr>
          <w:rFonts w:eastAsia="Noto Serif CJK SC" w:cs="Times New Roman"/>
          <w:color w:val="00000A"/>
          <w:sz w:val="24"/>
          <w:szCs w:val="24"/>
          <w:shd w:fill="auto" w:val="clear"/>
          <w:lang w:val="ru-RU" w:eastAsia="zh-CN" w:bidi="hi-IN"/>
        </w:rPr>
        <w:t xml:space="preserve"> с частью 12 статьи 93 Закона № 44-ФЗ, оп</w:t>
      </w:r>
      <w:r>
        <w:rPr>
          <w:rFonts w:cs="Times New Roman"/>
          <w:sz w:val="24"/>
          <w:szCs w:val="24"/>
          <w:shd w:fill="auto" w:val="clear"/>
          <w:lang w:eastAsia="ru-RU" w:bidi="hi-IN"/>
        </w:rPr>
        <w:t xml:space="preserve">ератором </w:t>
      </w:r>
      <w:bookmarkStart w:id="29" w:name="__DdeLink__797_4191992789"/>
      <w:r>
        <w:rPr>
          <w:rFonts w:cs="Times New Roman"/>
          <w:sz w:val="24"/>
          <w:szCs w:val="24"/>
          <w:shd w:fill="auto" w:val="clear"/>
          <w:lang w:eastAsia="ru-RU" w:bidi="hi-IN"/>
        </w:rPr>
        <w:t>была определена 1 заявка (предварительное предложение), соответствующая</w:t>
      </w:r>
      <w:bookmarkStart w:id="33" w:name="__DdeLink__794_4191992789"/>
      <w:bookmarkEnd w:id="29"/>
      <w:r>
        <w:rPr>
          <w:rFonts w:cs="Times New Roman"/>
          <w:sz w:val="24"/>
          <w:szCs w:val="24"/>
          <w:shd w:fill="auto" w:val="clear"/>
          <w:lang w:eastAsia="ru-RU" w:bidi="hi-IN"/>
        </w:rPr>
        <w:t xml:space="preserve"> требованиям</w:t>
      </w:r>
      <w:bookmarkEnd w:id="33"/>
      <w:r>
        <w:rPr>
          <w:rFonts w:cs="Times New Roman"/>
          <w:sz w:val="24"/>
          <w:szCs w:val="24"/>
          <w:shd w:fill="auto" w:val="clear"/>
          <w:lang w:eastAsia="ru-RU" w:bidi="hi-IN"/>
        </w:rPr>
        <w:t>, установленным в извещении об осуществлении закупки, и с</w:t>
      </w:r>
      <w:r>
        <w:rPr>
          <w:rFonts w:cs="Times New Roman"/>
          <w:sz w:val="24"/>
          <w:szCs w:val="24"/>
          <w:lang w:eastAsia="ru-RU" w:bidi="hi-IN"/>
        </w:rPr>
        <w:t>одержащая цену за единицу товара, являющегося объектом закупки:</w:t>
        <w:br/>
      </w:r>
      <w:r>
        <w:rPr>
          <w:rFonts w:eastAsia="Calibri" w:cs="Times New Roman"/>
          <w:sz w:val="24"/>
          <w:szCs w:val="24"/>
          <w:shd w:fill="auto" w:val="clear"/>
          <w:lang w:val="en-US" w:eastAsia="en-US" w:bidi="ar-SA"/>
        </w:rPr>
        <w:t/>
      </w:r>
    </w:p>
    <w:tbl>
      <w:tblPr>
        <w:tblW w:w="9930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3262"/>
        <w:gridCol w:w="1631"/>
        <w:gridCol w:w="2571"/>
        <w:gridCol w:w="2465"/>
      </w:tblGrid>
      <w:tr>
        <w:trPr/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/>
                <w:bCs/>
                <w:sz w:val="20"/>
                <w:szCs w:val="20"/>
              </w:rPr>
              <w:t>Идентификационный номер заявки, присвоенный оператором электронной площадки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/>
                <w:bCs/>
                <w:sz w:val="20"/>
                <w:szCs w:val="20"/>
              </w:rPr>
              <w:t>Порядковый номер заявки, присвоенный оператором электронной площадки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/>
                <w:bCs/>
                <w:sz w:val="20"/>
                <w:szCs w:val="20"/>
              </w:rPr>
              <w:t>Цена за единицу товара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/>
                <w:bCs/>
                <w:sz w:val="20"/>
                <w:szCs w:val="20"/>
              </w:rPr>
              <w:t>Общая сумма</w:t>
            </w:r>
          </w:p>
        </w:tc>
      </w:tr>
      <w:tr>
        <w:trPr/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eastAsia="Calibri" w:cs="Times New Roman"/>
                <w:sz w:val="24"/>
                <w:szCs w:val="24"/>
                <w:shd w:fill="auto" w:val="clear"/>
                <w:lang w:val="en-US" w:eastAsia="en-US" w:bidi="ar-SA"/>
              </w:rPr>
              <w:t/>
            </w:r>
            <w:bookmarkEnd w:id="37"/>
            <w:r>
              <w:rPr>
                <w:rFonts w:eastAsia="Calibri" w:cs="Times New Roman"/>
                <w:sz w:val="24"/>
                <w:szCs w:val="24"/>
                <w:shd w:fill="auto" w:val="clear"/>
                <w:lang w:val="en-US" w:eastAsia="en-US" w:bidi="ar-SA"/>
              </w:rPr>
              <w:t>EP-354683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sz w:val="24"/>
                <w:szCs w:val="24"/>
                <w:shd w:fill="auto" w:val="clear"/>
                <w:lang w:val="en-US"/>
              </w:rPr>
              <w:t>1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sz w:val="24"/>
                <w:szCs w:val="24"/>
                <w:shd w:fill="auto" w:val="clear"/>
                <w:lang w:val="en-US" w:eastAsia="ru-RU"/>
              </w:rPr>
              <w:t>2 480.00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sz w:val="24"/>
                <w:szCs w:val="24"/>
                <w:shd w:fill="auto" w:val="clear"/>
                <w:lang w:val="en-US" w:eastAsia="ru-RU"/>
              </w:rPr>
              <w:t>248 000.00</w:t>
            </w:r>
          </w:p>
        </w:tc>
      </w:tr>
    </w:tbl>
    <w:p>
      <w:pPr>
        <w:pStyle w:val="Normal"/>
        <w:tabs>
          <w:tab w:val="clear" w:pos="706"/>
          <w:tab w:val="left" w:pos="-562" w:leader="none"/>
        </w:tabs>
        <w:spacing w:lineRule="auto" w:line="240" w:before="120" w:after="120"/>
        <w:ind w:left="0" w:right="0" w:hanging="0"/>
        <w:jc w:val="both"/>
        <w:rPr/>
      </w:pPr>
      <w:r>
        <w:rPr>
          <w:rFonts w:eastAsia="Calibri" w:cs="Times New Roman"/>
          <w:sz w:val="24"/>
          <w:szCs w:val="24"/>
          <w:shd w:fill="auto" w:val="clear"/>
          <w:lang w:val="en-US" w:eastAsia="en-US" w:bidi="ar-SA"/>
        </w:rPr>
        <w:t/>
      </w:r>
      <w:r>
        <w:rPr>
          <w:rFonts w:cs="Times New Roman"/>
          <w:sz w:val="24"/>
          <w:szCs w:val="24"/>
        </w:rPr>
        <w:t xml:space="preserve">Заказчик рассмотрел </w:t>
      </w:r>
      <w:r>
        <w:rPr>
          <w:rFonts w:cs="Times New Roman"/>
          <w:sz w:val="24"/>
          <w:szCs w:val="24"/>
          <w:shd w:fill="auto" w:val="clear"/>
          <w:lang w:eastAsia="ru-RU" w:bidi="hi-IN"/>
        </w:rPr>
        <w:t>поступившую заявку</w:t>
      </w:r>
      <w:r>
        <w:rPr>
          <w:rFonts w:cs="Times New Roman"/>
          <w:sz w:val="24"/>
          <w:szCs w:val="24"/>
        </w:rPr>
        <w:t xml:space="preserve"> на участие в закупке</w:t>
      </w:r>
      <w:r>
        <w:rPr>
          <w:rFonts w:eastAsia="Calibri" w:cs="Times New Roman"/>
          <w:color w:val="auto"/>
          <w:sz w:val="24"/>
          <w:szCs w:val="24"/>
          <w:lang w:val="ru-RU" w:eastAsia="en-US" w:bidi="ar-SA"/>
        </w:rPr>
        <w:t xml:space="preserve">, </w:t>
      </w:r>
      <w:r>
        <w:rPr>
          <w:rFonts w:eastAsia="Calibri" w:cs="Times New Roman"/>
          <w:color w:val="auto"/>
          <w:sz w:val="24"/>
          <w:szCs w:val="24"/>
          <w:u w:val="none"/>
          <w:lang w:val="ru-RU" w:eastAsia="en-US" w:bidi="ar-SA"/>
        </w:rPr>
        <w:t>осуществляемой в соответствии с частью 12 статьи 93 Закона № 44-ФЗ</w:t>
      </w:r>
      <w:r>
        <w:rPr>
          <w:rFonts w:eastAsia="Calibri" w:cs="Times New Roman"/>
          <w:color w:val="auto"/>
          <w:sz w:val="24"/>
          <w:szCs w:val="24"/>
          <w:lang w:val="ru-RU" w:eastAsia="en-US" w:bidi="ar-SA"/>
        </w:rPr>
        <w:t xml:space="preserve">, в </w:t>
      </w:r>
      <w:r>
        <w:rPr>
          <w:rFonts w:cs="Times New Roman"/>
          <w:sz w:val="24"/>
          <w:szCs w:val="24"/>
        </w:rPr>
        <w:t xml:space="preserve">порядке, </w:t>
      </w:r>
      <w:r>
        <w:rPr>
          <w:rFonts w:eastAsia="Calibri" w:cs="Times New Roman"/>
          <w:color w:val="auto"/>
          <w:sz w:val="24"/>
          <w:szCs w:val="24"/>
          <w:lang w:eastAsia="en-US" w:bidi="ar-SA"/>
        </w:rPr>
        <w:t>установленном</w:t>
      </w:r>
      <w:r>
        <w:rPr>
          <w:rFonts w:cs="Times New Roman"/>
          <w:sz w:val="24"/>
          <w:szCs w:val="24"/>
        </w:rPr>
        <w:t xml:space="preserve"> пунктом 6 части 12 статьи 93 Закона № 44-ФЗ, на соответствие требованиям, установленным в извещении о проведении закупки товара у единственного поставщика на сумму, предусмотренную частью 12 статьи 93 Закона № 44-ФЗ, и принял следующее решение:</w:t>
        <w:br/>
      </w:r>
      <w:r>
        <w:rPr>
          <w:rFonts w:eastAsia="Calibri" w:cs="Times New Roman"/>
          <w:sz w:val="24"/>
          <w:szCs w:val="24"/>
          <w:shd w:fill="auto" w:val="clear"/>
          <w:lang w:val="en-US" w:eastAsia="en-US" w:bidi="ar-SA"/>
        </w:rPr>
        <w:t/>
      </w:r>
    </w:p>
    <w:tbl>
      <w:tblPr>
        <w:tblW w:w="9923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2119"/>
        <w:gridCol w:w="1705"/>
        <w:gridCol w:w="2697"/>
        <w:gridCol w:w="3401"/>
      </w:tblGrid>
      <w:tr>
        <w:trPr/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/>
                <w:bCs/>
                <w:sz w:val="20"/>
                <w:szCs w:val="20"/>
              </w:rPr>
              <w:t>Идентификационный номер заявки, присвоенный оператором электронной площадки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/>
                <w:bCs/>
                <w:sz w:val="20"/>
                <w:szCs w:val="20"/>
              </w:rPr>
              <w:t>Порядковый номер заявки, присвоенный оператором электронной площадки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/>
                <w:bCs/>
                <w:sz w:val="20"/>
                <w:szCs w:val="20"/>
              </w:rPr>
              <w:t>Решение о соответствии заявки требованиям извещения или об отклонении заявки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/>
                <w:bCs/>
                <w:sz w:val="20"/>
                <w:szCs w:val="20"/>
              </w:rPr>
              <w:t>Обоснование решения об отклонении заявки (в случае принятия такого решения)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eastAsia="Calibri" w:cs="Times New Roman"/>
                <w:sz w:val="24"/>
                <w:szCs w:val="24"/>
                <w:shd w:fill="auto" w:val="clear"/>
                <w:lang w:val="en-US" w:eastAsia="en-US" w:bidi="ar-SA"/>
              </w:rPr>
              <w:t>EP-354683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Cs/>
                <w:sz w:val="24"/>
                <w:szCs w:val="24"/>
                <w:shd w:fill="auto" w:val="clear"/>
                <w:lang w:val="en-US"/>
              </w:rPr>
              <w:t>1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bCs/>
                <w:sz w:val="24"/>
                <w:szCs w:val="24"/>
                <w:shd w:fill="auto" w:val="clear"/>
                <w:lang w:val="en-US"/>
              </w:rPr>
              <w:t>Соответствует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left"/>
              <w:rPr/>
            </w:pPr>
            <w:r>
              <w:rPr>
                <w:rFonts w:cs="Times New Roman"/>
                <w:bCs/>
                <w:sz w:val="24"/>
                <w:szCs w:val="24"/>
                <w:shd w:fill="auto" w:val="clear"/>
                <w:lang w:val="en-US"/>
              </w:rPr>
              <w:t>-</w:t>
            </w:r>
          </w:p>
        </w:tc>
      </w:tr>
    </w:tbl>
    <w:p>
      <w:pPr>
        <w:pStyle w:val="Normal"/>
        <w:tabs>
          <w:tab w:val="clear" w:pos="706"/>
          <w:tab w:val="left" w:pos="-562" w:leader="none"/>
        </w:tabs>
        <w:spacing w:lineRule="auto" w:line="240" w:before="120" w:after="120"/>
        <w:ind w:left="0" w:right="0" w:hanging="0"/>
        <w:jc w:val="both"/>
        <w:rPr/>
      </w:pPr>
      <w:r>
        <w:rPr>
          <w:rFonts w:eastAsia="Calibri" w:cs="Times New Roman"/>
          <w:sz w:val="24"/>
          <w:szCs w:val="24"/>
          <w:shd w:fill="auto" w:val="clear"/>
          <w:lang w:val="en-US" w:eastAsia="en-US" w:bidi="ar-SA"/>
        </w:rPr>
        <w:t/>
      </w:r>
    </w:p>
    <w:p>
      <w:pPr>
        <w:pStyle w:val="ListParagraph"/>
        <w:numPr>
          <w:ilvl w:val="0"/>
          <w:numId w:val="0"/>
        </w:numPr>
        <w:tabs>
          <w:tab w:val="clear" w:pos="706"/>
        </w:tabs>
        <w:spacing w:lineRule="auto" w:line="240" w:before="120" w:after="120"/>
        <w:ind w:left="0" w:right="0" w:hanging="0"/>
        <w:contextualSpacing w:val="fals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 основании результата рассмотрен</w:t>
      </w:r>
      <w:r>
        <w:rPr>
          <w:rFonts w:eastAsia="Calibri" w:cs="Times New Roman"/>
          <w:color w:val="auto"/>
          <w:sz w:val="24"/>
          <w:szCs w:val="24"/>
          <w:lang w:val="ru-RU" w:eastAsia="en-US" w:bidi="ar-SA"/>
        </w:rPr>
        <w:t xml:space="preserve">ия </w:t>
      </w:r>
      <w:r>
        <w:rPr>
          <w:rFonts w:eastAsia="Calibri" w:cs="Times New Roman"/>
          <w:color w:val="000000"/>
          <w:sz w:val="24"/>
          <w:szCs w:val="24"/>
          <w:shd w:fill="auto" w:val="clear"/>
          <w:lang w:val="ru-RU" w:eastAsia="en-US" w:bidi="ar-SA"/>
        </w:rPr>
        <w:t>заявки </w:t>
      </w:r>
      <w:r>
        <w:rPr>
          <w:rFonts w:eastAsia="Calibri" w:cs="Times New Roman"/>
          <w:color w:val="auto"/>
          <w:sz w:val="24"/>
          <w:szCs w:val="24"/>
          <w:lang w:val="ru-RU" w:eastAsia="en-US" w:bidi="ar-SA"/>
        </w:rPr>
        <w:t xml:space="preserve">на участие в закупке, </w:t>
      </w:r>
      <w:r>
        <w:rPr>
          <w:rFonts w:eastAsia="Calibri" w:cs="Times New Roman"/>
          <w:color w:val="auto"/>
          <w:sz w:val="24"/>
          <w:szCs w:val="24"/>
          <w:u w:val="none"/>
          <w:lang w:val="ru-RU" w:eastAsia="en-US" w:bidi="ar-SA"/>
        </w:rPr>
        <w:t>осуществляемой в соответствии с частью 12 статьи 93 Закона № 44-ФЗ</w:t>
      </w:r>
      <w:r>
        <w:rPr>
          <w:rFonts w:eastAsia="Calibri" w:cs="Times New Roman"/>
          <w:color w:val="auto"/>
          <w:sz w:val="24"/>
          <w:szCs w:val="24"/>
          <w:lang w:val="ru-RU" w:eastAsia="en-US" w:bidi="ar-SA"/>
        </w:rPr>
        <w:t>, и руководствуясь подпунктом «б» пункта 6 части 12 статьи 93</w:t>
      </w:r>
      <w:r>
        <w:rPr>
          <w:rFonts w:cs="Times New Roman"/>
          <w:sz w:val="24"/>
          <w:szCs w:val="24"/>
        </w:rPr>
        <w:t xml:space="preserve"> Закона №44-ФЗ, заказчиком принято решение о присвоении </w:t>
      </w:r>
      <w:bookmarkStart w:id="62" w:name="__DdeLink__695_3382344354"/>
      <w:r>
        <w:rPr>
          <w:rFonts w:cs="Times New Roman"/>
          <w:sz w:val="24"/>
          <w:szCs w:val="24"/>
          <w:shd w:fill="auto" w:val="clear"/>
          <w:lang w:eastAsia="ru-RU" w:bidi="hi-IN"/>
        </w:rPr>
        <w:t>следующего порядкового номера заявке, соответствующей</w:t>
      </w:r>
      <w:bookmarkEnd w:id="62"/>
      <w:r>
        <w:rPr>
          <w:rFonts w:cs="Times New Roman"/>
          <w:sz w:val="24"/>
          <w:szCs w:val="24"/>
        </w:rPr>
        <w:t xml:space="preserve"> требованиям, установленным в извещении о проведении закупки товара у единственного поставщика на сумму, предусмотренную частью 12 статьи 93 Закона № 44-ФЗ:</w:t>
      </w:r>
    </w:p>
    <w:p>
      <w:pPr>
        <w:pStyle w:val="ListParagraph"/>
        <w:tabs>
          <w:tab w:val="clear" w:pos="706"/>
        </w:tabs>
        <w:spacing w:lineRule="auto" w:line="240" w:before="120" w:after="120"/>
        <w:ind w:left="0" w:right="0" w:hanging="0"/>
        <w:contextualSpacing w:val="false"/>
        <w:jc w:val="both"/>
        <w:rPr/>
      </w:pPr>
      <w:r>
        <w:rPr/>
        <w:t/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554"/>
        <w:gridCol w:w="1551"/>
        <w:gridCol w:w="2134"/>
        <w:gridCol w:w="1990"/>
      </w:tblGrid>
      <w:tr>
        <w:trPr/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ListParagraph"/>
              <w:widowControl w:val="false"/>
              <w:spacing w:lineRule="auto" w:line="240" w:before="0" w:after="0"/>
              <w:ind w:left="119" w:right="119" w:hanging="0"/>
              <w:contextualSpacing w:val="false"/>
              <w:jc w:val="center"/>
              <w:rPr/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val="ru-RU" w:eastAsia="en-US" w:bidi="ar-SA"/>
              </w:rPr>
              <w:t>Идентификационный номер заявки, присвоенный оператором электронной площадки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ListParagraph"/>
              <w:widowControl w:val="false"/>
              <w:spacing w:lineRule="auto" w:line="240" w:before="0" w:after="0"/>
              <w:ind w:left="119" w:right="119" w:hanging="0"/>
              <w:contextualSpacing w:val="false"/>
              <w:jc w:val="center"/>
              <w:rPr/>
            </w:pPr>
            <w:r>
              <w:rPr>
                <w:rFonts w:eastAsia="Calibri" w:cs="Times New Roman"/>
                <w:b/>
                <w:sz w:val="20"/>
                <w:szCs w:val="20"/>
                <w:lang w:val="ru-RU" w:eastAsia="en-US" w:bidi="ar-SA"/>
              </w:rPr>
              <w:t>Порядковый номер заявки, присвоенный заказчиком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ListParagraph"/>
              <w:widowControl w:val="false"/>
              <w:spacing w:lineRule="auto" w:line="240" w:before="0" w:after="0"/>
              <w:ind w:left="119" w:right="119" w:hanging="0"/>
              <w:contextualSpacing w:val="false"/>
              <w:jc w:val="center"/>
              <w:rPr/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val="ru-RU" w:eastAsia="en-US" w:bidi="ar-SA"/>
              </w:rPr>
              <w:t>Порядковый номер заявки, присвоенный оператором электронной площадки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val="ru-RU" w:eastAsia="en-US" w:bidi="ar-SA"/>
              </w:rPr>
              <w:t>Цена за единицу товара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ListParagraph"/>
              <w:widowControl w:val="false"/>
              <w:spacing w:lineRule="auto" w:line="240" w:before="0" w:after="0"/>
              <w:ind w:left="119" w:right="119" w:hanging="0"/>
              <w:contextualSpacing w:val="false"/>
              <w:jc w:val="center"/>
              <w:rPr/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val="ru-RU" w:eastAsia="en-US" w:bidi="ar-SA"/>
              </w:rPr>
              <w:t>Общая сумма</w:t>
            </w:r>
          </w:p>
        </w:tc>
      </w:tr>
      <w:tr>
        <w:trPr/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eastAsia="Calibri" w:cs="Times New Roman"/>
                <w:sz w:val="24"/>
                <w:szCs w:val="24"/>
                <w:shd w:fill="auto" w:val="clear"/>
                <w:lang w:val="en-US" w:eastAsia="en-US" w:bidi="ar-SA"/>
              </w:rPr>
              <w:t>EP-354683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sz w:val="24"/>
                <w:szCs w:val="24"/>
                <w:shd w:fill="auto" w:val="clear"/>
                <w:lang w:val="en-US"/>
              </w:rPr>
              <w:t>1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sz w:val="24"/>
                <w:szCs w:val="24"/>
                <w:shd w:fill="auto" w:val="clear"/>
                <w:lang w:val="en-US"/>
              </w:rPr>
              <w:t>1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sz w:val="24"/>
                <w:szCs w:val="24"/>
                <w:shd w:fill="auto" w:val="clear"/>
                <w:lang w:val="en-US" w:eastAsia="ru-RU"/>
              </w:rPr>
              <w:t>2 480.00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9" w:right="119" w:hanging="0"/>
              <w:jc w:val="center"/>
              <w:rPr/>
            </w:pPr>
            <w:r>
              <w:rPr>
                <w:rFonts w:cs="Times New Roman"/>
                <w:sz w:val="24"/>
                <w:szCs w:val="24"/>
                <w:shd w:fill="auto" w:val="clear"/>
                <w:lang w:val="en-US" w:eastAsia="ru-RU"/>
              </w:rPr>
              <w:t>248 000.00</w:t>
            </w:r>
          </w:p>
        </w:tc>
      </w:tr>
    </w:tbl>
    <w:p>
      <w:pPr>
        <w:pStyle w:val="Normal"/>
        <w:tabs>
          <w:tab w:val="clear" w:pos="706"/>
          <w:tab w:val="left" w:pos="993" w:leader="none"/>
        </w:tabs>
        <w:spacing w:lineRule="auto" w:line="240" w:before="120" w:after="0"/>
        <w:ind w:left="119" w:right="119" w:hanging="0"/>
        <w:jc w:val="both"/>
        <w:rPr/>
      </w:pPr>
      <w:r>
        <w:rPr/>
        <w:t/>
      </w:r>
    </w:p>
    <w:p>
      <w:pPr>
        <w:pStyle w:val="Normal"/>
        <w:rPr>
          <w:sz w:val="24"/>
          <w:szCs w:val="24"/>
        </w:rPr>
      </w:pPr>
      <w:r>
        <w:rPr>
          <w:rFonts w:cs="Times New Roman"/>
          <w:sz w:val="24"/>
          <w:szCs w:val="24"/>
        </w:rPr>
        <w:t>На основании</w:t>
      </w:r>
      <w:r>
        <w:rPr>
          <w:rFonts w:eastAsia="Calibri" w:cs="Times New Roman"/>
          <w:color w:val="auto"/>
          <w:sz w:val="24"/>
          <w:szCs w:val="24"/>
          <w:lang w:val="ru-RU" w:eastAsia="en-US" w:bidi="ar-SA"/>
        </w:rPr>
        <w:t xml:space="preserve"> рассмотрения </w:t>
      </w:r>
      <w:r>
        <w:rPr>
          <w:rFonts w:eastAsia="Calibri" w:cs="Times New Roman"/>
          <w:color w:val="000000"/>
          <w:sz w:val="24"/>
          <w:szCs w:val="24"/>
          <w:shd w:fill="auto" w:val="clear"/>
          <w:lang w:val="ru-RU" w:eastAsia="en-US" w:bidi="ar-SA"/>
        </w:rPr>
        <w:t>заявки</w:t>
      </w:r>
      <w:r>
        <w:rPr>
          <w:rFonts w:eastAsia="Calibri" w:cs="Times New Roman"/>
          <w:color w:val="auto"/>
          <w:sz w:val="24"/>
          <w:szCs w:val="24"/>
          <w:lang w:val="ru-RU" w:eastAsia="en-US" w:bidi="ar-SA"/>
        </w:rPr>
        <w:t xml:space="preserve"> на участие в закупке, </w:t>
      </w:r>
      <w:r>
        <w:rPr>
          <w:rFonts w:eastAsia="Calibri" w:cs="Times New Roman"/>
          <w:color w:val="auto"/>
          <w:sz w:val="24"/>
          <w:szCs w:val="24"/>
          <w:u w:val="none"/>
          <w:lang w:val="ru-RU" w:eastAsia="en-US" w:bidi="ar-SA"/>
        </w:rPr>
        <w:t>осуществляемой в соответ</w:t>
      </w:r>
      <w:r>
        <w:rPr>
          <w:sz w:val="24"/>
          <w:szCs w:val="24"/>
          <w:lang w:val="ru-RU" w:eastAsia="en-US" w:bidi="ar-SA"/>
        </w:rPr>
        <w:t>ствии с частью 12 статьи 93 Закона № 44-ФЗ, и в соответствии с частью 12 статьи 93 Закона № 44-ФЗ, кон</w:t>
      </w:r>
      <w:r>
        <w:rPr>
          <w:sz w:val="24"/>
          <w:szCs w:val="24"/>
        </w:rPr>
        <w:t xml:space="preserve">тракт заключается с участником, идентификационный номер заявки которого: </w:t>
      </w:r>
      <w:r>
        <w:rPr>
          <w:sz w:val="24"/>
          <w:szCs w:val="24"/>
          <w:lang w:val="en-US"/>
        </w:rPr>
        <w:t>EP-354683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993" w:leader="none"/>
        </w:tabs>
        <w:spacing w:lineRule="auto" w:line="240" w:before="120" w:after="120"/>
        <w:ind w:left="0" w:right="0" w:hanging="0"/>
        <w:jc w:val="both"/>
        <w:rPr/>
      </w:pPr>
      <w:r>
        <w:rPr>
          <w:sz w:val="24"/>
          <w:szCs w:val="24"/>
        </w:rPr>
        <w:t>Настоящий протокол подписан усиленной электрон</w:t>
      </w:r>
      <w:r>
        <w:rPr>
          <w:rFonts w:cs="Times New Roman"/>
          <w:sz w:val="24"/>
          <w:szCs w:val="24"/>
        </w:rPr>
        <w:t xml:space="preserve">ной подписью лица, имеющего право действовать от имени заказчика, и направлен оператору электронной площадки «АО РАД» по адресу в сети «Интернет»: </w:t>
      </w:r>
      <w:hyperlink r:id="rId4" w:tgtFrame="https://gz.lot-online.ru/">
        <w:r>
          <w:rPr>
            <w:rFonts w:cs="Times New Roman"/>
            <w:color w:val="0070C0"/>
            <w:sz w:val="24"/>
            <w:szCs w:val="24"/>
          </w:rPr>
          <w:t>https://gz.lot-online.ru/</w:t>
        </w:r>
      </w:hyperlink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34" w:right="851" w:gutter="0" w:header="0" w:top="1134" w:footer="708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  <w:rPr/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  <w:rPr/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  <w:rPr/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rial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200"/>
      <w:jc w:val="left"/>
    </w:pPr>
    <w:rPr>
      <w:rFonts w:ascii="Times New Roman" w:hAnsi="Times New Roman" w:eastAsia="Calibri" w:cs="Arial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qFormat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21"/>
    <w:qFormat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right="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qFormat/>
    <w:pPr>
      <w:keepNext w:val="true"/>
      <w:numPr>
        <w:ilvl w:val="2"/>
        <w:numId w:val="1"/>
      </w:numPr>
      <w:spacing w:before="240" w:after="120"/>
      <w:ind w:left="720" w:right="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qFormat/>
    <w:pPr>
      <w:keepNext w:val="true"/>
      <w:numPr>
        <w:ilvl w:val="3"/>
        <w:numId w:val="1"/>
      </w:numPr>
      <w:spacing w:before="240" w:after="60"/>
      <w:ind w:left="1426" w:right="0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qFormat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paragraph" w:styleId="6">
    <w:name w:val="Heading 6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">
    <w:name w:val="Heading 7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">
    <w:name w:val="Heading 8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9">
    <w:name w:val="Heading 9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Style5">
    <w:name w:val="Выделение"/>
    <w:basedOn w:val="DefaultParagraphFont"/>
    <w:uiPriority w:val="20"/>
    <w:qFormat/>
    <w:rPr>
      <w:i/>
      <w:iCs/>
    </w:rPr>
  </w:style>
  <w:style w:type="character" w:styleId="Style6">
    <w:name w:val="Символ сноски"/>
    <w:basedOn w:val="DefaultParagraphFont"/>
    <w:qFormat/>
    <w:rPr>
      <w:vertAlign w:val="superscript"/>
    </w:rPr>
  </w:style>
  <w:style w:type="character" w:styleId="Style7">
    <w:name w:val="Привязка сноски"/>
    <w:rPr>
      <w:vertAlign w:val="superscript"/>
    </w:rPr>
  </w:style>
  <w:style w:type="character" w:styleId="Style8">
    <w:name w:val="Символ концевой сноски"/>
    <w:basedOn w:val="DefaultParagraphFont"/>
    <w:qFormat/>
    <w:rPr>
      <w:vertAlign w:val="superscript"/>
    </w:rPr>
  </w:style>
  <w:style w:type="character" w:styleId="Style9">
    <w:name w:val="Привязка концевой сноски"/>
    <w:rPr>
      <w:vertAlign w:val="superscript"/>
    </w:rPr>
  </w:style>
  <w:style w:type="character" w:styleId="Style10">
    <w:name w:val="Интернет-ссылка"/>
    <w:basedOn w:val="DefaultParagraphFont"/>
    <w:uiPriority w:val="99"/>
    <w:unhideWhenUsed/>
    <w:rPr>
      <w:color w:val="0000FF"/>
      <w:u w:val="single"/>
    </w:rPr>
  </w:style>
  <w:style w:type="character" w:styleId="Style11">
    <w:name w:val="Посещённая гиперссылка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ing1Char">
    <w:name w:val="Heading 1 Char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qFormat/>
    <w:rPr>
      <w:sz w:val="48"/>
      <w:szCs w:val="48"/>
    </w:rPr>
  </w:style>
  <w:style w:type="character" w:styleId="SubtitleChar">
    <w:name w:val="Subtitle Char"/>
    <w:basedOn w:val="DefaultParagraphFont"/>
    <w:qFormat/>
    <w:rPr>
      <w:sz w:val="24"/>
      <w:szCs w:val="24"/>
    </w:rPr>
  </w:style>
  <w:style w:type="character" w:styleId="QuoteChar">
    <w:name w:val="Quote Char"/>
    <w:qFormat/>
    <w:rPr>
      <w:i/>
    </w:rPr>
  </w:style>
  <w:style w:type="character" w:styleId="IntenseQuoteChar">
    <w:name w:val="Intense Quote Char"/>
    <w:qFormat/>
    <w:rPr>
      <w:i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aptionChar">
    <w:name w:val="Caption Char"/>
    <w:qFormat/>
    <w:rPr/>
  </w:style>
  <w:style w:type="character" w:styleId="FootnoteTextChar">
    <w:name w:val="Footnote Text Char"/>
    <w:qFormat/>
    <w:rPr>
      <w:sz w:val="18"/>
    </w:rPr>
  </w:style>
  <w:style w:type="character" w:styleId="FootnoteCharacters">
    <w:name w:val="Footnote Characters"/>
    <w:qFormat/>
    <w:rPr>
      <w:vertAlign w:val="superscript"/>
    </w:rPr>
  </w:style>
  <w:style w:type="character" w:styleId="EndnoteTextChar">
    <w:name w:val="Endnote Text Char"/>
    <w:qFormat/>
    <w:rPr>
      <w:sz w:val="20"/>
    </w:rPr>
  </w:style>
  <w:style w:type="character" w:styleId="EndnoteCharacters">
    <w:name w:val="Endnote Characters"/>
    <w:qFormat/>
    <w:rPr>
      <w:vertAlign w:val="superscript"/>
    </w:rPr>
  </w:style>
  <w:style w:type="character" w:styleId="DefaultParagraphFont" w:default="1">
    <w:name w:val="Default Paragraph Font"/>
    <w:qFormat/>
    <w:rPr/>
  </w:style>
  <w:style w:type="character" w:styleId="Style12">
    <w:name w:val="Схема документа Знак"/>
    <w:basedOn w:val="DefaultParagraphFont"/>
    <w:qFormat/>
    <w:rPr>
      <w:rFonts w:ascii="Tahoma" w:hAnsi="Tahoma" w:cs="Tahoma"/>
      <w:sz w:val="16"/>
      <w:szCs w:val="16"/>
    </w:rPr>
  </w:style>
  <w:style w:type="character" w:styleId="11">
    <w:name w:val="Заголовок 1 Знак"/>
    <w:basedOn w:val="DefaultParagraphFont"/>
    <w:qFormat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>
    <w:name w:val="Заголовок 2 Знак"/>
    <w:basedOn w:val="DefaultParagraphFont"/>
    <w:qFormat/>
    <w:rPr>
      <w:rFonts w:ascii="Arial" w:hAnsi="Arial" w:eastAsia="Times New Roman" w:cs="Arial"/>
      <w:b/>
      <w:bCs/>
      <w:szCs w:val="20"/>
      <w:lang w:val="en-US"/>
    </w:rPr>
  </w:style>
  <w:style w:type="character" w:styleId="31">
    <w:name w:val="Заголовок 3 Знак"/>
    <w:basedOn w:val="DefaultParagraphFont"/>
    <w:qFormat/>
    <w:rPr>
      <w:rFonts w:ascii="Arial" w:hAnsi="Arial" w:eastAsia="Times New Roman" w:cs="Times New Roman"/>
      <w:b/>
      <w:bCs/>
      <w:szCs w:val="26"/>
    </w:rPr>
  </w:style>
  <w:style w:type="character" w:styleId="41">
    <w:name w:val="Заголовок 4 Знак"/>
    <w:basedOn w:val="DefaultParagraphFont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>
    <w:name w:val="Заголовок 5 Знак"/>
    <w:basedOn w:val="DefaultParagraphFont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3">
    <w:name w:val="Основной текст Знак"/>
    <w:basedOn w:val="DefaultParagraph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15">
    <w:name w:val="Текст примечания Знак"/>
    <w:basedOn w:val="DefaultParagraphFont"/>
    <w:qFormat/>
    <w:rPr>
      <w:sz w:val="20"/>
      <w:szCs w:val="20"/>
    </w:rPr>
  </w:style>
  <w:style w:type="character" w:styleId="Style16">
    <w:name w:val="Тема примечания Знак"/>
    <w:basedOn w:val="Style15"/>
    <w:qFormat/>
    <w:rPr>
      <w:b/>
      <w:bCs/>
      <w:sz w:val="20"/>
      <w:szCs w:val="20"/>
    </w:rPr>
  </w:style>
  <w:style w:type="character" w:styleId="Style17">
    <w:name w:val="Верхний колонтитул Знак"/>
    <w:basedOn w:val="DefaultParagraphFont"/>
    <w:qFormat/>
    <w:rPr/>
  </w:style>
  <w:style w:type="character" w:styleId="Style18">
    <w:name w:val="Нижний колонтитул Знак"/>
    <w:basedOn w:val="DefaultParagraphFont"/>
    <w:qFormat/>
    <w:rPr/>
  </w:style>
  <w:style w:type="character" w:styleId="Style19">
    <w:name w:val="Символ нумерации"/>
    <w:qFormat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1">
    <w:name w:val="Body Text"/>
    <w:basedOn w:val="Normal"/>
    <w:pPr>
      <w:spacing w:before="0" w:after="120"/>
    </w:pPr>
    <w:rPr/>
  </w:style>
  <w:style w:type="paragraph" w:styleId="Style22">
    <w:name w:val="List"/>
    <w:basedOn w:val="Style21"/>
    <w:pPr/>
    <w:rPr>
      <w:rFonts w:cs="Arial"/>
    </w:rPr>
  </w:style>
  <w:style w:type="paragraph" w:styleId="Style23">
    <w:name w:val="Caption"/>
    <w:basedOn w:val="Normal"/>
    <w:qFormat/>
    <w:pPr>
      <w:spacing w:lineRule="auto" w:line="276"/>
    </w:pPr>
    <w:rPr>
      <w:b/>
      <w:bCs/>
      <w:color w:val="4F81BD"/>
      <w:sz w:val="18"/>
      <w:szCs w:val="18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Arial"/>
      <w:color w:val="auto"/>
      <w:kern w:val="0"/>
      <w:sz w:val="22"/>
      <w:szCs w:val="22"/>
      <w:lang w:val="ru-RU" w:eastAsia="en-US" w:bidi="ar-SA"/>
    </w:rPr>
  </w:style>
  <w:style w:type="paragraph" w:styleId="Style25">
    <w:name w:val="Title"/>
    <w:basedOn w:val="Normal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200"/>
      <w:ind w:left="720" w:right="720" w:hanging="0"/>
    </w:pPr>
    <w:rPr>
      <w:i/>
    </w:rPr>
  </w:style>
  <w:style w:type="paragraph" w:styleId="Style27">
    <w:name w:val="Footnote Text"/>
    <w:basedOn w:val="Normal"/>
    <w:pPr>
      <w:spacing w:lineRule="auto" w:line="240" w:before="0" w:after="40"/>
    </w:pPr>
    <w:rPr>
      <w:sz w:val="18"/>
    </w:rPr>
  </w:style>
  <w:style w:type="paragraph" w:styleId="Style28">
    <w:name w:val="Endnote Text"/>
    <w:basedOn w:val="Normal"/>
    <w:pPr>
      <w:spacing w:lineRule="auto" w:line="240" w:before="0" w:after="0"/>
    </w:pPr>
    <w:rPr>
      <w:sz w:val="20"/>
    </w:rPr>
  </w:style>
  <w:style w:type="paragraph" w:styleId="12">
    <w:name w:val="TOC 1"/>
    <w:basedOn w:val="Normal"/>
    <w:pPr>
      <w:spacing w:before="0" w:after="57"/>
      <w:ind w:left="0" w:right="0" w:hanging="0"/>
    </w:pPr>
    <w:rPr/>
  </w:style>
  <w:style w:type="paragraph" w:styleId="22">
    <w:name w:val="TOC 2"/>
    <w:basedOn w:val="Normal"/>
    <w:pPr>
      <w:spacing w:before="0" w:after="57"/>
      <w:ind w:left="283" w:right="0" w:hanging="0"/>
    </w:pPr>
    <w:rPr/>
  </w:style>
  <w:style w:type="paragraph" w:styleId="32">
    <w:name w:val="TOC 3"/>
    <w:basedOn w:val="Normal"/>
    <w:pPr>
      <w:spacing w:before="0" w:after="57"/>
      <w:ind w:left="567" w:right="0" w:hanging="0"/>
    </w:pPr>
    <w:rPr/>
  </w:style>
  <w:style w:type="paragraph" w:styleId="42">
    <w:name w:val="TOC 4"/>
    <w:basedOn w:val="Normal"/>
    <w:pPr>
      <w:spacing w:before="0" w:after="57"/>
      <w:ind w:left="850" w:right="0" w:hanging="0"/>
    </w:pPr>
    <w:rPr/>
  </w:style>
  <w:style w:type="paragraph" w:styleId="52">
    <w:name w:val="TOC 5"/>
    <w:basedOn w:val="Normal"/>
    <w:pPr>
      <w:spacing w:before="0" w:after="57"/>
      <w:ind w:left="1134" w:right="0" w:hanging="0"/>
    </w:pPr>
    <w:rPr/>
  </w:style>
  <w:style w:type="paragraph" w:styleId="61">
    <w:name w:val="TOC 6"/>
    <w:basedOn w:val="Normal"/>
    <w:pPr>
      <w:spacing w:before="0" w:after="57"/>
      <w:ind w:left="1417" w:right="0" w:hanging="0"/>
    </w:pPr>
    <w:rPr/>
  </w:style>
  <w:style w:type="paragraph" w:styleId="71">
    <w:name w:val="TOC 7"/>
    <w:basedOn w:val="Normal"/>
    <w:pPr>
      <w:spacing w:before="0" w:after="57"/>
      <w:ind w:left="1701" w:right="0" w:hanging="0"/>
    </w:pPr>
    <w:rPr/>
  </w:style>
  <w:style w:type="paragraph" w:styleId="81">
    <w:name w:val="TOC 8"/>
    <w:basedOn w:val="Normal"/>
    <w:pPr>
      <w:spacing w:before="0" w:after="57"/>
      <w:ind w:left="1984" w:right="0" w:hanging="0"/>
    </w:pPr>
    <w:rPr/>
  </w:style>
  <w:style w:type="paragraph" w:styleId="91">
    <w:name w:val="TOC 9"/>
    <w:basedOn w:val="Normal"/>
    <w:pPr>
      <w:spacing w:before="0" w:after="57"/>
      <w:ind w:left="2268" w:right="0" w:hanging="0"/>
    </w:pPr>
    <w:rPr/>
  </w:style>
  <w:style w:type="paragraph" w:styleId="Style29">
    <w:name w:val="Index Heading"/>
    <w:basedOn w:val="Style20"/>
    <w:pPr/>
    <w:rPr/>
  </w:style>
  <w:style w:type="paragraph" w:styleId="Style30">
    <w:name w:val="TOC Heading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Arial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qFormat/>
    <w:pPr>
      <w:spacing w:before="0" w:after="0"/>
    </w:pPr>
    <w:rPr/>
  </w:style>
  <w:style w:type="paragraph" w:styleId="DocumentMap">
    <w:name w:val="Document Map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31">
    <w:name w:val="Содержимое таблицы"/>
    <w:basedOn w:val="Normal"/>
    <w:qFormat/>
    <w:pPr>
      <w:widowControl w:val="false"/>
      <w:spacing w:lineRule="auto" w:line="240" w:before="0" w:after="0"/>
    </w:pPr>
    <w:rPr>
      <w:rFonts w:eastAsia="Times New Roman" w:cs="Times New Roman"/>
      <w:sz w:val="18"/>
      <w:szCs w:val="18"/>
      <w:lang w:eastAsia="zh-CN" w:bidi="hi-IN"/>
    </w:rPr>
  </w:style>
  <w:style w:type="paragraph" w:styleId="Style32">
    <w:name w:val="Заголовок таблицы"/>
    <w:basedOn w:val="Style31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qFormat/>
    <w:pPr/>
    <w:rPr>
      <w:b/>
      <w:bCs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pPr>
      <w:tabs>
        <w:tab w:val="clear" w:pos="706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pPr>
      <w:tabs>
        <w:tab w:val="clear" w:pos="706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Revision">
    <w:name w:val="Revision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Arial"/>
      <w:color w:val="auto"/>
      <w:kern w:val="0"/>
      <w:sz w:val="22"/>
      <w:szCs w:val="22"/>
      <w:lang w:val="ru-RU" w:eastAsia="en-US" w:bidi="ar-SA"/>
    </w:rPr>
  </w:style>
  <w:style w:type="paragraph" w:styleId="NormalTable" w:default="1">
    <w:name w:val="Normal Table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LOnormal1">
    <w:name w:val="LO-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A"/>
      <w:kern w:val="0"/>
      <w:sz w:val="24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styleId="757">
    <w:name w:val="Table Grid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8">
    <w:name w:val="Table Grid Light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9">
    <w:name w:val="Plain Table 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Plain Table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Plain Table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Plain Table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Grid Table 2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Grid Table 2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Grid Table 2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Grid Table 2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Grid Table 2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Grid Table 2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Grid Table 3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Grid Table 3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Grid Table 3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Grid Table 3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Grid Table 3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Grid Table 3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Grid Table 4 - Accent 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5FEBD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FFFFFF" w:fill="C5FEBD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Grid Table 4 - Accent 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Grid Table 4 - Accent 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Grid Table 4 - Accent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Grid Table 4 - Accent 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Grid Table 4 - Accent 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Grid Table 5 Dark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78FC64" w:themeFill="accent1" w:themeFillTint="75"/>
      </w:tcPr>
    </w:tblStylePr>
    <w:tblStylePr w:type="band1Vert">
      <w:tblPr/>
      <w:tcPr>
        <w:shd w:val="clear" w:color="FFFFFF" w:fill="78FC64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firstRow"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64C5FC" w:themeFill="accent2" w:themeFillTint="75"/>
      </w:tcPr>
    </w:tblStylePr>
    <w:tblStylePr w:type="band1Vert">
      <w:tblPr/>
      <w:tcPr>
        <w:shd w:val="clear" w:color="FFFFFF" w:fill="64C5FC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0369A3" w:themeFill="accent2"/>
      </w:tcPr>
    </w:tblStylePr>
    <w:tblStylePr w:type="firstRow">
      <w:rPr>
        <w:b/>
        <w:color w:val="FFFFFF"/>
        <w:sz w:val="22"/>
      </w:rPr>
      <w:tblPr/>
      <w:tcPr>
        <w:shd w:val="clear" w:color="FFFFFF" w:fill="0369A3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0369A3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C9C64" w:themeFill="accent3" w:themeFillTint="75"/>
      </w:tcPr>
    </w:tblStylePr>
    <w:tblStylePr w:type="band1Vert">
      <w:tblPr/>
      <w:tcPr>
        <w:shd w:val="clear" w:color="FFFFFF" w:fill="FC9C64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A33E03" w:themeFill="accent3"/>
      </w:tcPr>
    </w:tblStylePr>
    <w:tblStylePr w:type="firstRow">
      <w:rPr>
        <w:b/>
        <w:color w:val="FFFFFF"/>
        <w:sz w:val="22"/>
      </w:rPr>
      <w:tblPr/>
      <w:tcPr>
        <w:shd w:val="clear" w:color="FFFFFF" w:fill="A33E03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A33E03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Grid Table 5 Dark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864FC" w:themeFill="accent4" w:themeFillTint="75"/>
      </w:tcPr>
    </w:tblStylePr>
    <w:tblStylePr w:type="band1Vert">
      <w:tblPr/>
      <w:tcPr>
        <w:shd w:val="clear" w:color="FFFFFF" w:fill="E864FC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8E03A3" w:themeFill="accent4"/>
      </w:tcPr>
    </w:tblStylePr>
    <w:tblStylePr w:type="firstRow">
      <w:rPr>
        <w:b/>
        <w:color w:val="FFFFFF"/>
        <w:sz w:val="22"/>
      </w:rPr>
      <w:tblPr/>
      <w:tcPr>
        <w:shd w:val="clear" w:color="FFFFFF" w:fill="8E03A3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E03A3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DF71" w:themeFill="accent5" w:themeFillTint="75"/>
      </w:tcPr>
    </w:tblStylePr>
    <w:tblStylePr w:type="band1Vert">
      <w:tblPr/>
      <w:tcPr>
        <w:shd w:val="clear" w:color="FFFFFF" w:fill="FFDF71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C99C00" w:themeFill="accent5"/>
      </w:tcPr>
    </w:tblStylePr>
    <w:tblStylePr w:type="firstRow">
      <w:rPr>
        <w:b/>
        <w:color w:val="FFFFFF"/>
        <w:sz w:val="22"/>
      </w:rPr>
      <w:tblPr/>
      <w:tcPr>
        <w:shd w:val="clear" w:color="FFFFFF" w:fill="C99C00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C99C00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E9190" w:themeFill="accent6" w:themeFillTint="75"/>
      </w:tcPr>
    </w:tblStylePr>
    <w:tblStylePr w:type="band1Vert">
      <w:tblPr/>
      <w:tcPr>
        <w:shd w:val="clear" w:color="FFFFFF" w:fill="EE9190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C9211E" w:themeFill="accent6"/>
      </w:tcPr>
    </w:tblStylePr>
    <w:tblStylePr w:type="firstRow">
      <w:rPr>
        <w:b/>
        <w:color w:val="FFFFFF"/>
        <w:sz w:val="22"/>
      </w:rPr>
      <w:tblPr/>
      <w:tcPr>
        <w:shd w:val="clear" w:color="FFFFFF" w:fill="C9211E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C9211E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00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1CC103" w:themeColor="accent1" w:themeTint="80" w:themeShade="95"/>
      </w:rPr>
      <w:tblPr/>
    </w:tblStylePr>
    <w:tblStylePr w:type="firstRow">
      <w:rPr>
        <w:b/>
        <w:color w:val="1CC103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tblPr/>
    </w:tblStylePr>
    <w:tblStylePr w:type="lastRow">
      <w:rPr>
        <w:b/>
        <w:color w:val="1CC103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801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471AF" w:themeColor="accent2" w:themeTint="97" w:themeShade="95"/>
      </w:rPr>
      <w:tblPr/>
    </w:tblStylePr>
    <w:tblStylePr w:type="firstRow">
      <w:rPr>
        <w:b/>
        <w:color w:val="0471AF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tblPr/>
    </w:tblStylePr>
    <w:tblStylePr w:type="lastRow">
      <w:rPr>
        <w:b/>
        <w:color w:val="0471AF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802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602502" w:themeColor="accent3" w:themeTint="fe" w:themeShade="95"/>
      </w:rPr>
      <w:tblPr/>
    </w:tblStylePr>
    <w:tblStylePr w:type="firstRow">
      <w:rPr>
        <w:b/>
        <w:color w:val="602502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tblPr/>
    </w:tblStylePr>
    <w:tblStylePr w:type="lastRow">
      <w:rPr>
        <w:b/>
        <w:color w:val="602502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803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804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805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806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1CC103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1CC103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1CC103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0471AF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2502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602502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02502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5B00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751312"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751312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1312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List Table 1 Light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List Table 1 Light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List Table 1 Light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List Table 1 Light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List Table 1 Light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List Table 1 Light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List Table 2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List Table 2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List Table 2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List Table 2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List Table 2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List Table 2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List Table 3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List Table 3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List Table 3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B7F36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List Table 3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List Table 3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FD544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List Table 3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E9706E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List Table 4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6">
    <w:name w:val="List Table 4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369A3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7">
    <w:name w:val="List Table 4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A33E03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8">
    <w:name w:val="List Table 4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8E03A3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9">
    <w:name w:val="List Table 4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99C00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0">
    <w:name w:val="List Table 4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9211E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1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2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3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4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5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6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7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8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9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0E5F02" w:themeColor="accent1" w:themeShade="95"/>
      </w:rPr>
      <w:tblPr/>
    </w:tblStylePr>
    <w:tblStylePr w:type="firstRow">
      <w:rPr>
        <w:b/>
        <w:color w:val="0E5F0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tblPr/>
    </w:tblStylePr>
    <w:tblStylePr w:type="lastRow">
      <w:rPr>
        <w:b/>
        <w:color w:val="0E5F0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0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471AF" w:themeColor="accent2" w:themeTint="97" w:themeShade="95"/>
      </w:rPr>
      <w:tblPr/>
    </w:tblStylePr>
    <w:tblStylePr w:type="firstRow">
      <w:rPr>
        <w:b/>
        <w:color w:val="0471AF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tblPr/>
    </w:tblStylePr>
    <w:tblStylePr w:type="lastRow">
      <w:rPr>
        <w:b/>
        <w:color w:val="0471AF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1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F4303" w:themeColor="accent3" w:themeTint="98" w:themeShade="95"/>
      </w:rPr>
      <w:tblPr/>
    </w:tblStylePr>
    <w:tblStylePr w:type="firstRow">
      <w:rPr>
        <w:b/>
        <w:color w:val="AF4303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tblPr/>
    </w:tblStylePr>
    <w:tblStylePr w:type="lastRow">
      <w:rPr>
        <w:b/>
        <w:color w:val="AF4303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2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3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BD9200" w:themeColor="accent5" w:themeTint="9a" w:themeShade="95"/>
      </w:rPr>
      <w:tblPr/>
    </w:tblStylePr>
    <w:tblStylePr w:type="firstRow">
      <w:rPr>
        <w:b/>
        <w:color w:val="BD920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tblPr/>
    </w:tblStylePr>
    <w:tblStylePr w:type="lastRow">
      <w:rPr>
        <w:b/>
        <w:color w:val="BD920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4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E1D1A" w:themeColor="accent6" w:themeTint="98" w:themeShade="95"/>
      </w:rPr>
      <w:tblPr/>
    </w:tblStylePr>
    <w:tblStylePr w:type="firstRow">
      <w:rPr>
        <w:b/>
        <w:color w:val="AE1D1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tblPr/>
    </w:tblStylePr>
    <w:tblStylePr w:type="lastRow">
      <w:rPr>
        <w:b/>
        <w:color w:val="AE1D1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5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56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0E5F02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0E5F0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E5F0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E5F02" w:themeColor="accent1" w:themeShade="95"/>
        <w:sz w:val="22"/>
      </w:rPr>
      <w:tblPr/>
    </w:tblStylePr>
  </w:style>
  <w:style w:type="table" w:styleId="857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471AF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471AF" w:themeColor="accent2" w:themeTint="97" w:themeShade="95"/>
        <w:sz w:val="22"/>
      </w:rPr>
      <w:tblPr/>
    </w:tblStylePr>
  </w:style>
  <w:style w:type="table" w:styleId="858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AF4303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AF4303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F4303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F4303" w:themeColor="accent3" w:themeTint="98" w:themeShade="95"/>
        <w:sz w:val="22"/>
      </w:rPr>
      <w:tblPr/>
    </w:tblStylePr>
  </w:style>
  <w:style w:type="table" w:styleId="859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703AD" w:themeColor="accent4" w:themeTint="9a" w:themeShade="95"/>
        <w:sz w:val="22"/>
      </w:rPr>
      <w:tblPr/>
    </w:tblStylePr>
  </w:style>
  <w:style w:type="table" w:styleId="860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BD920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BD9200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BD920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BD9200" w:themeColor="accent5" w:themeTint="9a" w:themeShade="95"/>
        <w:sz w:val="22"/>
      </w:rPr>
      <w:tblPr/>
    </w:tblStylePr>
  </w:style>
  <w:style w:type="table" w:styleId="861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AE1D1A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AE1D1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E1D1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E1D1A" w:themeColor="accent6" w:themeTint="98" w:themeShade="95"/>
        <w:sz w:val="22"/>
      </w:rPr>
      <w:tblPr/>
    </w:tblStylePr>
  </w:style>
  <w:style w:type="table" w:styleId="862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3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4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5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6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7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C99C00" w:themeFill="accent5"/>
      </w:tcPr>
    </w:tblStylePr>
    <w:tblStylePr w:type="firstRow">
      <w:rPr>
        <w:color w:val="F2F2F2"/>
        <w:sz w:val="22"/>
      </w:rPr>
      <w:tblPr/>
      <w:tcPr>
        <w:shd w:val="clear" w:color="FFFFFF" w:fill="C99C00" w:themeFill="accent5"/>
      </w:tcPr>
    </w:tblStylePr>
    <w:tblStylePr w:type="lastCol">
      <w:rPr>
        <w:color w:val="F2F2F2"/>
        <w:sz w:val="22"/>
      </w:rPr>
      <w:tblPr/>
      <w:tcPr>
        <w:shd w:val="clear" w:color="FFFFFF" w:fill="C99C00" w:themeFill="accent5"/>
      </w:tcPr>
    </w:tblStylePr>
    <w:tblStylePr w:type="lastRow">
      <w:rPr>
        <w:color w:val="F2F2F2"/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8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C9211E" w:themeFill="accent6"/>
      </w:tcPr>
    </w:tblStylePr>
    <w:tblStylePr w:type="firstRow">
      <w:rPr>
        <w:color w:val="F2F2F2"/>
        <w:sz w:val="22"/>
      </w:rPr>
      <w:tblPr/>
      <w:tcPr>
        <w:shd w:val="clear" w:color="FFFFFF" w:fill="C9211E" w:themeFill="accent6"/>
      </w:tcPr>
    </w:tblStylePr>
    <w:tblStylePr w:type="lastCol">
      <w:rPr>
        <w:color w:val="F2F2F2"/>
        <w:sz w:val="22"/>
      </w:rPr>
      <w:tblPr/>
      <w:tcPr>
        <w:shd w:val="clear" w:color="FFFFFF" w:fill="C9211E" w:themeFill="accent6"/>
      </w:tcPr>
    </w:tblStylePr>
    <w:tblStylePr w:type="lastRow">
      <w:rPr>
        <w:color w:val="F2F2F2"/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9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0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1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2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3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4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C99C00" w:themeFill="accent5"/>
      </w:tcPr>
    </w:tblStylePr>
    <w:tblStylePr w:type="firstRow">
      <w:rPr>
        <w:color w:val="F2F2F2"/>
        <w:sz w:val="22"/>
      </w:rPr>
      <w:tblPr/>
      <w:tcPr>
        <w:shd w:val="clear" w:color="FFFFFF" w:fill="C99C00" w:themeFill="accent5"/>
      </w:tcPr>
    </w:tblStylePr>
    <w:tblStylePr w:type="lastCol">
      <w:rPr>
        <w:color w:val="F2F2F2"/>
        <w:sz w:val="22"/>
      </w:rPr>
      <w:tblPr/>
      <w:tcPr>
        <w:shd w:val="clear" w:color="FFFFFF" w:fill="C99C00" w:themeFill="accent5"/>
      </w:tcPr>
    </w:tblStylePr>
    <w:tblStylePr w:type="lastRow">
      <w:rPr>
        <w:color w:val="F2F2F2"/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5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C9211E" w:themeFill="accent6"/>
      </w:tcPr>
    </w:tblStylePr>
    <w:tblStylePr w:type="firstRow">
      <w:rPr>
        <w:color w:val="F2F2F2"/>
        <w:sz w:val="22"/>
      </w:rPr>
      <w:tblPr/>
      <w:tcPr>
        <w:shd w:val="clear" w:color="FFFFFF" w:fill="C9211E" w:themeFill="accent6"/>
      </w:tcPr>
    </w:tblStylePr>
    <w:tblStylePr w:type="lastCol">
      <w:rPr>
        <w:color w:val="F2F2F2"/>
        <w:sz w:val="22"/>
      </w:rPr>
      <w:tblPr/>
      <w:tcPr>
        <w:shd w:val="clear" w:color="FFFFFF" w:fill="C9211E" w:themeFill="accent6"/>
      </w:tcPr>
    </w:tblStylePr>
    <w:tblStylePr w:type="lastRow">
      <w:rPr>
        <w:color w:val="F2F2F2"/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6">
    <w:name w:val="Bordered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7">
    <w:name w:val="Border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8">
    <w:name w:val="Border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9">
    <w:name w:val="Border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0">
    <w:name w:val="Border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1">
    <w:name w:val="Border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2">
    <w:name w:val="Border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zakupki.gov.ru/" TargetMode="External"/><Relationship Id="rId3" Type="http://schemas.openxmlformats.org/officeDocument/2006/relationships/hyperlink" Target="https://gz.lot-online.ru/" TargetMode="External"/><Relationship Id="rId4" Type="http://schemas.openxmlformats.org/officeDocument/2006/relationships/hyperlink" Target="https://gz.lot-online.ru/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3</Pages>
  <Words>522</Words>
  <Characters>4920</Characters>
  <CharactersWithSpaces>5372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2022-12-20T13:17:00Z</dcterms:created>
  <dc:creator>РТС-тендер</dc:creator>
  <dc:description/>
  <dc:language>ru-RU</dc:language>
  <cp:lastModifiedBy/>
  <dcterms:modified xsi:type="dcterms:W3CDTF">2025-09-08T12:35:29Z</dcterms:modified>
  <cp:revision>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