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bCs/>
        </w:rPr>
        <w:t>Разъяснения положений извещения об осуществлении закупки</w:t>
      </w:r>
    </w:p>
    <w:p>
      <w:pPr>
        <w:pStyle w:val="Normal"/>
        <w:bidi w:val="0"/>
        <w:spacing w:lineRule="auto" w:line="240" w:before="0" w:after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Информация о закупке</w:t>
      </w:r>
    </w:p>
    <w:tbl>
      <w:tblPr>
        <w:tblStyle w:val="style40282"/>
        <w:tblW w:w="11000" w:type="dxa"/>
        <w:jc w:val="left"/>
        <w:tblInd w:w="9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00"/>
        <w:gridCol w:w="5500"/>
      </w:tblGrid>
      <w:tr>
        <w:trPr/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Способ определения поставщика(подрядчика, исполнителя)</w:t>
            </w:r>
          </w:p>
        </w:tc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Электронный аукцион</w:t>
            </w:r>
          </w:p>
        </w:tc>
      </w:tr>
      <w:tr>
        <w:trPr/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Номер извещения</w:t>
            </w:r>
          </w:p>
        </w:tc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0337100018826000257</w:t>
            </w:r>
          </w:p>
        </w:tc>
      </w:tr>
      <w:tr>
        <w:trPr/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Идентификационный код закупки</w:t>
            </w:r>
          </w:p>
        </w:tc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261402500217340250100102540013250244</w:t>
            </w:r>
          </w:p>
        </w:tc>
      </w:tr>
      <w:tr>
        <w:trPr/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Наименование объекта закупки</w:t>
            </w:r>
          </w:p>
        </w:tc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Медицинские изделия (насос инфузионный эластомерный)</w:t>
            </w:r>
          </w:p>
        </w:tc>
      </w:tr>
      <w:tr>
        <w:trPr/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Адрес электронной площадки в сети интернет</w:t>
            </w:r>
          </w:p>
        </w:tc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hyperlink r:id="rId2">
              <w:r>
                <w:rPr>
                  <w:rStyle w:val="Style9"/>
                  <w:rFonts w:eastAsia="Times New Roman" w:cs="Times New Roman"/>
                  <w:color w:val="0000FF"/>
                  <w:kern w:val="0"/>
                  <w:sz w:val="20"/>
                  <w:szCs w:val="20"/>
                  <w:lang w:val="ru-RU"/>
                </w:rPr>
                <w:t>https://roseltorg.ru</w:t>
              </w:r>
            </w:hyperlink>
          </w:p>
        </w:tc>
      </w:tr>
    </w:tbl>
    <w:tbl>
      <w:tblPr>
        <w:tblStyle w:val="style6639"/>
        <w:tblW w:w="11000" w:type="dxa"/>
        <w:jc w:val="left"/>
        <w:tblInd w:w="9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000"/>
      </w:tblGrid>
      <w:tr>
        <w:trPr/>
        <w:tc>
          <w:tcPr>
            <w:tcW w:w="110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ru-RU"/>
              </w:rPr>
              <w:t>Сведения об Организаторе</w:t>
            </w:r>
          </w:p>
        </w:tc>
      </w:tr>
    </w:tbl>
    <w:tbl>
      <w:tblPr>
        <w:tblStyle w:val="style88285"/>
        <w:tblW w:w="11000" w:type="dxa"/>
        <w:jc w:val="left"/>
        <w:tblInd w:w="9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00"/>
        <w:gridCol w:w="5500"/>
      </w:tblGrid>
      <w:tr>
        <w:trPr/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ФЕДЕРАЛЬНОЕ ГОСУДАРСТВЕННОЕ БЮДЖЕТНОЕ УЧРЕЖДЕНИЕ ЗДРАВООХРАНЕНИЯ "КЛИНИЧЕСКАЯ БОЛЬНИЦА № 8 ФЕДЕРАЛЬНОГО МЕДИКО-БИОЛОГИЧЕСКОГО АГЕНТСТВА"</w:t>
            </w:r>
          </w:p>
        </w:tc>
      </w:tr>
      <w:tr>
        <w:trPr/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Адрес электронной почты</w:t>
            </w:r>
          </w:p>
        </w:tc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hyperlink r:id="rId3">
              <w:r>
                <w:rPr>
                  <w:rStyle w:val="Style9"/>
                  <w:rFonts w:eastAsia="Times New Roman" w:cs="Times New Roman"/>
                  <w:color w:val="0000FF"/>
                  <w:kern w:val="0"/>
                  <w:sz w:val="20"/>
                  <w:szCs w:val="20"/>
                  <w:lang w:val="ru-RU"/>
                </w:rPr>
                <w:t>kb8.ks@mail.ru</w:t>
              </w:r>
            </w:hyperlink>
          </w:p>
        </w:tc>
      </w:tr>
    </w:tbl>
    <w:tbl>
      <w:tblPr>
        <w:tblStyle w:val="style4499"/>
        <w:tblW w:w="11000" w:type="dxa"/>
        <w:jc w:val="left"/>
        <w:tblInd w:w="9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000"/>
      </w:tblGrid>
      <w:tr>
        <w:trPr/>
        <w:tc>
          <w:tcPr>
            <w:tcW w:w="110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ru-RU"/>
              </w:rPr>
              <w:t>Сведения о Заказчике</w:t>
            </w:r>
          </w:p>
        </w:tc>
      </w:tr>
    </w:tbl>
    <w:tbl>
      <w:tblPr>
        <w:tblStyle w:val="style89831"/>
        <w:tblW w:w="11000" w:type="dxa"/>
        <w:jc w:val="left"/>
        <w:tblInd w:w="9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00"/>
        <w:gridCol w:w="5500"/>
      </w:tblGrid>
      <w:tr>
        <w:trPr/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ФЕДЕРАЛЬНОЕ ГОСУДАРСТВЕННОЕ БЮДЖЕТНОЕ УЧРЕЖДЕНИЕ ЗДРАВООХРАНЕНИЯ "КЛИНИЧЕСКАЯ БОЛЬНИЦА № 8 ФЕДЕРАЛЬНОГО МЕДИКО-БИОЛОГИЧЕСКОГО АГЕНТСТВА"</w:t>
            </w:r>
          </w:p>
        </w:tc>
      </w:tr>
    </w:tbl>
    <w:tbl>
      <w:tblPr>
        <w:tblStyle w:val="style808"/>
        <w:tblW w:w="11000" w:type="dxa"/>
        <w:jc w:val="left"/>
        <w:tblInd w:w="9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00"/>
        <w:gridCol w:w="5500"/>
      </w:tblGrid>
      <w:tr>
        <w:trPr/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Реквизиты запроса на разъяснения</w:t>
            </w:r>
          </w:p>
        </w:tc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№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179344 от 30.06.2026 09:41:01</w:t>
            </w:r>
          </w:p>
        </w:tc>
        <w:tc>
          <w:tcPr>
            <w:tcW w:w="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ru-RU"/>
              </w:rPr>
              <w:t>Запрос участника</w:t>
            </w:r>
          </w:p>
        </w:tc>
        <w:tc>
          <w:tcPr>
            <w:tcW w:w="5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запрос во вложении</w:t>
            </w:r>
          </w:p>
        </w:tc>
        <w:tc>
          <w:tcPr>
            <w:tcW w:w="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1000" w:type="dxa"/>
            <w:gridSpan w:val="2"/>
            <w:tcBorders>
              <w:top w:val="nil"/>
            </w:tcBorders>
          </w:tcPr>
          <w:p>
            <w:pPr>
              <w:pStyle w:val="Normal"/>
              <w:bidi w:val="0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Запрос на разъяснение положений извещения об осуществлении закупки № 0337100018826000257</w:t>
            </w:r>
          </w:p>
          <w:p>
            <w:pPr>
              <w:pStyle w:val="Normal"/>
              <w:bidi w:val="0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r>
          </w:p>
          <w:p>
            <w:pPr>
              <w:pStyle w:val="Normal"/>
              <w:bidi w:val="0"/>
              <w:spacing w:before="0" w:after="0"/>
              <w:ind w:firstLine="708"/>
              <w:jc w:val="both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 xml:space="preserve">В </w:t>
            </w:r>
            <w:bookmarkStart w:id="0" w:name="_GoBack"/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рамках изучения извещения о проведении закупки № 0337100018826000257 и прилагаемой к нему технической документации (далее – ТЗ) возникли следующие вопросы, требующие разъяснения.</w:t>
            </w:r>
          </w:p>
          <w:p>
            <w:pPr>
              <w:pStyle w:val="Normal"/>
              <w:bidi w:val="0"/>
              <w:spacing w:before="0" w:after="0"/>
              <w:ind w:firstLine="708"/>
              <w:jc w:val="both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В техническом задании содержится требование к характеристикам помпы, а именно: наличие регулятора скоростей в диапазоне от 1 до 7 мл/час.</w:t>
            </w:r>
          </w:p>
          <w:p>
            <w:pPr>
              <w:pStyle w:val="Normal"/>
              <w:bidi w:val="0"/>
              <w:spacing w:before="0" w:after="0"/>
              <w:jc w:val="both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Просим разъяснить:</w:t>
            </w:r>
            <w:bookmarkEnd w:id="0"/>
          </w:p>
          <w:p>
            <w:pPr>
              <w:pStyle w:val="Normal"/>
              <w:numPr>
                <w:ilvl w:val="0"/>
                <w:numId w:val="1"/>
              </w:numPr>
              <w:bidi w:val="0"/>
              <w:spacing w:beforeAutospacing="1" w:after="180"/>
              <w:ind w:hanging="360" w:left="660"/>
              <w:jc w:val="left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Будет ли признана соответствующей требованиям ТЗ и допущена к участию заявка, в которой предложена помпа с расширенным диапазоном регулирования скоростей (1–15 мл/час)?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Обращаем внимание Заказчика на следующее: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spacing w:beforeAutospacing="1" w:after="180"/>
              <w:ind w:hanging="360" w:left="660"/>
              <w:jc w:val="left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Предлагаемая помпа с диапазоном 1–15 мл/час включает в себя все значения скоростей, перечисленные в ТЗ (от 1 до 7 мл/час), поскольку диапазон 1–15 полностью покрывает требуемый интервал.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spacing w:before="0" w:after="180"/>
              <w:ind w:hanging="360" w:left="660"/>
              <w:jc w:val="left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Наличие дополнительных скоростей (8–15 мл/час) не является ухудшением, а напротив, представляет собой улучшение функциональных характеристик товара.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spacing w:before="0" w:after="180"/>
              <w:ind w:hanging="360" w:left="660"/>
              <w:jc w:val="left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Расширение диапазона регулирования не препятствует лечебному процессу, не создаёт рисков для пациентов и не противоречит целям использования медицинского изделия.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Если Заказчик всё же сочтёт помпу с диапазоном 1–15 мл/час не соответствующей своим потребностям, просим:</w:t>
            </w:r>
          </w:p>
          <w:p>
            <w:pPr>
              <w:pStyle w:val="Normal"/>
              <w:numPr>
                <w:ilvl w:val="0"/>
                <w:numId w:val="3"/>
              </w:numPr>
              <w:bidi w:val="0"/>
              <w:spacing w:beforeAutospacing="1" w:after="180"/>
              <w:ind w:hanging="360" w:left="660"/>
              <w:jc w:val="left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Предоставить письменное обоснование, чем именно мотивируется такой отказ;</w:t>
            </w:r>
          </w:p>
          <w:p>
            <w:pPr>
              <w:pStyle w:val="Normal"/>
              <w:numPr>
                <w:ilvl w:val="0"/>
                <w:numId w:val="3"/>
              </w:numPr>
              <w:bidi w:val="0"/>
              <w:spacing w:before="0" w:after="180"/>
              <w:ind w:hanging="360" w:left="660"/>
              <w:jc w:val="left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Указать, каким образом наличие дополнительных скоростей (8–15 мл/час) может помешать лечебному процессу или ухудшить качество оказания медицинской помощи, учитывая, что все требуемые скорости (1–7 мл/час) в предлагаемом изделии присутствуют.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ascii="Arial" w:hAnsi="Arial" w:eastAsia="Times New Roman" w:cs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Arial" w:ascii="Arial" w:hAnsi="Arial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r>
          </w:p>
        </w:tc>
      </w:tr>
      <w:tr>
        <w:trPr/>
        <w:tc>
          <w:tcPr>
            <w:tcW w:w="5500" w:type="dxa"/>
            <w:tcBorders>
              <w:top w:val="nil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/>
              </w:rPr>
              <w:t>Ответ заказчика</w:t>
            </w:r>
          </w:p>
        </w:tc>
        <w:tc>
          <w:tcPr>
            <w:tcW w:w="5500" w:type="dxa"/>
            <w:tcBorders>
              <w:top w:val="nil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0" w:type="dxa"/>
            <w:tcBorders>
              <w:top w:val="nil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1000" w:type="dxa"/>
            <w:gridSpan w:val="2"/>
            <w:tcBorders>
              <w:top w:val="nil"/>
            </w:tcBorders>
          </w:tcPr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Ответ на запрос о разъяснении положений извещения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По результатам рассмотрения запроса о разъяснении положений извещения об осуществлении закупки № 0337100018826000257 сообщаем следующее.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В описании объекта закупки заказчиком установлено требование к характеристике товара «Скорость инфузии, мл/час» со следующими значениями: 1 мл/час, 2 мл/час, 3 мл/час, 4 мл/час, 5 мл/час, 6 мл/час, 7 мл/час.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Указанное требование сформировано исходя из фактической потребности заказчика в закупке эластомерных инфузионных насосов для проведения длительной контролируемой инфузии лекарственных препаратов с применением фиксированных низких скоростей введения.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Скорость инфузии для эластомерного инфузионного насоса является не вспомогательной и не формальной характеристикой, а одним из ключевых параметров применения медицинского изделия, поскольку непосредственно определяет объём лекарственного препарата, вводимого пациенту в единицу времени, а также общую продолжительность инфузии.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Описание объекта закупки предусматривает номинальный объём заполнения 270–280 мл. При таком объёме установленные заказчиком скорости 1–7 мл/час обеспечивают требуемый заказчику диапазон длительной инфузии. Включение в изделие дополнительных скоростей 8–15 мл/час означает возможность применения иных, более быстрых режимов введения лекарственного препарата, которые заказчиком не предусмотрены и не соответствуют сформированной медицинской потребности.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Так, при объёме заполнения 270 мл скорость 7 мл/час предполагает ориентировочную продолжительность инфузии около 38,5 часа, тогда как скорость 15 мл/час — около 18 часов. Следовательно, предлагаемый участником диапазон 1–15 мл/час не является простым расширением требуемой характеристики, а предусматривает возможность эксплуатации изделия в режимах, существенно отличающихся по продолжительности и интенсивности введения препарата.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Довод о том, что диапазон 1–15 мл/час включает в себя значения 1–7 мл/час, заказчиком рассмотрен, однако не может быть принят в качестве основания для изменения требований извещения.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Заказчиком закупается медицинское изделие не с максимально возможным диапазоном регулирования скорости, а с конкретным набором фиксированных скоростей, соответствующим применяемым у заказчика схемам инфузионной терапии, внутренней организации лечебного процесса, порядку подготовки, назначения и контроля инфузии.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Наличие дополнительных скоростей 8–15 мл/час для заказчика не является необходимым и не рассматривается как улучшение функциональных характеристик товара, поскольку такие скорости не используются в рамках предполагаемого назначения закупаемых изделий. Напротив, наличие в изделии дополнительных режимов введения лекарственного препарата требует оценки их соответствия назначению, инструкции по применению, режимам терапии, условиям наблюдения за пациентами и установленному у заказчика порядку применения эластомерных инфузионных насосов.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Кроме того, закупаемые изделия являются расходуемыми медицинскими изделиями, приобретаемыми в количестве 400 штук. Для заказчика имеет значение единообразие эксплуатационных характеристик всей партии, поскольку это обеспечивает стандартизацию назначения, подготовки, маркировки, применения и контроля инфузий медицинским персоналом. Поставка изделий с иным набором доступных режимов инфузии не отвечает указанной потребности заказчика.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  <w:t>Таким образом, требование о наличии скоростей инфузии 1–7 мл/час установлено заказчиком исходя из объективной медицинской и эксплуатационной потребности и не предполагает возможность предложения изделия с дополнительными скоростями 8–15 мл/час, поскольку такие дополнительные режимы изменяют эксплуатационные характеристики изделия и не соответствуют требуемому заказчику способу применения.</w:t>
            </w:r>
          </w:p>
          <w:p>
            <w:pPr>
              <w:pStyle w:val="Normal"/>
              <w:bidi w:val="0"/>
              <w:spacing w:before="0" w:after="0"/>
              <w:ind w:firstLine="709"/>
              <w:jc w:val="both"/>
              <w:rPr>
                <w:rFonts w:eastAsia="Times New Roman" w:cs="Times New Roman"/>
                <w:color w:val="262626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color w:val="262626"/>
                <w:sz w:val="21"/>
                <w:szCs w:val="21"/>
                <w:lang w:eastAsia="ru-RU"/>
                <w14:ligatures w14:val="none"/>
              </w:rPr>
              <w:t>Основания для внесения изменений в извещение в части расширения диапазона скорости инфузии до 1–15 мл/час отсутствуют.</w:t>
            </w:r>
          </w:p>
        </w:tc>
      </w:tr>
    </w:tbl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0000FF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lineRule="auto" w:line="240" w:before="0" w:after="0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hi-IN"/>
    </w:rPr>
  </w:style>
  <w:style w:type="character" w:styleId="Style14">
    <w:name w:val="Символ сноски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lStyle">
    <w:name w:val="lStyle"/>
    <w:qFormat/>
    <w:rPr>
      <w:color w:val="0000FF"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table" w:customStyle="1" w:styleId="style40282">
    <w:name w:val="style40282"/>
    <w:uiPriority w:val="99"/>
    <w:tblPr>
      <w:tblBorders>
        <w:top w:val="single" w:color="000000" w:sz="1"/>
        <w:left w:val="single" w:color="000000" w:sz="1"/>
        <w:bottom w:val="single" w:color="000000" w:sz="1"/>
        <w:right w:val="single" w:color="000000" w:sz="1"/>
        <w:insideH w:val="single" w:color="000000" w:sz="1"/>
        <w:insideV w:val="single" w:color="000000" w:sz="1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639">
    <w:name w:val="style6639"/>
    <w:uiPriority w:val="99"/>
    <w:tblPr>
      <w:tblBorders>
        <w:top w:val="single" w:color="000000" w:sz="1"/>
        <w:left w:val="single" w:color="000000" w:sz="1"/>
        <w:bottom w:val="single" w:color="000000" w:sz="1"/>
        <w:right w:val="single" w:color="000000" w:sz="1"/>
        <w:insideH w:val="single" w:color="000000" w:sz="1"/>
        <w:insideV w:val="single" w:color="000000" w:sz="1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8285">
    <w:name w:val="style88285"/>
    <w:uiPriority w:val="99"/>
    <w:tblPr>
      <w:tblBorders>
        <w:top w:val="single" w:color="000000" w:sz="1"/>
        <w:left w:val="single" w:color="000000" w:sz="1"/>
        <w:bottom w:val="single" w:color="000000" w:sz="1"/>
        <w:right w:val="single" w:color="000000" w:sz="1"/>
        <w:insideH w:val="single" w:color="000000" w:sz="1"/>
        <w:insideV w:val="single" w:color="000000" w:sz="1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499">
    <w:name w:val="style4499"/>
    <w:uiPriority w:val="99"/>
    <w:tblPr>
      <w:tblBorders>
        <w:top w:val="single" w:color="000000" w:sz="1"/>
        <w:left w:val="single" w:color="000000" w:sz="1"/>
        <w:bottom w:val="single" w:color="000000" w:sz="1"/>
        <w:right w:val="single" w:color="000000" w:sz="1"/>
        <w:insideH w:val="single" w:color="000000" w:sz="1"/>
        <w:insideV w:val="single" w:color="000000" w:sz="1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9831">
    <w:name w:val="style89831"/>
    <w:uiPriority w:val="99"/>
    <w:tblPr>
      <w:tblBorders>
        <w:top w:val="single" w:color="000000" w:sz="1"/>
        <w:left w:val="single" w:color="000000" w:sz="1"/>
        <w:bottom w:val="single" w:color="000000" w:sz="1"/>
        <w:right w:val="single" w:color="000000" w:sz="1"/>
        <w:insideH w:val="single" w:color="000000" w:sz="1"/>
        <w:insideV w:val="single" w:color="000000" w:sz="1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08">
    <w:name w:val="style808"/>
    <w:uiPriority w:val="99"/>
    <w:tblPr>
      <w:tblBorders>
        <w:top w:val="single" w:color="000000" w:sz="1"/>
        <w:left w:val="single" w:color="000000" w:sz="1"/>
        <w:bottom w:val="single" w:color="000000" w:sz="1"/>
        <w:right w:val="single" w:color="000000" w:sz="1"/>
        <w:insideH w:val="single" w:color="000000" w:sz="1"/>
        <w:insideV w:val="single" w:color="000000" w:sz="1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oseltorg.ru/" TargetMode="External"/><Relationship Id="rId3" Type="http://schemas.openxmlformats.org/officeDocument/2006/relationships/hyperlink" Target="mailto:kb8.ks@mail.ru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LibreOffice/26.2.4.2$Windows_X86_64 LibreOffice_project/0229ac93fcf0d7cbc6376066c6f35021cef002dc</Application>
  <AppVersion>15.0000</AppVersion>
  <Pages>2</Pages>
  <Words>752</Words>
  <Characters>5579</Characters>
  <CharactersWithSpaces>6260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2026-07-01T08:47:10Z</dcterms:created>
  <dc:creator/>
  <dc:description/>
  <dc:language>ru-RU</dc:language>
  <cp:lastModifiedBy/>
  <dcterms:modified xsi:type="dcterms:W3CDTF">2026-07-01T11:50:29Z</dcterms:modified>
  <cp:revision>1</cp:revision>
  <dc:subject/>
  <dc:title/>
</cp:coreProperties>
</file>