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B3A6B" w:val="clear"/>
            <w:tcMar>
              <w:top w:type="dxa" w:w="280"/>
              <w:left w:type="dxa" w:w="360"/>
              <w:bottom w:type="dxa" w:w="280"/>
              <w:right w:type="dxa" w:w="360"/>
            </w:tcMar>
          </w:tcPr>
          <w:p>
            <w:pPr>
              <w:jc w:val="center"/>
            </w:pPr>
            <w:r>
              <w:rPr>
                <w:rFonts w:ascii="Arial" w:cs="Arial" w:eastAsia="Arial" w:hAnsi="Arial"/>
                <w:b/>
                <w:bCs/>
                <w:color w:val="FFFFFF"/>
                <w:sz w:val="32"/>
                <w:szCs w:val="32"/>
              </w:rPr>
              <w:t xml:space="preserve">LABOUR LAW COMPLIANCE REPORT</w:t>
            </w:r>
          </w:p>
          <w:p>
            <w:pPr>
              <w:spacing w:before="60"/>
              <w:jc w:val="center"/>
            </w:pPr>
            <w:r>
              <w:rPr>
                <w:rFonts w:ascii="Arial" w:cs="Arial" w:eastAsia="Arial" w:hAnsi="Arial"/>
                <w:color w:val="93C5FD"/>
                <w:sz w:val="18"/>
                <w:szCs w:val="18"/>
              </w:rPr>
              <w:t xml:space="preserve">Central Acts Only  —  Gold Standard Reference</w:t>
            </w:r>
          </w:p>
        </w:tc>
      </w:tr>
    </w:tbl>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40" w:after="40"/>
            </w:pPr>
            <w:r>
              <w:rPr>
                <w:rFonts w:ascii="Arial" w:cs="Arial" w:eastAsia="Arial" w:hAnsi="Arial"/>
                <w:b/>
                <w:bCs/>
                <w:color w:val="1B3A6B"/>
                <w:sz w:val="18"/>
                <w:szCs w:val="18"/>
              </w:rPr>
              <w:t xml:space="preserve">Report ID: </w:t>
            </w:r>
            <w:r>
              <w:rPr>
                <w:rFonts w:ascii="Arial" w:cs="Arial" w:eastAsia="Arial" w:hAnsi="Arial"/>
                <w:color w:val="1E293B"/>
                <w:sz w:val="18"/>
                <w:szCs w:val="18"/>
              </w:rPr>
              <w:t xml:space="preserve">LLM-RPT-20260219-A1B2</w:t>
            </w:r>
          </w:p>
        </w:tc>
        <w:tc>
          <w:tcPr>
            <w:tcW w:type="dxa" w:w="4873"/>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pPr>
              <w:spacing w:before="40" w:after="40"/>
            </w:pPr>
            <w:r>
              <w:rPr>
                <w:rFonts w:ascii="Arial" w:cs="Arial" w:eastAsia="Arial" w:hAnsi="Arial"/>
                <w:b/>
                <w:bCs/>
                <w:color w:val="1B3A6B"/>
                <w:sz w:val="18"/>
                <w:szCs w:val="18"/>
              </w:rPr>
              <w:t xml:space="preserve">Generated On: </w:t>
            </w:r>
            <w:r>
              <w:rPr>
                <w:rFonts w:ascii="Arial" w:cs="Arial" w:eastAsia="Arial" w:hAnsi="Arial"/>
                <w:color w:val="1E293B"/>
                <w:sz w:val="18"/>
                <w:szCs w:val="18"/>
              </w:rPr>
              <w:t xml:space="preserve">19 February 2026</w:t>
            </w:r>
          </w:p>
        </w:tc>
      </w:tr>
      <w:tr>
        <w:tc>
          <w:tcPr>
            <w:tcW w:type="dxa" w:w="487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40" w:after="40"/>
            </w:pPr>
            <w:r>
              <w:rPr>
                <w:rFonts w:ascii="Arial" w:cs="Arial" w:eastAsia="Arial" w:hAnsi="Arial"/>
                <w:b/>
                <w:bCs/>
                <w:color w:val="1B3A6B"/>
                <w:sz w:val="18"/>
                <w:szCs w:val="18"/>
              </w:rPr>
              <w:t xml:space="preserve">Acts in Scope: </w:t>
            </w:r>
            <w:r>
              <w:rPr>
                <w:rFonts w:ascii="Arial" w:cs="Arial" w:eastAsia="Arial" w:hAnsi="Arial"/>
                <w:color w:val="1E293B"/>
                <w:sz w:val="18"/>
                <w:szCs w:val="18"/>
              </w:rPr>
              <w:t xml:space="preserve">Central Acts only</w:t>
            </w:r>
          </w:p>
        </w:tc>
        <w:tc>
          <w:tcPr>
            <w:tcW w:type="dxa" w:w="4873"/>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pPr>
              <w:spacing w:before="40" w:after="40"/>
            </w:pPr>
            <w:r>
              <w:rPr>
                <w:rFonts w:ascii="Arial" w:cs="Arial" w:eastAsia="Arial" w:hAnsi="Arial"/>
                <w:b/>
                <w:bCs/>
                <w:color w:val="1B3A6B"/>
                <w:sz w:val="18"/>
                <w:szCs w:val="18"/>
              </w:rPr>
              <w:t xml:space="preserve">Query: </w:t>
            </w:r>
            <w:r>
              <w:rPr>
                <w:rFonts w:ascii="Arial" w:cs="Arial" w:eastAsia="Arial" w:hAnsi="Arial"/>
                <w:color w:val="1E293B"/>
                <w:sz w:val="18"/>
                <w:szCs w:val="18"/>
              </w:rPr>
              <w:t xml:space="preserve">Retrenchment compensation under ID Act</w:t>
            </w:r>
          </w:p>
        </w:tc>
      </w:tr>
      <w:tr>
        <w:tc>
          <w:tcPr>
            <w:tcW w:type="dxa" w:w="9746"/>
            <w:gridSpan w:val="2"/>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bCs/>
                <w:color w:val="B45309"/>
                <w:sz w:val="18"/>
                <w:szCs w:val="18"/>
              </w:rPr>
              <w:t xml:space="preserve">OUT OF SCOPE: </w:t>
            </w:r>
            <w:r>
              <w:rPr>
                <w:rFonts w:ascii="Arial" w:cs="Arial" w:eastAsia="Arial" w:hAnsi="Arial"/>
                <w:color w:val="1E293B"/>
                <w:sz w:val="18"/>
                <w:szCs w:val="18"/>
              </w:rPr>
              <w:t xml:space="preserve">State Shops &amp; Establishments Acts, Professional Tax, POSH (state rules), Contract Labour (state rules)</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1 — AT-A-GLANCE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3746"/>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Act</w:t>
            </w:r>
          </w:p>
        </w:tc>
        <w:tc>
          <w:tcPr>
            <w:tcW w:type="dxa" w:w="1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Applicable</w:t>
            </w:r>
          </w:p>
        </w:tc>
        <w:tc>
          <w:tcPr>
            <w:tcW w:type="dxa" w:w="16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Confidence</w:t>
            </w:r>
          </w:p>
        </w:tc>
        <w:tc>
          <w:tcPr>
            <w:tcW w:type="dxa" w:w="3746"/>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Key Risk</w:t>
            </w:r>
          </w:p>
        </w:tc>
      </w:tr>
      <w:tr>
        <w:tc>
          <w:tcPr>
            <w:tcW w:type="dxa" w:w="3200"/>
            <w:tcBorders>
              <w:top w:val="single" w:color="CBD5E1" w:sz="1"/>
              <w:left w:val="single" w:color="CBD5E1" w:sz="1"/>
              <w:bottom w:val="single" w:color="CBD5E1" w:sz="1"/>
              <w:right w:val="single" w:color="CBD5E1" w:sz="1"/>
            </w:tcBorders>
            <w:shd w:fill="EBF3FB" w:val="clear"/>
            <w:tcMar>
              <w:top w:type="dxa" w:w="80"/>
              <w:left w:type="dxa" w:w="140"/>
              <w:bottom w:type="dxa" w:w="80"/>
              <w:right w:type="dxa" w:w="140"/>
            </w:tcMar>
          </w:tcPr>
          <w:p>
            <w:r>
              <w:rPr>
                <w:rFonts w:ascii="Arial" w:cs="Arial" w:eastAsia="Arial" w:hAnsi="Arial"/>
                <w:b/>
                <w:bCs/>
                <w:color w:val="1B3A6B"/>
                <w:sz w:val="18"/>
                <w:szCs w:val="18"/>
              </w:rPr>
              <w:t xml:space="preserve">Industrial Disputes Act, 1947</w:t>
            </w:r>
          </w:p>
        </w:tc>
        <w:tc>
          <w:tcPr>
            <w:tcW w:type="dxa" w:w="1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bCs/>
                <w:color w:val="166534"/>
                <w:sz w:val="18"/>
                <w:szCs w:val="18"/>
              </w:rPr>
              <w:t xml:space="preserve">Yes</w:t>
            </w:r>
          </w:p>
        </w:tc>
        <w:tc>
          <w:tcPr>
            <w:tcW w:type="dxa" w:w="16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val="false"/>
                <w:bCs w:val="false"/>
                <w:color w:val="166534"/>
                <w:sz w:val="18"/>
                <w:szCs w:val="18"/>
              </w:rPr>
              <w:t xml:space="preserve">High</w:t>
            </w:r>
          </w:p>
        </w:tc>
        <w:tc>
          <w:tcPr>
            <w:tcW w:type="dxa" w:w="37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Non-payment on retrenchment date renders the retrenchment legally invalid.</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2 — EXECUTIVE SUMMARY</w:t>
      </w:r>
    </w:p>
    <w:p>
      <w:pPr>
        <w:spacing w:before="60" w:after="60"/>
      </w:pPr>
      <w:r>
        <w:rPr>
          <w:rFonts w:ascii="Arial" w:cs="Arial" w:eastAsia="Arial" w:hAnsi="Arial"/>
          <w:b w:val="false"/>
          <w:bCs w:val="false"/>
          <w:i w:val="false"/>
          <w:iCs w:val="false"/>
          <w:color w:val="1E293B"/>
          <w:sz w:val="18"/>
          <w:szCs w:val="18"/>
        </w:rPr>
        <w:t xml:space="preserve">The Industrial Disputes Act, 1947 requires employers to pay retrenchment compensation of 15 days' average pay for every completed year of service at the time of retrenchment, along with one month's prior written notice.</w:t>
      </w:r>
    </w:p>
    <w:p>
      <w:pPr>
        <w:spacing w:before="60" w:after="60"/>
      </w:pPr>
      <w:r>
        <w:rPr>
          <w:rFonts w:ascii="Arial" w:cs="Arial" w:eastAsia="Arial" w:hAnsi="Arial"/>
          <w:b w:val="false"/>
          <w:bCs w:val="false"/>
          <w:i w:val="false"/>
          <w:iCs w:val="false"/>
          <w:color w:val="1E293B"/>
          <w:sz w:val="18"/>
          <w:szCs w:val="18"/>
        </w:rPr>
        <w:t xml:space="preserve">The most critical procedural risk is timing — courts have consistently held that compensation paid even one day late can invalidate the entire retrenchment. Establishments with 100 or more workmen face an additional requirement of prior government permission, without which retrenchment is void.</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
        <w:gridCol w:w="9546"/>
      </w:tblGrid>
      <w:tr>
        <w:tc>
          <w:tcPr>
            <w:tcW w:type="dxa" w:w="200"/>
            <w:tcBorders>
              <w:top w:val="none" w:color="FFFFFF" w:sz="0"/>
              <w:left w:val="none" w:color="FFFFFF" w:sz="0"/>
              <w:bottom w:val="none" w:color="FFFFFF" w:sz="0"/>
              <w:right w:val="none" w:color="FFFFFF" w:sz="0"/>
            </w:tcBorders>
            <w:shd w:fill="B45309" w:val="clear"/>
            <w:tcMar>
              <w:top w:type="dxa" w:w="0"/>
              <w:left w:type="dxa" w:w="0"/>
              <w:bottom w:type="dxa" w:w="0"/>
              <w:right w:type="dxa" w:w="0"/>
            </w:tcMar>
          </w:tcPr>
          <w:p/>
        </w:tc>
        <w:tc>
          <w:tcPr>
            <w:tcW w:type="dxa" w:w="9546"/>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i/>
                <w:iCs/>
                <w:color w:val="1E293B"/>
                <w:sz w:val="18"/>
                <w:szCs w:val="18"/>
              </w:rPr>
              <w:t xml:space="preserve">This report covers Central Acts only. State-specific obligations are not analyzed. Consult your legal team for state-level compliance.</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3 — APPLICABILITY DETERMINATION</w:t>
      </w:r>
    </w:p>
    <w:p>
      <w:pPr>
        <w:spacing w:before="60" w:after="60"/>
      </w:pPr>
      <w:r>
        <w:rPr>
          <w:rFonts w:ascii="Arial" w:cs="Arial" w:eastAsia="Arial" w:hAnsi="Arial"/>
          <w:b/>
          <w:bCs/>
          <w:i w:val="false"/>
          <w:iCs w:val="false"/>
          <w:color w:val="1B3A6B"/>
          <w:sz w:val="18"/>
          <w:szCs w:val="18"/>
        </w:rPr>
        <w:t xml:space="preserve">Industrial Disputes Act, 1947</w:t>
      </w:r>
    </w:p>
    <w:p>
      <w:pPr>
        <w:spacing w:before="40" w:after="40"/>
      </w:pPr>
      <w:r>
        <w:rPr>
          <w:rFonts w:ascii="Arial" w:cs="Arial" w:eastAsia="Arial" w:hAnsi="Arial"/>
          <w:b/>
          <w:bCs/>
          <w:color w:val="1B3A6B"/>
          <w:sz w:val="18"/>
          <w:szCs w:val="18"/>
        </w:rPr>
        <w:t xml:space="preserve">Applies because: </w:t>
      </w:r>
      <w:r>
        <w:rPr>
          <w:rFonts w:ascii="Arial" w:cs="Arial" w:eastAsia="Arial" w:hAnsi="Arial"/>
          <w:color w:val="1E293B"/>
          <w:sz w:val="18"/>
          <w:szCs w:val="18"/>
        </w:rPr>
        <w:t xml:space="preserve">The act applies to all industrial establishments employing workmen; retrenchment of any workman with 1+ years of continuous service triggers S.25F obligations.</w:t>
      </w:r>
    </w:p>
    <w:p>
      <w:pPr>
        <w:spacing w:before="40" w:after="40"/>
      </w:pPr>
      <w:r>
        <w:rPr>
          <w:rFonts w:ascii="Arial" w:cs="Arial" w:eastAsia="Arial" w:hAnsi="Arial"/>
          <w:b/>
          <w:bCs/>
          <w:color w:val="1B3A6B"/>
          <w:sz w:val="18"/>
          <w:szCs w:val="18"/>
        </w:rPr>
        <w:t xml:space="preserve">Does NOT apply if: </w:t>
      </w:r>
      <w:r>
        <w:rPr>
          <w:rFonts w:ascii="Arial" w:cs="Arial" w:eastAsia="Arial" w:hAnsi="Arial"/>
          <w:color w:val="1E293B"/>
          <w:sz w:val="18"/>
          <w:szCs w:val="18"/>
        </w:rPr>
        <w:t xml:space="preserve">Employee is in a managerial or supervisory role outside S.2(s) definition of 'workman', or has less than 1 year of continuous service.</w:t>
      </w:r>
    </w:p>
    <w:p>
      <w:pPr>
        <w:spacing w:before="40" w:after="40"/>
      </w:pPr>
      <w:r>
        <w:rPr>
          <w:rFonts w:ascii="Arial" w:cs="Arial" w:eastAsia="Arial" w:hAnsi="Arial"/>
          <w:b/>
          <w:bCs/>
          <w:color w:val="1B3A6B"/>
          <w:sz w:val="18"/>
          <w:szCs w:val="18"/>
        </w:rPr>
        <w:t xml:space="preserve">Statutory basis: </w:t>
      </w:r>
      <w:r>
        <w:rPr>
          <w:rFonts w:ascii="Arial" w:cs="Arial" w:eastAsia="Arial" w:hAnsi="Arial"/>
          <w:color w:val="1E293B"/>
          <w:sz w:val="18"/>
          <w:szCs w:val="18"/>
        </w:rPr>
        <w:t xml:space="preserve">S.25F, S.25N, S.2(s), S.25B — Industrial Disputes Act, 1947</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BD5E1" w:sz="1"/>
              <w:left w:val="single" w:color="CBD5E1" w:sz="1"/>
              <w:bottom w:val="single" w:color="CBD5E1" w:sz="1"/>
              <w:right w:val="single" w:color="CBD5E1" w:sz="1"/>
            </w:tcBorders>
            <w:shd w:fill="EBF3FB" w:val="clear"/>
            <w:tcMar>
              <w:top w:type="dxa" w:w="120"/>
              <w:left w:type="dxa" w:w="160"/>
              <w:bottom w:type="dxa" w:w="120"/>
              <w:right w:type="dxa" w:w="160"/>
            </w:tcMar>
          </w:tcPr>
          <w:p>
            <w:r>
              <w:rPr>
                <w:rFonts w:ascii="Arial" w:cs="Arial" w:eastAsia="Arial" w:hAnsi="Arial"/>
                <w:b/>
                <w:bCs/>
                <w:color w:val="1B3A6B"/>
                <w:sz w:val="17"/>
                <w:szCs w:val="17"/>
              </w:rPr>
              <w:t xml:space="preserve">Evidence Snippet (Pinecone)</w:t>
            </w:r>
          </w:p>
          <w:p>
            <w:pPr>
              <w:spacing w:before="60"/>
            </w:pPr>
            <w:r>
              <w:rPr>
                <w:rFonts w:ascii="Arial" w:cs="Arial" w:eastAsia="Arial" w:hAnsi="Arial"/>
                <w:i/>
                <w:iCs/>
                <w:color w:val="64748B"/>
                <w:sz w:val="16"/>
                <w:szCs w:val="16"/>
              </w:rPr>
              <w:t xml:space="preserve">doc_id: industrial_disputes_act_1947  |  chunk_id: chunk_025F  |  section: S.25F</w:t>
            </w:r>
          </w:p>
          <w:p>
            <w:pPr>
              <w:spacing w:before="60"/>
            </w:pPr>
            <w:r>
              <w:rPr>
                <w:rFonts w:ascii="Arial" w:cs="Arial" w:eastAsia="Arial" w:hAnsi="Arial"/>
                <w:color w:val="1E293B"/>
                <w:sz w:val="18"/>
                <w:szCs w:val="18"/>
              </w:rPr>
              <w:t xml:space="preserve">“No workman employed in any industry who has been in continuous service for not less than one year under an employer shall be retrenched by that employer until — (a) the workman has been given one month’s notice... (b) the workman has been paid, at the time of retrenchment, compensation which shall be equivalent to fifteen days’ average pay for every completed year of continuous service...”</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4 — COMPLIANCE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1500"/>
        <w:gridCol w:w="1000"/>
        <w:gridCol w:w="1200"/>
        <w:gridCol w:w="1946"/>
      </w:tblGrid>
      <w:tr>
        <w:tc>
          <w:tcPr>
            <w:tcW w:type="dxa" w:w="16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Obligation</w:t>
            </w:r>
          </w:p>
        </w:tc>
        <w:tc>
          <w:tcPr>
            <w:tcW w:type="dxa" w:w="25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Action Required</w:t>
            </w:r>
          </w:p>
        </w:tc>
        <w:tc>
          <w:tcPr>
            <w:tcW w:type="dxa" w:w="15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Timeline</w:t>
            </w:r>
          </w:p>
        </w:tc>
        <w:tc>
          <w:tcPr>
            <w:tcW w:type="dxa" w:w="1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Owner</w:t>
            </w:r>
          </w:p>
        </w:tc>
        <w:tc>
          <w:tcPr>
            <w:tcW w:type="dxa" w:w="1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Confidence</w:t>
            </w:r>
          </w:p>
        </w:tc>
        <w:tc>
          <w:tcPr>
            <w:tcW w:type="dxa" w:w="1946"/>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Section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Verify workman status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Confirm employee is non-managerial under S.2(s) before proceeding.</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Before issuing notice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HR / Legal</w:t>
            </w:r>
          </w:p>
        </w:tc>
        <w:tc>
          <w:tcPr>
            <w:tcW w:type="dxa" w:w="1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val="false"/>
                <w:bCs w:val="false"/>
                <w:color w:val="166534"/>
                <w:sz w:val="18"/>
                <w:szCs w:val="18"/>
              </w:rPr>
              <w:t xml:space="preserve">High</w:t>
            </w:r>
          </w:p>
        </w:tc>
        <w:tc>
          <w:tcPr>
            <w:tcW w:type="dxa" w:w="19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ID Act S.2(s)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Issue retrenchment notice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Serve 1 month written notice stating reasons, or pay wages in lieu.</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1 month before retrenchment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HR</w:t>
            </w:r>
          </w:p>
        </w:tc>
        <w:tc>
          <w:tcPr>
            <w:tcW w:type="dxa" w:w="1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val="false"/>
                <w:bCs w:val="false"/>
                <w:color w:val="166534"/>
                <w:sz w:val="18"/>
                <w:szCs w:val="18"/>
              </w:rPr>
              <w:t xml:space="preserve">High</w:t>
            </w:r>
          </w:p>
        </w:tc>
        <w:tc>
          <w:tcPr>
            <w:tcW w:type="dxa" w:w="19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ID Act S.25F(a)</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bCs/>
                <w:color w:val="1B3A6B"/>
                <w:sz w:val="18"/>
                <w:szCs w:val="18"/>
              </w:rPr>
              <w:t xml:space="preserve">Pay retrenchment compensation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Pay 15 days avg pay x completed years of continuous service on retrenchment date.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On retrenchment date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Payroll</w:t>
            </w:r>
          </w:p>
        </w:tc>
        <w:tc>
          <w:tcPr>
            <w:tcW w:type="dxa" w:w="1200"/>
            <w:tcBorders>
              <w:top w:val="single" w:color="CBD5E1" w:sz="1"/>
              <w:left w:val="single" w:color="CBD5E1" w:sz="1"/>
              <w:bottom w:val="single" w:color="CBD5E1" w:sz="1"/>
              <w:right w:val="single" w:color="CBD5E1" w:sz="1"/>
            </w:tcBorders>
            <w:shd w:fill="F0FDF4" w:val="clear"/>
            <w:tcMar>
              <w:top w:type="dxa" w:w="80"/>
              <w:left w:type="dxa" w:w="140"/>
              <w:bottom w:type="dxa" w:w="80"/>
              <w:right w:type="dxa" w:w="140"/>
            </w:tcMar>
          </w:tcPr>
          <w:p>
            <w:r>
              <w:rPr>
                <w:rFonts w:ascii="Arial" w:cs="Arial" w:eastAsia="Arial" w:hAnsi="Arial"/>
                <w:b w:val="false"/>
                <w:bCs w:val="false"/>
                <w:color w:val="166534"/>
                <w:sz w:val="18"/>
                <w:szCs w:val="18"/>
              </w:rPr>
              <w:t xml:space="preserve">High</w:t>
            </w:r>
          </w:p>
        </w:tc>
        <w:tc>
          <w:tcPr>
            <w:tcW w:type="dxa" w:w="19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ID Act S.25F(b)</w:t>
            </w:r>
          </w:p>
        </w:tc>
      </w:tr>
      <w:tr>
        <w:tc>
          <w:tcPr>
            <w:tcW w:type="dxa" w:w="16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bCs/>
                <w:color w:val="B45309"/>
                <w:sz w:val="18"/>
                <w:szCs w:val="18"/>
              </w:rPr>
              <w:t xml:space="preserve">Obtain govt. permission (100+ workmen)</w:t>
            </w:r>
          </w:p>
        </w:tc>
        <w:tc>
          <w:tcPr>
            <w:tcW w:type="dxa" w:w="25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Apply to appropriate government authority before any retrenchment communication.</w:t>
            </w:r>
          </w:p>
        </w:tc>
        <w:tc>
          <w:tcPr>
            <w:tcW w:type="dxa" w:w="15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Before issuing notice</w:t>
            </w:r>
          </w:p>
        </w:tc>
        <w:tc>
          <w:tcPr>
            <w:tcW w:type="dxa" w:w="10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Legal / Mgmt</w:t>
            </w:r>
          </w:p>
        </w:tc>
        <w:tc>
          <w:tcPr>
            <w:tcW w:type="dxa" w:w="12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val="false"/>
                <w:bCs w:val="false"/>
                <w:color w:val="991B1B"/>
                <w:sz w:val="18"/>
                <w:szCs w:val="18"/>
              </w:rPr>
              <w:t xml:space="preserve">Review Needed</w:t>
            </w:r>
          </w:p>
        </w:tc>
        <w:tc>
          <w:tcPr>
            <w:tcW w:type="dxa" w:w="1946"/>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ID Act S.25N</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5 — CASE LAW REFERENCES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
        <w:gridCol w:w="9546"/>
      </w:tblGrid>
      <w:tr>
        <w:tc>
          <w:tcPr>
            <w:tcW w:type="dxa" w:w="200"/>
            <w:tcBorders>
              <w:top w:val="none" w:color="FFFFFF" w:sz="0"/>
              <w:left w:val="none" w:color="FFFFFF" w:sz="0"/>
              <w:bottom w:val="none" w:color="FFFFFF" w:sz="0"/>
              <w:right w:val="none" w:color="FFFFFF" w:sz="0"/>
            </w:tcBorders>
            <w:shd w:fill="1A6B6B" w:val="clear"/>
            <w:tcMar>
              <w:top w:type="dxa" w:w="0"/>
              <w:left w:type="dxa" w:w="0"/>
              <w:bottom w:type="dxa" w:w="0"/>
              <w:right w:type="dxa" w:w="0"/>
            </w:tcMar>
          </w:tcPr>
          <w:p/>
        </w:tc>
        <w:tc>
          <w:tcPr>
            <w:tcW w:type="dxa" w:w="9546"/>
            <w:tcBorders>
              <w:top w:val="none" w:color="FFFFFF" w:sz="0"/>
              <w:left w:val="none" w:color="FFFFFF" w:sz="0"/>
              <w:bottom w:val="none" w:color="FFFFFF" w:sz="0"/>
              <w:right w:val="none" w:color="FFFFFF" w:sz="0"/>
            </w:tcBorders>
            <w:shd w:fill="EBF3FB" w:val="clear"/>
            <w:tcMar>
              <w:top w:type="dxa" w:w="120"/>
              <w:left w:type="dxa" w:w="160"/>
              <w:bottom w:type="dxa" w:w="120"/>
              <w:right w:type="dxa" w:w="160"/>
            </w:tcMar>
          </w:tcPr>
          <w:p>
            <w:r>
              <w:rPr>
                <w:rFonts w:ascii="Arial" w:cs="Arial" w:eastAsia="Arial" w:hAnsi="Arial"/>
                <w:i/>
                <w:iCs/>
                <w:color w:val="1E293B"/>
                <w:sz w:val="18"/>
                <w:szCs w:val="18"/>
              </w:rPr>
              <w:t xml:space="preserve">Summaries below are based on Indian Kanoon search metadata only. Full judgment review is recommended before any litigation decision.</w:t>
            </w:r>
          </w:p>
        </w:tc>
      </w:tr>
    </w:tbl>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000"/>
        <w:gridCol w:w="4146"/>
      </w:tblGrid>
      <w:tr>
        <w:tc>
          <w:tcPr>
            <w:tcW w:type="dxa" w:w="32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Case</w:t>
            </w:r>
          </w:p>
        </w:tc>
        <w:tc>
          <w:tcPr>
            <w:tcW w:type="dxa" w:w="1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Court</w:t>
            </w:r>
          </w:p>
        </w:tc>
        <w:tc>
          <w:tcPr>
            <w:tcW w:type="dxa" w:w="1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Year</w:t>
            </w:r>
          </w:p>
        </w:tc>
        <w:tc>
          <w:tcPr>
            <w:tcW w:type="dxa" w:w="4146"/>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Relevance to Query</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hyperlink w:history="1" r:id="rIdpvrbtri_u7m97v9s7hf1k">
              <w:r>
                <w:rPr>
                  <w:rStyle w:val="Hyperlink"/>
                  <w:rFonts w:ascii="Arial" w:cs="Arial" w:eastAsia="Arial" w:hAnsi="Arial"/>
                  <w:sz w:val="18"/>
                  <w:szCs w:val="18"/>
                </w:rPr>
                <w:t xml:space="preserve">Workmen of Firestone Tyre &amp; Rubber Co. v. Management</w:t>
              </w:r>
            </w:hyperlink>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Supreme Court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1973</w:t>
            </w:r>
          </w:p>
        </w:tc>
        <w:tc>
          <w:tcPr>
            <w:tcW w:type="dxa" w:w="41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Interpreted 'average pay' for S.25F compensation, clarifying inclusion of allowances.</w:t>
            </w:r>
          </w:p>
        </w:tc>
      </w:tr>
      <w:tr>
        <w:tc>
          <w:tcPr>
            <w:tcW w:type="dxa" w:w="3200"/>
            <w:tcBorders>
              <w:top w:val="single" w:color="CBD5E1" w:sz="1"/>
              <w:left w:val="single" w:color="CBD5E1" w:sz="1"/>
              <w:bottom w:val="single" w:color="CBD5E1" w:sz="1"/>
              <w:right w:val="single" w:color="CBD5E1" w:sz="1"/>
            </w:tcBorders>
            <w:tcMar>
              <w:top w:type="dxa" w:w="80"/>
              <w:left w:type="dxa" w:w="140"/>
              <w:bottom w:type="dxa" w:w="80"/>
              <w:right w:type="dxa" w:w="140"/>
            </w:tcMar>
          </w:tcPr>
          <w:p>
            <w:hyperlink w:history="1" r:id="rId1xgufwnn-67mhk4y-odi2">
              <w:r>
                <w:rPr>
                  <w:rStyle w:val="Hyperlink"/>
                  <w:rFonts w:ascii="Arial" w:cs="Arial" w:eastAsia="Arial" w:hAnsi="Arial"/>
                  <w:sz w:val="18"/>
                  <w:szCs w:val="18"/>
                </w:rPr>
                <w:t xml:space="preserve">Pipraich Sugar Mills Ltd. v. Pipraich Sugar Mills Mazdoor Union</w:t>
              </w:r>
            </w:hyperlink>
          </w:p>
        </w:tc>
        <w:tc>
          <w:tcPr>
            <w:tcW w:type="dxa" w:w="1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Supreme Court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1960</w:t>
            </w:r>
          </w:p>
        </w:tc>
        <w:tc>
          <w:tcPr>
            <w:tcW w:type="dxa" w:w="41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Compensation must be paid contemporaneously with retrenchment notice — courts strictly enforce this.</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6 — RISKS &amp; GREY AREAS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9446"/>
      </w:tblGrid>
      <w:tr>
        <w:tc>
          <w:tcPr>
            <w:tcW w:type="dxa" w:w="300"/>
            <w:tcBorders>
              <w:top w:val="none" w:color="FFFFFF" w:sz="0"/>
              <w:left w:val="none" w:color="FFFFFF" w:sz="0"/>
              <w:bottom w:val="none" w:color="FFFFFF" w:sz="0"/>
              <w:right w:val="none" w:color="FFFFFF" w:sz="0"/>
            </w:tcBorders>
            <w:shd w:fill="991B1B" w:val="clear"/>
            <w:tcMar>
              <w:top w:type="dxa" w:w="0"/>
              <w:left w:type="dxa" w:w="0"/>
              <w:bottom w:type="dxa" w:w="0"/>
              <w:right w:type="dxa" w:w="0"/>
            </w:tcMar>
          </w:tcPr>
          <w:p/>
        </w:tc>
        <w:tc>
          <w:tcPr>
            <w:tcW w:type="dxa" w:w="9446"/>
            <w:tcBorders>
              <w:top w:val="none" w:color="FFFFFF" w:sz="0"/>
              <w:left w:val="none" w:color="FFFFFF" w:sz="0"/>
              <w:bottom w:val="none" w:color="FFFFFF" w:sz="0"/>
              <w:right w:val="none" w:color="FFFFFF" w:sz="0"/>
            </w:tcBorders>
            <w:shd w:fill="FEF2F2" w:val="clear"/>
            <w:tcMar>
              <w:top w:type="dxa" w:w="160"/>
              <w:left w:type="dxa" w:w="200"/>
              <w:bottom w:type="dxa" w:w="160"/>
              <w:right w:type="dxa" w:w="200"/>
            </w:tcMar>
          </w:tcPr>
          <w:p>
            <w:pPr>
              <w:spacing w:before="0" w:after="80"/>
            </w:pPr>
            <w:r>
              <w:rPr>
                <w:rFonts w:ascii="Arial" w:cs="Arial" w:eastAsia="Arial" w:hAnsi="Arial"/>
                <w:b/>
                <w:bCs/>
                <w:color w:val="991B1B"/>
                <w:sz w:val="20"/>
                <w:szCs w:val="20"/>
              </w:rPr>
              <w:t xml:space="preserve">RISK 1: Late payment invalidates retrenchment</w:t>
            </w:r>
          </w:p>
          <w:p>
            <w:pPr>
              <w:spacing w:before="0" w:after="100"/>
            </w:pPr>
            <w:r>
              <w:rPr>
                <w:rFonts w:ascii="Arial" w:cs="Arial" w:eastAsia="Arial" w:hAnsi="Arial"/>
                <w:b/>
                <w:bCs/>
                <w:color w:val="991B1B"/>
                <w:sz w:val="17"/>
                <w:szCs w:val="17"/>
              </w:rPr>
              <w:t xml:space="preserve">Confidence: </w:t>
            </w:r>
            <w:r>
              <w:rPr>
                <w:rFonts w:ascii="Arial" w:cs="Arial" w:eastAsia="Arial" w:hAnsi="Arial"/>
                <w:color w:val="991B1B"/>
                <w:sz w:val="17"/>
                <w:szCs w:val="17"/>
              </w:rPr>
              <w:t xml:space="preserve">Review Needed</w:t>
            </w:r>
          </w:p>
          <w:p>
            <w:pPr>
              <w:spacing w:before="0" w:after="40"/>
            </w:pPr>
            <w:r>
              <w:rPr>
                <w:rFonts w:ascii="Arial" w:cs="Arial" w:eastAsia="Arial" w:hAnsi="Arial"/>
                <w:b/>
                <w:bCs/>
                <w:color w:val="1E293B"/>
                <w:sz w:val="18"/>
                <w:szCs w:val="18"/>
              </w:rPr>
              <w:t xml:space="preserve">What the issue is: </w:t>
            </w:r>
          </w:p>
          <w:p>
            <w:pPr>
              <w:spacing w:before="0" w:after="100"/>
            </w:pPr>
            <w:r>
              <w:rPr>
                <w:rFonts w:ascii="Arial" w:cs="Arial" w:eastAsia="Arial" w:hAnsi="Arial"/>
                <w:color w:val="1E293B"/>
                <w:sz w:val="18"/>
                <w:szCs w:val="18"/>
              </w:rPr>
              <w:t xml:space="preserve">Retrenchment compensation must be paid on the exact date of retrenchment — not after. If payment is delayed even briefly, courts treat the retrenchment as procedurally invalid, which can result in reinstatement orders and full back wages.</w:t>
            </w:r>
          </w:p>
          <w:p>
            <w:pPr>
              <w:spacing w:before="0" w:after="40"/>
            </w:pPr>
            <w:r>
              <w:rPr>
                <w:rFonts w:ascii="Arial" w:cs="Arial" w:eastAsia="Arial" w:hAnsi="Arial"/>
                <w:b/>
                <w:bCs/>
                <w:color w:val="1E293B"/>
                <w:sz w:val="18"/>
                <w:szCs w:val="18"/>
              </w:rPr>
              <w:t xml:space="preserve">Why it is disputed: </w:t>
            </w:r>
          </w:p>
          <w:p>
            <w:pPr>
              <w:spacing w:before="0" w:after="100"/>
            </w:pPr>
            <w:r>
              <w:rPr>
                <w:rFonts w:ascii="Arial" w:cs="Arial" w:eastAsia="Arial" w:hAnsi="Arial"/>
                <w:color w:val="1E293B"/>
                <w:sz w:val="18"/>
                <w:szCs w:val="18"/>
              </w:rPr>
              <w:t xml:space="preserve">Employers sometimes interpret 'at the time of retrenchment' loosely. Courts have consistently rejected any grace period — the obligation is simultaneous with the act of retrenchment.</w:t>
            </w:r>
          </w:p>
          <w:p>
            <w:pPr>
              <w:spacing w:before="0" w:after="40"/>
            </w:pPr>
            <w:r>
              <w:rPr>
                <w:rFonts w:ascii="Arial" w:cs="Arial" w:eastAsia="Arial" w:hAnsi="Arial"/>
                <w:b/>
                <w:bCs/>
                <w:color w:val="1E293B"/>
                <w:sz w:val="18"/>
                <w:szCs w:val="18"/>
              </w:rPr>
              <w:t xml:space="preserve">Case law signal: </w:t>
            </w:r>
          </w:p>
          <w:p>
            <w:pPr>
              <w:spacing w:before="0" w:after="100"/>
            </w:pPr>
            <w:r>
              <w:rPr>
                <w:rFonts w:ascii="Arial" w:cs="Arial" w:eastAsia="Arial" w:hAnsi="Arial"/>
                <w:i/>
                <w:iCs/>
                <w:color w:val="1E293B"/>
                <w:sz w:val="18"/>
                <w:szCs w:val="18"/>
              </w:rPr>
              <w:t xml:space="preserve">Pipraich Sugar Mills Ltd. v. Pipraich Sugar Mills Mazdoor Union (SC, 1960) — Supreme Court held compensation must be paid contemporaneously with the retrenchment notice.</w:t>
            </w:r>
          </w:p>
          <w:p>
            <w:pPr>
              <w:spacing w:before="0" w:after="40"/>
            </w:pPr>
            <w:r>
              <w:rPr>
                <w:rFonts w:ascii="Arial" w:cs="Arial" w:eastAsia="Arial" w:hAnsi="Arial"/>
                <w:b/>
                <w:bCs/>
                <w:color w:val="1E293B"/>
                <w:sz w:val="18"/>
                <w:szCs w:val="18"/>
              </w:rPr>
              <w:t xml:space="preserve">Recommended action: </w:t>
            </w:r>
          </w:p>
          <w:p>
            <w:pPr>
              <w:spacing w:before="0" w:after="0"/>
            </w:pPr>
            <w:r>
              <w:rPr>
                <w:rFonts w:ascii="Arial" w:cs="Arial" w:eastAsia="Arial" w:hAnsi="Arial"/>
                <w:color w:val="1E293B"/>
                <w:sz w:val="18"/>
                <w:szCs w:val="18"/>
              </w:rPr>
              <w:t xml:space="preserve">Prepare the compensation payment (cheque or bank transfer) before issuing the retrenchment notice. Hand over both simultaneously on the same day.</w:t>
            </w:r>
          </w:p>
        </w:tc>
      </w:tr>
    </w:tbl>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
        <w:gridCol w:w="9446"/>
      </w:tblGrid>
      <w:tr>
        <w:tc>
          <w:tcPr>
            <w:tcW w:type="dxa" w:w="300"/>
            <w:tcBorders>
              <w:top w:val="none" w:color="FFFFFF" w:sz="0"/>
              <w:left w:val="none" w:color="FFFFFF" w:sz="0"/>
              <w:bottom w:val="none" w:color="FFFFFF" w:sz="0"/>
              <w:right w:val="none" w:color="FFFFFF" w:sz="0"/>
            </w:tcBorders>
            <w:shd w:fill="B45309" w:val="clear"/>
            <w:tcMar>
              <w:top w:type="dxa" w:w="0"/>
              <w:left w:type="dxa" w:w="0"/>
              <w:bottom w:type="dxa" w:w="0"/>
              <w:right w:type="dxa" w:w="0"/>
            </w:tcMar>
          </w:tcPr>
          <w:p/>
        </w:tc>
        <w:tc>
          <w:tcPr>
            <w:tcW w:type="dxa" w:w="9446"/>
            <w:tcBorders>
              <w:top w:val="none" w:color="FFFFFF" w:sz="0"/>
              <w:left w:val="none" w:color="FFFFFF" w:sz="0"/>
              <w:bottom w:val="none" w:color="FFFFFF" w:sz="0"/>
              <w:right w:val="none" w:color="FFFFFF" w:sz="0"/>
            </w:tcBorders>
            <w:shd w:fill="FFFBEB" w:val="clear"/>
            <w:tcMar>
              <w:top w:type="dxa" w:w="160"/>
              <w:left w:type="dxa" w:w="200"/>
              <w:bottom w:type="dxa" w:w="160"/>
              <w:right w:type="dxa" w:w="200"/>
            </w:tcMar>
          </w:tcPr>
          <w:p>
            <w:pPr>
              <w:spacing w:before="0" w:after="80"/>
            </w:pPr>
            <w:r>
              <w:rPr>
                <w:rFonts w:ascii="Arial" w:cs="Arial" w:eastAsia="Arial" w:hAnsi="Arial"/>
                <w:b/>
                <w:bCs/>
                <w:color w:val="B45309"/>
                <w:sz w:val="20"/>
                <w:szCs w:val="20"/>
              </w:rPr>
              <w:t xml:space="preserve">RISK 2: Continuous service interruptions may reduce compensation</w:t>
            </w:r>
          </w:p>
          <w:p>
            <w:pPr>
              <w:spacing w:before="0" w:after="100"/>
            </w:pPr>
            <w:r>
              <w:rPr>
                <w:rFonts w:ascii="Arial" w:cs="Arial" w:eastAsia="Arial" w:hAnsi="Arial"/>
                <w:b/>
                <w:bCs/>
                <w:color w:val="B45309"/>
                <w:sz w:val="17"/>
                <w:szCs w:val="17"/>
              </w:rPr>
              <w:t xml:space="preserve">Confidence: </w:t>
            </w:r>
            <w:r>
              <w:rPr>
                <w:rFonts w:ascii="Arial" w:cs="Arial" w:eastAsia="Arial" w:hAnsi="Arial"/>
                <w:color w:val="B45309"/>
                <w:sz w:val="17"/>
                <w:szCs w:val="17"/>
              </w:rPr>
              <w:t xml:space="preserve">Medium</w:t>
            </w:r>
          </w:p>
          <w:p>
            <w:pPr>
              <w:spacing w:before="0" w:after="40"/>
            </w:pPr>
            <w:r>
              <w:rPr>
                <w:rFonts w:ascii="Arial" w:cs="Arial" w:eastAsia="Arial" w:hAnsi="Arial"/>
                <w:b/>
                <w:bCs/>
                <w:color w:val="1E293B"/>
                <w:sz w:val="18"/>
                <w:szCs w:val="18"/>
              </w:rPr>
              <w:t xml:space="preserve">What the issue is: </w:t>
            </w:r>
          </w:p>
          <w:p>
            <w:pPr>
              <w:spacing w:before="0" w:after="100"/>
            </w:pPr>
            <w:r>
              <w:rPr>
                <w:rFonts w:ascii="Arial" w:cs="Arial" w:eastAsia="Arial" w:hAnsi="Arial"/>
                <w:color w:val="1E293B"/>
                <w:sz w:val="18"/>
                <w:szCs w:val="18"/>
              </w:rPr>
              <w:t xml:space="preserve">Breaks in service due to layoffs, strikes, or lock-outs may mean the employee's S.25B continuous service is shorter than their actual tenure — reducing the compensation amount.</w:t>
            </w:r>
          </w:p>
          <w:p>
            <w:pPr>
              <w:spacing w:before="0" w:after="40"/>
            </w:pPr>
            <w:r>
              <w:rPr>
                <w:rFonts w:ascii="Arial" w:cs="Arial" w:eastAsia="Arial" w:hAnsi="Arial"/>
                <w:b/>
                <w:bCs/>
                <w:color w:val="1E293B"/>
                <w:sz w:val="18"/>
                <w:szCs w:val="18"/>
              </w:rPr>
              <w:t xml:space="preserve">Why it is disputed: </w:t>
            </w:r>
          </w:p>
          <w:p>
            <w:pPr>
              <w:spacing w:before="0" w:after="100"/>
            </w:pPr>
            <w:r>
              <w:rPr>
                <w:rFonts w:ascii="Arial" w:cs="Arial" w:eastAsia="Arial" w:hAnsi="Arial"/>
                <w:color w:val="1E293B"/>
                <w:sz w:val="18"/>
                <w:szCs w:val="18"/>
              </w:rPr>
              <w:t xml:space="preserve">S.25B requires 240 working days in 12 months for most cases. Employees on irregular contracts or extended unpaid leave frequently fall into this grey zone.</w:t>
            </w:r>
          </w:p>
          <w:p>
            <w:pPr>
              <w:spacing w:before="0" w:after="40"/>
            </w:pPr>
            <w:r>
              <w:rPr>
                <w:rFonts w:ascii="Arial" w:cs="Arial" w:eastAsia="Arial" w:hAnsi="Arial"/>
                <w:b/>
                <w:bCs/>
                <w:color w:val="1E293B"/>
                <w:sz w:val="18"/>
                <w:szCs w:val="18"/>
              </w:rPr>
              <w:t xml:space="preserve">Recommended action: </w:t>
            </w:r>
          </w:p>
          <w:p>
            <w:pPr>
              <w:spacing w:before="0" w:after="0"/>
            </w:pPr>
            <w:r>
              <w:rPr>
                <w:rFonts w:ascii="Arial" w:cs="Arial" w:eastAsia="Arial" w:hAnsi="Arial"/>
                <w:color w:val="1E293B"/>
                <w:sz w:val="18"/>
                <w:szCs w:val="18"/>
              </w:rPr>
              <w:t xml:space="preserve">Audit actual working days from payroll records for the 12-month period before retrenchment. Do not rely solely on date of joining.</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7 — PENALTY EXPOSURE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2000"/>
        <w:gridCol w:w="1946"/>
      </w:tblGrid>
      <w:tr>
        <w:tc>
          <w:tcPr>
            <w:tcW w:type="dxa" w:w="2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Violation</w:t>
            </w:r>
          </w:p>
        </w:tc>
        <w:tc>
          <w:tcPr>
            <w:tcW w:type="dxa" w:w="19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Monetary Penalty</w:t>
            </w:r>
          </w:p>
        </w:tc>
        <w:tc>
          <w:tcPr>
            <w:tcW w:type="dxa" w:w="15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Imprisonment</w:t>
            </w:r>
          </w:p>
        </w:tc>
        <w:tc>
          <w:tcPr>
            <w:tcW w:type="dxa" w:w="20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Recovery Mechanism</w:t>
            </w:r>
          </w:p>
        </w:tc>
        <w:tc>
          <w:tcPr>
            <w:tcW w:type="dxa" w:w="1946"/>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Reference</w:t>
            </w:r>
          </w:p>
        </w:tc>
      </w:tr>
      <w:tr>
        <w:tc>
          <w:tcPr>
            <w:tcW w:type="dxa" w:w="24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val="false"/>
                <w:bCs w:val="false"/>
                <w:color w:val="1E293B"/>
                <w:sz w:val="18"/>
                <w:szCs w:val="18"/>
              </w:rPr>
              <w:t xml:space="preserve">Retrenchment without compensation / notice</w:t>
            </w:r>
          </w:p>
        </w:tc>
        <w:tc>
          <w:tcPr>
            <w:tcW w:type="dxa" w:w="19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val="false"/>
                <w:bCs w:val="false"/>
                <w:color w:val="1E293B"/>
                <w:sz w:val="18"/>
                <w:szCs w:val="18"/>
              </w:rPr>
              <w:t xml:space="preserve">Fine up to ₹1,000 per day of default</w:t>
            </w:r>
          </w:p>
        </w:tc>
        <w:tc>
          <w:tcPr>
            <w:tcW w:type="dxa" w:w="15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val="false"/>
                <w:bCs w:val="false"/>
                <w:color w:val="1E293B"/>
                <w:sz w:val="18"/>
                <w:szCs w:val="18"/>
              </w:rPr>
              <w:t xml:space="preserve">Up to 6 months or both (S.31(1))</w:t>
            </w:r>
          </w:p>
        </w:tc>
        <w:tc>
          <w:tcPr>
            <w:tcW w:type="dxa" w:w="2000"/>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val="false"/>
                <w:bCs w:val="false"/>
                <w:color w:val="1E293B"/>
                <w:sz w:val="18"/>
                <w:szCs w:val="18"/>
              </w:rPr>
              <w:t xml:space="preserve">Labour Court / Industrial Tribunal — reinstatement + back wages</w:t>
            </w:r>
          </w:p>
        </w:tc>
        <w:tc>
          <w:tcPr>
            <w:tcW w:type="dxa" w:w="1946"/>
            <w:tcBorders>
              <w:top w:val="single" w:color="CBD5E1" w:sz="1"/>
              <w:left w:val="single" w:color="CBD5E1" w:sz="1"/>
              <w:bottom w:val="single" w:color="CBD5E1" w:sz="1"/>
              <w:right w:val="single" w:color="CBD5E1" w:sz="1"/>
            </w:tcBorders>
            <w:shd w:fill="FEF2F2" w:val="clear"/>
            <w:tcMar>
              <w:top w:type="dxa" w:w="80"/>
              <w:left w:type="dxa" w:w="140"/>
              <w:bottom w:type="dxa" w:w="80"/>
              <w:right w:type="dxa" w:w="140"/>
            </w:tcMar>
          </w:tcPr>
          <w:p>
            <w:r>
              <w:rPr>
                <w:rFonts w:ascii="Arial" w:cs="Arial" w:eastAsia="Arial" w:hAnsi="Arial"/>
                <w:b w:val="false"/>
                <w:bCs w:val="false"/>
                <w:color w:val="1E293B"/>
                <w:sz w:val="18"/>
                <w:szCs w:val="18"/>
              </w:rPr>
              <w:t xml:space="preserve">ID Act S.25F, S.31</w:t>
            </w:r>
          </w:p>
        </w:tc>
      </w:tr>
      <w:tr>
        <w:tc>
          <w:tcPr>
            <w:tcW w:type="dxa" w:w="24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Retrenchment without prior govt. permission (100+ workmen)</w:t>
            </w:r>
          </w:p>
        </w:tc>
        <w:tc>
          <w:tcPr>
            <w:tcW w:type="dxa" w:w="19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Retrenchment void; back wages for entire period</w:t>
            </w:r>
          </w:p>
        </w:tc>
        <w:tc>
          <w:tcPr>
            <w:tcW w:type="dxa" w:w="15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Up to 1 month or fine or both (S.25R)</w:t>
            </w:r>
          </w:p>
        </w:tc>
        <w:tc>
          <w:tcPr>
            <w:tcW w:type="dxa" w:w="2000"/>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Appropriate government authority or Labour Court</w:t>
            </w:r>
          </w:p>
        </w:tc>
        <w:tc>
          <w:tcPr>
            <w:tcW w:type="dxa" w:w="1946"/>
            <w:tcBorders>
              <w:top w:val="single" w:color="CBD5E1" w:sz="1"/>
              <w:left w:val="single" w:color="CBD5E1" w:sz="1"/>
              <w:bottom w:val="single" w:color="CBD5E1" w:sz="1"/>
              <w:right w:val="single" w:color="CBD5E1" w:sz="1"/>
            </w:tcBorders>
            <w:shd w:fill="FFFBEB" w:val="clear"/>
            <w:tcMar>
              <w:top w:type="dxa" w:w="80"/>
              <w:left w:type="dxa" w:w="140"/>
              <w:bottom w:type="dxa" w:w="80"/>
              <w:right w:type="dxa" w:w="140"/>
            </w:tcMar>
          </w:tcPr>
          <w:p>
            <w:r>
              <w:rPr>
                <w:rFonts w:ascii="Arial" w:cs="Arial" w:eastAsia="Arial" w:hAnsi="Arial"/>
                <w:b w:val="false"/>
                <w:bCs w:val="false"/>
                <w:color w:val="1E293B"/>
                <w:sz w:val="18"/>
                <w:szCs w:val="18"/>
              </w:rPr>
              <w:t xml:space="preserve">ID Act S.25N, S.25R</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8 — GAPS &amp; OUT OF SCOPE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
        <w:gridCol w:w="9546"/>
      </w:tblGrid>
      <w:tr>
        <w:tc>
          <w:tcPr>
            <w:tcW w:type="dxa" w:w="200"/>
            <w:tcBorders>
              <w:top w:val="none" w:color="FFFFFF" w:sz="0"/>
              <w:left w:val="none" w:color="FFFFFF" w:sz="0"/>
              <w:bottom w:val="none" w:color="FFFFFF" w:sz="0"/>
              <w:right w:val="none" w:color="FFFFFF" w:sz="0"/>
            </w:tcBorders>
            <w:shd w:fill="B45309" w:val="clear"/>
            <w:tcMar>
              <w:top w:type="dxa" w:w="0"/>
              <w:left w:type="dxa" w:w="0"/>
              <w:bottom w:type="dxa" w:w="0"/>
              <w:right w:type="dxa" w:w="0"/>
            </w:tcMar>
          </w:tcPr>
          <w:p/>
        </w:tc>
        <w:tc>
          <w:tcPr>
            <w:tcW w:type="dxa" w:w="9546"/>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i/>
                <w:iCs/>
                <w:color w:val="1E293B"/>
                <w:sz w:val="18"/>
                <w:szCs w:val="18"/>
              </w:rPr>
              <w:t xml:space="preserve">The following were NOT analyzed in this report and require separate review.</w:t>
            </w:r>
          </w:p>
        </w:tc>
      </w:tr>
    </w:tbl>
    <w:p>
      <w:pPr>
        <w:spacing w:before="80" w:after="80"/>
      </w:pPr>
      <w:r>
        <w:t xml:space="preserve"/>
      </w:r>
    </w:p>
    <w:p>
      <w:pPr>
        <w:pStyle w:val="ListParagraph"/>
        <w:numPr>
          <w:ilvl w:val="0"/>
          <w:numId w:val="2"/>
        </w:numPr>
        <w:spacing w:before="40" w:after="40"/>
      </w:pPr>
      <w:r>
        <w:rPr>
          <w:rFonts w:ascii="Arial" w:cs="Arial" w:eastAsia="Arial" w:hAnsi="Arial"/>
          <w:color w:val="1E293B"/>
          <w:sz w:val="18"/>
          <w:szCs w:val="18"/>
        </w:rPr>
        <w:t xml:space="preserve">State-specific industrial relations rules — some states have modified S.25N thresholds (e.g., Rajasthan raised the 100-workmen threshold). Verify with the state labour department.</w:t>
      </w:r>
    </w:p>
    <w:p>
      <w:pPr>
        <w:pStyle w:val="ListParagraph"/>
        <w:numPr>
          <w:ilvl w:val="0"/>
          <w:numId w:val="2"/>
        </w:numPr>
        <w:spacing w:before="40" w:after="40"/>
      </w:pPr>
      <w:r>
        <w:rPr>
          <w:rFonts w:ascii="Arial" w:cs="Arial" w:eastAsia="Arial" w:hAnsi="Arial"/>
          <w:color w:val="1E293B"/>
          <w:sz w:val="18"/>
          <w:szCs w:val="18"/>
        </w:rPr>
        <w:t xml:space="preserve">Industrial Employment (Standing Orders) Act — certified standing orders governing termination procedure not analyzed.</w:t>
      </w:r>
    </w:p>
    <w:p>
      <w:pPr>
        <w:pStyle w:val="ListParagraph"/>
        <w:numPr>
          <w:ilvl w:val="0"/>
          <w:numId w:val="2"/>
        </w:numPr>
        <w:spacing w:before="40" w:after="40"/>
      </w:pPr>
      <w:r>
        <w:rPr>
          <w:rFonts w:ascii="Arial" w:cs="Arial" w:eastAsia="Arial" w:hAnsi="Arial"/>
          <w:color w:val="1E293B"/>
          <w:sz w:val="18"/>
          <w:szCs w:val="18"/>
        </w:rPr>
        <w:t xml:space="preserve">POSH Act obligations on separation — not analyzed.</w:t>
      </w:r>
    </w:p>
    <w:p>
      <w:pPr>
        <w:pStyle w:val="ListParagraph"/>
        <w:numPr>
          <w:ilvl w:val="0"/>
          <w:numId w:val="2"/>
        </w:numPr>
        <w:spacing w:before="40" w:after="40"/>
      </w:pPr>
      <w:r>
        <w:rPr>
          <w:rFonts w:ascii="Arial" w:cs="Arial" w:eastAsia="Arial" w:hAnsi="Arial"/>
          <w:color w:val="1E293B"/>
          <w:sz w:val="18"/>
          <w:szCs w:val="18"/>
        </w:rPr>
        <w:t xml:space="preserve">Payment of Gratuity Act, 1972 — a retrenched employee with 5+ years of service may also be entitled to gratuity. Request a separate report.</w:t>
      </w:r>
    </w:p>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9 — NEXT 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3046"/>
        <w:gridCol w:w="1500"/>
        <w:gridCol w:w="1500"/>
      </w:tblGrid>
      <w:tr>
        <w:tc>
          <w:tcPr>
            <w:tcW w:type="dxa" w:w="4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33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Action</w:t>
            </w:r>
          </w:p>
        </w:tc>
        <w:tc>
          <w:tcPr>
            <w:tcW w:type="dxa" w:w="3046"/>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Why it is needed</w:t>
            </w:r>
          </w:p>
        </w:tc>
        <w:tc>
          <w:tcPr>
            <w:tcW w:type="dxa" w:w="15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By When</w:t>
            </w:r>
          </w:p>
        </w:tc>
        <w:tc>
          <w:tcPr>
            <w:tcW w:type="dxa" w:w="1500"/>
            <w:tcBorders>
              <w:top w:val="single" w:color="CBD5E1" w:sz="1"/>
              <w:left w:val="single" w:color="CBD5E1" w:sz="1"/>
              <w:bottom w:val="single" w:color="CBD5E1" w:sz="1"/>
              <w:right w:val="single" w:color="CBD5E1" w:sz="1"/>
            </w:tcBorders>
            <w:shd w:fill="1B3A6B" w:val="clear"/>
            <w:tcMar>
              <w:top w:type="dxa" w:w="80"/>
              <w:left w:type="dxa" w:w="140"/>
              <w:bottom w:type="dxa" w:w="80"/>
              <w:right w:type="dxa" w:w="140"/>
            </w:tcMar>
          </w:tcPr>
          <w:p>
            <w:r>
              <w:rPr>
                <w:rFonts w:ascii="Arial" w:cs="Arial" w:eastAsia="Arial" w:hAnsi="Arial"/>
                <w:b/>
                <w:bCs/>
                <w:color w:val="FFFFFF"/>
                <w:sz w:val="18"/>
                <w:szCs w:val="18"/>
              </w:rPr>
              <w:t xml:space="preserve">Owner</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18"/>
                <w:szCs w:val="18"/>
              </w:rPr>
              <w:t xml:space="preserve">1</w:t>
            </w:r>
          </w:p>
        </w:tc>
        <w:tc>
          <w:tcPr>
            <w:tcW w:type="dxa" w:w="3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Confirm whether establishment employs 100 or more workmen.</w:t>
            </w:r>
          </w:p>
        </w:tc>
        <w:tc>
          <w:tcPr>
            <w:tcW w:type="dxa" w:w="30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S.25N prior permission applies only above this threshold. Issuing notice without it creates immediate legal exposure.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Before any notice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HR / Legal</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18"/>
                <w:szCs w:val="18"/>
              </w:rPr>
              <w:t xml:space="preserve">2</w:t>
            </w:r>
          </w:p>
        </w:tc>
        <w:tc>
          <w:tcPr>
            <w:tcW w:type="dxa" w:w="3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Audit actual working days from payroll records for the 12 months preceding retrenchment.</w:t>
            </w:r>
          </w:p>
        </w:tc>
        <w:tc>
          <w:tcPr>
            <w:tcW w:type="dxa" w:w="30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Compensation quantum depends on S.25B, not just date of joining. Breaks in service could alter the final figure.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Before calculation</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Payroll</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18"/>
                <w:szCs w:val="18"/>
              </w:rPr>
              <w:t xml:space="preserve">3</w:t>
            </w:r>
          </w:p>
        </w:tc>
        <w:tc>
          <w:tcPr>
            <w:tcW w:type="dxa" w:w="3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Prepare compensation payment before issuing notice — hand both over on the same day.</w:t>
            </w:r>
          </w:p>
        </w:tc>
        <w:tc>
          <w:tcPr>
            <w:tcW w:type="dxa" w:w="30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Courts require simultaneous delivery. Pre-arranging prevents the most common procedural invalidity risk.</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On retrenchment date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Payroll / HR</w:t>
            </w:r>
          </w:p>
        </w:tc>
      </w:tr>
      <w:tr>
        <w:tc>
          <w:tcPr>
            <w:tcW w:type="dxa" w:w="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bCs/>
                <w:color w:val="1B3A6B"/>
                <w:sz w:val="18"/>
                <w:szCs w:val="18"/>
              </w:rPr>
              <w:t xml:space="preserve">4</w:t>
            </w:r>
          </w:p>
        </w:tc>
        <w:tc>
          <w:tcPr>
            <w:tcW w:type="dxa" w:w="33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Request a separate compliance report covering Gratuity Act obligations.</w:t>
            </w:r>
          </w:p>
        </w:tc>
        <w:tc>
          <w:tcPr>
            <w:tcW w:type="dxa" w:w="3046"/>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An employee with 5+ years of service is also entitled to gratuity — not covered in this report.</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Before final package</w:t>
            </w:r>
          </w:p>
        </w:tc>
        <w:tc>
          <w:tcPr>
            <w:tcW w:type="dxa" w:w="15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1E293B"/>
                <w:sz w:val="18"/>
                <w:szCs w:val="18"/>
              </w:rPr>
              <w:t xml:space="preserve">HR</w:t>
            </w:r>
          </w:p>
        </w:tc>
      </w:tr>
    </w:tbl>
    <w:p>
      <w:pPr>
        <w:spacing w:before="80" w:after="80"/>
      </w:pPr>
      <w:r>
        <w:t xml:space="preserve"/>
      </w:r>
    </w:p>
    <w:p>
      <w:pPr>
        <w:pBdr>
          <w:bottom w:val="single" w:color="1A6B6B" w:sz="4" w:space="6"/>
        </w:pBdr>
        <w:spacing w:before="320" w:after="120"/>
      </w:pPr>
      <w:r>
        <w:rPr>
          <w:rFonts w:ascii="Arial" w:cs="Arial" w:eastAsia="Arial" w:hAnsi="Arial"/>
          <w:b/>
          <w:bCs/>
          <w:color w:val="1A6B6B"/>
          <w:sz w:val="22"/>
          <w:szCs w:val="22"/>
        </w:rPr>
        <w:t xml:space="preserve">SECTION 10 — EVIDENCE INDEX</w:t>
      </w:r>
    </w:p>
    <w:p>
      <w:pPr>
        <w:spacing w:before="60" w:after="60"/>
      </w:pPr>
      <w:r>
        <w:rPr>
          <w:rFonts w:ascii="Arial" w:cs="Arial" w:eastAsia="Arial" w:hAnsi="Arial"/>
          <w:b/>
          <w:bCs/>
          <w:i w:val="false"/>
          <w:iCs w:val="false"/>
          <w:color w:val="1B3A6B"/>
          <w:sz w:val="18"/>
          <w:szCs w:val="18"/>
        </w:rPr>
        <w:t xml:space="preserve">Bare Acts (Pinecone)</w:t>
      </w:r>
    </w:p>
    <w:p>
      <w:pPr>
        <w:pStyle w:val="ListParagraph"/>
        <w:numPr>
          <w:ilvl w:val="0"/>
          <w:numId w:val="2"/>
        </w:numPr>
        <w:spacing w:before="40" w:after="40"/>
      </w:pPr>
      <w:r>
        <w:rPr>
          <w:rFonts w:ascii="Arial" w:cs="Arial" w:eastAsia="Arial" w:hAnsi="Arial"/>
          <w:color w:val="1E293B"/>
          <w:sz w:val="18"/>
          <w:szCs w:val="18"/>
        </w:rPr>
        <w:t xml:space="preserve">Industrial Disputes Act, 1947 — S.25F  |  doc_id: industrial_disputes_act_1947  |  chunk_id: chunk_025F</w:t>
      </w:r>
    </w:p>
    <w:p>
      <w:pPr>
        <w:pStyle w:val="ListParagraph"/>
        <w:numPr>
          <w:ilvl w:val="0"/>
          <w:numId w:val="2"/>
        </w:numPr>
        <w:spacing w:before="40" w:after="40"/>
      </w:pPr>
      <w:r>
        <w:rPr>
          <w:rFonts w:ascii="Arial" w:cs="Arial" w:eastAsia="Arial" w:hAnsi="Arial"/>
          <w:color w:val="1E293B"/>
          <w:sz w:val="18"/>
          <w:szCs w:val="18"/>
        </w:rPr>
        <w:t xml:space="preserve">Industrial Disputes Act, 1947 — S.25N  |  doc_id: industrial_disputes_act_1947  |  chunk_id: chunk_025N</w:t>
      </w:r>
    </w:p>
    <w:p>
      <w:pPr>
        <w:pStyle w:val="ListParagraph"/>
        <w:numPr>
          <w:ilvl w:val="0"/>
          <w:numId w:val="2"/>
        </w:numPr>
        <w:spacing w:before="40" w:after="40"/>
      </w:pPr>
      <w:r>
        <w:rPr>
          <w:rFonts w:ascii="Arial" w:cs="Arial" w:eastAsia="Arial" w:hAnsi="Arial"/>
          <w:color w:val="1E293B"/>
          <w:sz w:val="18"/>
          <w:szCs w:val="18"/>
        </w:rPr>
        <w:t xml:space="preserve">Industrial Disputes Act, 1947 — S.25B  |  doc_id: industrial_disputes_act_1947  |  chunk_id: chunk_025B</w:t>
      </w:r>
    </w:p>
    <w:p>
      <w:pPr>
        <w:spacing w:before="80" w:after="80"/>
      </w:pPr>
      <w:r>
        <w:t xml:space="preserve"/>
      </w:r>
    </w:p>
    <w:p>
      <w:pPr>
        <w:spacing w:before="60" w:after="60"/>
      </w:pPr>
      <w:r>
        <w:rPr>
          <w:rFonts w:ascii="Arial" w:cs="Arial" w:eastAsia="Arial" w:hAnsi="Arial"/>
          <w:b/>
          <w:bCs/>
          <w:i w:val="false"/>
          <w:iCs w:val="false"/>
          <w:color w:val="1B3A6B"/>
          <w:sz w:val="18"/>
          <w:szCs w:val="18"/>
        </w:rPr>
        <w:t xml:space="preserve">Case Law (Indian Kanoon)</w:t>
      </w:r>
    </w:p>
    <w:p>
      <w:pPr>
        <w:pStyle w:val="ListParagraph"/>
        <w:numPr>
          <w:ilvl w:val="0"/>
          <w:numId w:val="2"/>
        </w:numPr>
        <w:spacing w:before="40" w:after="40"/>
      </w:pPr>
      <w:r>
        <w:rPr>
          <w:rFonts w:ascii="Arial" w:cs="Arial" w:eastAsia="Arial" w:hAnsi="Arial"/>
          <w:color w:val="1E293B"/>
          <w:sz w:val="18"/>
          <w:szCs w:val="18"/>
        </w:rPr>
        <w:t xml:space="preserve">Workmen of Firestone Tyre &amp; Rubber Co. v. Management  |  SC  |  1973  |  https://indiankanoon.org/doc/460385/</w:t>
      </w:r>
    </w:p>
    <w:p>
      <w:pPr>
        <w:pStyle w:val="ListParagraph"/>
        <w:numPr>
          <w:ilvl w:val="0"/>
          <w:numId w:val="2"/>
        </w:numPr>
        <w:spacing w:before="40" w:after="40"/>
      </w:pPr>
      <w:r>
        <w:rPr>
          <w:rFonts w:ascii="Arial" w:cs="Arial" w:eastAsia="Arial" w:hAnsi="Arial"/>
          <w:color w:val="1E293B"/>
          <w:sz w:val="18"/>
          <w:szCs w:val="18"/>
        </w:rPr>
        <w:t xml:space="preserve">Pipraich Sugar Mills Ltd. v. Pipraich Sugar Mills Mazdoor Union  |  SC  |  1960  |  https://indiankanoon.org/doc/567234/</w:t>
      </w:r>
    </w:p>
    <w:p>
      <w:pPr>
        <w:spacing w:before="80" w:after="8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BD5E1" w:sz="1"/>
              <w:left w:val="single" w:color="CBD5E1" w:sz="1"/>
              <w:bottom w:val="single" w:color="CBD5E1" w:sz="1"/>
              <w:right w:val="single" w:color="CBD5E1" w:sz="1"/>
            </w:tcBorders>
            <w:shd w:fill="F1F5F9" w:val="clear"/>
            <w:tcMar>
              <w:top w:type="dxa" w:w="160"/>
              <w:left w:type="dxa" w:w="200"/>
              <w:bottom w:type="dxa" w:w="160"/>
              <w:right w:type="dxa" w:w="200"/>
            </w:tcMar>
          </w:tcPr>
          <w:p>
            <w:pPr>
              <w:jc w:val="center"/>
            </w:pPr>
            <w:r>
              <w:rPr>
                <w:rFonts w:ascii="Arial" w:cs="Arial" w:eastAsia="Arial" w:hAnsi="Arial"/>
                <w:b/>
                <w:bCs/>
                <w:color w:val="64748B"/>
                <w:sz w:val="17"/>
                <w:szCs w:val="17"/>
              </w:rPr>
              <w:t xml:space="preserve">DISCLAIMER: </w:t>
            </w:r>
            <w:r>
              <w:rPr>
                <w:rFonts w:ascii="Arial" w:cs="Arial" w:eastAsia="Arial" w:hAnsi="Arial"/>
                <w:i/>
                <w:iCs/>
                <w:color w:val="64748B"/>
                <w:sz w:val="17"/>
                <w:szCs w:val="17"/>
              </w:rPr>
              <w:t xml:space="preserve">This report is informational guidance based on cited Central Acts only and is not legal advice. Verify all compliance decisions with a qualified legal professional.</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vrbtri_u7m97v9s7hf1k" Type="http://schemas.openxmlformats.org/officeDocument/2006/relationships/hyperlink" Target="https://indiankanoon.org/doc/460385/" TargetMode="External"/><Relationship Id="rId1xgufwnn-67mhk4y-odi2" Type="http://schemas.openxmlformats.org/officeDocument/2006/relationships/hyperlink" Target="https://indiankanoon.org/doc/567234/"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2026-02-19T10:35:16.281Z</dcterms:created>
  <dcterms:modified xsi:type="dcterms:W3CDTF">2026-02-19T10:35:16.282Z</dcterms:modified>
</cp:coreProperties>
</file>

<file path=docProps/custom.xml><?xml version="1.0" encoding="utf-8"?>
<Properties xmlns="http://schemas.openxmlformats.org/officeDocument/2006/custom-properties" xmlns:vt="http://schemas.openxmlformats.org/officeDocument/2006/docPropsVTypes"/>
</file>