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sz w:val="32"/>
          <w:szCs w:val="32"/>
        </w:rPr>
        <w:t xml:space="preserve">Kalpataru Housing Finance Limited</w:t>
      </w:r>
    </w:p>
    <w:p>
      <w:pPr>
        <w:spacing w:after="600"/>
        <w:jc w:val="center"/>
      </w:pPr>
      <w:r>
        <w:rPr>
          <w:i/>
          <w:iCs/>
          <w:sz w:val="20"/>
          <w:szCs w:val="20"/>
        </w:rPr>
        <w:t xml:space="preserve">(Registered NBFC-HFC, CIN: U65922MH2011PLC999999)</w:t>
      </w:r>
    </w:p>
    <w:p>
      <w:pPr>
        <w:spacing w:after="800"/>
        <w:jc w:val="center"/>
      </w:pPr>
      <w:r>
        <w:rPr>
          <w:b/>
          <w:bCs/>
          <w:sz w:val="40"/>
          <w:szCs w:val="40"/>
        </w:rPr>
        <w:t xml:space="preserve">HOUSING LOAN AGREEMENT</w:t>
      </w:r>
    </w:p>
    <w:p>
      <w:pPr>
        <w:spacing w:after="400"/>
        <w:jc w:val="center"/>
      </w:pPr>
      <w:r>
        <w:rPr>
          <w:sz w:val="22"/>
          <w:szCs w:val="22"/>
        </w:rPr>
        <w:t xml:space="preserve">Loan Account No.: KHFL/HL/2026/0041872</w:t>
      </w:r>
    </w:p>
    <w:p>
      <w:pPr>
        <w:spacing w:after="800"/>
        <w:jc w:val="center"/>
      </w:pPr>
      <w:r>
        <w:rPr>
          <w:sz w:val="22"/>
          <w:szCs w:val="22"/>
        </w:rPr>
        <w:t xml:space="preserve">Date of Execution: 14 January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Mar>
              <w:top w:type="dxa" w:w="100"/>
              <w:left w:type="dxa" w:w="120"/>
              <w:bottom w:type="dxa" w:w="100"/>
              <w:right w:type="dxa" w:w="120"/>
            </w:tcMar>
          </w:tcPr>
          <w:p>
            <w:r>
              <w:rPr>
                <w:b w:val="false"/>
                <w:bCs w:val="false"/>
                <w:sz w:val="20"/>
                <w:szCs w:val="20"/>
              </w:rPr>
              <w:t xml:space="preserve">Borrower</w:t>
            </w:r>
          </w:p>
        </w:tc>
        <w:tc>
          <w:tcPr>
            <w:tcW w:type="dxa" w:w="6000"/>
            <w:tcMar>
              <w:top w:type="dxa" w:w="100"/>
              <w:left w:type="dxa" w:w="120"/>
              <w:bottom w:type="dxa" w:w="100"/>
              <w:right w:type="dxa" w:w="120"/>
            </w:tcMar>
          </w:tcPr>
          <w:p>
            <w:r>
              <w:rPr>
                <w:b w:val="false"/>
                <w:bCs w:val="false"/>
                <w:sz w:val="20"/>
                <w:szCs w:val="20"/>
              </w:rPr>
              <w:t xml:space="preserve">Rohan Anand Deshmukh</w:t>
            </w:r>
          </w:p>
        </w:tc>
      </w:tr>
      <w:tr>
        <w:tc>
          <w:tcPr>
            <w:tcW w:type="dxa" w:w="3000"/>
            <w:tcMar>
              <w:top w:type="dxa" w:w="100"/>
              <w:left w:type="dxa" w:w="120"/>
              <w:bottom w:type="dxa" w:w="100"/>
              <w:right w:type="dxa" w:w="120"/>
            </w:tcMar>
          </w:tcPr>
          <w:p>
            <w:r>
              <w:rPr>
                <w:b w:val="false"/>
                <w:bCs w:val="false"/>
                <w:sz w:val="20"/>
                <w:szCs w:val="20"/>
              </w:rPr>
              <w:t xml:space="preserve">Co-Borrower</w:t>
            </w:r>
          </w:p>
        </w:tc>
        <w:tc>
          <w:tcPr>
            <w:tcW w:type="dxa" w:w="6000"/>
            <w:tcMar>
              <w:top w:type="dxa" w:w="100"/>
              <w:left w:type="dxa" w:w="120"/>
              <w:bottom w:type="dxa" w:w="100"/>
              <w:right w:type="dxa" w:w="120"/>
            </w:tcMar>
          </w:tcPr>
          <w:p>
            <w:r>
              <w:rPr>
                <w:b w:val="false"/>
                <w:bCs w:val="false"/>
                <w:sz w:val="20"/>
                <w:szCs w:val="20"/>
              </w:rPr>
              <w:t xml:space="preserve">Priya Rohan Deshmukh</w:t>
            </w:r>
          </w:p>
        </w:tc>
      </w:tr>
      <w:tr>
        <w:tc>
          <w:tcPr>
            <w:tcW w:type="dxa" w:w="3000"/>
            <w:tcMar>
              <w:top w:type="dxa" w:w="100"/>
              <w:left w:type="dxa" w:w="120"/>
              <w:bottom w:type="dxa" w:w="100"/>
              <w:right w:type="dxa" w:w="120"/>
            </w:tcMar>
          </w:tcPr>
          <w:p>
            <w:r>
              <w:rPr>
                <w:b w:val="false"/>
                <w:bCs w:val="false"/>
                <w:sz w:val="20"/>
                <w:szCs w:val="20"/>
              </w:rPr>
              <w:t xml:space="preserve">Loan Amount</w:t>
            </w:r>
          </w:p>
        </w:tc>
        <w:tc>
          <w:tcPr>
            <w:tcW w:type="dxa" w:w="6000"/>
            <w:tcMar>
              <w:top w:type="dxa" w:w="100"/>
              <w:left w:type="dxa" w:w="120"/>
              <w:bottom w:type="dxa" w:w="100"/>
              <w:right w:type="dxa" w:w="120"/>
            </w:tcMar>
          </w:tcPr>
          <w:p>
            <w:r>
              <w:rPr>
                <w:b w:val="false"/>
                <w:bCs w:val="false"/>
                <w:sz w:val="20"/>
                <w:szCs w:val="20"/>
              </w:rPr>
              <w:t xml:space="preserve">Rs. 50,00,000/- (Rupees Fifty Lakh Only)</w:t>
            </w:r>
          </w:p>
        </w:tc>
      </w:tr>
      <w:tr>
        <w:tc>
          <w:tcPr>
            <w:tcW w:type="dxa" w:w="3000"/>
            <w:tcMar>
              <w:top w:type="dxa" w:w="100"/>
              <w:left w:type="dxa" w:w="120"/>
              <w:bottom w:type="dxa" w:w="100"/>
              <w:right w:type="dxa" w:w="120"/>
            </w:tcMar>
          </w:tcPr>
          <w:p>
            <w:r>
              <w:rPr>
                <w:b w:val="false"/>
                <w:bCs w:val="false"/>
                <w:sz w:val="20"/>
                <w:szCs w:val="20"/>
              </w:rPr>
              <w:t xml:space="preserve">Rate of Interest</w:t>
            </w:r>
          </w:p>
        </w:tc>
        <w:tc>
          <w:tcPr>
            <w:tcW w:type="dxa" w:w="6000"/>
            <w:tcMar>
              <w:top w:type="dxa" w:w="100"/>
              <w:left w:type="dxa" w:w="120"/>
              <w:bottom w:type="dxa" w:w="100"/>
              <w:right w:type="dxa" w:w="120"/>
            </w:tcMar>
          </w:tcPr>
          <w:p>
            <w:r>
              <w:rPr>
                <w:b w:val="false"/>
                <w:bCs w:val="false"/>
                <w:sz w:val="20"/>
                <w:szCs w:val="20"/>
              </w:rPr>
              <w:t xml:space="preserve">8.35% per annum (floating), linked to KHFL Repo Linked Lending Rate (RLLR)</w:t>
            </w:r>
          </w:p>
        </w:tc>
      </w:tr>
      <w:tr>
        <w:tc>
          <w:tcPr>
            <w:tcW w:type="dxa" w:w="3000"/>
            <w:tcMar>
              <w:top w:type="dxa" w:w="100"/>
              <w:left w:type="dxa" w:w="120"/>
              <w:bottom w:type="dxa" w:w="100"/>
              <w:right w:type="dxa" w:w="120"/>
            </w:tcMar>
          </w:tcPr>
          <w:p>
            <w:r>
              <w:rPr>
                <w:b w:val="false"/>
                <w:bCs w:val="false"/>
                <w:sz w:val="20"/>
                <w:szCs w:val="20"/>
              </w:rPr>
              <w:t xml:space="preserve">Tenure</w:t>
            </w:r>
          </w:p>
        </w:tc>
        <w:tc>
          <w:tcPr>
            <w:tcW w:type="dxa" w:w="6000"/>
            <w:tcMar>
              <w:top w:type="dxa" w:w="100"/>
              <w:left w:type="dxa" w:w="120"/>
              <w:bottom w:type="dxa" w:w="100"/>
              <w:right w:type="dxa" w:w="120"/>
            </w:tcMar>
          </w:tcPr>
          <w:p>
            <w:r>
              <w:rPr>
                <w:b w:val="false"/>
                <w:bCs w:val="false"/>
                <w:sz w:val="20"/>
                <w:szCs w:val="20"/>
              </w:rPr>
              <w:t xml:space="preserve">240 months (20 years)</w:t>
            </w:r>
          </w:p>
        </w:tc>
      </w:tr>
      <w:tr>
        <w:tc>
          <w:tcPr>
            <w:tcW w:type="dxa" w:w="3000"/>
            <w:tcMar>
              <w:top w:type="dxa" w:w="100"/>
              <w:left w:type="dxa" w:w="120"/>
              <w:bottom w:type="dxa" w:w="100"/>
              <w:right w:type="dxa" w:w="120"/>
            </w:tcMar>
          </w:tcPr>
          <w:p>
            <w:r>
              <w:rPr>
                <w:b w:val="false"/>
                <w:bCs w:val="false"/>
                <w:sz w:val="20"/>
                <w:szCs w:val="20"/>
              </w:rPr>
              <w:t xml:space="preserve">Purpose</w:t>
            </w:r>
          </w:p>
        </w:tc>
        <w:tc>
          <w:tcPr>
            <w:tcW w:type="dxa" w:w="6000"/>
            <w:tcMar>
              <w:top w:type="dxa" w:w="100"/>
              <w:left w:type="dxa" w:w="120"/>
              <w:bottom w:type="dxa" w:w="100"/>
              <w:right w:type="dxa" w:w="120"/>
            </w:tcMar>
          </w:tcPr>
          <w:p>
            <w:r>
              <w:rPr>
                <w:b w:val="false"/>
                <w:bCs w:val="false"/>
                <w:sz w:val="20"/>
                <w:szCs w:val="20"/>
              </w:rPr>
              <w:t xml:space="preserve">Purchase of residential flat (self-occupied, non-business)</w:t>
            </w:r>
          </w:p>
        </w:tc>
      </w:tr>
      <w:tr>
        <w:tc>
          <w:tcPr>
            <w:tcW w:type="dxa" w:w="3000"/>
            <w:tcMar>
              <w:top w:type="dxa" w:w="100"/>
              <w:left w:type="dxa" w:w="120"/>
              <w:bottom w:type="dxa" w:w="100"/>
              <w:right w:type="dxa" w:w="120"/>
            </w:tcMar>
          </w:tcPr>
          <w:p>
            <w:r>
              <w:rPr>
                <w:b w:val="false"/>
                <w:bCs w:val="false"/>
                <w:sz w:val="20"/>
                <w:szCs w:val="20"/>
              </w:rPr>
              <w:t xml:space="preserve">Secured Property</w:t>
            </w:r>
          </w:p>
        </w:tc>
        <w:tc>
          <w:tcPr>
            <w:tcW w:type="dxa" w:w="6000"/>
            <w:tcMar>
              <w:top w:type="dxa" w:w="100"/>
              <w:left w:type="dxa" w:w="120"/>
              <w:bottom w:type="dxa" w:w="100"/>
              <w:right w:type="dxa" w:w="120"/>
            </w:tcMar>
          </w:tcPr>
          <w:p>
            <w:r>
              <w:rPr>
                <w:b w:val="false"/>
                <w:bCs w:val="false"/>
                <w:sz w:val="20"/>
                <w:szCs w:val="20"/>
              </w:rPr>
              <w:t xml:space="preserve">Flat No. 1204, Tower C, Sanskruti Residency, Baner-Balewadi Road, Pune, Maharashtra 411045</w:t>
            </w:r>
          </w:p>
        </w:tc>
      </w:tr>
    </w:tbl>
    <w:p>
      <w:pPr>
        <w:pBdr>
          <w:top w:val="single" w:color="7A2E38" w:sz="6"/>
          <w:bottom w:val="single" w:color="7A2E38" w:sz="6"/>
        </w:pBdr>
        <w:spacing w:before="800"/>
        <w:jc w:val="center"/>
      </w:pPr>
      <w:r>
        <w:rPr>
          <w:b/>
          <w:bCs/>
          <w:i/>
          <w:iCs/>
          <w:color w:val="7A2E38"/>
          <w:sz w:val="18"/>
          <w:szCs w:val="18"/>
        </w:rPr>
        <w:t xml:space="preserve">THIS SYNTHETIC AGREEMENT IS FICTIONAL AND PREPARED SOLELY FOR THE DEMONSTRATION OF THE FinX LOAN-AGREEMENT-INTELLIGENCE SYSTEM. NO REAL PERSON, ENTITY, PROPERTY, OR LOAN IS REFERENCED.</w:t>
      </w:r>
    </w:p>
    <w:p>
      <w:r>
        <w:br w:type="page"/>
      </w:r>
    </w:p>
    <w:p>
      <w:pPr>
        <w:pStyle w:val="Heading1"/>
        <w:spacing w:after="140" w:before="280"/>
      </w:pPr>
      <w:r>
        <w:rPr>
          <w:b/>
          <w:bCs/>
        </w:rPr>
        <w:t xml:space="preserve">RECITALS</w:t>
      </w:r>
    </w:p>
    <w:p>
      <w:pPr>
        <w:spacing w:after="160" w:line="300"/>
        <w:jc w:val="both"/>
      </w:pPr>
      <w:r>
        <w:rPr>
          <w:b w:val="false"/>
          <w:bCs w:val="false"/>
          <w:i w:val="false"/>
          <w:iCs w:val="false"/>
        </w:rPr>
        <w:t xml:space="preserve">WHEREAS the Borrower has applied to KHFL (hereinafter "the Lender") for a housing loan of Rs. 50,00,000/- (Rupees Fifty Lakh Only) for the purpose of purchasing the property described in Schedule I, and the Lender has agreed to sanction and disburse the said loan subject to the terms and conditions contained herein;</w:t>
      </w:r>
    </w:p>
    <w:p>
      <w:pPr>
        <w:spacing w:after="160" w:line="300"/>
        <w:jc w:val="both"/>
      </w:pPr>
      <w:r>
        <w:rPr>
          <w:b w:val="false"/>
          <w:bCs w:val="false"/>
          <w:i w:val="false"/>
          <w:iCs w:val="false"/>
        </w:rPr>
        <w:t xml:space="preserve">AND WHEREAS the Borrower has been provided with a Key Facts Statement (KFS) in the format prescribed by the Reserve Bank of India prior to execution of this Agreement, and the Borrower confirms having read, understood, and accepted the contents thereof;</w:t>
      </w:r>
    </w:p>
    <w:p>
      <w:pPr>
        <w:spacing w:after="160" w:line="300"/>
        <w:jc w:val="both"/>
      </w:pPr>
      <w:r>
        <w:rPr>
          <w:b w:val="false"/>
          <w:bCs w:val="false"/>
          <w:i w:val="false"/>
          <w:iCs w:val="false"/>
        </w:rPr>
        <w:t xml:space="preserve">NOW THEREFORE, in consideration of the mutual covenants contained herein, the parties agree as follows:</w:t>
      </w:r>
    </w:p>
    <w:p>
      <w:pPr>
        <w:pStyle w:val="Heading1"/>
        <w:spacing w:after="140" w:before="280"/>
      </w:pPr>
      <w:r>
        <w:rPr>
          <w:b/>
          <w:bCs/>
        </w:rPr>
        <w:t xml:space="preserve">1. DEFINITIONS AND INTERPRETATION</w:t>
      </w:r>
    </w:p>
    <w:p>
      <w:pPr>
        <w:spacing w:after="140" w:line="300"/>
        <w:ind w:left="360"/>
        <w:jc w:val="both"/>
      </w:pPr>
      <w:r>
        <w:rPr>
          <w:b/>
          <w:bCs/>
        </w:rPr>
        <w:t xml:space="preserve">1.1  </w:t>
      </w:r>
      <w:r>
        <w:rPr>
          <w:b w:val="false"/>
          <w:bCs w:val="false"/>
        </w:rPr>
        <w:t xml:space="preserve">“Agreement” means this Housing Loan Agreement together with all Schedules, Annexures, and any amendments made hereto in writing.</w:t>
      </w:r>
    </w:p>
    <w:p>
      <w:pPr>
        <w:spacing w:after="140" w:line="300"/>
        <w:ind w:left="360"/>
        <w:jc w:val="both"/>
      </w:pPr>
      <w:r>
        <w:rPr>
          <w:b/>
          <w:bCs/>
        </w:rPr>
        <w:t xml:space="preserve">1.2  </w:t>
      </w:r>
      <w:r>
        <w:rPr>
          <w:b w:val="false"/>
          <w:bCs w:val="false"/>
        </w:rPr>
        <w:t xml:space="preserve">“Benchmark Rate” means the KHFL Repo Linked Lending Rate (RLLR), reset in accordance with changes announced by the Reserve Bank of India to the policy repo rate.</w:t>
      </w:r>
    </w:p>
    <w:p>
      <w:pPr>
        <w:spacing w:after="140" w:line="300"/>
        <w:ind w:left="360"/>
        <w:jc w:val="both"/>
      </w:pPr>
      <w:r>
        <w:rPr>
          <w:b/>
          <w:bCs/>
        </w:rPr>
        <w:t xml:space="preserve">1.3  </w:t>
      </w:r>
      <w:r>
        <w:rPr>
          <w:b w:val="false"/>
          <w:bCs w:val="false"/>
        </w:rPr>
        <w:t xml:space="preserve">“EMI” means the Equated Monthly Instalment payable by the Borrower comprising principal and interest components as set out in Schedule III.</w:t>
      </w:r>
    </w:p>
    <w:p>
      <w:pPr>
        <w:spacing w:after="140" w:line="300"/>
        <w:ind w:left="360"/>
        <w:jc w:val="both"/>
      </w:pPr>
      <w:r>
        <w:rPr>
          <w:b/>
          <w:bCs/>
        </w:rPr>
        <w:t xml:space="preserve">1.4  </w:t>
      </w:r>
      <w:r>
        <w:rPr>
          <w:b w:val="false"/>
          <w:bCs w:val="false"/>
        </w:rPr>
        <w:t xml:space="preserve">“Due Date” means the 5th (fifth) day of every calendar month, or such other date as may be communicated by the Lender in writing.</w:t>
      </w:r>
    </w:p>
    <w:p>
      <w:pPr>
        <w:spacing w:after="140" w:line="300"/>
        <w:ind w:left="360"/>
        <w:jc w:val="both"/>
      </w:pPr>
      <w:r>
        <w:rPr>
          <w:b/>
          <w:bCs/>
        </w:rPr>
        <w:t xml:space="preserve">1.5  </w:t>
      </w:r>
      <w:r>
        <w:rPr>
          <w:b w:val="false"/>
          <w:bCs w:val="false"/>
        </w:rPr>
        <w:t xml:space="preserve">“Sanctioned Amount” means the Loan Amount stated in the Key Facts Statement and Schedule I.</w:t>
      </w:r>
    </w:p>
    <w:p>
      <w:pPr>
        <w:spacing w:after="140" w:line="300"/>
        <w:ind w:left="360"/>
        <w:jc w:val="both"/>
      </w:pPr>
      <w:r>
        <w:rPr>
          <w:b/>
          <w:bCs/>
        </w:rPr>
        <w:t xml:space="preserve">1.6  </w:t>
      </w:r>
      <w:r>
        <w:rPr>
          <w:b w:val="false"/>
          <w:bCs w:val="false"/>
        </w:rPr>
        <w:t xml:space="preserve">Words importing the singular include the plural and vice versa; words importing any gender include all genders.</w:t>
      </w:r>
    </w:p>
    <w:p>
      <w:pPr>
        <w:pStyle w:val="Heading1"/>
        <w:spacing w:after="140" w:before="280"/>
      </w:pPr>
      <w:r>
        <w:rPr>
          <w:b/>
          <w:bCs/>
        </w:rPr>
        <w:t xml:space="preserve">2. LOAN AND DISBURSEMENT</w:t>
      </w:r>
    </w:p>
    <w:p>
      <w:pPr>
        <w:spacing w:after="140" w:line="300"/>
        <w:ind w:left="360"/>
        <w:jc w:val="both"/>
      </w:pPr>
      <w:r>
        <w:rPr>
          <w:b/>
          <w:bCs/>
        </w:rPr>
        <w:t xml:space="preserve">2.1  </w:t>
      </w:r>
      <w:r>
        <w:rPr>
          <w:b w:val="false"/>
          <w:bCs w:val="false"/>
        </w:rPr>
        <w:t xml:space="preserve">The Lender agrees to disburse the Sanctioned Amount of Rs. 50,00,000/- (Rupees Fifty Lakh Only) to the Borrower, subject to fulfilment of the disbursement conditions set out in Schedule IV.</w:t>
      </w:r>
    </w:p>
    <w:p>
      <w:pPr>
        <w:spacing w:after="140" w:line="300"/>
        <w:ind w:left="360"/>
        <w:jc w:val="both"/>
      </w:pPr>
      <w:r>
        <w:rPr>
          <w:b/>
          <w:bCs/>
        </w:rPr>
        <w:t xml:space="preserve">2.2  </w:t>
      </w:r>
      <w:r>
        <w:rPr>
          <w:b w:val="false"/>
          <w:bCs w:val="false"/>
        </w:rPr>
        <w:t xml:space="preserve">Disbursement shall be made directly to the seller/builder/developer of the Secured Property, or in such stages as may be applicable for under-construction property, at the sole discretion of the Lender.</w:t>
      </w:r>
    </w:p>
    <w:p>
      <w:pPr>
        <w:spacing w:after="140" w:line="300"/>
        <w:ind w:left="360"/>
        <w:jc w:val="both"/>
      </w:pPr>
      <w:r>
        <w:rPr>
          <w:b/>
          <w:bCs/>
        </w:rPr>
        <w:t xml:space="preserve">2.3  </w:t>
      </w:r>
      <w:r>
        <w:rPr>
          <w:b w:val="false"/>
          <w:bCs w:val="false"/>
        </w:rPr>
        <w:t xml:space="preserve">The Borrower shall bear all statutory levies, stamp duty, registration charges, and taxes applicable to the transaction, none of which form part of the Sanctioned Amount.</w:t>
      </w:r>
    </w:p>
    <w:p>
      <w:pPr>
        <w:spacing w:after="140" w:line="300"/>
        <w:ind w:left="360"/>
        <w:jc w:val="both"/>
      </w:pPr>
      <w:r>
        <w:rPr>
          <w:b/>
          <w:bCs/>
        </w:rPr>
        <w:t xml:space="preserve">2.4  </w:t>
      </w:r>
      <w:r>
        <w:rPr>
          <w:b w:val="false"/>
          <w:bCs w:val="false"/>
        </w:rPr>
        <w:t xml:space="preserve">Part-disbursement does not obligate the Lender to disburse the balance amount if the Borrower is found, at any stage, to be in breach of any representation made in the loan application.</w:t>
      </w:r>
    </w:p>
    <w:p>
      <w:pPr>
        <w:pStyle w:val="Heading1"/>
        <w:spacing w:after="140" w:before="280"/>
      </w:pPr>
      <w:r>
        <w:rPr>
          <w:b/>
          <w:bCs/>
        </w:rPr>
        <w:t xml:space="preserve">3. RATE OF INTEREST</w:t>
      </w:r>
    </w:p>
    <w:p>
      <w:pPr>
        <w:spacing w:after="140" w:line="300"/>
        <w:ind w:left="360"/>
        <w:jc w:val="both"/>
      </w:pPr>
      <w:r>
        <w:rPr>
          <w:b/>
          <w:bCs/>
        </w:rPr>
        <w:t xml:space="preserve">3.1  </w:t>
      </w:r>
      <w:r>
        <w:rPr>
          <w:b w:val="false"/>
          <w:bCs w:val="false"/>
        </w:rPr>
        <w:t xml:space="preserve">The Loan carries interest at 8.35% per annum (floating), linked to KHFL Repo Linked Lending Rate (RLLR), computed on a daily reducing balance basis.</w:t>
      </w:r>
    </w:p>
    <w:p>
      <w:pPr>
        <w:spacing w:after="140" w:line="300"/>
        <w:ind w:left="360"/>
        <w:jc w:val="both"/>
      </w:pPr>
      <w:r>
        <w:rPr>
          <w:b/>
          <w:bCs/>
        </w:rPr>
        <w:t xml:space="preserve">3.2  </w:t>
      </w:r>
      <w:r>
        <w:rPr>
          <w:b w:val="false"/>
          <w:bCs w:val="false"/>
        </w:rPr>
        <w:t xml:space="preserve">The interest rate is linked to the Benchmark Rate and shall be reset on the 1st of every calendar quarter, or on any date on which the Benchmark Rate changes, whichever is applicable as per the Lender's policy.</w:t>
      </w:r>
    </w:p>
    <w:p>
      <w:pPr>
        <w:spacing w:after="140" w:line="300"/>
        <w:ind w:left="360"/>
        <w:jc w:val="both"/>
      </w:pPr>
      <w:r>
        <w:rPr>
          <w:b/>
          <w:bCs/>
        </w:rPr>
        <w:t xml:space="preserve">3.3  </w:t>
      </w:r>
      <w:r>
        <w:rPr>
          <w:b w:val="false"/>
          <w:bCs w:val="false"/>
        </w:rPr>
        <w:t xml:space="preserve">The applicable interest rate, and any change thereto, shall be communicated to the Borrower through SMS, email, or the Lender's mobile application, and shall also be available on request at any branch of the Lender.</w:t>
      </w:r>
    </w:p>
    <w:p>
      <w:pPr>
        <w:pStyle w:val="Heading1"/>
        <w:spacing w:after="140" w:before="280"/>
      </w:pPr>
      <w:r>
        <w:rPr>
          <w:b/>
          <w:bCs/>
        </w:rPr>
        <w:t xml:space="preserve">4. RESET OF FLOATING INTEREST RATE ON EMI</w:t>
      </w:r>
    </w:p>
    <w:p>
      <w:pPr>
        <w:spacing w:after="140" w:line="300"/>
        <w:ind w:left="360"/>
        <w:jc w:val="both"/>
      </w:pPr>
      <w:r>
        <w:rPr>
          <w:b/>
          <w:bCs/>
        </w:rPr>
        <w:t xml:space="preserve">4.1  </w:t>
      </w:r>
      <w:r>
        <w:rPr>
          <w:b w:val="false"/>
          <w:bCs w:val="false"/>
        </w:rPr>
        <w:t xml:space="preserve">At the time of sanction, the Lender has assessed the Borrower's repayment capacity to ensure adequate headroom for elongation of tenure and/or increase in EMI in the event of an upward revision in the Benchmark Rate during the tenure of the Loan.</w:t>
      </w:r>
    </w:p>
    <w:p>
      <w:pPr>
        <w:spacing w:after="140" w:line="300"/>
        <w:ind w:left="360"/>
        <w:jc w:val="both"/>
      </w:pPr>
      <w:r>
        <w:rPr>
          <w:b/>
          <w:bCs/>
        </w:rPr>
        <w:t xml:space="preserve">4.2  </w:t>
      </w:r>
      <w:r>
        <w:rPr>
          <w:b/>
          <w:bCs/>
        </w:rPr>
        <w:t xml:space="preserve">Upon a reset of the Benchmark Rate, the Lender shall, in the first instance and unless the Borrower opts otherwise under Clause 4.3, elongate the remaining tenure of the Loan so as to keep the EMI amount unchanged, provided that such elongation does not result in negative amortisation.</w:t>
      </w:r>
    </w:p>
    <w:p>
      <w:pPr>
        <w:spacing w:after="140" w:line="300"/>
        <w:ind w:left="360"/>
        <w:jc w:val="both"/>
      </w:pPr>
      <w:r>
        <w:rPr>
          <w:b/>
          <w:bCs/>
        </w:rPr>
        <w:t xml:space="preserve">4.3  </w:t>
      </w:r>
      <w:r>
        <w:rPr>
          <w:b w:val="false"/>
          <w:bCs w:val="false"/>
        </w:rPr>
        <w:t xml:space="preserve">The Borrower shall be entitled, at the time of each reset, to elect in writing for (i) an increase in the EMI amount with tenure held constant, (ii) elongation of tenure with EMI held constant, or (iii) a combination of both. The Borrower may also elect to switch from a floating to a fixed rate of interest, subject to the Lender's Board-approved policy then in force and payment of applicable switching charges as per Schedule II.</w:t>
      </w:r>
    </w:p>
    <w:p>
      <w:pPr>
        <w:spacing w:after="140" w:line="300"/>
        <w:ind w:left="360"/>
        <w:jc w:val="both"/>
      </w:pPr>
      <w:r>
        <w:rPr>
          <w:b/>
          <w:bCs/>
        </w:rPr>
        <w:t xml:space="preserve">4.4  </w:t>
      </w:r>
      <w:r>
        <w:rPr>
          <w:b w:val="false"/>
          <w:bCs w:val="false"/>
        </w:rPr>
        <w:t xml:space="preserve">The Lender shall communicate any change in EMI and/or tenure to the Borrower through appropriate channels prior to the change taking effect, and shall share a quarterly statement enumerating principal recovered, interest recovered, EMIs remaining, and the annualised Annual Percentage Rate (APR) for the residual tenure.</w:t>
      </w:r>
    </w:p>
    <w:p>
      <w:pPr>
        <w:spacing w:after="140" w:line="300"/>
        <w:ind w:left="360"/>
        <w:jc w:val="both"/>
      </w:pPr>
      <w:r>
        <w:rPr>
          <w:b/>
          <w:bCs/>
        </w:rPr>
        <w:t xml:space="preserve">4.5  </w:t>
      </w:r>
      <w:r>
        <w:rPr>
          <w:b w:val="false"/>
          <w:bCs w:val="false"/>
        </w:rPr>
        <w:t xml:space="preserve">This Clause 4 is issued in compliance with the Reserve Bank of India circular DOR.MCS.REC.32/01.01.003/2023-24 dated 18 August 2023 on Reset of Floating Interest Rate on Equated Monthly Instalments (EMI) based Personal Loans, as amended from time to time.</w:t>
      </w:r>
    </w:p>
    <w:p>
      <w:r>
        <w:br w:type="page"/>
      </w:r>
    </w:p>
    <w:p>
      <w:pPr>
        <w:pStyle w:val="Heading1"/>
        <w:spacing w:after="140" w:before="280"/>
      </w:pPr>
      <w:r>
        <w:rPr>
          <w:b/>
          <w:bCs/>
        </w:rPr>
        <w:t xml:space="preserve">5. REPAYMENT</w:t>
      </w:r>
    </w:p>
    <w:p>
      <w:pPr>
        <w:spacing w:after="140" w:line="300"/>
        <w:ind w:left="360"/>
        <w:jc w:val="both"/>
      </w:pPr>
      <w:r>
        <w:rPr>
          <w:b/>
          <w:bCs/>
        </w:rPr>
        <w:t xml:space="preserve">5.1  </w:t>
      </w:r>
      <w:r>
        <w:rPr>
          <w:b w:val="false"/>
          <w:bCs w:val="false"/>
        </w:rPr>
        <w:t xml:space="preserve">The Borrower shall repay the Loan through EMIs as set out in the amortisation schedule at Schedule III, commencing from the Due Date immediately following full disbursement.</w:t>
      </w:r>
    </w:p>
    <w:p>
      <w:pPr>
        <w:spacing w:after="140" w:line="300"/>
        <w:ind w:left="360"/>
        <w:jc w:val="both"/>
      </w:pPr>
      <w:r>
        <w:rPr>
          <w:b/>
          <w:bCs/>
        </w:rPr>
        <w:t xml:space="preserve">5.2  </w:t>
      </w:r>
      <w:r>
        <w:rPr>
          <w:b w:val="false"/>
          <w:bCs w:val="false"/>
        </w:rPr>
        <w:t xml:space="preserve">Repayment shall be made through the National Automated Clearing House (NACH) mandate executed by the Borrower simultaneously with this Agreement.</w:t>
      </w:r>
    </w:p>
    <w:p>
      <w:pPr>
        <w:spacing w:after="140" w:line="300"/>
        <w:ind w:left="360"/>
        <w:jc w:val="both"/>
      </w:pPr>
      <w:r>
        <w:rPr>
          <w:b/>
          <w:bCs/>
        </w:rPr>
        <w:t xml:space="preserve">5.3  </w:t>
      </w:r>
      <w:r>
        <w:rPr>
          <w:b w:val="false"/>
          <w:bCs w:val="false"/>
        </w:rPr>
        <w:t xml:space="preserve">In the event any EMI is returned unpaid for want of funds, the Borrower shall be liable for penal charges as set out in Clause 9, in addition to any charges levied by the Borrower's own bank.</w:t>
      </w:r>
    </w:p>
    <w:p>
      <w:pPr>
        <w:pStyle w:val="Heading1"/>
        <w:spacing w:after="140" w:before="280"/>
      </w:pPr>
      <w:r>
        <w:rPr>
          <w:b/>
          <w:bCs/>
        </w:rPr>
        <w:t xml:space="preserve">6. SECURITY</w:t>
      </w:r>
    </w:p>
    <w:p>
      <w:pPr>
        <w:spacing w:after="140" w:line="300"/>
        <w:ind w:left="360"/>
        <w:jc w:val="both"/>
      </w:pPr>
      <w:r>
        <w:rPr>
          <w:b/>
          <w:bCs/>
        </w:rPr>
        <w:t xml:space="preserve">6.1  </w:t>
      </w:r>
      <w:r>
        <w:rPr>
          <w:b w:val="false"/>
          <w:bCs w:val="false"/>
        </w:rPr>
        <w:t xml:space="preserve">The Loan shall be secured by way of a registered mortgage (by deposit of title deeds or as a registered mortgage deed, at the Lender's discretion) of the Secured Property described in Schedule I, in favour of the Lender.</w:t>
      </w:r>
    </w:p>
    <w:p>
      <w:pPr>
        <w:spacing w:after="140" w:line="300"/>
        <w:ind w:left="360"/>
        <w:jc w:val="both"/>
      </w:pPr>
      <w:r>
        <w:rPr>
          <w:b/>
          <w:bCs/>
        </w:rPr>
        <w:t xml:space="preserve">6.2  </w:t>
      </w:r>
      <w:r>
        <w:rPr>
          <w:b w:val="false"/>
          <w:bCs w:val="false"/>
        </w:rPr>
        <w:t xml:space="preserve">The Borrower shall, at their own cost, execute all documents and do all acts necessary to perfect the security, including filing of particulars of the charge with the Central Registry of Securitisation Asset Reconstruction and Security Interest of India (CERSAI) within the statutory timeline.</w:t>
      </w:r>
    </w:p>
    <w:p>
      <w:pPr>
        <w:spacing w:after="140" w:line="300"/>
        <w:ind w:left="360"/>
        <w:jc w:val="both"/>
      </w:pPr>
      <w:r>
        <w:rPr>
          <w:b/>
          <w:bCs/>
        </w:rPr>
        <w:t xml:space="preserve">6.3  </w:t>
      </w:r>
      <w:r>
        <w:rPr>
          <w:b w:val="false"/>
          <w:bCs w:val="false"/>
        </w:rPr>
        <w:t xml:space="preserve">The Borrower shall not create any further charge, lien, or encumbrance on the Secured Property without the prior written consent of the Lender.</w:t>
      </w:r>
    </w:p>
    <w:p>
      <w:pPr>
        <w:pStyle w:val="Heading1"/>
        <w:spacing w:after="140" w:before="280"/>
      </w:pPr>
      <w:r>
        <w:rPr>
          <w:b/>
          <w:bCs/>
        </w:rPr>
        <w:t xml:space="preserve">7. INSURANCE</w:t>
      </w:r>
    </w:p>
    <w:p>
      <w:pPr>
        <w:spacing w:after="140" w:line="300"/>
        <w:ind w:left="360"/>
        <w:jc w:val="both"/>
      </w:pPr>
      <w:r>
        <w:rPr>
          <w:b/>
          <w:bCs/>
        </w:rPr>
        <w:t xml:space="preserve">7.1  </w:t>
      </w:r>
      <w:r>
        <w:rPr>
          <w:b w:val="false"/>
          <w:bCs w:val="false"/>
        </w:rPr>
        <w:t xml:space="preserve">The Borrower shall obtain and maintain, for the entire tenure of the Loan, a Property Insurance policy covering the Secured Property against fire and allied perils, for an amount not less than the outstanding principal, with the Lender named as the sole loss payee.</w:t>
      </w:r>
    </w:p>
    <w:p>
      <w:pPr>
        <w:spacing w:after="140" w:line="300"/>
        <w:ind w:left="360"/>
        <w:jc w:val="both"/>
      </w:pPr>
      <w:r>
        <w:rPr>
          <w:b/>
          <w:bCs/>
        </w:rPr>
        <w:t xml:space="preserve">7.2  </w:t>
      </w:r>
      <w:r>
        <w:rPr>
          <w:b/>
          <w:bCs/>
        </w:rPr>
        <w:t xml:space="preserve">The Borrower shall additionally obtain a Loan Protection (Credit Life) Insurance policy covering the life of the Borrower for the Sanctioned Amount, the premium for which shall be Rs. 1,90,000/- (Rupees One Lakh Ninety Thousand Only), payable as a single premium and financed as part of the Loan Amount at the Borrower's option.</w:t>
      </w:r>
    </w:p>
    <w:p>
      <w:pPr>
        <w:spacing w:after="140" w:line="300"/>
        <w:ind w:left="360"/>
        <w:jc w:val="both"/>
      </w:pPr>
      <w:r>
        <w:rPr>
          <w:b/>
          <w:bCs/>
        </w:rPr>
        <w:t xml:space="preserve">7.3  </w:t>
      </w:r>
      <w:r>
        <w:rPr>
          <w:b w:val="false"/>
          <w:bCs w:val="false"/>
        </w:rPr>
        <w:t xml:space="preserve">The Borrower acknowledges that the Loan Protection Insurance under Clause 7.2 is being availed voluntarily and that the Lender has explained that housing loan sanction is not contingent upon the purchase of this insurance policy; however, the premium amount at Clause 7.2, once opted for, forms part of the amount disbursed and is reflected in Schedule II hereto.</w:t>
      </w:r>
    </w:p>
    <w:p>
      <w:pPr>
        <w:pStyle w:val="Heading1"/>
        <w:spacing w:after="140" w:before="280"/>
      </w:pPr>
      <w:r>
        <w:rPr>
          <w:b/>
          <w:bCs/>
        </w:rPr>
        <w:t xml:space="preserve">8. FEES AND CHARGES</w:t>
      </w:r>
    </w:p>
    <w:p>
      <w:pPr>
        <w:spacing w:after="140" w:line="300"/>
        <w:ind w:left="360"/>
        <w:jc w:val="both"/>
      </w:pPr>
      <w:r>
        <w:rPr>
          <w:b/>
          <w:bCs/>
        </w:rPr>
        <w:t xml:space="preserve">8.1  </w:t>
      </w:r>
      <w:r>
        <w:rPr>
          <w:b w:val="false"/>
          <w:bCs w:val="false"/>
        </w:rPr>
        <w:t xml:space="preserve">The Borrower shall pay to the Lender the fees and charges set out in Schedule II, which are non-refundable except as may be required by applicable law.</w:t>
      </w:r>
    </w:p>
    <w:p>
      <w:pPr>
        <w:spacing w:after="140" w:line="300"/>
        <w:ind w:left="360"/>
        <w:jc w:val="both"/>
      </w:pPr>
      <w:r>
        <w:rPr>
          <w:b/>
          <w:bCs/>
        </w:rPr>
        <w:t xml:space="preserve">8.2  </w:t>
      </w:r>
      <w:r>
        <w:rPr>
          <w:b w:val="false"/>
          <w:bCs w:val="false"/>
        </w:rPr>
        <w:t xml:space="preserve">The Lender reserves the right to revise service charges, prospectively, upon 30 (thirty) days' prior notice to the Borrower through the channels specified in Clause 3.3.</w:t>
      </w:r>
    </w:p>
    <w:p>
      <w:pPr>
        <w:pStyle w:val="Heading1"/>
        <w:spacing w:after="140" w:before="280"/>
      </w:pPr>
      <w:r>
        <w:rPr>
          <w:b/>
          <w:bCs/>
        </w:rPr>
        <w:t xml:space="preserve">9. PENAL CHARGES</w:t>
      </w:r>
    </w:p>
    <w:p>
      <w:pPr>
        <w:spacing w:after="140" w:line="300"/>
        <w:ind w:left="360"/>
        <w:jc w:val="both"/>
      </w:pPr>
      <w:r>
        <w:rPr>
          <w:b/>
          <w:bCs/>
        </w:rPr>
        <w:t xml:space="preserve">9.1  </w:t>
      </w:r>
      <w:r>
        <w:rPr>
          <w:b/>
          <w:bCs/>
        </w:rPr>
        <w:t xml:space="preserve">In the event of default in payment of any EMI or other amount due under this Agreement, the Lender shall levy penal charges at the rate of 2% (two percent) per month on the overdue amount, calculated from the Due Date until the date of payment.</w:t>
      </w:r>
    </w:p>
    <w:p>
      <w:pPr>
        <w:spacing w:after="140" w:line="300"/>
        <w:ind w:left="360"/>
        <w:jc w:val="both"/>
      </w:pPr>
      <w:r>
        <w:rPr>
          <w:b/>
          <w:bCs/>
        </w:rPr>
        <w:t xml:space="preserve">9.2  </w:t>
      </w:r>
      <w:r>
        <w:rPr>
          <w:b w:val="false"/>
          <w:bCs w:val="false"/>
        </w:rPr>
        <w:t xml:space="preserve">Penal charges levied under Clause 9.1 shall be treated as a charge distinct from interest and shall not be capitalised or compounded; no further interest shall be computed upon the penal charge amount itself. This is without prejudice to the Lender's ordinary right to compound interest on the principal and interest components of the Loan in the ordinary course.</w:t>
      </w:r>
    </w:p>
    <w:p>
      <w:pPr>
        <w:spacing w:after="140" w:line="300"/>
        <w:ind w:left="360"/>
        <w:jc w:val="both"/>
      </w:pPr>
      <w:r>
        <w:rPr>
          <w:b/>
          <w:bCs/>
        </w:rPr>
        <w:t xml:space="preserve">9.3  </w:t>
      </w:r>
      <w:r>
        <w:rPr>
          <w:b w:val="false"/>
          <w:bCs w:val="false"/>
        </w:rPr>
        <w:t xml:space="preserve">The quantum of penal charges applicable to the Borrower, being an individual borrower availing the Loan for a purpose other than business, shall not exceed the penal charges applicable to non-individual borrowers of the Lender for similar non-compliance.</w:t>
      </w:r>
    </w:p>
    <w:p>
      <w:pPr>
        <w:spacing w:after="140" w:line="300"/>
        <w:ind w:left="360"/>
        <w:jc w:val="both"/>
      </w:pPr>
      <w:r>
        <w:rPr>
          <w:b/>
          <w:bCs/>
        </w:rPr>
        <w:t xml:space="preserve">9.4  </w:t>
      </w:r>
      <w:r>
        <w:rPr>
          <w:b w:val="false"/>
          <w:bCs w:val="false"/>
        </w:rPr>
        <w:t xml:space="preserve">This Clause 9 is issued in compliance with the Reserve Bank of India circular DoR.MCS.REC.28/01.01.001/2023-24 dated 18 August 2023 on Fair Lending Practice – Penal Charges in Loan Accounts.</w:t>
      </w:r>
    </w:p>
    <w:p>
      <w:r>
        <w:br w:type="page"/>
      </w:r>
    </w:p>
    <w:p>
      <w:pPr>
        <w:pStyle w:val="Heading1"/>
        <w:spacing w:after="140" w:before="280"/>
      </w:pPr>
      <w:r>
        <w:rPr>
          <w:b/>
          <w:bCs/>
        </w:rPr>
        <w:t xml:space="preserve">11. FORECLOSURE AND PART-PREPAYMENT</w:t>
      </w:r>
    </w:p>
    <w:p>
      <w:pPr>
        <w:spacing w:after="140" w:line="300"/>
        <w:ind w:left="360"/>
        <w:jc w:val="both"/>
      </w:pPr>
      <w:r>
        <w:rPr>
          <w:b/>
          <w:bCs/>
        </w:rPr>
        <w:t xml:space="preserve">11.1  </w:t>
      </w:r>
      <w:r>
        <w:rPr>
          <w:b w:val="false"/>
          <w:bCs w:val="false"/>
        </w:rPr>
        <w:t xml:space="preserve">The Borrower may, at any time after the Lock-in Period specified in Clause 11.2, prepay the outstanding principal, in whole or in part, subject to the charges specified in Clause 11.3.</w:t>
      </w:r>
    </w:p>
    <w:p>
      <w:pPr>
        <w:spacing w:after="140" w:line="300"/>
        <w:ind w:left="360"/>
        <w:jc w:val="both"/>
      </w:pPr>
      <w:r>
        <w:rPr>
          <w:b/>
          <w:bCs/>
        </w:rPr>
        <w:t xml:space="preserve">11.2  </w:t>
      </w:r>
      <w:r>
        <w:rPr>
          <w:b/>
          <w:bCs/>
        </w:rPr>
        <w:t xml:space="preserve">The Borrower shall not be entitled to prepay the Loan, in whole or in part, during the Lock-in Period of 12 (twelve) months from the date of first disbursement.</w:t>
      </w:r>
    </w:p>
    <w:p>
      <w:pPr>
        <w:spacing w:after="140" w:line="300"/>
        <w:ind w:left="360"/>
        <w:jc w:val="both"/>
      </w:pPr>
      <w:r>
        <w:rPr>
          <w:b/>
          <w:bCs/>
        </w:rPr>
        <w:t xml:space="preserve">11.3  </w:t>
      </w:r>
      <w:r>
        <w:rPr>
          <w:b/>
          <w:bCs/>
        </w:rPr>
        <w:t xml:space="preserve">Any prepayment made after the Lock-in Period, where the source of funds for such prepayment is other than the Borrower's own verified savings or income (including, without limitation, funds obtained by way of a loan from another bank or financial institution for the purpose of switching the facility), shall attract a prepayment charge of 3% (three percent) of the principal amount so prepaid.</w:t>
      </w:r>
    </w:p>
    <w:p>
      <w:pPr>
        <w:spacing w:after="140" w:line="300"/>
        <w:ind w:left="360"/>
        <w:jc w:val="both"/>
      </w:pPr>
      <w:r>
        <w:rPr>
          <w:b/>
          <w:bCs/>
        </w:rPr>
        <w:t xml:space="preserve">11.4  </w:t>
      </w:r>
      <w:r>
        <w:rPr>
          <w:b w:val="false"/>
          <w:bCs w:val="false"/>
        </w:rPr>
        <w:t xml:space="preserve">No prepayment charge shall apply where the prepayment is made from the Borrower's own verified sources of funds, irrespective of the Lock-in Period having elapsed.</w:t>
      </w:r>
    </w:p>
    <w:p>
      <w:pPr>
        <w:spacing w:after="140" w:line="300"/>
        <w:ind w:left="360"/>
        <w:jc w:val="both"/>
      </w:pPr>
      <w:r>
        <w:rPr>
          <w:b/>
          <w:bCs/>
        </w:rPr>
        <w:t xml:space="preserve">11.5  </w:t>
      </w:r>
      <w:r>
        <w:rPr>
          <w:b w:val="false"/>
          <w:bCs w:val="false"/>
        </w:rPr>
        <w:t xml:space="preserve">The applicability of prepayment charges under this Clause 11 has been disclosed to the Borrower in the sanction letter and shall also be reflected in the Key Facts Statement issued in connection with this Loan.</w:t>
      </w:r>
    </w:p>
    <w:p>
      <w:pPr>
        <w:pStyle w:val="Heading1"/>
        <w:spacing w:after="140" w:before="280"/>
      </w:pPr>
      <w:r>
        <w:rPr>
          <w:b/>
          <w:bCs/>
        </w:rPr>
        <w:t xml:space="preserve">12. EVENTS OF DEFAULT</w:t>
      </w:r>
    </w:p>
    <w:p>
      <w:pPr>
        <w:spacing w:after="140" w:line="300"/>
        <w:ind w:left="360"/>
        <w:jc w:val="both"/>
      </w:pPr>
      <w:r>
        <w:rPr>
          <w:b/>
          <w:bCs/>
        </w:rPr>
        <w:t xml:space="preserve">12.1  </w:t>
      </w:r>
      <w:r>
        <w:rPr>
          <w:b w:val="false"/>
          <w:bCs w:val="false"/>
        </w:rPr>
        <w:t xml:space="preserve">Each of the following shall constitute an Event of Default: (a) non-payment of any EMI for a continuous period of 90 (ninety) days; (b) any representation made by the Borrower being found to be false or misleading in any material respect; (c) the Secured Property being attached, seized, or made subject to any proceeding materially affecting the Lender's security; (d) the Borrower's death, unless the Loan is adequately insured and the insurance claim is honoured.</w:t>
      </w:r>
    </w:p>
    <w:p>
      <w:pPr>
        <w:spacing w:after="140" w:line="300"/>
        <w:ind w:left="360"/>
        <w:jc w:val="both"/>
      </w:pPr>
      <w:r>
        <w:rPr>
          <w:b/>
          <w:bCs/>
        </w:rPr>
        <w:t xml:space="preserve">12.2  </w:t>
      </w:r>
      <w:r>
        <w:rPr>
          <w:b w:val="false"/>
          <w:bCs w:val="false"/>
        </w:rPr>
        <w:t xml:space="preserve">Upon occurrence of an Event of Default, the Lender may, after issuing a notice of 60 (sixty) days to remedy the default, recall the entire outstanding Loan Amount together with accrued interest and penal charges, and enforce the security created under Clause 6, in accordance with applicable law including the SARFAESI Act, 2002, where applicable.</w:t>
      </w:r>
    </w:p>
    <w:p>
      <w:pPr>
        <w:pStyle w:val="Heading1"/>
        <w:spacing w:after="140" w:before="280"/>
      </w:pPr>
      <w:r>
        <w:rPr>
          <w:b/>
          <w:bCs/>
        </w:rPr>
        <w:t xml:space="preserve">13. REPRESENTATIONS AND WARRANTIES</w:t>
      </w:r>
    </w:p>
    <w:p>
      <w:pPr>
        <w:spacing w:after="140" w:line="300"/>
        <w:ind w:left="360"/>
        <w:jc w:val="both"/>
      </w:pPr>
      <w:r>
        <w:rPr>
          <w:b/>
          <w:bCs/>
        </w:rPr>
        <w:t xml:space="preserve">13.1  </w:t>
      </w:r>
      <w:r>
        <w:rPr>
          <w:b w:val="false"/>
          <w:bCs w:val="false"/>
        </w:rPr>
        <w:t xml:space="preserve">The Borrower represents that all information and documents furnished in connection with the Loan application are true, accurate, and complete, and that the Borrower has the legal capacity to enter into this Agreement.</w:t>
      </w:r>
    </w:p>
    <w:p>
      <w:pPr>
        <w:spacing w:after="140" w:line="300"/>
        <w:ind w:left="360"/>
        <w:jc w:val="both"/>
      </w:pPr>
      <w:r>
        <w:rPr>
          <w:b/>
          <w:bCs/>
        </w:rPr>
        <w:t xml:space="preserve">13.2  </w:t>
      </w:r>
      <w:r>
        <w:rPr>
          <w:b w:val="false"/>
          <w:bCs w:val="false"/>
        </w:rPr>
        <w:t xml:space="preserve">The Borrower represents that the Secured Property is free from encumbrances save as disclosed in writing to the Lender prior to execution of this Agreement.</w:t>
      </w:r>
    </w:p>
    <w:p>
      <w:pPr>
        <w:pStyle w:val="Heading1"/>
        <w:spacing w:after="140" w:before="280"/>
      </w:pPr>
      <w:r>
        <w:rPr>
          <w:b/>
          <w:bCs/>
        </w:rPr>
        <w:t xml:space="preserve">14. MISCELLANEOUS</w:t>
      </w:r>
    </w:p>
    <w:p>
      <w:pPr>
        <w:spacing w:after="140" w:line="300"/>
        <w:ind w:left="360"/>
        <w:jc w:val="both"/>
      </w:pPr>
      <w:r>
        <w:rPr>
          <w:b/>
          <w:bCs/>
        </w:rPr>
        <w:t xml:space="preserve">14.1  </w:t>
      </w:r>
      <w:r>
        <w:rPr>
          <w:b w:val="false"/>
          <w:bCs w:val="false"/>
        </w:rPr>
        <w:t xml:space="preserve">This Agreement, together with its Schedules and the Key Facts Statement, constitutes the entire agreement between the parties and supersedes all prior discussions, understandings, or representations, whether oral or written.</w:t>
      </w:r>
    </w:p>
    <w:p>
      <w:pPr>
        <w:spacing w:after="140" w:line="300"/>
        <w:ind w:left="360"/>
        <w:jc w:val="both"/>
      </w:pPr>
      <w:r>
        <w:rPr>
          <w:b/>
          <w:bCs/>
        </w:rPr>
        <w:t xml:space="preserve">14.2  </w:t>
      </w:r>
      <w:r>
        <w:rPr>
          <w:b w:val="false"/>
          <w:bCs w:val="false"/>
        </w:rPr>
        <w:t xml:space="preserve">Any notice under this Agreement shall be deemed validly served if sent to the address, email, or mobile number last notified by the Borrower to the Lender.</w:t>
      </w:r>
    </w:p>
    <w:p>
      <w:pPr>
        <w:spacing w:after="140" w:line="300"/>
        <w:ind w:left="360"/>
        <w:jc w:val="both"/>
      </w:pPr>
      <w:r>
        <w:rPr>
          <w:b/>
          <w:bCs/>
        </w:rPr>
        <w:t xml:space="preserve">14.3  </w:t>
      </w:r>
      <w:r>
        <w:rPr>
          <w:b w:val="false"/>
          <w:bCs w:val="false"/>
        </w:rPr>
        <w:t xml:space="preserve">This Agreement shall be governed by the laws of India, and courts at Pune, Maharashtra shall have exclusive jurisdiction over any dispute arising herefrom, subject to the Borrower's right to approach the appropriate forum under the Reserve Bank – Integrated Ombudsman Scheme.</w:t>
      </w:r>
    </w:p>
    <w:p>
      <w:pPr>
        <w:spacing w:after="140" w:line="300"/>
        <w:ind w:left="360"/>
        <w:jc w:val="both"/>
      </w:pPr>
      <w:r>
        <w:rPr>
          <w:b/>
          <w:bCs/>
        </w:rPr>
        <w:t xml:space="preserve">14.4  </w:t>
      </w:r>
      <w:r>
        <w:rPr>
          <w:b w:val="false"/>
          <w:bCs w:val="false"/>
        </w:rPr>
        <w:t xml:space="preserve">The Borrower acknowledges receipt of a copy of this executed Agreement, together with all Schedules and enclosures referred to herein, on the date of execution.</w:t>
      </w:r>
    </w:p>
    <w:p>
      <w:r>
        <w:br w:type="page"/>
      </w:r>
    </w:p>
    <w:p>
      <w:pPr>
        <w:pStyle w:val="Heading1"/>
        <w:spacing w:after="140" w:before="280"/>
      </w:pPr>
      <w:r>
        <w:rPr>
          <w:b/>
          <w:bCs/>
        </w:rPr>
        <w:t xml:space="preserve">SCHEDULE I — LOAN AND PROPERTY PARTICULARS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E4DC" w:val="clear"/>
            <w:tcMar>
              <w:top w:type="dxa" w:w="100"/>
              <w:left w:type="dxa" w:w="120"/>
              <w:bottom w:type="dxa" w:w="100"/>
              <w:right w:type="dxa" w:w="120"/>
            </w:tcMar>
          </w:tcPr>
          <w:p>
            <w:r>
              <w:rPr>
                <w:b/>
                <w:bCs/>
                <w:sz w:val="20"/>
                <w:szCs w:val="20"/>
              </w:rPr>
              <w:t xml:space="preserve">Particulars</w:t>
            </w:r>
          </w:p>
        </w:tc>
        <w:tc>
          <w:tcPr>
            <w:tcW w:type="dxa" w:w="6000"/>
            <w:shd w:fill="E8E4DC" w:val="clear"/>
            <w:tcMar>
              <w:top w:type="dxa" w:w="100"/>
              <w:left w:type="dxa" w:w="120"/>
              <w:bottom w:type="dxa" w:w="100"/>
              <w:right w:type="dxa" w:w="120"/>
            </w:tcMar>
          </w:tcPr>
          <w:p>
            <w:r>
              <w:rPr>
                <w:b/>
                <w:bCs/>
                <w:sz w:val="20"/>
                <w:szCs w:val="20"/>
              </w:rPr>
              <w:t xml:space="preserve">Details</w:t>
            </w:r>
          </w:p>
        </w:tc>
      </w:tr>
      <w:tr>
        <w:tc>
          <w:tcPr>
            <w:tcW w:type="dxa" w:w="3000"/>
            <w:tcMar>
              <w:top w:type="dxa" w:w="100"/>
              <w:left w:type="dxa" w:w="120"/>
              <w:bottom w:type="dxa" w:w="100"/>
              <w:right w:type="dxa" w:w="120"/>
            </w:tcMar>
          </w:tcPr>
          <w:p>
            <w:r>
              <w:rPr>
                <w:b w:val="false"/>
                <w:bCs w:val="false"/>
                <w:sz w:val="20"/>
                <w:szCs w:val="20"/>
              </w:rPr>
              <w:t xml:space="preserve">Loan Account No.</w:t>
            </w:r>
          </w:p>
        </w:tc>
        <w:tc>
          <w:tcPr>
            <w:tcW w:type="dxa" w:w="6000"/>
            <w:tcMar>
              <w:top w:type="dxa" w:w="100"/>
              <w:left w:type="dxa" w:w="120"/>
              <w:bottom w:type="dxa" w:w="100"/>
              <w:right w:type="dxa" w:w="120"/>
            </w:tcMar>
          </w:tcPr>
          <w:p>
            <w:r>
              <w:rPr>
                <w:b w:val="false"/>
                <w:bCs w:val="false"/>
                <w:sz w:val="20"/>
                <w:szCs w:val="20"/>
              </w:rPr>
              <w:t xml:space="preserve">KHFL/HL/2026/0041872</w:t>
            </w:r>
          </w:p>
        </w:tc>
      </w:tr>
      <w:tr>
        <w:tc>
          <w:tcPr>
            <w:tcW w:type="dxa" w:w="3000"/>
            <w:tcMar>
              <w:top w:type="dxa" w:w="100"/>
              <w:left w:type="dxa" w:w="120"/>
              <w:bottom w:type="dxa" w:w="100"/>
              <w:right w:type="dxa" w:w="120"/>
            </w:tcMar>
          </w:tcPr>
          <w:p>
            <w:r>
              <w:rPr>
                <w:b w:val="false"/>
                <w:bCs w:val="false"/>
                <w:sz w:val="20"/>
                <w:szCs w:val="20"/>
              </w:rPr>
              <w:t xml:space="preserve">Borrower(s)</w:t>
            </w:r>
          </w:p>
        </w:tc>
        <w:tc>
          <w:tcPr>
            <w:tcW w:type="dxa" w:w="6000"/>
            <w:tcMar>
              <w:top w:type="dxa" w:w="100"/>
              <w:left w:type="dxa" w:w="120"/>
              <w:bottom w:type="dxa" w:w="100"/>
              <w:right w:type="dxa" w:w="120"/>
            </w:tcMar>
          </w:tcPr>
          <w:p>
            <w:r>
              <w:rPr>
                <w:b w:val="false"/>
                <w:bCs w:val="false"/>
                <w:sz w:val="20"/>
                <w:szCs w:val="20"/>
              </w:rPr>
              <w:t xml:space="preserve">Rohan Anand Deshmukh &amp; Priya Rohan Deshmukh</w:t>
            </w:r>
          </w:p>
        </w:tc>
      </w:tr>
      <w:tr>
        <w:tc>
          <w:tcPr>
            <w:tcW w:type="dxa" w:w="3000"/>
            <w:tcMar>
              <w:top w:type="dxa" w:w="100"/>
              <w:left w:type="dxa" w:w="120"/>
              <w:bottom w:type="dxa" w:w="100"/>
              <w:right w:type="dxa" w:w="120"/>
            </w:tcMar>
          </w:tcPr>
          <w:p>
            <w:r>
              <w:rPr>
                <w:b w:val="false"/>
                <w:bCs w:val="false"/>
                <w:sz w:val="20"/>
                <w:szCs w:val="20"/>
              </w:rPr>
              <w:t xml:space="preserve">Sanctioned Amount</w:t>
            </w:r>
          </w:p>
        </w:tc>
        <w:tc>
          <w:tcPr>
            <w:tcW w:type="dxa" w:w="6000"/>
            <w:tcMar>
              <w:top w:type="dxa" w:w="100"/>
              <w:left w:type="dxa" w:w="120"/>
              <w:bottom w:type="dxa" w:w="100"/>
              <w:right w:type="dxa" w:w="120"/>
            </w:tcMar>
          </w:tcPr>
          <w:p>
            <w:r>
              <w:rPr>
                <w:b w:val="false"/>
                <w:bCs w:val="false"/>
                <w:sz w:val="20"/>
                <w:szCs w:val="20"/>
              </w:rPr>
              <w:t xml:space="preserve">Rs. 50,00,000/- (Rupees Fifty Lakh Only)</w:t>
            </w:r>
          </w:p>
        </w:tc>
      </w:tr>
      <w:tr>
        <w:tc>
          <w:tcPr>
            <w:tcW w:type="dxa" w:w="3000"/>
            <w:tcMar>
              <w:top w:type="dxa" w:w="100"/>
              <w:left w:type="dxa" w:w="120"/>
              <w:bottom w:type="dxa" w:w="100"/>
              <w:right w:type="dxa" w:w="120"/>
            </w:tcMar>
          </w:tcPr>
          <w:p>
            <w:r>
              <w:rPr>
                <w:b w:val="false"/>
                <w:bCs w:val="false"/>
                <w:sz w:val="20"/>
                <w:szCs w:val="20"/>
              </w:rPr>
              <w:t xml:space="preserve">Purpose</w:t>
            </w:r>
          </w:p>
        </w:tc>
        <w:tc>
          <w:tcPr>
            <w:tcW w:type="dxa" w:w="6000"/>
            <w:tcMar>
              <w:top w:type="dxa" w:w="100"/>
              <w:left w:type="dxa" w:w="120"/>
              <w:bottom w:type="dxa" w:w="100"/>
              <w:right w:type="dxa" w:w="120"/>
            </w:tcMar>
          </w:tcPr>
          <w:p>
            <w:r>
              <w:rPr>
                <w:b w:val="false"/>
                <w:bCs w:val="false"/>
                <w:sz w:val="20"/>
                <w:szCs w:val="20"/>
              </w:rPr>
              <w:t xml:space="preserve">Purchase of residential flat — self-occupied, non-business</w:t>
            </w:r>
          </w:p>
        </w:tc>
      </w:tr>
      <w:tr>
        <w:tc>
          <w:tcPr>
            <w:tcW w:type="dxa" w:w="3000"/>
            <w:tcMar>
              <w:top w:type="dxa" w:w="100"/>
              <w:left w:type="dxa" w:w="120"/>
              <w:bottom w:type="dxa" w:w="100"/>
              <w:right w:type="dxa" w:w="120"/>
            </w:tcMar>
          </w:tcPr>
          <w:p>
            <w:r>
              <w:rPr>
                <w:b w:val="false"/>
                <w:bCs w:val="false"/>
                <w:sz w:val="20"/>
                <w:szCs w:val="20"/>
              </w:rPr>
              <w:t xml:space="preserve">Rate of Interest</w:t>
            </w:r>
          </w:p>
        </w:tc>
        <w:tc>
          <w:tcPr>
            <w:tcW w:type="dxa" w:w="6000"/>
            <w:tcMar>
              <w:top w:type="dxa" w:w="100"/>
              <w:left w:type="dxa" w:w="120"/>
              <w:bottom w:type="dxa" w:w="100"/>
              <w:right w:type="dxa" w:w="120"/>
            </w:tcMar>
          </w:tcPr>
          <w:p>
            <w:r>
              <w:rPr>
                <w:b w:val="false"/>
                <w:bCs w:val="false"/>
                <w:sz w:val="20"/>
                <w:szCs w:val="20"/>
              </w:rPr>
              <w:t xml:space="preserve">8.35% per annum (floating), linked to KHFL Repo Linked Lending Rate (RLLR)</w:t>
            </w:r>
          </w:p>
        </w:tc>
      </w:tr>
      <w:tr>
        <w:tc>
          <w:tcPr>
            <w:tcW w:type="dxa" w:w="3000"/>
            <w:tcMar>
              <w:top w:type="dxa" w:w="100"/>
              <w:left w:type="dxa" w:w="120"/>
              <w:bottom w:type="dxa" w:w="100"/>
              <w:right w:type="dxa" w:w="120"/>
            </w:tcMar>
          </w:tcPr>
          <w:p>
            <w:r>
              <w:rPr>
                <w:b w:val="false"/>
                <w:bCs w:val="false"/>
                <w:sz w:val="20"/>
                <w:szCs w:val="20"/>
              </w:rPr>
              <w:t xml:space="preserve">Tenure</w:t>
            </w:r>
          </w:p>
        </w:tc>
        <w:tc>
          <w:tcPr>
            <w:tcW w:type="dxa" w:w="6000"/>
            <w:tcMar>
              <w:top w:type="dxa" w:w="100"/>
              <w:left w:type="dxa" w:w="120"/>
              <w:bottom w:type="dxa" w:w="100"/>
              <w:right w:type="dxa" w:w="120"/>
            </w:tcMar>
          </w:tcPr>
          <w:p>
            <w:r>
              <w:rPr>
                <w:b w:val="false"/>
                <w:bCs w:val="false"/>
                <w:sz w:val="20"/>
                <w:szCs w:val="20"/>
              </w:rPr>
              <w:t xml:space="preserve">240 months (20 years)</w:t>
            </w:r>
          </w:p>
        </w:tc>
      </w:tr>
      <w:tr>
        <w:tc>
          <w:tcPr>
            <w:tcW w:type="dxa" w:w="3000"/>
            <w:tcMar>
              <w:top w:type="dxa" w:w="100"/>
              <w:left w:type="dxa" w:w="120"/>
              <w:bottom w:type="dxa" w:w="100"/>
              <w:right w:type="dxa" w:w="120"/>
            </w:tcMar>
          </w:tcPr>
          <w:p>
            <w:r>
              <w:rPr>
                <w:b w:val="false"/>
                <w:bCs w:val="false"/>
                <w:sz w:val="20"/>
                <w:szCs w:val="20"/>
              </w:rPr>
              <w:t xml:space="preserve">EMI (at sanction)</w:t>
            </w:r>
          </w:p>
        </w:tc>
        <w:tc>
          <w:tcPr>
            <w:tcW w:type="dxa" w:w="6000"/>
            <w:tcMar>
              <w:top w:type="dxa" w:w="100"/>
              <w:left w:type="dxa" w:w="120"/>
              <w:bottom w:type="dxa" w:w="100"/>
              <w:right w:type="dxa" w:w="120"/>
            </w:tcMar>
          </w:tcPr>
          <w:p>
            <w:r>
              <w:rPr>
                <w:b w:val="false"/>
                <w:bCs w:val="false"/>
                <w:sz w:val="20"/>
                <w:szCs w:val="20"/>
              </w:rPr>
              <w:t xml:space="preserve">Rs. 43,391/- (illustrative, subject to reset per Clause 4)</w:t>
            </w:r>
          </w:p>
        </w:tc>
      </w:tr>
      <w:tr>
        <w:tc>
          <w:tcPr>
            <w:tcW w:type="dxa" w:w="3000"/>
            <w:tcMar>
              <w:top w:type="dxa" w:w="100"/>
              <w:left w:type="dxa" w:w="120"/>
              <w:bottom w:type="dxa" w:w="100"/>
              <w:right w:type="dxa" w:w="120"/>
            </w:tcMar>
          </w:tcPr>
          <w:p>
            <w:r>
              <w:rPr>
                <w:b w:val="false"/>
                <w:bCs w:val="false"/>
                <w:sz w:val="20"/>
                <w:szCs w:val="20"/>
              </w:rPr>
              <w:t xml:space="preserve">Secured Property</w:t>
            </w:r>
          </w:p>
        </w:tc>
        <w:tc>
          <w:tcPr>
            <w:tcW w:type="dxa" w:w="6000"/>
            <w:tcMar>
              <w:top w:type="dxa" w:w="100"/>
              <w:left w:type="dxa" w:w="120"/>
              <w:bottom w:type="dxa" w:w="100"/>
              <w:right w:type="dxa" w:w="120"/>
            </w:tcMar>
          </w:tcPr>
          <w:p>
            <w:r>
              <w:rPr>
                <w:b w:val="false"/>
                <w:bCs w:val="false"/>
                <w:sz w:val="20"/>
                <w:szCs w:val="20"/>
              </w:rPr>
              <w:t xml:space="preserve">Flat No. 1204, Tower C, Sanskruti Residency, Baner-Balewadi Road, Pune, Maharashtra 411045</w:t>
            </w:r>
          </w:p>
        </w:tc>
      </w:tr>
      <w:tr>
        <w:tc>
          <w:tcPr>
            <w:tcW w:type="dxa" w:w="3000"/>
            <w:tcMar>
              <w:top w:type="dxa" w:w="100"/>
              <w:left w:type="dxa" w:w="120"/>
              <w:bottom w:type="dxa" w:w="100"/>
              <w:right w:type="dxa" w:w="120"/>
            </w:tcMar>
          </w:tcPr>
          <w:p>
            <w:r>
              <w:rPr>
                <w:b w:val="false"/>
                <w:bCs w:val="false"/>
                <w:sz w:val="20"/>
                <w:szCs w:val="20"/>
              </w:rPr>
              <w:t xml:space="preserve">Date of Sanction</w:t>
            </w:r>
          </w:p>
        </w:tc>
        <w:tc>
          <w:tcPr>
            <w:tcW w:type="dxa" w:w="6000"/>
            <w:tcMar>
              <w:top w:type="dxa" w:w="100"/>
              <w:left w:type="dxa" w:w="120"/>
              <w:bottom w:type="dxa" w:w="100"/>
              <w:right w:type="dxa" w:w="120"/>
            </w:tcMar>
          </w:tcPr>
          <w:p>
            <w:r>
              <w:rPr>
                <w:b w:val="false"/>
                <w:bCs w:val="false"/>
                <w:sz w:val="20"/>
                <w:szCs w:val="20"/>
              </w:rPr>
              <w:t xml:space="preserve">10 January 2026</w:t>
            </w:r>
          </w:p>
        </w:tc>
      </w:tr>
      <w:tr>
        <w:tc>
          <w:tcPr>
            <w:tcW w:type="dxa" w:w="3000"/>
            <w:tcMar>
              <w:top w:type="dxa" w:w="100"/>
              <w:left w:type="dxa" w:w="120"/>
              <w:bottom w:type="dxa" w:w="100"/>
              <w:right w:type="dxa" w:w="120"/>
            </w:tcMar>
          </w:tcPr>
          <w:p>
            <w:r>
              <w:rPr>
                <w:b w:val="false"/>
                <w:bCs w:val="false"/>
                <w:sz w:val="20"/>
                <w:szCs w:val="20"/>
              </w:rPr>
              <w:t xml:space="preserve">Date of Agreement</w:t>
            </w:r>
          </w:p>
        </w:tc>
        <w:tc>
          <w:tcPr>
            <w:tcW w:type="dxa" w:w="6000"/>
            <w:tcMar>
              <w:top w:type="dxa" w:w="100"/>
              <w:left w:type="dxa" w:w="120"/>
              <w:bottom w:type="dxa" w:w="100"/>
              <w:right w:type="dxa" w:w="120"/>
            </w:tcMar>
          </w:tcPr>
          <w:p>
            <w:r>
              <w:rPr>
                <w:b w:val="false"/>
                <w:bCs w:val="false"/>
                <w:sz w:val="20"/>
                <w:szCs w:val="20"/>
              </w:rPr>
              <w:t xml:space="preserve">14 January 2026</w:t>
            </w:r>
          </w:p>
        </w:tc>
      </w:tr>
    </w:tbl>
    <w:p>
      <w:r>
        <w:br w:type="page"/>
      </w:r>
    </w:p>
    <w:p>
      <w:pPr>
        <w:pStyle w:val="Heading1"/>
        <w:spacing w:after="140" w:before="280"/>
      </w:pPr>
      <w:r>
        <w:rPr>
          <w:b/>
          <w:bCs/>
        </w:rPr>
        <w:t xml:space="preserve">SCHEDULE II — SCHEDULE OF FEES AND CHARGES</w:t>
      </w:r>
    </w:p>
    <w:p>
      <w:pPr>
        <w:spacing w:after="160" w:line="300"/>
        <w:jc w:val="both"/>
      </w:pPr>
      <w:r>
        <w:rPr>
          <w:b w:val="false"/>
          <w:bCs w:val="false"/>
          <w:i w:val="false"/>
          <w:iCs w:val="false"/>
        </w:rPr>
        <w:t xml:space="preserve">(All amounts inclusive of applicable taxes unless stated otherwise. Charges below are one-time unless marked recurring.)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c>
          <w:tcPr>
            <w:tcW w:type="dxa" w:w="4500"/>
            <w:shd w:fill="E8E4DC" w:val="clear"/>
            <w:tcMar>
              <w:top w:type="dxa" w:w="100"/>
              <w:left w:type="dxa" w:w="120"/>
              <w:bottom w:type="dxa" w:w="100"/>
              <w:right w:type="dxa" w:w="120"/>
            </w:tcMar>
          </w:tcPr>
          <w:p>
            <w:r>
              <w:rPr>
                <w:b/>
                <w:bCs/>
                <w:sz w:val="20"/>
                <w:szCs w:val="20"/>
              </w:rPr>
              <w:t xml:space="preserve">Head</w:t>
            </w:r>
          </w:p>
        </w:tc>
        <w:tc>
          <w:tcPr>
            <w:tcW w:type="dxa" w:w="2500"/>
            <w:shd w:fill="E8E4DC" w:val="clear"/>
            <w:tcMar>
              <w:top w:type="dxa" w:w="100"/>
              <w:left w:type="dxa" w:w="120"/>
              <w:bottom w:type="dxa" w:w="100"/>
              <w:right w:type="dxa" w:w="120"/>
            </w:tcMar>
          </w:tcPr>
          <w:p>
            <w:r>
              <w:rPr>
                <w:b/>
                <w:bCs/>
                <w:sz w:val="20"/>
                <w:szCs w:val="20"/>
              </w:rPr>
              <w:t xml:space="preserve">Amount</w:t>
            </w:r>
          </w:p>
        </w:tc>
        <w:tc>
          <w:tcPr>
            <w:tcW w:type="dxa" w:w="2000"/>
            <w:shd w:fill="E8E4DC" w:val="clear"/>
            <w:tcMar>
              <w:top w:type="dxa" w:w="100"/>
              <w:left w:type="dxa" w:w="120"/>
              <w:bottom w:type="dxa" w:w="100"/>
              <w:right w:type="dxa" w:w="120"/>
            </w:tcMar>
          </w:tcPr>
          <w:p>
            <w:r>
              <w:rPr>
                <w:b/>
                <w:bCs/>
                <w:sz w:val="20"/>
                <w:szCs w:val="20"/>
              </w:rPr>
              <w:t xml:space="preserve">When Payable</w:t>
            </w:r>
          </w:p>
        </w:tc>
      </w:tr>
      <w:tr>
        <w:tc>
          <w:tcPr>
            <w:tcW w:type="dxa" w:w="4500"/>
            <w:tcMar>
              <w:top w:type="dxa" w:w="100"/>
              <w:left w:type="dxa" w:w="120"/>
              <w:bottom w:type="dxa" w:w="100"/>
              <w:right w:type="dxa" w:w="120"/>
            </w:tcMar>
          </w:tcPr>
          <w:p>
            <w:r>
              <w:rPr>
                <w:b w:val="false"/>
                <w:bCs w:val="false"/>
                <w:sz w:val="20"/>
                <w:szCs w:val="20"/>
              </w:rPr>
              <w:t xml:space="preserve">Processing Fee</w:t>
            </w:r>
          </w:p>
        </w:tc>
        <w:tc>
          <w:tcPr>
            <w:tcW w:type="dxa" w:w="2500"/>
            <w:tcMar>
              <w:top w:type="dxa" w:w="100"/>
              <w:left w:type="dxa" w:w="120"/>
              <w:bottom w:type="dxa" w:w="100"/>
              <w:right w:type="dxa" w:w="120"/>
            </w:tcMar>
          </w:tcPr>
          <w:p>
            <w:r>
              <w:rPr>
                <w:b w:val="false"/>
                <w:bCs w:val="false"/>
                <w:sz w:val="20"/>
                <w:szCs w:val="20"/>
              </w:rPr>
              <w:t xml:space="preserve">Rs. 20,000</w:t>
            </w:r>
          </w:p>
        </w:tc>
        <w:tc>
          <w:tcPr>
            <w:tcW w:type="dxa" w:w="2000"/>
            <w:tcMar>
              <w:top w:type="dxa" w:w="100"/>
              <w:left w:type="dxa" w:w="120"/>
              <w:bottom w:type="dxa" w:w="100"/>
              <w:right w:type="dxa" w:w="120"/>
            </w:tcMar>
          </w:tcPr>
          <w:p>
            <w:r>
              <w:rPr>
                <w:b w:val="false"/>
                <w:bCs w:val="false"/>
                <w:sz w:val="20"/>
                <w:szCs w:val="20"/>
              </w:rPr>
              <w:t xml:space="preserve">At sanction</w:t>
            </w:r>
          </w:p>
        </w:tc>
      </w:tr>
      <w:tr>
        <w:tc>
          <w:tcPr>
            <w:tcW w:type="dxa" w:w="4500"/>
            <w:tcMar>
              <w:top w:type="dxa" w:w="100"/>
              <w:left w:type="dxa" w:w="120"/>
              <w:bottom w:type="dxa" w:w="100"/>
              <w:right w:type="dxa" w:w="120"/>
            </w:tcMar>
          </w:tcPr>
          <w:p>
            <w:r>
              <w:rPr>
                <w:b w:val="false"/>
                <w:bCs w:val="false"/>
                <w:sz w:val="20"/>
                <w:szCs w:val="20"/>
              </w:rPr>
              <w:t xml:space="preserve">Legal &amp; Technical Verification Fee</w:t>
            </w:r>
          </w:p>
        </w:tc>
        <w:tc>
          <w:tcPr>
            <w:tcW w:type="dxa" w:w="2500"/>
            <w:tcMar>
              <w:top w:type="dxa" w:w="100"/>
              <w:left w:type="dxa" w:w="120"/>
              <w:bottom w:type="dxa" w:w="100"/>
              <w:right w:type="dxa" w:w="120"/>
            </w:tcMar>
          </w:tcPr>
          <w:p>
            <w:r>
              <w:rPr>
                <w:b w:val="false"/>
                <w:bCs w:val="false"/>
                <w:sz w:val="20"/>
                <w:szCs w:val="20"/>
              </w:rPr>
              <w:t xml:space="preserve">Rs. 10,000</w:t>
            </w:r>
          </w:p>
        </w:tc>
        <w:tc>
          <w:tcPr>
            <w:tcW w:type="dxa" w:w="2000"/>
            <w:tcMar>
              <w:top w:type="dxa" w:w="100"/>
              <w:left w:type="dxa" w:w="120"/>
              <w:bottom w:type="dxa" w:w="100"/>
              <w:right w:type="dxa" w:w="120"/>
            </w:tcMar>
          </w:tcPr>
          <w:p>
            <w:r>
              <w:rPr>
                <w:b w:val="false"/>
                <w:bCs w:val="false"/>
                <w:sz w:val="20"/>
                <w:szCs w:val="20"/>
              </w:rPr>
              <w:t xml:space="preserve">At sanction</w:t>
            </w:r>
          </w:p>
        </w:tc>
      </w:tr>
      <w:tr>
        <w:tc>
          <w:tcPr>
            <w:tcW w:type="dxa" w:w="4500"/>
            <w:tcMar>
              <w:top w:type="dxa" w:w="100"/>
              <w:left w:type="dxa" w:w="120"/>
              <w:bottom w:type="dxa" w:w="100"/>
              <w:right w:type="dxa" w:w="120"/>
            </w:tcMar>
          </w:tcPr>
          <w:p>
            <w:r>
              <w:rPr>
                <w:b w:val="false"/>
                <w:bCs w:val="false"/>
                <w:sz w:val="20"/>
                <w:szCs w:val="20"/>
              </w:rPr>
              <w:t xml:space="preserve">CERSAI Filing Fee</w:t>
            </w:r>
          </w:p>
        </w:tc>
        <w:tc>
          <w:tcPr>
            <w:tcW w:type="dxa" w:w="2500"/>
            <w:tcMar>
              <w:top w:type="dxa" w:w="100"/>
              <w:left w:type="dxa" w:w="120"/>
              <w:bottom w:type="dxa" w:w="100"/>
              <w:right w:type="dxa" w:w="120"/>
            </w:tcMar>
          </w:tcPr>
          <w:p>
            <w:r>
              <w:rPr>
                <w:b w:val="false"/>
                <w:bCs w:val="false"/>
                <w:sz w:val="20"/>
                <w:szCs w:val="20"/>
              </w:rPr>
              <w:t xml:space="preserve">Rs. 1,000</w:t>
            </w:r>
          </w:p>
        </w:tc>
        <w:tc>
          <w:tcPr>
            <w:tcW w:type="dxa" w:w="2000"/>
            <w:tcMar>
              <w:top w:type="dxa" w:w="100"/>
              <w:left w:type="dxa" w:w="120"/>
              <w:bottom w:type="dxa" w:w="100"/>
              <w:right w:type="dxa" w:w="120"/>
            </w:tcMar>
          </w:tcPr>
          <w:p>
            <w:r>
              <w:rPr>
                <w:b w:val="false"/>
                <w:bCs w:val="false"/>
                <w:sz w:val="20"/>
                <w:szCs w:val="20"/>
              </w:rPr>
              <w:t xml:space="preserve">At disbursement</w:t>
            </w:r>
          </w:p>
        </w:tc>
      </w:tr>
      <w:tr>
        <w:tc>
          <w:tcPr>
            <w:tcW w:type="dxa" w:w="4500"/>
            <w:tcMar>
              <w:top w:type="dxa" w:w="100"/>
              <w:left w:type="dxa" w:w="120"/>
              <w:bottom w:type="dxa" w:w="100"/>
              <w:right w:type="dxa" w:w="120"/>
            </w:tcMar>
          </w:tcPr>
          <w:p>
            <w:r>
              <w:rPr>
                <w:b w:val="false"/>
                <w:bCs w:val="false"/>
                <w:sz w:val="20"/>
                <w:szCs w:val="20"/>
              </w:rPr>
              <w:t xml:space="preserve">Documentation / MODT Charges</w:t>
            </w:r>
          </w:p>
        </w:tc>
        <w:tc>
          <w:tcPr>
            <w:tcW w:type="dxa" w:w="2500"/>
            <w:tcMar>
              <w:top w:type="dxa" w:w="100"/>
              <w:left w:type="dxa" w:w="120"/>
              <w:bottom w:type="dxa" w:w="100"/>
              <w:right w:type="dxa" w:w="120"/>
            </w:tcMar>
          </w:tcPr>
          <w:p>
            <w:r>
              <w:rPr>
                <w:b w:val="false"/>
                <w:bCs w:val="false"/>
                <w:sz w:val="20"/>
                <w:szCs w:val="20"/>
              </w:rPr>
              <w:t xml:space="preserve">Rs. 12,000</w:t>
            </w:r>
          </w:p>
        </w:tc>
        <w:tc>
          <w:tcPr>
            <w:tcW w:type="dxa" w:w="2000"/>
            <w:tcMar>
              <w:top w:type="dxa" w:w="100"/>
              <w:left w:type="dxa" w:w="120"/>
              <w:bottom w:type="dxa" w:w="100"/>
              <w:right w:type="dxa" w:w="120"/>
            </w:tcMar>
          </w:tcPr>
          <w:p>
            <w:r>
              <w:rPr>
                <w:b w:val="false"/>
                <w:bCs w:val="false"/>
                <w:sz w:val="20"/>
                <w:szCs w:val="20"/>
              </w:rPr>
              <w:t xml:space="preserve">At disbursement</w:t>
            </w:r>
          </w:p>
        </w:tc>
      </w:tr>
      <w:tr>
        <w:tc>
          <w:tcPr>
            <w:tcW w:type="dxa" w:w="4500"/>
            <w:tcMar>
              <w:top w:type="dxa" w:w="100"/>
              <w:left w:type="dxa" w:w="120"/>
              <w:bottom w:type="dxa" w:w="100"/>
              <w:right w:type="dxa" w:w="120"/>
            </w:tcMar>
          </w:tcPr>
          <w:p>
            <w:r>
              <w:rPr>
                <w:b w:val="false"/>
                <w:bCs w:val="false"/>
                <w:sz w:val="20"/>
                <w:szCs w:val="20"/>
              </w:rPr>
              <w:t xml:space="preserve">Property Insurance Premium (Clause 7.1)</w:t>
            </w:r>
          </w:p>
        </w:tc>
        <w:tc>
          <w:tcPr>
            <w:tcW w:type="dxa" w:w="2500"/>
            <w:tcMar>
              <w:top w:type="dxa" w:w="100"/>
              <w:left w:type="dxa" w:w="120"/>
              <w:bottom w:type="dxa" w:w="100"/>
              <w:right w:type="dxa" w:w="120"/>
            </w:tcMar>
          </w:tcPr>
          <w:p>
            <w:r>
              <w:rPr>
                <w:b w:val="false"/>
                <w:bCs w:val="false"/>
                <w:sz w:val="20"/>
                <w:szCs w:val="20"/>
              </w:rPr>
              <w:t xml:space="preserve">Rs. 8,500 approx., recurring annually</w:t>
            </w:r>
          </w:p>
        </w:tc>
        <w:tc>
          <w:tcPr>
            <w:tcW w:type="dxa" w:w="2000"/>
            <w:tcMar>
              <w:top w:type="dxa" w:w="100"/>
              <w:left w:type="dxa" w:w="120"/>
              <w:bottom w:type="dxa" w:w="100"/>
              <w:right w:type="dxa" w:w="120"/>
            </w:tcMar>
          </w:tcPr>
          <w:p>
            <w:r>
              <w:rPr>
                <w:b w:val="false"/>
                <w:bCs w:val="false"/>
                <w:sz w:val="20"/>
                <w:szCs w:val="20"/>
              </w:rPr>
              <w:t xml:space="preserve">Annually</w:t>
            </w:r>
          </w:p>
        </w:tc>
      </w:tr>
      <w:tr>
        <w:tc>
          <w:tcPr>
            <w:tcW w:type="dxa" w:w="4500"/>
            <w:tcMar>
              <w:top w:type="dxa" w:w="100"/>
              <w:left w:type="dxa" w:w="120"/>
              <w:bottom w:type="dxa" w:w="100"/>
              <w:right w:type="dxa" w:w="120"/>
            </w:tcMar>
          </w:tcPr>
          <w:p>
            <w:r>
              <w:rPr>
                <w:b w:val="false"/>
                <w:bCs w:val="false"/>
                <w:sz w:val="20"/>
                <w:szCs w:val="20"/>
              </w:rPr>
              <w:t xml:space="preserve">Loan Protection Insurance Premium (Clause 7.2)</w:t>
            </w:r>
          </w:p>
        </w:tc>
        <w:tc>
          <w:tcPr>
            <w:tcW w:type="dxa" w:w="2500"/>
            <w:tcMar>
              <w:top w:type="dxa" w:w="100"/>
              <w:left w:type="dxa" w:w="120"/>
              <w:bottom w:type="dxa" w:w="100"/>
              <w:right w:type="dxa" w:w="120"/>
            </w:tcMar>
          </w:tcPr>
          <w:p>
            <w:r>
              <w:rPr>
                <w:b w:val="false"/>
                <w:bCs w:val="false"/>
                <w:sz w:val="20"/>
                <w:szCs w:val="20"/>
              </w:rPr>
              <w:t xml:space="preserve">Rs. 1,90,000</w:t>
            </w:r>
          </w:p>
        </w:tc>
        <w:tc>
          <w:tcPr>
            <w:tcW w:type="dxa" w:w="2000"/>
            <w:tcMar>
              <w:top w:type="dxa" w:w="100"/>
              <w:left w:type="dxa" w:w="120"/>
              <w:bottom w:type="dxa" w:w="100"/>
              <w:right w:type="dxa" w:w="120"/>
            </w:tcMar>
          </w:tcPr>
          <w:p>
            <w:r>
              <w:rPr>
                <w:b w:val="false"/>
                <w:bCs w:val="false"/>
                <w:sz w:val="20"/>
                <w:szCs w:val="20"/>
              </w:rPr>
              <w:t xml:space="preserve">Single premium, financed into Loan</w:t>
            </w:r>
          </w:p>
        </w:tc>
      </w:tr>
      <w:tr>
        <w:tc>
          <w:tcPr>
            <w:tcW w:type="dxa" w:w="4500"/>
            <w:tcMar>
              <w:top w:type="dxa" w:w="100"/>
              <w:left w:type="dxa" w:w="120"/>
              <w:bottom w:type="dxa" w:w="100"/>
              <w:right w:type="dxa" w:w="120"/>
            </w:tcMar>
          </w:tcPr>
          <w:p>
            <w:r>
              <w:rPr>
                <w:b w:val="false"/>
                <w:bCs w:val="false"/>
                <w:sz w:val="20"/>
                <w:szCs w:val="20"/>
              </w:rPr>
              <w:t xml:space="preserve">Penal Charges (Clause 9)</w:t>
            </w:r>
          </w:p>
        </w:tc>
        <w:tc>
          <w:tcPr>
            <w:tcW w:type="dxa" w:w="2500"/>
            <w:tcMar>
              <w:top w:type="dxa" w:w="100"/>
              <w:left w:type="dxa" w:w="120"/>
              <w:bottom w:type="dxa" w:w="100"/>
              <w:right w:type="dxa" w:w="120"/>
            </w:tcMar>
          </w:tcPr>
          <w:p>
            <w:r>
              <w:rPr>
                <w:b w:val="false"/>
                <w:bCs w:val="false"/>
                <w:sz w:val="20"/>
                <w:szCs w:val="20"/>
              </w:rPr>
              <w:t xml:space="preserve">2% per month on overdue amount</w:t>
            </w:r>
          </w:p>
        </w:tc>
        <w:tc>
          <w:tcPr>
            <w:tcW w:type="dxa" w:w="2000"/>
            <w:tcMar>
              <w:top w:type="dxa" w:w="100"/>
              <w:left w:type="dxa" w:w="120"/>
              <w:bottom w:type="dxa" w:w="100"/>
              <w:right w:type="dxa" w:w="120"/>
            </w:tcMar>
          </w:tcPr>
          <w:p>
            <w:r>
              <w:rPr>
                <w:b w:val="false"/>
                <w:bCs w:val="false"/>
                <w:sz w:val="20"/>
                <w:szCs w:val="20"/>
              </w:rPr>
              <w:t xml:space="preserve">On default</w:t>
            </w:r>
          </w:p>
        </w:tc>
      </w:tr>
      <w:tr>
        <w:tc>
          <w:tcPr>
            <w:tcW w:type="dxa" w:w="4500"/>
            <w:tcMar>
              <w:top w:type="dxa" w:w="100"/>
              <w:left w:type="dxa" w:w="120"/>
              <w:bottom w:type="dxa" w:w="100"/>
              <w:right w:type="dxa" w:w="120"/>
            </w:tcMar>
          </w:tcPr>
          <w:p>
            <w:r>
              <w:rPr>
                <w:b w:val="false"/>
                <w:bCs w:val="false"/>
                <w:sz w:val="20"/>
                <w:szCs w:val="20"/>
              </w:rPr>
              <w:t xml:space="preserve">Prepayment Charge (Clause 11.3)</w:t>
            </w:r>
          </w:p>
        </w:tc>
        <w:tc>
          <w:tcPr>
            <w:tcW w:type="dxa" w:w="2500"/>
            <w:tcMar>
              <w:top w:type="dxa" w:w="100"/>
              <w:left w:type="dxa" w:w="120"/>
              <w:bottom w:type="dxa" w:w="100"/>
              <w:right w:type="dxa" w:w="120"/>
            </w:tcMar>
          </w:tcPr>
          <w:p>
            <w:r>
              <w:rPr>
                <w:b w:val="false"/>
                <w:bCs w:val="false"/>
                <w:sz w:val="20"/>
                <w:szCs w:val="20"/>
              </w:rPr>
              <w:t xml:space="preserve">3% of principal prepaid, if applicable</w:t>
            </w:r>
          </w:p>
        </w:tc>
        <w:tc>
          <w:tcPr>
            <w:tcW w:type="dxa" w:w="2000"/>
            <w:tcMar>
              <w:top w:type="dxa" w:w="100"/>
              <w:left w:type="dxa" w:w="120"/>
              <w:bottom w:type="dxa" w:w="100"/>
              <w:right w:type="dxa" w:w="120"/>
            </w:tcMar>
          </w:tcPr>
          <w:p>
            <w:r>
              <w:rPr>
                <w:b w:val="false"/>
                <w:bCs w:val="false"/>
                <w:sz w:val="20"/>
                <w:szCs w:val="20"/>
              </w:rPr>
              <w:t xml:space="preserve">On prepayment from external refinance</w:t>
            </w:r>
          </w:p>
        </w:tc>
      </w:tr>
      <w:tr>
        <w:tc>
          <w:tcPr>
            <w:tcW w:type="dxa" w:w="4500"/>
            <w:tcMar>
              <w:top w:type="dxa" w:w="100"/>
              <w:left w:type="dxa" w:w="120"/>
              <w:bottom w:type="dxa" w:w="100"/>
              <w:right w:type="dxa" w:w="120"/>
            </w:tcMar>
          </w:tcPr>
          <w:p>
            <w:r>
              <w:rPr>
                <w:b w:val="false"/>
                <w:bCs w:val="false"/>
                <w:sz w:val="20"/>
                <w:szCs w:val="20"/>
              </w:rPr>
              <w:t xml:space="preserve">Fixed-Rate Switch Charge (Clause 4.3)</w:t>
            </w:r>
          </w:p>
        </w:tc>
        <w:tc>
          <w:tcPr>
            <w:tcW w:type="dxa" w:w="2500"/>
            <w:tcMar>
              <w:top w:type="dxa" w:w="100"/>
              <w:left w:type="dxa" w:w="120"/>
              <w:bottom w:type="dxa" w:w="100"/>
              <w:right w:type="dxa" w:w="120"/>
            </w:tcMar>
          </w:tcPr>
          <w:p>
            <w:r>
              <w:rPr>
                <w:b w:val="false"/>
                <w:bCs w:val="false"/>
                <w:sz w:val="20"/>
                <w:szCs w:val="20"/>
              </w:rPr>
              <w:t xml:space="preserve">Rs. 5,000</w:t>
            </w:r>
          </w:p>
        </w:tc>
        <w:tc>
          <w:tcPr>
            <w:tcW w:type="dxa" w:w="2000"/>
            <w:tcMar>
              <w:top w:type="dxa" w:w="100"/>
              <w:left w:type="dxa" w:w="120"/>
              <w:bottom w:type="dxa" w:w="100"/>
              <w:right w:type="dxa" w:w="120"/>
            </w:tcMar>
          </w:tcPr>
          <w:p>
            <w:r>
              <w:rPr>
                <w:b w:val="false"/>
                <w:bCs w:val="false"/>
                <w:sz w:val="20"/>
                <w:szCs w:val="20"/>
              </w:rPr>
              <w:t xml:space="preserve">On switch request</w:t>
            </w:r>
          </w:p>
        </w:tc>
      </w:tr>
      <w:tr>
        <w:tc>
          <w:tcPr>
            <w:tcW w:type="dxa" w:w="4500"/>
            <w:tcMar>
              <w:top w:type="dxa" w:w="100"/>
              <w:left w:type="dxa" w:w="120"/>
              <w:bottom w:type="dxa" w:w="100"/>
              <w:right w:type="dxa" w:w="120"/>
            </w:tcMar>
          </w:tcPr>
          <w:p>
            <w:r>
              <w:rPr>
                <w:b w:val="false"/>
                <w:bCs w:val="false"/>
                <w:sz w:val="20"/>
                <w:szCs w:val="20"/>
              </w:rPr>
              <w:t xml:space="preserve">Cheque / NACH Bounce Charges</w:t>
            </w:r>
          </w:p>
        </w:tc>
        <w:tc>
          <w:tcPr>
            <w:tcW w:type="dxa" w:w="2500"/>
            <w:tcMar>
              <w:top w:type="dxa" w:w="100"/>
              <w:left w:type="dxa" w:w="120"/>
              <w:bottom w:type="dxa" w:w="100"/>
              <w:right w:type="dxa" w:w="120"/>
            </w:tcMar>
          </w:tcPr>
          <w:p>
            <w:r>
              <w:rPr>
                <w:b w:val="false"/>
                <w:bCs w:val="false"/>
                <w:sz w:val="20"/>
                <w:szCs w:val="20"/>
              </w:rPr>
              <w:t xml:space="preserve">Rs. 500 per instance</w:t>
            </w:r>
          </w:p>
        </w:tc>
        <w:tc>
          <w:tcPr>
            <w:tcW w:type="dxa" w:w="2000"/>
            <w:tcMar>
              <w:top w:type="dxa" w:w="100"/>
              <w:left w:type="dxa" w:w="120"/>
              <w:bottom w:type="dxa" w:w="100"/>
              <w:right w:type="dxa" w:w="120"/>
            </w:tcMar>
          </w:tcPr>
          <w:p>
            <w:r>
              <w:rPr>
                <w:b w:val="false"/>
                <w:bCs w:val="false"/>
                <w:sz w:val="20"/>
                <w:szCs w:val="20"/>
              </w:rPr>
              <w:t xml:space="preserve">Per instance</w:t>
            </w:r>
          </w:p>
        </w:tc>
      </w:tr>
      <w:tr>
        <w:tc>
          <w:tcPr>
            <w:tcW w:type="dxa" w:w="4500"/>
            <w:tcMar>
              <w:top w:type="dxa" w:w="100"/>
              <w:left w:type="dxa" w:w="120"/>
              <w:bottom w:type="dxa" w:w="100"/>
              <w:right w:type="dxa" w:w="120"/>
            </w:tcMar>
          </w:tcPr>
          <w:p>
            <w:r>
              <w:rPr>
                <w:b w:val="false"/>
                <w:bCs w:val="false"/>
                <w:sz w:val="20"/>
                <w:szCs w:val="20"/>
              </w:rPr>
              <w:t xml:space="preserve">Duplicate Statement / NOC Charges</w:t>
            </w:r>
          </w:p>
        </w:tc>
        <w:tc>
          <w:tcPr>
            <w:tcW w:type="dxa" w:w="2500"/>
            <w:tcMar>
              <w:top w:type="dxa" w:w="100"/>
              <w:left w:type="dxa" w:w="120"/>
              <w:bottom w:type="dxa" w:w="100"/>
              <w:right w:type="dxa" w:w="120"/>
            </w:tcMar>
          </w:tcPr>
          <w:p>
            <w:r>
              <w:rPr>
                <w:b w:val="false"/>
                <w:bCs w:val="false"/>
                <w:sz w:val="20"/>
                <w:szCs w:val="20"/>
              </w:rPr>
              <w:t xml:space="preserve">Rs. 250 per document</w:t>
            </w:r>
          </w:p>
        </w:tc>
        <w:tc>
          <w:tcPr>
            <w:tcW w:type="dxa" w:w="2000"/>
            <w:tcMar>
              <w:top w:type="dxa" w:w="100"/>
              <w:left w:type="dxa" w:w="120"/>
              <w:bottom w:type="dxa" w:w="100"/>
              <w:right w:type="dxa" w:w="120"/>
            </w:tcMar>
          </w:tcPr>
          <w:p>
            <w:r>
              <w:rPr>
                <w:b w:val="false"/>
                <w:bCs w:val="false"/>
                <w:sz w:val="20"/>
                <w:szCs w:val="20"/>
              </w:rPr>
              <w:t xml:space="preserve">On request</w:t>
            </w:r>
          </w:p>
        </w:tc>
      </w:tr>
    </w:tbl>
    <w:p>
      <w:pPr>
        <w:spacing w:after="160" w:line="300"/>
        <w:jc w:val="both"/>
      </w:pPr>
      <w:r>
        <w:rPr>
          <w:b w:val="false"/>
          <w:bCs w:val="false"/>
          <w:i/>
          <w:iCs/>
        </w:rPr>
        <w:t xml:space="preserve">Total one-time charges at sanction/disbursement (Processing + Legal &amp; Technical + CERSAI + Documentation): Rs. 43,000. Together with the Loan Protection Insurance premium of Rs. 1,90,000 financed into the Loan, total charges disclosed at origination are Rs. 2,33,000.</w:t>
      </w:r>
    </w:p>
    <w:p>
      <w:r>
        <w:br w:type="page"/>
      </w:r>
    </w:p>
    <w:p>
      <w:pPr>
        <w:pStyle w:val="Heading1"/>
        <w:spacing w:after="140" w:before="280"/>
      </w:pPr>
      <w:r>
        <w:rPr>
          <w:b/>
          <w:bCs/>
        </w:rPr>
        <w:t xml:space="preserve">SCHEDULE III — ILLUSTRATIVE AMORTISATION (FIRST 12 MONTHS)</w:t>
      </w:r>
    </w:p>
    <w:p>
      <w:pPr>
        <w:spacing w:after="160" w:line="300"/>
        <w:jc w:val="both"/>
      </w:pPr>
      <w:r>
        <w:rPr>
          <w:b w:val="false"/>
          <w:bCs w:val="false"/>
          <w:i w:val="false"/>
          <w:iCs w:val="false"/>
        </w:rPr>
        <w:t xml:space="preserve">The table below is illustrative at the interest rate prevailing on the date of sanction and is subject to change upon reset under Clause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1800"/>
      </w:tblGrid>
      <w:tr>
        <w:tc>
          <w:tcPr>
            <w:tcW w:type="dxa" w:w="1200"/>
            <w:shd w:fill="E8E4DC" w:val="clear"/>
            <w:tcMar>
              <w:top w:type="dxa" w:w="100"/>
              <w:left w:type="dxa" w:w="120"/>
              <w:bottom w:type="dxa" w:w="100"/>
              <w:right w:type="dxa" w:w="120"/>
            </w:tcMar>
          </w:tcPr>
          <w:p>
            <w:r>
              <w:rPr>
                <w:b/>
                <w:bCs/>
                <w:sz w:val="20"/>
                <w:szCs w:val="20"/>
              </w:rPr>
              <w:t xml:space="preserve">Month</w:t>
            </w:r>
          </w:p>
        </w:tc>
        <w:tc>
          <w:tcPr>
            <w:tcW w:type="dxa" w:w="2000"/>
            <w:shd w:fill="E8E4DC" w:val="clear"/>
            <w:tcMar>
              <w:top w:type="dxa" w:w="100"/>
              <w:left w:type="dxa" w:w="120"/>
              <w:bottom w:type="dxa" w:w="100"/>
              <w:right w:type="dxa" w:w="120"/>
            </w:tcMar>
          </w:tcPr>
          <w:p>
            <w:r>
              <w:rPr>
                <w:b/>
                <w:bCs/>
                <w:sz w:val="20"/>
                <w:szCs w:val="20"/>
              </w:rPr>
              <w:t xml:space="preserve">EMI (Rs.)</w:t>
            </w:r>
          </w:p>
        </w:tc>
        <w:tc>
          <w:tcPr>
            <w:tcW w:type="dxa" w:w="2000"/>
            <w:shd w:fill="E8E4DC" w:val="clear"/>
            <w:tcMar>
              <w:top w:type="dxa" w:w="100"/>
              <w:left w:type="dxa" w:w="120"/>
              <w:bottom w:type="dxa" w:w="100"/>
              <w:right w:type="dxa" w:w="120"/>
            </w:tcMar>
          </w:tcPr>
          <w:p>
            <w:r>
              <w:rPr>
                <w:b/>
                <w:bCs/>
                <w:sz w:val="20"/>
                <w:szCs w:val="20"/>
              </w:rPr>
              <w:t xml:space="preserve">Principal (Rs.)</w:t>
            </w:r>
          </w:p>
        </w:tc>
        <w:tc>
          <w:tcPr>
            <w:tcW w:type="dxa" w:w="2000"/>
            <w:shd w:fill="E8E4DC" w:val="clear"/>
            <w:tcMar>
              <w:top w:type="dxa" w:w="100"/>
              <w:left w:type="dxa" w:w="120"/>
              <w:bottom w:type="dxa" w:w="100"/>
              <w:right w:type="dxa" w:w="120"/>
            </w:tcMar>
          </w:tcPr>
          <w:p>
            <w:r>
              <w:rPr>
                <w:b/>
                <w:bCs/>
                <w:sz w:val="20"/>
                <w:szCs w:val="20"/>
              </w:rPr>
              <w:t xml:space="preserve">Interest (Rs.)</w:t>
            </w:r>
          </w:p>
        </w:tc>
        <w:tc>
          <w:tcPr>
            <w:tcW w:type="dxa" w:w="1800"/>
            <w:shd w:fill="E8E4DC" w:val="clear"/>
            <w:tcMar>
              <w:top w:type="dxa" w:w="100"/>
              <w:left w:type="dxa" w:w="120"/>
              <w:bottom w:type="dxa" w:w="100"/>
              <w:right w:type="dxa" w:w="120"/>
            </w:tcMar>
          </w:tcPr>
          <w:p>
            <w:r>
              <w:rPr>
                <w:b/>
                <w:bCs/>
                <w:sz w:val="20"/>
                <w:szCs w:val="20"/>
              </w:rPr>
              <w:t xml:space="preserve">Balance (Rs.)</w:t>
            </w:r>
          </w:p>
        </w:tc>
      </w:tr>
      <w:tr>
        <w:tc>
          <w:tcPr>
            <w:tcW w:type="dxa" w:w="1200"/>
            <w:tcMar>
              <w:top w:type="dxa" w:w="100"/>
              <w:left w:type="dxa" w:w="120"/>
              <w:bottom w:type="dxa" w:w="100"/>
              <w:right w:type="dxa" w:w="120"/>
            </w:tcMar>
          </w:tcPr>
          <w:p>
            <w:r>
              <w:rPr>
                <w:b w:val="false"/>
                <w:bCs w:val="false"/>
                <w:sz w:val="20"/>
                <w:szCs w:val="20"/>
              </w:rPr>
              <w:t xml:space="preserve">1</w:t>
            </w:r>
          </w:p>
        </w:tc>
        <w:tc>
          <w:tcPr>
            <w:tcW w:type="dxa" w:w="2000"/>
            <w:tcMar>
              <w:top w:type="dxa" w:w="100"/>
              <w:left w:type="dxa" w:w="120"/>
              <w:bottom w:type="dxa" w:w="100"/>
              <w:right w:type="dxa" w:w="120"/>
            </w:tcMar>
          </w:tcPr>
          <w:p>
            <w:r>
              <w:rPr>
                <w:b w:val="false"/>
                <w:bCs w:val="false"/>
                <w:sz w:val="20"/>
                <w:szCs w:val="20"/>
              </w:rPr>
              <w:t xml:space="preserve">43,391</w:t>
            </w:r>
          </w:p>
        </w:tc>
        <w:tc>
          <w:tcPr>
            <w:tcW w:type="dxa" w:w="2000"/>
            <w:tcMar>
              <w:top w:type="dxa" w:w="100"/>
              <w:left w:type="dxa" w:w="120"/>
              <w:bottom w:type="dxa" w:w="100"/>
              <w:right w:type="dxa" w:w="120"/>
            </w:tcMar>
          </w:tcPr>
          <w:p>
            <w:r>
              <w:rPr>
                <w:b w:val="false"/>
                <w:bCs w:val="false"/>
                <w:sz w:val="20"/>
                <w:szCs w:val="20"/>
              </w:rPr>
              <w:t xml:space="preserve">8,595</w:t>
            </w:r>
          </w:p>
        </w:tc>
        <w:tc>
          <w:tcPr>
            <w:tcW w:type="dxa" w:w="2000"/>
            <w:tcMar>
              <w:top w:type="dxa" w:w="100"/>
              <w:left w:type="dxa" w:w="120"/>
              <w:bottom w:type="dxa" w:w="100"/>
              <w:right w:type="dxa" w:w="120"/>
            </w:tcMar>
          </w:tcPr>
          <w:p>
            <w:r>
              <w:rPr>
                <w:b w:val="false"/>
                <w:bCs w:val="false"/>
                <w:sz w:val="20"/>
                <w:szCs w:val="20"/>
              </w:rPr>
              <w:t xml:space="preserve">34,796</w:t>
            </w:r>
          </w:p>
        </w:tc>
        <w:tc>
          <w:tcPr>
            <w:tcW w:type="dxa" w:w="1800"/>
            <w:tcMar>
              <w:top w:type="dxa" w:w="100"/>
              <w:left w:type="dxa" w:w="120"/>
              <w:bottom w:type="dxa" w:w="100"/>
              <w:right w:type="dxa" w:w="120"/>
            </w:tcMar>
          </w:tcPr>
          <w:p>
            <w:r>
              <w:rPr>
                <w:b w:val="false"/>
                <w:bCs w:val="false"/>
                <w:sz w:val="20"/>
                <w:szCs w:val="20"/>
              </w:rPr>
              <w:t xml:space="preserve">49,91,405</w:t>
            </w:r>
          </w:p>
        </w:tc>
      </w:tr>
      <w:tr>
        <w:tc>
          <w:tcPr>
            <w:tcW w:type="dxa" w:w="1200"/>
            <w:tcMar>
              <w:top w:type="dxa" w:w="100"/>
              <w:left w:type="dxa" w:w="120"/>
              <w:bottom w:type="dxa" w:w="100"/>
              <w:right w:type="dxa" w:w="120"/>
            </w:tcMar>
          </w:tcPr>
          <w:p>
            <w:r>
              <w:rPr>
                <w:b w:val="false"/>
                <w:bCs w:val="false"/>
                <w:sz w:val="20"/>
                <w:szCs w:val="20"/>
              </w:rPr>
              <w:t xml:space="preserve">2</w:t>
            </w:r>
          </w:p>
        </w:tc>
        <w:tc>
          <w:tcPr>
            <w:tcW w:type="dxa" w:w="2000"/>
            <w:tcMar>
              <w:top w:type="dxa" w:w="100"/>
              <w:left w:type="dxa" w:w="120"/>
              <w:bottom w:type="dxa" w:w="100"/>
              <w:right w:type="dxa" w:w="120"/>
            </w:tcMar>
          </w:tcPr>
          <w:p>
            <w:r>
              <w:rPr>
                <w:b w:val="false"/>
                <w:bCs w:val="false"/>
                <w:sz w:val="20"/>
                <w:szCs w:val="20"/>
              </w:rPr>
              <w:t xml:space="preserve">43,391</w:t>
            </w:r>
          </w:p>
        </w:tc>
        <w:tc>
          <w:tcPr>
            <w:tcW w:type="dxa" w:w="2000"/>
            <w:tcMar>
              <w:top w:type="dxa" w:w="100"/>
              <w:left w:type="dxa" w:w="120"/>
              <w:bottom w:type="dxa" w:w="100"/>
              <w:right w:type="dxa" w:w="120"/>
            </w:tcMar>
          </w:tcPr>
          <w:p>
            <w:r>
              <w:rPr>
                <w:b w:val="false"/>
                <w:bCs w:val="false"/>
                <w:sz w:val="20"/>
                <w:szCs w:val="20"/>
              </w:rPr>
              <w:t xml:space="preserve">8,655</w:t>
            </w:r>
          </w:p>
        </w:tc>
        <w:tc>
          <w:tcPr>
            <w:tcW w:type="dxa" w:w="2000"/>
            <w:tcMar>
              <w:top w:type="dxa" w:w="100"/>
              <w:left w:type="dxa" w:w="120"/>
              <w:bottom w:type="dxa" w:w="100"/>
              <w:right w:type="dxa" w:w="120"/>
            </w:tcMar>
          </w:tcPr>
          <w:p>
            <w:r>
              <w:rPr>
                <w:b w:val="false"/>
                <w:bCs w:val="false"/>
                <w:sz w:val="20"/>
                <w:szCs w:val="20"/>
              </w:rPr>
              <w:t xml:space="preserve">34,736</w:t>
            </w:r>
          </w:p>
        </w:tc>
        <w:tc>
          <w:tcPr>
            <w:tcW w:type="dxa" w:w="1800"/>
            <w:tcMar>
              <w:top w:type="dxa" w:w="100"/>
              <w:left w:type="dxa" w:w="120"/>
              <w:bottom w:type="dxa" w:w="100"/>
              <w:right w:type="dxa" w:w="120"/>
            </w:tcMar>
          </w:tcPr>
          <w:p>
            <w:r>
              <w:rPr>
                <w:b w:val="false"/>
                <w:bCs w:val="false"/>
                <w:sz w:val="20"/>
                <w:szCs w:val="20"/>
              </w:rPr>
              <w:t xml:space="preserve">49,82,750</w:t>
            </w:r>
          </w:p>
        </w:tc>
      </w:tr>
      <w:tr>
        <w:tc>
          <w:tcPr>
            <w:tcW w:type="dxa" w:w="1200"/>
            <w:tcMar>
              <w:top w:type="dxa" w:w="100"/>
              <w:left w:type="dxa" w:w="120"/>
              <w:bottom w:type="dxa" w:w="100"/>
              <w:right w:type="dxa" w:w="120"/>
            </w:tcMar>
          </w:tcPr>
          <w:p>
            <w:r>
              <w:rPr>
                <w:b w:val="false"/>
                <w:bCs w:val="false"/>
                <w:sz w:val="20"/>
                <w:szCs w:val="20"/>
              </w:rPr>
              <w:t xml:space="preserve">3</w:t>
            </w:r>
          </w:p>
        </w:tc>
        <w:tc>
          <w:tcPr>
            <w:tcW w:type="dxa" w:w="2000"/>
            <w:tcMar>
              <w:top w:type="dxa" w:w="100"/>
              <w:left w:type="dxa" w:w="120"/>
              <w:bottom w:type="dxa" w:w="100"/>
              <w:right w:type="dxa" w:w="120"/>
            </w:tcMar>
          </w:tcPr>
          <w:p>
            <w:r>
              <w:rPr>
                <w:b w:val="false"/>
                <w:bCs w:val="false"/>
                <w:sz w:val="20"/>
                <w:szCs w:val="20"/>
              </w:rPr>
              <w:t xml:space="preserve">43,391</w:t>
            </w:r>
          </w:p>
        </w:tc>
        <w:tc>
          <w:tcPr>
            <w:tcW w:type="dxa" w:w="2000"/>
            <w:tcMar>
              <w:top w:type="dxa" w:w="100"/>
              <w:left w:type="dxa" w:w="120"/>
              <w:bottom w:type="dxa" w:w="100"/>
              <w:right w:type="dxa" w:w="120"/>
            </w:tcMar>
          </w:tcPr>
          <w:p>
            <w:r>
              <w:rPr>
                <w:b w:val="false"/>
                <w:bCs w:val="false"/>
                <w:sz w:val="20"/>
                <w:szCs w:val="20"/>
              </w:rPr>
              <w:t xml:space="preserve">8,715</w:t>
            </w:r>
          </w:p>
        </w:tc>
        <w:tc>
          <w:tcPr>
            <w:tcW w:type="dxa" w:w="2000"/>
            <w:tcMar>
              <w:top w:type="dxa" w:w="100"/>
              <w:left w:type="dxa" w:w="120"/>
              <w:bottom w:type="dxa" w:w="100"/>
              <w:right w:type="dxa" w:w="120"/>
            </w:tcMar>
          </w:tcPr>
          <w:p>
            <w:r>
              <w:rPr>
                <w:b w:val="false"/>
                <w:bCs w:val="false"/>
                <w:sz w:val="20"/>
                <w:szCs w:val="20"/>
              </w:rPr>
              <w:t xml:space="preserve">34,676</w:t>
            </w:r>
          </w:p>
        </w:tc>
        <w:tc>
          <w:tcPr>
            <w:tcW w:type="dxa" w:w="1800"/>
            <w:tcMar>
              <w:top w:type="dxa" w:w="100"/>
              <w:left w:type="dxa" w:w="120"/>
              <w:bottom w:type="dxa" w:w="100"/>
              <w:right w:type="dxa" w:w="120"/>
            </w:tcMar>
          </w:tcPr>
          <w:p>
            <w:r>
              <w:rPr>
                <w:b w:val="false"/>
                <w:bCs w:val="false"/>
                <w:sz w:val="20"/>
                <w:szCs w:val="20"/>
              </w:rPr>
              <w:t xml:space="preserve">49,74,035</w:t>
            </w:r>
          </w:p>
        </w:tc>
      </w:tr>
      <w:tr>
        <w:tc>
          <w:tcPr>
            <w:tcW w:type="dxa" w:w="1200"/>
            <w:tcMar>
              <w:top w:type="dxa" w:w="100"/>
              <w:left w:type="dxa" w:w="120"/>
              <w:bottom w:type="dxa" w:w="100"/>
              <w:right w:type="dxa" w:w="120"/>
            </w:tcMar>
          </w:tcPr>
          <w:p>
            <w:r>
              <w:rPr>
                <w:b w:val="false"/>
                <w:bCs w:val="false"/>
                <w:sz w:val="20"/>
                <w:szCs w:val="20"/>
              </w:rPr>
              <w:t xml:space="preserve">…</w:t>
            </w:r>
          </w:p>
        </w:tc>
        <w:tc>
          <w:tcPr>
            <w:tcW w:type="dxa" w:w="2000"/>
            <w:tcMar>
              <w:top w:type="dxa" w:w="100"/>
              <w:left w:type="dxa" w:w="120"/>
              <w:bottom w:type="dxa" w:w="100"/>
              <w:right w:type="dxa" w:w="120"/>
            </w:tcMar>
          </w:tcPr>
          <w:p>
            <w:r>
              <w:rPr>
                <w:b w:val="false"/>
                <w:bCs w:val="false"/>
                <w:sz w:val="20"/>
                <w:szCs w:val="20"/>
              </w:rPr>
              <w:t xml:space="preserve">…</w:t>
            </w:r>
          </w:p>
        </w:tc>
        <w:tc>
          <w:tcPr>
            <w:tcW w:type="dxa" w:w="2000"/>
            <w:tcMar>
              <w:top w:type="dxa" w:w="100"/>
              <w:left w:type="dxa" w:w="120"/>
              <w:bottom w:type="dxa" w:w="100"/>
              <w:right w:type="dxa" w:w="120"/>
            </w:tcMar>
          </w:tcPr>
          <w:p>
            <w:r>
              <w:rPr>
                <w:b w:val="false"/>
                <w:bCs w:val="false"/>
                <w:sz w:val="20"/>
                <w:szCs w:val="20"/>
              </w:rPr>
              <w:t xml:space="preserve">…</w:t>
            </w:r>
          </w:p>
        </w:tc>
        <w:tc>
          <w:tcPr>
            <w:tcW w:type="dxa" w:w="2000"/>
            <w:tcMar>
              <w:top w:type="dxa" w:w="100"/>
              <w:left w:type="dxa" w:w="120"/>
              <w:bottom w:type="dxa" w:w="100"/>
              <w:right w:type="dxa" w:w="120"/>
            </w:tcMar>
          </w:tcPr>
          <w:p>
            <w:r>
              <w:rPr>
                <w:b w:val="false"/>
                <w:bCs w:val="false"/>
                <w:sz w:val="20"/>
                <w:szCs w:val="20"/>
              </w:rPr>
              <w:t xml:space="preserve">…</w:t>
            </w:r>
          </w:p>
        </w:tc>
        <w:tc>
          <w:tcPr>
            <w:tcW w:type="dxa" w:w="1800"/>
            <w:tcMar>
              <w:top w:type="dxa" w:w="100"/>
              <w:left w:type="dxa" w:w="120"/>
              <w:bottom w:type="dxa" w:w="100"/>
              <w:right w:type="dxa" w:w="120"/>
            </w:tcMar>
          </w:tcPr>
          <w:p>
            <w:r>
              <w:rPr>
                <w:b w:val="false"/>
                <w:bCs w:val="false"/>
                <w:sz w:val="20"/>
                <w:szCs w:val="20"/>
              </w:rPr>
              <w:t xml:space="preserve">…</w:t>
            </w:r>
          </w:p>
        </w:tc>
      </w:tr>
      <w:tr>
        <w:tc>
          <w:tcPr>
            <w:tcW w:type="dxa" w:w="1200"/>
            <w:tcMar>
              <w:top w:type="dxa" w:w="100"/>
              <w:left w:type="dxa" w:w="120"/>
              <w:bottom w:type="dxa" w:w="100"/>
              <w:right w:type="dxa" w:w="120"/>
            </w:tcMar>
          </w:tcPr>
          <w:p>
            <w:r>
              <w:rPr>
                <w:b w:val="false"/>
                <w:bCs w:val="false"/>
                <w:sz w:val="20"/>
                <w:szCs w:val="20"/>
              </w:rPr>
              <w:t xml:space="preserve">12</w:t>
            </w:r>
          </w:p>
        </w:tc>
        <w:tc>
          <w:tcPr>
            <w:tcW w:type="dxa" w:w="2000"/>
            <w:tcMar>
              <w:top w:type="dxa" w:w="100"/>
              <w:left w:type="dxa" w:w="120"/>
              <w:bottom w:type="dxa" w:w="100"/>
              <w:right w:type="dxa" w:w="120"/>
            </w:tcMar>
          </w:tcPr>
          <w:p>
            <w:r>
              <w:rPr>
                <w:b w:val="false"/>
                <w:bCs w:val="false"/>
                <w:sz w:val="20"/>
                <w:szCs w:val="20"/>
              </w:rPr>
              <w:t xml:space="preserve">43,391</w:t>
            </w:r>
          </w:p>
        </w:tc>
        <w:tc>
          <w:tcPr>
            <w:tcW w:type="dxa" w:w="2000"/>
            <w:tcMar>
              <w:top w:type="dxa" w:w="100"/>
              <w:left w:type="dxa" w:w="120"/>
              <w:bottom w:type="dxa" w:w="100"/>
              <w:right w:type="dxa" w:w="120"/>
            </w:tcMar>
          </w:tcPr>
          <w:p>
            <w:r>
              <w:rPr>
                <w:b w:val="false"/>
                <w:bCs w:val="false"/>
                <w:sz w:val="20"/>
                <w:szCs w:val="20"/>
              </w:rPr>
              <w:t xml:space="preserve">9,175</w:t>
            </w:r>
          </w:p>
        </w:tc>
        <w:tc>
          <w:tcPr>
            <w:tcW w:type="dxa" w:w="2000"/>
            <w:tcMar>
              <w:top w:type="dxa" w:w="100"/>
              <w:left w:type="dxa" w:w="120"/>
              <w:bottom w:type="dxa" w:w="100"/>
              <w:right w:type="dxa" w:w="120"/>
            </w:tcMar>
          </w:tcPr>
          <w:p>
            <w:r>
              <w:rPr>
                <w:b w:val="false"/>
                <w:bCs w:val="false"/>
                <w:sz w:val="20"/>
                <w:szCs w:val="20"/>
              </w:rPr>
              <w:t xml:space="preserve">34,216</w:t>
            </w:r>
          </w:p>
        </w:tc>
        <w:tc>
          <w:tcPr>
            <w:tcW w:type="dxa" w:w="1800"/>
            <w:tcMar>
              <w:top w:type="dxa" w:w="100"/>
              <w:left w:type="dxa" w:w="120"/>
              <w:bottom w:type="dxa" w:w="100"/>
              <w:right w:type="dxa" w:w="120"/>
            </w:tcMar>
          </w:tcPr>
          <w:p>
            <w:r>
              <w:rPr>
                <w:b w:val="false"/>
                <w:bCs w:val="false"/>
                <w:sz w:val="20"/>
                <w:szCs w:val="20"/>
              </w:rPr>
              <w:t xml:space="preserve">49,05,210</w:t>
            </w:r>
          </w:p>
        </w:tc>
      </w:tr>
    </w:tbl>
    <w:p>
      <w:r>
        <w:br w:type="page"/>
      </w:r>
    </w:p>
    <w:p>
      <w:pPr>
        <w:pStyle w:val="Heading1"/>
        <w:spacing w:after="140" w:before="280"/>
      </w:pPr>
      <w:r>
        <w:rPr>
          <w:b/>
          <w:bCs/>
        </w:rPr>
        <w:t xml:space="preserve">SCHEDULE IV — CONDITIONS PRECEDENT TO DISBURSEMENT</w:t>
      </w:r>
    </w:p>
    <w:p>
      <w:pPr>
        <w:spacing w:after="140" w:line="300"/>
        <w:ind w:left="360"/>
        <w:jc w:val="both"/>
      </w:pPr>
      <w:r>
        <w:rPr>
          <w:b/>
          <w:bCs/>
        </w:rPr>
        <w:t xml:space="preserve">1.  </w:t>
      </w:r>
      <w:r>
        <w:rPr>
          <w:b w:val="false"/>
          <w:bCs w:val="false"/>
        </w:rPr>
        <w:t xml:space="preserve">Execution of this Agreement and the NACH mandate by the Borrower.</w:t>
      </w:r>
    </w:p>
    <w:p>
      <w:pPr>
        <w:spacing w:after="140" w:line="300"/>
        <w:ind w:left="360"/>
        <w:jc w:val="both"/>
      </w:pPr>
      <w:r>
        <w:rPr>
          <w:b/>
          <w:bCs/>
        </w:rPr>
        <w:t xml:space="preserve">2.  </w:t>
      </w:r>
      <w:r>
        <w:rPr>
          <w:b w:val="false"/>
          <w:bCs w:val="false"/>
        </w:rPr>
        <w:t xml:space="preserve">Submission of original title documents of the Secured Property for the Lender's legal scrutiny.</w:t>
      </w:r>
    </w:p>
    <w:p>
      <w:pPr>
        <w:spacing w:after="140" w:line="300"/>
        <w:ind w:left="360"/>
        <w:jc w:val="both"/>
      </w:pPr>
      <w:r>
        <w:rPr>
          <w:b/>
          <w:bCs/>
        </w:rPr>
        <w:t xml:space="preserve">3.  </w:t>
      </w:r>
      <w:r>
        <w:rPr>
          <w:b w:val="false"/>
          <w:bCs w:val="false"/>
        </w:rPr>
        <w:t xml:space="preserve">Submission of a valuation report from a Lender-empanelled valuer.</w:t>
      </w:r>
    </w:p>
    <w:p>
      <w:pPr>
        <w:spacing w:after="140" w:line="300"/>
        <w:ind w:left="360"/>
        <w:jc w:val="both"/>
      </w:pPr>
      <w:r>
        <w:rPr>
          <w:b/>
          <w:bCs/>
        </w:rPr>
        <w:t xml:space="preserve">4.  </w:t>
      </w:r>
      <w:r>
        <w:rPr>
          <w:b w:val="false"/>
          <w:bCs w:val="false"/>
        </w:rPr>
        <w:t xml:space="preserve">Evidence of payment of the Borrower's own contribution (margin money) towards the property cost.</w:t>
      </w:r>
    </w:p>
    <w:p>
      <w:pPr>
        <w:spacing w:after="140" w:line="300"/>
        <w:ind w:left="360"/>
        <w:jc w:val="both"/>
      </w:pPr>
      <w:r>
        <w:rPr>
          <w:b/>
          <w:bCs/>
        </w:rPr>
        <w:t xml:space="preserve">5.  </w:t>
      </w:r>
      <w:r>
        <w:rPr>
          <w:b w:val="false"/>
          <w:bCs w:val="false"/>
        </w:rPr>
        <w:t xml:space="preserve">Submission of the executed Loan Protection Insurance proposal, if the Borrower has opted for the same under Clause 7.2.</w:t>
      </w:r>
    </w:p>
    <w:p>
      <w:r>
        <w:br w:type="page"/>
      </w:r>
    </w:p>
    <w:p>
      <w:pPr>
        <w:pStyle w:val="Heading1"/>
        <w:spacing w:after="140" w:before="280"/>
      </w:pPr>
      <w:r>
        <w:rPr>
          <w:b/>
          <w:bCs/>
        </w:rPr>
        <w:t xml:space="preserve">SIGNATURES</w:t>
      </w:r>
    </w:p>
    <w:p>
      <w:pPr>
        <w:spacing w:after="160" w:line="300"/>
        <w:jc w:val="both"/>
      </w:pPr>
      <w:r>
        <w:rPr>
          <w:b w:val="false"/>
          <w:bCs w:val="false"/>
          <w:i w:val="false"/>
          <w:iCs w:val="false"/>
        </w:rPr>
        <w:t xml:space="preserve">IN WITNESS WHEREOF the parties have executed this Agreement on the date first mentioned above.</w:t>
      </w:r>
    </w:p>
    <w:p>
      <w:pPr>
        <w:spacing w:after="200" w:before="600"/>
      </w:pPr>
      <w:r>
        <w:t xml:space="preserve">For Kalpataru Housing Finance Limited:</w:t>
      </w:r>
    </w:p>
    <w:p>
      <w:pPr>
        <w:spacing w:after="200" w:before="800"/>
      </w:pPr>
      <w:r>
        <w:t xml:space="preserve">Authorised Signatory</w:t>
      </w:r>
    </w:p>
    <w:p>
      <w:pPr>
        <w:spacing w:after="200" w:before="600"/>
      </w:pPr>
      <w:r>
        <w:t xml:space="preserve">Borrower: Rohan Anand Deshmukh</w:t>
      </w:r>
    </w:p>
    <w:p>
      <w:pPr>
        <w:spacing w:after="200" w:before="800"/>
      </w:pPr>
      <w:r>
        <w:t xml:space="preserve">Signature: _______________________</w:t>
      </w:r>
    </w:p>
    <w:p>
      <w:pPr>
        <w:spacing w:after="200" w:before="600"/>
      </w:pPr>
      <w:r>
        <w:t xml:space="preserve">Co-Borrower: Priya Rohan Deshmukh</w:t>
      </w:r>
    </w:p>
    <w:p>
      <w:pPr>
        <w:spacing w:after="200" w:before="800"/>
      </w:pPr>
      <w:r>
        <w:t xml:space="preserve">Signature: _______________________</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Loan Agreement — KHFL/HL/2026/0041872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2026-09-14T18:47:16.843Z</dcterms:created>
  <dcterms:modified xsi:type="dcterms:W3CDTF">2026-09-14T18:47:16.843Z</dcterms:modified>
</cp:coreProperties>
</file>

<file path=docProps/custom.xml><?xml version="1.0" encoding="utf-8"?>
<Properties xmlns="http://schemas.openxmlformats.org/officeDocument/2006/custom-properties" xmlns:vt="http://schemas.openxmlformats.org/officeDocument/2006/docPropsVTypes"/>
</file>