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sz w:val="32"/>
          <w:szCs w:val="32"/>
        </w:rPr>
        <w:t xml:space="preserve">Kalpataru Housing Finance Limited</w:t>
      </w:r>
    </w:p>
    <w:p>
      <w:pPr>
        <w:spacing w:after="400"/>
        <w:jc w:val="center"/>
      </w:pPr>
      <w:r>
        <w:rPr>
          <w:i/>
          <w:iCs/>
          <w:sz w:val="20"/>
          <w:szCs w:val="20"/>
        </w:rPr>
        <w:t xml:space="preserve">(Registered NBFC-HFC, CIN: U65922MH2011PLC999999)</w:t>
      </w:r>
    </w:p>
    <w:p>
      <w:pPr>
        <w:spacing w:after="200"/>
        <w:jc w:val="center"/>
      </w:pPr>
      <w:r>
        <w:rPr>
          <w:b/>
          <w:bCs/>
          <w:sz w:val="40"/>
          <w:szCs w:val="40"/>
        </w:rPr>
        <w:t xml:space="preserve">HOUSING LOAN AGREEMENT</w:t>
      </w:r>
    </w:p>
    <w:p>
      <w:pPr>
        <w:spacing w:after="600"/>
        <w:jc w:val="center"/>
      </w:pPr>
      <w:r>
        <w:rPr>
          <w:b/>
          <w:bCs/>
          <w:color w:val="7A2E38"/>
          <w:sz w:val="26"/>
          <w:szCs w:val="26"/>
        </w:rPr>
        <w:t xml:space="preserve">REVISED — VERSION 2</w:t>
      </w:r>
    </w:p>
    <w:p>
      <w:pPr>
        <w:spacing w:after="300"/>
        <w:jc w:val="center"/>
      </w:pPr>
      <w:r>
        <w:rPr>
          <w:sz w:val="22"/>
          <w:szCs w:val="22"/>
        </w:rPr>
        <w:t xml:space="preserve">Loan Account No.: KHFL/HL/2026/0041872</w:t>
      </w:r>
    </w:p>
    <w:p>
      <w:pPr>
        <w:spacing w:after="200"/>
        <w:jc w:val="center"/>
      </w:pPr>
      <w:r>
        <w:rPr>
          <w:sz w:val="20"/>
          <w:szCs w:val="20"/>
        </w:rPr>
        <w:t xml:space="preserve">Original Agreement Dated: 14 January 2026</w:t>
      </w:r>
    </w:p>
    <w:p>
      <w:pPr>
        <w:spacing w:after="600"/>
        <w:jc w:val="center"/>
      </w:pPr>
      <w:r>
        <w:rPr>
          <w:b/>
          <w:bCs/>
          <w:sz w:val="22"/>
          <w:szCs w:val="22"/>
        </w:rPr>
        <w:t xml:space="preserve">This Revision Effective: 15 January 2027</w:t>
      </w:r>
    </w:p>
    <w:p>
      <w:pPr>
        <w:spacing w:after="160" w:line="300"/>
        <w:jc w:val="both"/>
      </w:pPr>
      <w:r>
        <w:rPr>
          <w:b w:val="false"/>
          <w:bCs w:val="false"/>
          <w:i w:val="false"/>
          <w:iCs w:val="false"/>
        </w:rPr>
        <w:t xml:space="preserve">This Agreement records the annual review and revision, effective 15 January 2027, to the Housing Loan Agreement dated 14 January 2026 bearing Loan Account No. KHFL/HL/2026/0041872 between Kalpataru Housing Finance Limited and the Borrower(s) named below (the "Original Agreement"). Save as expressly revised herein, all other terms and conditions of the Original Agreement continue in full force and effect and are not restated in this document for brevity; the Borrower may refer to the Original Agreement for the complete text of unrevised clauses.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100"/>
              <w:left w:type="dxa" w:w="120"/>
              <w:bottom w:type="dxa" w:w="100"/>
              <w:right w:type="dxa" w:w="120"/>
            </w:tcMar>
          </w:tcPr>
          <w:p>
            <w:r>
              <w:rPr>
                <w:b w:val="false"/>
                <w:bCs w:val="false"/>
                <w:sz w:val="20"/>
                <w:szCs w:val="20"/>
              </w:rPr>
              <w:t xml:space="preserve">Borrower</w:t>
            </w:r>
          </w:p>
        </w:tc>
        <w:tc>
          <w:tcPr>
            <w:tcW w:type="dxa" w:w="6000"/>
            <w:tcMar>
              <w:top w:type="dxa" w:w="100"/>
              <w:left w:type="dxa" w:w="120"/>
              <w:bottom w:type="dxa" w:w="100"/>
              <w:right w:type="dxa" w:w="120"/>
            </w:tcMar>
          </w:tcPr>
          <w:p>
            <w:r>
              <w:rPr>
                <w:b w:val="false"/>
                <w:bCs w:val="false"/>
                <w:sz w:val="20"/>
                <w:szCs w:val="20"/>
              </w:rPr>
              <w:t xml:space="preserve">Rohan Anand Deshmukh</w:t>
            </w:r>
          </w:p>
        </w:tc>
      </w:tr>
      <w:tr>
        <w:tc>
          <w:tcPr>
            <w:tcW w:type="dxa" w:w="3000"/>
            <w:tcMar>
              <w:top w:type="dxa" w:w="100"/>
              <w:left w:type="dxa" w:w="120"/>
              <w:bottom w:type="dxa" w:w="100"/>
              <w:right w:type="dxa" w:w="120"/>
            </w:tcMar>
          </w:tcPr>
          <w:p>
            <w:r>
              <w:rPr>
                <w:b w:val="false"/>
                <w:bCs w:val="false"/>
                <w:sz w:val="20"/>
                <w:szCs w:val="20"/>
              </w:rPr>
              <w:t xml:space="preserve">Co-Borrower</w:t>
            </w:r>
          </w:p>
        </w:tc>
        <w:tc>
          <w:tcPr>
            <w:tcW w:type="dxa" w:w="6000"/>
            <w:tcMar>
              <w:top w:type="dxa" w:w="100"/>
              <w:left w:type="dxa" w:w="120"/>
              <w:bottom w:type="dxa" w:w="100"/>
              <w:right w:type="dxa" w:w="120"/>
            </w:tcMar>
          </w:tcPr>
          <w:p>
            <w:r>
              <w:rPr>
                <w:b w:val="false"/>
                <w:bCs w:val="false"/>
                <w:sz w:val="20"/>
                <w:szCs w:val="20"/>
              </w:rPr>
              <w:t xml:space="preserve">Priya Rohan Deshmukh</w:t>
            </w:r>
          </w:p>
        </w:tc>
      </w:tr>
      <w:tr>
        <w:tc>
          <w:tcPr>
            <w:tcW w:type="dxa" w:w="3000"/>
            <w:tcMar>
              <w:top w:type="dxa" w:w="100"/>
              <w:left w:type="dxa" w:w="120"/>
              <w:bottom w:type="dxa" w:w="100"/>
              <w:right w:type="dxa" w:w="120"/>
            </w:tcMar>
          </w:tcPr>
          <w:p>
            <w:r>
              <w:rPr>
                <w:b w:val="false"/>
                <w:bCs w:val="false"/>
                <w:sz w:val="20"/>
                <w:szCs w:val="20"/>
              </w:rPr>
              <w:t xml:space="preserve">Outstanding Principal (as of revision)</w:t>
            </w:r>
          </w:p>
        </w:tc>
        <w:tc>
          <w:tcPr>
            <w:tcW w:type="dxa" w:w="6000"/>
            <w:tcMar>
              <w:top w:type="dxa" w:w="100"/>
              <w:left w:type="dxa" w:w="120"/>
              <w:bottom w:type="dxa" w:w="100"/>
              <w:right w:type="dxa" w:w="120"/>
            </w:tcMar>
          </w:tcPr>
          <w:p>
            <w:r>
              <w:rPr>
                <w:b w:val="false"/>
                <w:bCs w:val="false"/>
                <w:sz w:val="20"/>
                <w:szCs w:val="20"/>
              </w:rPr>
              <w:t xml:space="preserve">Rs. 49,05,210 (approx., per Original Agreement Schedule III)</w:t>
            </w:r>
          </w:p>
        </w:tc>
      </w:tr>
      <w:tr>
        <w:tc>
          <w:tcPr>
            <w:tcW w:type="dxa" w:w="3000"/>
            <w:tcMar>
              <w:top w:type="dxa" w:w="100"/>
              <w:left w:type="dxa" w:w="120"/>
              <w:bottom w:type="dxa" w:w="100"/>
              <w:right w:type="dxa" w:w="120"/>
            </w:tcMar>
          </w:tcPr>
          <w:p>
            <w:r>
              <w:rPr>
                <w:b w:val="false"/>
                <w:bCs w:val="false"/>
                <w:sz w:val="20"/>
                <w:szCs w:val="20"/>
              </w:rPr>
              <w:t xml:space="preserve">Revised Rate of Interest</w:t>
            </w:r>
          </w:p>
        </w:tc>
        <w:tc>
          <w:tcPr>
            <w:tcW w:type="dxa" w:w="6000"/>
            <w:tcMar>
              <w:top w:type="dxa" w:w="100"/>
              <w:left w:type="dxa" w:w="120"/>
              <w:bottom w:type="dxa" w:w="100"/>
              <w:right w:type="dxa" w:w="120"/>
            </w:tcMar>
          </w:tcPr>
          <w:p>
            <w:r>
              <w:rPr>
                <w:b w:val="false"/>
                <w:bCs w:val="false"/>
                <w:sz w:val="20"/>
                <w:szCs w:val="20"/>
              </w:rPr>
              <w:t xml:space="preserve">8.60% per annum (floating), linked to KHFL Repo Linked Lending Rate (RLLR)</w:t>
            </w:r>
          </w:p>
        </w:tc>
      </w:tr>
      <w:tr>
        <w:tc>
          <w:tcPr>
            <w:tcW w:type="dxa" w:w="3000"/>
            <w:tcMar>
              <w:top w:type="dxa" w:w="100"/>
              <w:left w:type="dxa" w:w="120"/>
              <w:bottom w:type="dxa" w:w="100"/>
              <w:right w:type="dxa" w:w="120"/>
            </w:tcMar>
          </w:tcPr>
          <w:p>
            <w:r>
              <w:rPr>
                <w:b w:val="false"/>
                <w:bCs w:val="false"/>
                <w:sz w:val="20"/>
                <w:szCs w:val="20"/>
              </w:rPr>
              <w:t xml:space="preserve">Remaining Tenure</w:t>
            </w:r>
          </w:p>
        </w:tc>
        <w:tc>
          <w:tcPr>
            <w:tcW w:type="dxa" w:w="6000"/>
            <w:tcMar>
              <w:top w:type="dxa" w:w="100"/>
              <w:left w:type="dxa" w:w="120"/>
              <w:bottom w:type="dxa" w:w="100"/>
              <w:right w:type="dxa" w:w="120"/>
            </w:tcMar>
          </w:tcPr>
          <w:p>
            <w:r>
              <w:rPr>
                <w:b w:val="false"/>
                <w:bCs w:val="false"/>
                <w:sz w:val="20"/>
                <w:szCs w:val="20"/>
              </w:rPr>
              <w:t xml:space="preserve">240 months (20 years); 228 months remaining as of this revision</w:t>
            </w:r>
          </w:p>
        </w:tc>
      </w:tr>
      <w:tr>
        <w:tc>
          <w:tcPr>
            <w:tcW w:type="dxa" w:w="3000"/>
            <w:tcMar>
              <w:top w:type="dxa" w:w="100"/>
              <w:left w:type="dxa" w:w="120"/>
              <w:bottom w:type="dxa" w:w="100"/>
              <w:right w:type="dxa" w:w="120"/>
            </w:tcMar>
          </w:tcPr>
          <w:p>
            <w:r>
              <w:rPr>
                <w:b w:val="false"/>
                <w:bCs w:val="false"/>
                <w:sz w:val="20"/>
                <w:szCs w:val="20"/>
              </w:rPr>
              <w:t xml:space="preserve">Secured Property</w:t>
            </w:r>
          </w:p>
        </w:tc>
        <w:tc>
          <w:tcPr>
            <w:tcW w:type="dxa" w:w="6000"/>
            <w:tcMar>
              <w:top w:type="dxa" w:w="100"/>
              <w:left w:type="dxa" w:w="120"/>
              <w:bottom w:type="dxa" w:w="100"/>
              <w:right w:type="dxa" w:w="120"/>
            </w:tcMar>
          </w:tcPr>
          <w:p>
            <w:r>
              <w:rPr>
                <w:b w:val="false"/>
                <w:bCs w:val="false"/>
                <w:sz w:val="20"/>
                <w:szCs w:val="20"/>
              </w:rPr>
              <w:t xml:space="preserve">Flat No. 1204, Tower C, Sanskruti Residency, Baner-Balewadi Road, Pune, Maharashtra 411045</w:t>
            </w:r>
          </w:p>
        </w:tc>
      </w:tr>
    </w:tbl>
    <w:p>
      <w:pPr>
        <w:pBdr>
          <w:top w:val="single" w:color="7A2E38" w:sz="6"/>
          <w:bottom w:val="single" w:color="7A2E38" w:sz="6"/>
        </w:pBdr>
        <w:spacing w:before="800"/>
        <w:jc w:val="center"/>
      </w:pPr>
      <w:r>
        <w:rPr>
          <w:b/>
          <w:bCs/>
          <w:i/>
          <w:iCs/>
          <w:color w:val="7A2E38"/>
          <w:sz w:val="18"/>
          <w:szCs w:val="18"/>
        </w:rPr>
        <w:t xml:space="preserve">THIS SYNTHETIC AGREEMENT IS FICTIONAL AND PREPARED SOLELY FOR THE DEMONSTRATION OF THE FinX LOAN-AGREEMENT-INTELLIGENCE SYSTEM. NO REAL PERSON, ENTITY, PROPERTY, OR LOAN IS REFERENCED.</w:t>
      </w:r>
    </w:p>
    <w:p>
      <w:r>
        <w:br w:type="page"/>
      </w:r>
    </w:p>
    <w:p>
      <w:pPr>
        <w:pStyle w:val="Heading1"/>
        <w:spacing w:after="140" w:before="280"/>
      </w:pPr>
      <w:r>
        <w:rPr>
          <w:b/>
          <w:bCs/>
        </w:rPr>
        <w:t xml:space="preserve">SUMMARY OF REVISIONS</w:t>
      </w:r>
    </w:p>
    <w:p>
      <w:pPr>
        <w:spacing w:after="160" w:line="300"/>
        <w:jc w:val="both"/>
      </w:pPr>
      <w:r>
        <w:rPr>
          <w:b w:val="false"/>
          <w:bCs w:val="false"/>
          <w:i w:val="false"/>
          <w:iCs w:val="false"/>
        </w:rPr>
        <w:t xml:space="preserve">The following clauses of the Original Agreement stand revised with effect from 15 January 2027. All other clauses of the Original Agreement are unchanged and continue to apply.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100"/>
        <w:gridCol w:w="2100"/>
      </w:tblGrid>
      <w:tr>
        <w:tc>
          <w:tcPr>
            <w:tcW w:type="dxa" w:w="1400"/>
            <w:shd w:fill="E8E4DC" w:val="clear"/>
            <w:tcMar>
              <w:top w:type="dxa" w:w="100"/>
              <w:left w:type="dxa" w:w="120"/>
              <w:bottom w:type="dxa" w:w="100"/>
              <w:right w:type="dxa" w:w="120"/>
            </w:tcMar>
          </w:tcPr>
          <w:p>
            <w:r>
              <w:rPr>
                <w:b/>
                <w:bCs/>
                <w:sz w:val="20"/>
                <w:szCs w:val="20"/>
              </w:rPr>
              <w:t xml:space="preserve">Clause</w:t>
            </w:r>
          </w:p>
        </w:tc>
        <w:tc>
          <w:tcPr>
            <w:tcW w:type="dxa" w:w="3600"/>
            <w:shd w:fill="E8E4DC" w:val="clear"/>
            <w:tcMar>
              <w:top w:type="dxa" w:w="100"/>
              <w:left w:type="dxa" w:w="120"/>
              <w:bottom w:type="dxa" w:w="100"/>
              <w:right w:type="dxa" w:w="120"/>
            </w:tcMar>
          </w:tcPr>
          <w:p>
            <w:r>
              <w:rPr>
                <w:b/>
                <w:bCs/>
                <w:sz w:val="20"/>
                <w:szCs w:val="20"/>
              </w:rPr>
              <w:t xml:space="preserve">Subject</w:t>
            </w:r>
          </w:p>
        </w:tc>
        <w:tc>
          <w:tcPr>
            <w:tcW w:type="dxa" w:w="2100"/>
            <w:shd w:fill="E8E4DC" w:val="clear"/>
            <w:tcMar>
              <w:top w:type="dxa" w:w="100"/>
              <w:left w:type="dxa" w:w="120"/>
              <w:bottom w:type="dxa" w:w="100"/>
              <w:right w:type="dxa" w:w="120"/>
            </w:tcMar>
          </w:tcPr>
          <w:p>
            <w:r>
              <w:rPr>
                <w:b/>
                <w:bCs/>
                <w:sz w:val="20"/>
                <w:szCs w:val="20"/>
              </w:rPr>
              <w:t xml:space="preserve">Original Agreement (14 Jan 2026)</w:t>
            </w:r>
          </w:p>
        </w:tc>
        <w:tc>
          <w:tcPr>
            <w:tcW w:type="dxa" w:w="2100"/>
            <w:shd w:fill="E8E4DC" w:val="clear"/>
            <w:tcMar>
              <w:top w:type="dxa" w:w="100"/>
              <w:left w:type="dxa" w:w="120"/>
              <w:bottom w:type="dxa" w:w="100"/>
              <w:right w:type="dxa" w:w="120"/>
            </w:tcMar>
          </w:tcPr>
          <w:p>
            <w:r>
              <w:rPr>
                <w:b/>
                <w:bCs/>
                <w:sz w:val="20"/>
                <w:szCs w:val="20"/>
              </w:rPr>
              <w:t xml:space="preserve">As Revised (15 Jan 2027)</w:t>
            </w:r>
          </w:p>
        </w:tc>
      </w:tr>
      <w:tr>
        <w:tc>
          <w:tcPr>
            <w:tcW w:type="dxa" w:w="1400"/>
            <w:shd w:fill="FDF4E6" w:val="clear"/>
            <w:tcMar>
              <w:top w:type="dxa" w:w="100"/>
              <w:left w:type="dxa" w:w="120"/>
              <w:bottom w:type="dxa" w:w="100"/>
              <w:right w:type="dxa" w:w="120"/>
            </w:tcMar>
          </w:tcPr>
          <w:p>
            <w:r>
              <w:rPr>
                <w:b w:val="false"/>
                <w:bCs w:val="false"/>
                <w:sz w:val="20"/>
                <w:szCs w:val="20"/>
              </w:rPr>
              <w:t xml:space="preserve">3.1</w:t>
            </w:r>
          </w:p>
        </w:tc>
        <w:tc>
          <w:tcPr>
            <w:tcW w:type="dxa" w:w="3600"/>
            <w:shd w:fill="FDF4E6" w:val="clear"/>
            <w:tcMar>
              <w:top w:type="dxa" w:w="100"/>
              <w:left w:type="dxa" w:w="120"/>
              <w:bottom w:type="dxa" w:w="100"/>
              <w:right w:type="dxa" w:w="120"/>
            </w:tcMar>
          </w:tcPr>
          <w:p>
            <w:r>
              <w:rPr>
                <w:b w:val="false"/>
                <w:bCs w:val="false"/>
                <w:sz w:val="20"/>
                <w:szCs w:val="20"/>
              </w:rPr>
              <w:t xml:space="preserve">Rate of Interest</w:t>
            </w:r>
          </w:p>
        </w:tc>
        <w:tc>
          <w:tcPr>
            <w:tcW w:type="dxa" w:w="2100"/>
            <w:shd w:fill="FDF4E6" w:val="clear"/>
            <w:tcMar>
              <w:top w:type="dxa" w:w="100"/>
              <w:left w:type="dxa" w:w="120"/>
              <w:bottom w:type="dxa" w:w="100"/>
              <w:right w:type="dxa" w:w="120"/>
            </w:tcMar>
          </w:tcPr>
          <w:p>
            <w:r>
              <w:rPr>
                <w:b w:val="false"/>
                <w:bCs w:val="false"/>
                <w:sz w:val="20"/>
                <w:szCs w:val="20"/>
              </w:rPr>
              <w:t xml:space="preserve">8.35% p.a.</w:t>
            </w:r>
          </w:p>
        </w:tc>
        <w:tc>
          <w:tcPr>
            <w:tcW w:type="dxa" w:w="2100"/>
            <w:shd w:fill="FDF4E6" w:val="clear"/>
            <w:tcMar>
              <w:top w:type="dxa" w:w="100"/>
              <w:left w:type="dxa" w:w="120"/>
              <w:bottom w:type="dxa" w:w="100"/>
              <w:right w:type="dxa" w:w="120"/>
            </w:tcMar>
          </w:tcPr>
          <w:p>
            <w:r>
              <w:rPr>
                <w:b w:val="false"/>
                <w:bCs w:val="false"/>
                <w:sz w:val="20"/>
                <w:szCs w:val="20"/>
              </w:rPr>
              <w:t xml:space="preserve">8.60% p.a.</w:t>
            </w:r>
          </w:p>
        </w:tc>
      </w:tr>
      <w:tr>
        <w:tc>
          <w:tcPr>
            <w:tcW w:type="dxa" w:w="1400"/>
            <w:shd w:fill="FDF4E6" w:val="clear"/>
            <w:tcMar>
              <w:top w:type="dxa" w:w="100"/>
              <w:left w:type="dxa" w:w="120"/>
              <w:bottom w:type="dxa" w:w="100"/>
              <w:right w:type="dxa" w:w="120"/>
            </w:tcMar>
          </w:tcPr>
          <w:p>
            <w:r>
              <w:rPr>
                <w:b w:val="false"/>
                <w:bCs w:val="false"/>
                <w:sz w:val="20"/>
                <w:szCs w:val="20"/>
              </w:rPr>
              <w:t xml:space="preserve">9.1</w:t>
            </w:r>
          </w:p>
        </w:tc>
        <w:tc>
          <w:tcPr>
            <w:tcW w:type="dxa" w:w="3600"/>
            <w:shd w:fill="FDF4E6" w:val="clear"/>
            <w:tcMar>
              <w:top w:type="dxa" w:w="100"/>
              <w:left w:type="dxa" w:w="120"/>
              <w:bottom w:type="dxa" w:w="100"/>
              <w:right w:type="dxa" w:w="120"/>
            </w:tcMar>
          </w:tcPr>
          <w:p>
            <w:r>
              <w:rPr>
                <w:b w:val="false"/>
                <w:bCs w:val="false"/>
                <w:sz w:val="20"/>
                <w:szCs w:val="20"/>
              </w:rPr>
              <w:t xml:space="preserve">Penal Charges</w:t>
            </w:r>
          </w:p>
        </w:tc>
        <w:tc>
          <w:tcPr>
            <w:tcW w:type="dxa" w:w="2100"/>
            <w:shd w:fill="FDF4E6" w:val="clear"/>
            <w:tcMar>
              <w:top w:type="dxa" w:w="100"/>
              <w:left w:type="dxa" w:w="120"/>
              <w:bottom w:type="dxa" w:w="100"/>
              <w:right w:type="dxa" w:w="120"/>
            </w:tcMar>
          </w:tcPr>
          <w:p>
            <w:r>
              <w:rPr>
                <w:b w:val="false"/>
                <w:bCs w:val="false"/>
                <w:sz w:val="20"/>
                <w:szCs w:val="20"/>
              </w:rPr>
              <w:t xml:space="preserve">2% per month on overdue amount</w:t>
            </w:r>
          </w:p>
        </w:tc>
        <w:tc>
          <w:tcPr>
            <w:tcW w:type="dxa" w:w="2100"/>
            <w:shd w:fill="FDF4E6" w:val="clear"/>
            <w:tcMar>
              <w:top w:type="dxa" w:w="100"/>
              <w:left w:type="dxa" w:w="120"/>
              <w:bottom w:type="dxa" w:w="100"/>
              <w:right w:type="dxa" w:w="120"/>
            </w:tcMar>
          </w:tcPr>
          <w:p>
            <w:r>
              <w:rPr>
                <w:b w:val="false"/>
                <w:bCs w:val="false"/>
                <w:sz w:val="20"/>
                <w:szCs w:val="20"/>
              </w:rPr>
              <w:t xml:space="preserve">1.5% per month on overdue amount</w:t>
            </w:r>
          </w:p>
        </w:tc>
      </w:tr>
      <w:tr>
        <w:tc>
          <w:tcPr>
            <w:tcW w:type="dxa" w:w="1400"/>
            <w:shd w:fill="FDF4E6" w:val="clear"/>
            <w:tcMar>
              <w:top w:type="dxa" w:w="100"/>
              <w:left w:type="dxa" w:w="120"/>
              <w:bottom w:type="dxa" w:w="100"/>
              <w:right w:type="dxa" w:w="120"/>
            </w:tcMar>
          </w:tcPr>
          <w:p>
            <w:r>
              <w:rPr>
                <w:b w:val="false"/>
                <w:bCs w:val="false"/>
                <w:sz w:val="20"/>
                <w:szCs w:val="20"/>
              </w:rPr>
              <w:t xml:space="preserve">11.2</w:t>
            </w:r>
          </w:p>
        </w:tc>
        <w:tc>
          <w:tcPr>
            <w:tcW w:type="dxa" w:w="3600"/>
            <w:shd w:fill="FDF4E6" w:val="clear"/>
            <w:tcMar>
              <w:top w:type="dxa" w:w="100"/>
              <w:left w:type="dxa" w:w="120"/>
              <w:bottom w:type="dxa" w:w="100"/>
              <w:right w:type="dxa" w:w="120"/>
            </w:tcMar>
          </w:tcPr>
          <w:p>
            <w:r>
              <w:rPr>
                <w:b w:val="false"/>
                <w:bCs w:val="false"/>
                <w:sz w:val="20"/>
                <w:szCs w:val="20"/>
              </w:rPr>
              <w:t xml:space="preserve">Lock-in Period</w:t>
            </w:r>
          </w:p>
        </w:tc>
        <w:tc>
          <w:tcPr>
            <w:tcW w:type="dxa" w:w="2100"/>
            <w:shd w:fill="FDF4E6" w:val="clear"/>
            <w:tcMar>
              <w:top w:type="dxa" w:w="100"/>
              <w:left w:type="dxa" w:w="120"/>
              <w:bottom w:type="dxa" w:w="100"/>
              <w:right w:type="dxa" w:w="120"/>
            </w:tcMar>
          </w:tcPr>
          <w:p>
            <w:r>
              <w:rPr>
                <w:b w:val="false"/>
                <w:bCs w:val="false"/>
                <w:sz w:val="20"/>
                <w:szCs w:val="20"/>
              </w:rPr>
              <w:t xml:space="preserve">12 months from first disbursement</w:t>
            </w:r>
          </w:p>
        </w:tc>
        <w:tc>
          <w:tcPr>
            <w:tcW w:type="dxa" w:w="2100"/>
            <w:shd w:fill="FDF4E6" w:val="clear"/>
            <w:tcMar>
              <w:top w:type="dxa" w:w="100"/>
              <w:left w:type="dxa" w:w="120"/>
              <w:bottom w:type="dxa" w:w="100"/>
              <w:right w:type="dxa" w:w="120"/>
            </w:tcMar>
          </w:tcPr>
          <w:p>
            <w:r>
              <w:rPr>
                <w:b w:val="false"/>
                <w:bCs w:val="false"/>
                <w:sz w:val="20"/>
                <w:szCs w:val="20"/>
              </w:rPr>
              <w:t xml:space="preserve">Deleted — no lock-in applies</w:t>
            </w:r>
          </w:p>
        </w:tc>
      </w:tr>
      <w:tr>
        <w:tc>
          <w:tcPr>
            <w:tcW w:type="dxa" w:w="1400"/>
            <w:shd w:fill="FDF4E6" w:val="clear"/>
            <w:tcMar>
              <w:top w:type="dxa" w:w="100"/>
              <w:left w:type="dxa" w:w="120"/>
              <w:bottom w:type="dxa" w:w="100"/>
              <w:right w:type="dxa" w:w="120"/>
            </w:tcMar>
          </w:tcPr>
          <w:p>
            <w:r>
              <w:rPr>
                <w:b w:val="false"/>
                <w:bCs w:val="false"/>
                <w:sz w:val="20"/>
                <w:szCs w:val="20"/>
              </w:rPr>
              <w:t xml:space="preserve">11.3</w:t>
            </w:r>
          </w:p>
        </w:tc>
        <w:tc>
          <w:tcPr>
            <w:tcW w:type="dxa" w:w="3600"/>
            <w:shd w:fill="FDF4E6" w:val="clear"/>
            <w:tcMar>
              <w:top w:type="dxa" w:w="100"/>
              <w:left w:type="dxa" w:w="120"/>
              <w:bottom w:type="dxa" w:w="100"/>
              <w:right w:type="dxa" w:w="120"/>
            </w:tcMar>
          </w:tcPr>
          <w:p>
            <w:r>
              <w:rPr>
                <w:b w:val="false"/>
                <w:bCs w:val="false"/>
                <w:sz w:val="20"/>
                <w:szCs w:val="20"/>
              </w:rPr>
              <w:t xml:space="preserve">Prepayment Charge</w:t>
            </w:r>
          </w:p>
        </w:tc>
        <w:tc>
          <w:tcPr>
            <w:tcW w:type="dxa" w:w="2100"/>
            <w:shd w:fill="FDF4E6" w:val="clear"/>
            <w:tcMar>
              <w:top w:type="dxa" w:w="100"/>
              <w:left w:type="dxa" w:w="120"/>
              <w:bottom w:type="dxa" w:w="100"/>
              <w:right w:type="dxa" w:w="120"/>
            </w:tcMar>
          </w:tcPr>
          <w:p>
            <w:r>
              <w:rPr>
                <w:b w:val="false"/>
                <w:bCs w:val="false"/>
                <w:sz w:val="20"/>
                <w:szCs w:val="20"/>
              </w:rPr>
              <w:t xml:space="preserve">3% of principal prepaid, if refinanced externally</w:t>
            </w:r>
          </w:p>
        </w:tc>
        <w:tc>
          <w:tcPr>
            <w:tcW w:type="dxa" w:w="2100"/>
            <w:shd w:fill="FDF4E6" w:val="clear"/>
            <w:tcMar>
              <w:top w:type="dxa" w:w="100"/>
              <w:left w:type="dxa" w:w="120"/>
              <w:bottom w:type="dxa" w:w="100"/>
              <w:right w:type="dxa" w:w="120"/>
            </w:tcMar>
          </w:tcPr>
          <w:p>
            <w:r>
              <w:rPr>
                <w:b w:val="false"/>
                <w:bCs w:val="false"/>
                <w:sz w:val="20"/>
                <w:szCs w:val="20"/>
              </w:rPr>
              <w:t xml:space="preserve">Nil — no charge under any circumstance</w:t>
            </w:r>
          </w:p>
        </w:tc>
      </w:tr>
    </w:tbl>
    <w:p>
      <w:pPr>
        <w:spacing w:after="160" w:line="300"/>
        <w:jc w:val="both"/>
      </w:pPr>
      <w:r>
        <w:rPr>
          <w:b w:val="false"/>
          <w:bCs w:val="false"/>
          <w:i/>
          <w:iCs/>
        </w:rPr>
        <w:t xml:space="preserve">The revisions to Clauses 11.2 and 11.3 are made to bring this Agreement into conformity with the Reserve Bank of India (Pre-payment Charges on Loans) Directions, 2025 (RBI/2025-26/64 dated 2 July 2025), which took effect from 1 January 2026 and apply to this Loan upon its annual review/renewal falling after that date.</w:t>
      </w:r>
    </w:p>
    <w:p>
      <w:r>
        <w:br w:type="page"/>
      </w:r>
    </w:p>
    <w:p>
      <w:pPr>
        <w:pStyle w:val="Heading1"/>
        <w:spacing w:after="140" w:before="280"/>
      </w:pPr>
      <w:r>
        <w:rPr>
          <w:b/>
          <w:bCs/>
        </w:rPr>
        <w:t xml:space="preserve">3. RATE OF INTEREST (AS REVISED)</w:t>
      </w:r>
    </w:p>
    <w:p>
      <w:pPr>
        <w:spacing w:after="140" w:line="300"/>
        <w:ind w:left="360"/>
        <w:jc w:val="both"/>
      </w:pPr>
      <w:r>
        <w:rPr>
          <w:b/>
          <w:bCs/>
        </w:rPr>
        <w:t xml:space="preserve">3.1  </w:t>
      </w:r>
      <w:r>
        <w:rPr>
          <w:b w:val="false"/>
          <w:bCs w:val="false"/>
          <w:color w:val="7A2E38"/>
        </w:rPr>
        <w:t xml:space="preserve">With effect from 15 January 2027, the Loan carries interest at 8.60% per annum (floating), linked to KHFL Repo Linked Lending Rate (RLLR), computed on a daily reducing balance basis. This revises Clause 3.1 of the Original Agreement.</w:t>
      </w:r>
    </w:p>
    <w:p>
      <w:pPr>
        <w:spacing w:after="140" w:line="300"/>
        <w:ind w:left="360"/>
        <w:jc w:val="both"/>
      </w:pPr>
      <w:r>
        <w:rPr>
          <w:b/>
          <w:bCs/>
        </w:rPr>
        <w:t xml:space="preserve">3.2  </w:t>
      </w:r>
      <w:r>
        <w:rPr>
          <w:b w:val="false"/>
          <w:bCs w:val="false"/>
        </w:rPr>
        <w:t xml:space="preserve">All other provisions of Clause 3 (Rate of Interest) of the Original Agreement remain unchanged.</w:t>
      </w:r>
    </w:p>
    <w:p>
      <w:pPr>
        <w:pStyle w:val="Heading1"/>
        <w:spacing w:after="140" w:before="280"/>
      </w:pPr>
      <w:r>
        <w:rPr>
          <w:b/>
          <w:bCs/>
        </w:rPr>
        <w:t xml:space="preserve">9. PENAL CHARGES (AS REVISED)</w:t>
      </w:r>
    </w:p>
    <w:p>
      <w:pPr>
        <w:spacing w:after="140" w:line="300"/>
        <w:ind w:left="360"/>
        <w:jc w:val="both"/>
      </w:pPr>
      <w:r>
        <w:rPr>
          <w:b/>
          <w:bCs/>
        </w:rPr>
        <w:t xml:space="preserve">9.1  </w:t>
      </w:r>
      <w:r>
        <w:rPr>
          <w:b w:val="false"/>
          <w:bCs w:val="false"/>
          <w:color w:val="7A2E38"/>
        </w:rPr>
        <w:t xml:space="preserve">With effect from 15 January 2027, in the event of default in payment of any EMI or other amount due under this Agreement, the Lender shall levy penal charges at the revised rate of 1.5% (one point five percent) per month on the overdue amount, calculated from the Due Date until the date of payment. This revises Clause 9.1 of the Original Agreement.</w:t>
      </w:r>
    </w:p>
    <w:p>
      <w:pPr>
        <w:spacing w:after="140" w:line="300"/>
        <w:ind w:left="360"/>
        <w:jc w:val="both"/>
      </w:pPr>
      <w:r>
        <w:rPr>
          <w:b/>
          <w:bCs/>
        </w:rPr>
        <w:t xml:space="preserve">9.2  </w:t>
      </w:r>
      <w:r>
        <w:rPr>
          <w:b w:val="false"/>
          <w:bCs w:val="false"/>
        </w:rPr>
        <w:t xml:space="preserve">All other provisions of Clause 9 (Penal Charges) of the Original Agreement, including the prohibition on capitalisation of penal charges, remain unchanged.</w:t>
      </w:r>
    </w:p>
    <w:p>
      <w:pPr>
        <w:pStyle w:val="Heading1"/>
        <w:spacing w:after="140" w:before="280"/>
      </w:pPr>
      <w:r>
        <w:rPr>
          <w:b/>
          <w:bCs/>
        </w:rPr>
        <w:t xml:space="preserve">11. FORECLOSURE AND PART-PREPAYMENT (AS REVISED)</w:t>
      </w:r>
    </w:p>
    <w:p>
      <w:pPr>
        <w:spacing w:after="140" w:line="300"/>
        <w:ind w:left="360"/>
        <w:jc w:val="both"/>
      </w:pPr>
      <w:r>
        <w:rPr>
          <w:b/>
          <w:bCs/>
        </w:rPr>
        <w:t xml:space="preserve">11.1  </w:t>
      </w:r>
      <w:r>
        <w:rPr>
          <w:b w:val="false"/>
          <w:bCs w:val="false"/>
        </w:rPr>
        <w:t xml:space="preserve">The Borrower may prepay the outstanding principal, in whole or in part, at any time and without any lock-in period, subject to the provisions of this Clause 11 as revised.</w:t>
      </w:r>
    </w:p>
    <w:p>
      <w:pPr>
        <w:spacing w:after="140" w:line="300"/>
        <w:ind w:left="360"/>
        <w:jc w:val="both"/>
      </w:pPr>
      <w:r>
        <w:rPr>
          <w:b/>
          <w:bCs/>
        </w:rPr>
        <w:t xml:space="preserve">11.2  </w:t>
      </w:r>
      <w:r>
        <w:rPr>
          <w:b/>
          <w:bCs/>
          <w:color w:val="7A2E38"/>
        </w:rPr>
        <w:t xml:space="preserve">Clause 11.2 of the Original Agreement (Lock-in Period of 12 months) is hereby DELETED in its entirety. No lock-in period applies to this Loan with effect from 15 January 2027.</w:t>
      </w:r>
    </w:p>
    <w:p>
      <w:pPr>
        <w:spacing w:after="140" w:line="300"/>
        <w:ind w:left="360"/>
        <w:jc w:val="both"/>
      </w:pPr>
      <w:r>
        <w:rPr>
          <w:b/>
          <w:bCs/>
        </w:rPr>
        <w:t xml:space="preserve">11.3  </w:t>
      </w:r>
      <w:r>
        <w:rPr>
          <w:b/>
          <w:bCs/>
          <w:color w:val="7A2E38"/>
        </w:rPr>
        <w:t xml:space="preserve">Clause 11.3 of the Original Agreement (3% prepayment charge on externally-refinanced prepayment) is hereby DELETED and replaced as follows: No prepayment charge of any nature shall apply to this Loan, irrespective of the amount prepaid, the source of funds used for prepayment, or the timing of such prepayment, in accordance with the Reserve Bank of India (Pre-payment Charges on Loans) Directions, 2025.</w:t>
      </w:r>
    </w:p>
    <w:p>
      <w:pPr>
        <w:spacing w:after="140" w:line="300"/>
        <w:ind w:left="360"/>
        <w:jc w:val="both"/>
      </w:pPr>
      <w:r>
        <w:rPr>
          <w:b/>
          <w:bCs/>
        </w:rPr>
        <w:t xml:space="preserve">11.4  </w:t>
      </w:r>
      <w:r>
        <w:rPr>
          <w:b w:val="false"/>
          <w:bCs w:val="false"/>
        </w:rPr>
        <w:t xml:space="preserve">Clauses 11.4 and 11.5 of the Original Agreement stand superseded by Clause 11.3 above and are of no further effect.</w:t>
      </w:r>
    </w:p>
    <w:p>
      <w:r>
        <w:br w:type="page"/>
      </w:r>
    </w:p>
    <w:p>
      <w:pPr>
        <w:pStyle w:val="Heading1"/>
        <w:spacing w:after="140" w:before="280"/>
      </w:pPr>
      <w:r>
        <w:rPr>
          <w:b/>
          <w:bCs/>
        </w:rPr>
        <w:t xml:space="preserve">SCHEDULE I — REVISED LOAN PARTICULARS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E4DC" w:val="clear"/>
            <w:tcMar>
              <w:top w:type="dxa" w:w="100"/>
              <w:left w:type="dxa" w:w="120"/>
              <w:bottom w:type="dxa" w:w="100"/>
              <w:right w:type="dxa" w:w="120"/>
            </w:tcMar>
          </w:tcPr>
          <w:p>
            <w:r>
              <w:rPr>
                <w:b/>
                <w:bCs/>
                <w:sz w:val="20"/>
                <w:szCs w:val="20"/>
              </w:rPr>
              <w:t xml:space="preserve">Particulars</w:t>
            </w:r>
          </w:p>
        </w:tc>
        <w:tc>
          <w:tcPr>
            <w:tcW w:type="dxa" w:w="6000"/>
            <w:shd w:fill="E8E4DC" w:val="clear"/>
            <w:tcMar>
              <w:top w:type="dxa" w:w="100"/>
              <w:left w:type="dxa" w:w="120"/>
              <w:bottom w:type="dxa" w:w="100"/>
              <w:right w:type="dxa" w:w="120"/>
            </w:tcMar>
          </w:tcPr>
          <w:p>
            <w:r>
              <w:rPr>
                <w:b/>
                <w:bCs/>
                <w:sz w:val="20"/>
                <w:szCs w:val="20"/>
              </w:rPr>
              <w:t xml:space="preserve">Details</w:t>
            </w:r>
          </w:p>
        </w:tc>
      </w:tr>
      <w:tr>
        <w:tc>
          <w:tcPr>
            <w:tcW w:type="dxa" w:w="3000"/>
            <w:tcMar>
              <w:top w:type="dxa" w:w="100"/>
              <w:left w:type="dxa" w:w="120"/>
              <w:bottom w:type="dxa" w:w="100"/>
              <w:right w:type="dxa" w:w="120"/>
            </w:tcMar>
          </w:tcPr>
          <w:p>
            <w:r>
              <w:rPr>
                <w:b w:val="false"/>
                <w:bCs w:val="false"/>
                <w:sz w:val="20"/>
                <w:szCs w:val="20"/>
              </w:rPr>
              <w:t xml:space="preserve">Loan Account No.</w:t>
            </w:r>
          </w:p>
        </w:tc>
        <w:tc>
          <w:tcPr>
            <w:tcW w:type="dxa" w:w="6000"/>
            <w:tcMar>
              <w:top w:type="dxa" w:w="100"/>
              <w:left w:type="dxa" w:w="120"/>
              <w:bottom w:type="dxa" w:w="100"/>
              <w:right w:type="dxa" w:w="120"/>
            </w:tcMar>
          </w:tcPr>
          <w:p>
            <w:r>
              <w:rPr>
                <w:b w:val="false"/>
                <w:bCs w:val="false"/>
                <w:sz w:val="20"/>
                <w:szCs w:val="20"/>
              </w:rPr>
              <w:t xml:space="preserve">KHFL/HL/2026/0041872</w:t>
            </w:r>
          </w:p>
        </w:tc>
      </w:tr>
      <w:tr>
        <w:tc>
          <w:tcPr>
            <w:tcW w:type="dxa" w:w="3000"/>
            <w:tcMar>
              <w:top w:type="dxa" w:w="100"/>
              <w:left w:type="dxa" w:w="120"/>
              <w:bottom w:type="dxa" w:w="100"/>
              <w:right w:type="dxa" w:w="120"/>
            </w:tcMar>
          </w:tcPr>
          <w:p>
            <w:r>
              <w:rPr>
                <w:b w:val="false"/>
                <w:bCs w:val="false"/>
                <w:sz w:val="20"/>
                <w:szCs w:val="20"/>
              </w:rPr>
              <w:t xml:space="preserve">Borrower(s)</w:t>
            </w:r>
          </w:p>
        </w:tc>
        <w:tc>
          <w:tcPr>
            <w:tcW w:type="dxa" w:w="6000"/>
            <w:tcMar>
              <w:top w:type="dxa" w:w="100"/>
              <w:left w:type="dxa" w:w="120"/>
              <w:bottom w:type="dxa" w:w="100"/>
              <w:right w:type="dxa" w:w="120"/>
            </w:tcMar>
          </w:tcPr>
          <w:p>
            <w:r>
              <w:rPr>
                <w:b w:val="false"/>
                <w:bCs w:val="false"/>
                <w:sz w:val="20"/>
                <w:szCs w:val="20"/>
              </w:rPr>
              <w:t xml:space="preserve">Rohan Anand Deshmukh &amp; Priya Rohan Deshmukh</w:t>
            </w:r>
          </w:p>
        </w:tc>
      </w:tr>
      <w:tr>
        <w:tc>
          <w:tcPr>
            <w:tcW w:type="dxa" w:w="3000"/>
            <w:tcMar>
              <w:top w:type="dxa" w:w="100"/>
              <w:left w:type="dxa" w:w="120"/>
              <w:bottom w:type="dxa" w:w="100"/>
              <w:right w:type="dxa" w:w="120"/>
            </w:tcMar>
          </w:tcPr>
          <w:p>
            <w:r>
              <w:rPr>
                <w:b w:val="false"/>
                <w:bCs w:val="false"/>
                <w:sz w:val="20"/>
                <w:szCs w:val="20"/>
              </w:rPr>
              <w:t xml:space="preserve">Outstanding Principal (as of revision)</w:t>
            </w:r>
          </w:p>
        </w:tc>
        <w:tc>
          <w:tcPr>
            <w:tcW w:type="dxa" w:w="6000"/>
            <w:tcMar>
              <w:top w:type="dxa" w:w="100"/>
              <w:left w:type="dxa" w:w="120"/>
              <w:bottom w:type="dxa" w:w="100"/>
              <w:right w:type="dxa" w:w="120"/>
            </w:tcMar>
          </w:tcPr>
          <w:p>
            <w:r>
              <w:rPr>
                <w:b w:val="false"/>
                <w:bCs w:val="false"/>
                <w:sz w:val="20"/>
                <w:szCs w:val="20"/>
              </w:rPr>
              <w:t xml:space="preserve">Rs. 49,05,210 (approx.)</w:t>
            </w:r>
          </w:p>
        </w:tc>
      </w:tr>
      <w:tr>
        <w:tc>
          <w:tcPr>
            <w:tcW w:type="dxa" w:w="3000"/>
            <w:shd w:fill="FDF4E6" w:val="clear"/>
            <w:tcMar>
              <w:top w:type="dxa" w:w="100"/>
              <w:left w:type="dxa" w:w="120"/>
              <w:bottom w:type="dxa" w:w="100"/>
              <w:right w:type="dxa" w:w="120"/>
            </w:tcMar>
          </w:tcPr>
          <w:p>
            <w:r>
              <w:rPr>
                <w:b w:val="false"/>
                <w:bCs w:val="false"/>
                <w:sz w:val="20"/>
                <w:szCs w:val="20"/>
              </w:rPr>
              <w:t xml:space="preserve">Revised Rate of Interest</w:t>
            </w:r>
          </w:p>
        </w:tc>
        <w:tc>
          <w:tcPr>
            <w:tcW w:type="dxa" w:w="6000"/>
            <w:shd w:fill="FDF4E6" w:val="clear"/>
            <w:tcMar>
              <w:top w:type="dxa" w:w="100"/>
              <w:left w:type="dxa" w:w="120"/>
              <w:bottom w:type="dxa" w:w="100"/>
              <w:right w:type="dxa" w:w="120"/>
            </w:tcMar>
          </w:tcPr>
          <w:p>
            <w:r>
              <w:rPr>
                <w:b w:val="false"/>
                <w:bCs w:val="false"/>
                <w:sz w:val="20"/>
                <w:szCs w:val="20"/>
              </w:rPr>
              <w:t xml:space="preserve">8.60% per annum (floating), linked to KHFL Repo Linked Lending Rate (RLLR)</w:t>
            </w:r>
          </w:p>
        </w:tc>
      </w:tr>
      <w:tr>
        <w:tc>
          <w:tcPr>
            <w:tcW w:type="dxa" w:w="3000"/>
            <w:tcMar>
              <w:top w:type="dxa" w:w="100"/>
              <w:left w:type="dxa" w:w="120"/>
              <w:bottom w:type="dxa" w:w="100"/>
              <w:right w:type="dxa" w:w="120"/>
            </w:tcMar>
          </w:tcPr>
          <w:p>
            <w:r>
              <w:rPr>
                <w:b w:val="false"/>
                <w:bCs w:val="false"/>
                <w:sz w:val="20"/>
                <w:szCs w:val="20"/>
              </w:rPr>
              <w:t xml:space="preserve">Remaining Tenure</w:t>
            </w:r>
          </w:p>
        </w:tc>
        <w:tc>
          <w:tcPr>
            <w:tcW w:type="dxa" w:w="6000"/>
            <w:tcMar>
              <w:top w:type="dxa" w:w="100"/>
              <w:left w:type="dxa" w:w="120"/>
              <w:bottom w:type="dxa" w:w="100"/>
              <w:right w:type="dxa" w:w="120"/>
            </w:tcMar>
          </w:tcPr>
          <w:p>
            <w:r>
              <w:rPr>
                <w:b w:val="false"/>
                <w:bCs w:val="false"/>
                <w:sz w:val="20"/>
                <w:szCs w:val="20"/>
              </w:rPr>
              <w:t xml:space="preserve">240 months (20 years); 228 months remaining as of this revision</w:t>
            </w:r>
          </w:p>
        </w:tc>
      </w:tr>
      <w:tr>
        <w:tc>
          <w:tcPr>
            <w:tcW w:type="dxa" w:w="3000"/>
            <w:shd w:fill="FDF4E6" w:val="clear"/>
            <w:tcMar>
              <w:top w:type="dxa" w:w="100"/>
              <w:left w:type="dxa" w:w="120"/>
              <w:bottom w:type="dxa" w:w="100"/>
              <w:right w:type="dxa" w:w="120"/>
            </w:tcMar>
          </w:tcPr>
          <w:p>
            <w:r>
              <w:rPr>
                <w:b w:val="false"/>
                <w:bCs w:val="false"/>
                <w:sz w:val="20"/>
                <w:szCs w:val="20"/>
              </w:rPr>
              <w:t xml:space="preserve">Revised EMI</w:t>
            </w:r>
          </w:p>
        </w:tc>
        <w:tc>
          <w:tcPr>
            <w:tcW w:type="dxa" w:w="6000"/>
            <w:shd w:fill="FDF4E6" w:val="clear"/>
            <w:tcMar>
              <w:top w:type="dxa" w:w="100"/>
              <w:left w:type="dxa" w:w="120"/>
              <w:bottom w:type="dxa" w:w="100"/>
              <w:right w:type="dxa" w:w="120"/>
            </w:tcMar>
          </w:tcPr>
          <w:p>
            <w:r>
              <w:rPr>
                <w:b w:val="false"/>
                <w:bCs w:val="false"/>
                <w:sz w:val="20"/>
                <w:szCs w:val="20"/>
              </w:rPr>
              <w:t xml:space="preserve">Rs. 43,748/- (illustrative, from 15 January 2027)</w:t>
            </w:r>
          </w:p>
        </w:tc>
      </w:tr>
      <w:tr>
        <w:tc>
          <w:tcPr>
            <w:tcW w:type="dxa" w:w="3000"/>
            <w:tcMar>
              <w:top w:type="dxa" w:w="100"/>
              <w:left w:type="dxa" w:w="120"/>
              <w:bottom w:type="dxa" w:w="100"/>
              <w:right w:type="dxa" w:w="120"/>
            </w:tcMar>
          </w:tcPr>
          <w:p>
            <w:r>
              <w:rPr>
                <w:b w:val="false"/>
                <w:bCs w:val="false"/>
                <w:sz w:val="20"/>
                <w:szCs w:val="20"/>
              </w:rPr>
              <w:t xml:space="preserve">Secured Property</w:t>
            </w:r>
          </w:p>
        </w:tc>
        <w:tc>
          <w:tcPr>
            <w:tcW w:type="dxa" w:w="6000"/>
            <w:tcMar>
              <w:top w:type="dxa" w:w="100"/>
              <w:left w:type="dxa" w:w="120"/>
              <w:bottom w:type="dxa" w:w="100"/>
              <w:right w:type="dxa" w:w="120"/>
            </w:tcMar>
          </w:tcPr>
          <w:p>
            <w:r>
              <w:rPr>
                <w:b w:val="false"/>
                <w:bCs w:val="false"/>
                <w:sz w:val="20"/>
                <w:szCs w:val="20"/>
              </w:rPr>
              <w:t xml:space="preserve">Flat No. 1204, Tower C, Sanskruti Residency, Baner-Balewadi Road, Pune, Maharashtra 411045</w:t>
            </w:r>
          </w:p>
        </w:tc>
      </w:tr>
    </w:tbl>
    <w:p>
      <w:r>
        <w:br w:type="page"/>
      </w:r>
    </w:p>
    <w:p>
      <w:pPr>
        <w:pStyle w:val="Heading1"/>
        <w:spacing w:after="140" w:before="280"/>
      </w:pPr>
      <w:r>
        <w:rPr>
          <w:b/>
          <w:bCs/>
        </w:rPr>
        <w:t xml:space="preserve">SCHEDULE II — REVISED SCHEDULE OF FEES AND CHARGES</w:t>
      </w:r>
    </w:p>
    <w:p>
      <w:pPr>
        <w:spacing w:after="160" w:line="300"/>
        <w:jc w:val="both"/>
      </w:pPr>
      <w:r>
        <w:rPr>
          <w:b w:val="false"/>
          <w:bCs w:val="false"/>
          <w:i w:val="false"/>
          <w:iCs w:val="false"/>
        </w:rPr>
        <w:t xml:space="preserve">Only rows changed from the Original Agreement's Schedule II are shown below. All other fees and charges in the Original Agreement's Schedule II continue unchanged.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900"/>
        <w:gridCol w:w="1700"/>
      </w:tblGrid>
      <w:tr>
        <w:tc>
          <w:tcPr>
            <w:tcW w:type="dxa" w:w="4600"/>
            <w:shd w:fill="E8E4DC" w:val="clear"/>
            <w:tcMar>
              <w:top w:type="dxa" w:w="100"/>
              <w:left w:type="dxa" w:w="120"/>
              <w:bottom w:type="dxa" w:w="100"/>
              <w:right w:type="dxa" w:w="120"/>
            </w:tcMar>
          </w:tcPr>
          <w:p>
            <w:r>
              <w:rPr>
                <w:b/>
                <w:bCs/>
                <w:sz w:val="20"/>
                <w:szCs w:val="20"/>
              </w:rPr>
              <w:t xml:space="preserve">Head</w:t>
            </w:r>
          </w:p>
        </w:tc>
        <w:tc>
          <w:tcPr>
            <w:tcW w:type="dxa" w:w="2900"/>
            <w:shd w:fill="E8E4DC" w:val="clear"/>
            <w:tcMar>
              <w:top w:type="dxa" w:w="100"/>
              <w:left w:type="dxa" w:w="120"/>
              <w:bottom w:type="dxa" w:w="100"/>
              <w:right w:type="dxa" w:w="120"/>
            </w:tcMar>
          </w:tcPr>
          <w:p>
            <w:r>
              <w:rPr>
                <w:b/>
                <w:bCs/>
                <w:sz w:val="20"/>
                <w:szCs w:val="20"/>
              </w:rPr>
              <w:t xml:space="preserve">Amount</w:t>
            </w:r>
          </w:p>
        </w:tc>
        <w:tc>
          <w:tcPr>
            <w:tcW w:type="dxa" w:w="1700"/>
            <w:shd w:fill="E8E4DC" w:val="clear"/>
            <w:tcMar>
              <w:top w:type="dxa" w:w="100"/>
              <w:left w:type="dxa" w:w="120"/>
              <w:bottom w:type="dxa" w:w="100"/>
              <w:right w:type="dxa" w:w="120"/>
            </w:tcMar>
          </w:tcPr>
          <w:p>
            <w:r>
              <w:rPr>
                <w:b/>
                <w:bCs/>
                <w:sz w:val="20"/>
                <w:szCs w:val="20"/>
              </w:rPr>
              <w:t xml:space="preserve">When Payable</w:t>
            </w:r>
          </w:p>
        </w:tc>
      </w:tr>
      <w:tr>
        <w:tc>
          <w:tcPr>
            <w:tcW w:type="dxa" w:w="4600"/>
            <w:shd w:fill="FDF4E6" w:val="clear"/>
            <w:tcMar>
              <w:top w:type="dxa" w:w="100"/>
              <w:left w:type="dxa" w:w="120"/>
              <w:bottom w:type="dxa" w:w="100"/>
              <w:right w:type="dxa" w:w="120"/>
            </w:tcMar>
          </w:tcPr>
          <w:p>
            <w:r>
              <w:rPr>
                <w:b w:val="false"/>
                <w:bCs w:val="false"/>
                <w:sz w:val="20"/>
                <w:szCs w:val="20"/>
              </w:rPr>
              <w:t xml:space="preserve">Penal Charges (Clause 9.1, revised)</w:t>
            </w:r>
          </w:p>
        </w:tc>
        <w:tc>
          <w:tcPr>
            <w:tcW w:type="dxa" w:w="2900"/>
            <w:shd w:fill="FDF4E6" w:val="clear"/>
            <w:tcMar>
              <w:top w:type="dxa" w:w="100"/>
              <w:left w:type="dxa" w:w="120"/>
              <w:bottom w:type="dxa" w:w="100"/>
              <w:right w:type="dxa" w:w="120"/>
            </w:tcMar>
          </w:tcPr>
          <w:p>
            <w:r>
              <w:rPr>
                <w:b w:val="false"/>
                <w:bCs w:val="false"/>
                <w:sz w:val="20"/>
                <w:szCs w:val="20"/>
              </w:rPr>
              <w:t xml:space="preserve">1.5% per month on overdue amount</w:t>
            </w:r>
          </w:p>
        </w:tc>
        <w:tc>
          <w:tcPr>
            <w:tcW w:type="dxa" w:w="1700"/>
            <w:shd w:fill="FDF4E6" w:val="clear"/>
            <w:tcMar>
              <w:top w:type="dxa" w:w="100"/>
              <w:left w:type="dxa" w:w="120"/>
              <w:bottom w:type="dxa" w:w="100"/>
              <w:right w:type="dxa" w:w="120"/>
            </w:tcMar>
          </w:tcPr>
          <w:p>
            <w:r>
              <w:rPr>
                <w:b w:val="false"/>
                <w:bCs w:val="false"/>
                <w:sz w:val="20"/>
                <w:szCs w:val="20"/>
              </w:rPr>
              <w:t xml:space="preserve">On default</w:t>
            </w:r>
          </w:p>
        </w:tc>
      </w:tr>
      <w:tr>
        <w:tc>
          <w:tcPr>
            <w:tcW w:type="dxa" w:w="4600"/>
            <w:shd w:fill="FDF4E6" w:val="clear"/>
            <w:tcMar>
              <w:top w:type="dxa" w:w="100"/>
              <w:left w:type="dxa" w:w="120"/>
              <w:bottom w:type="dxa" w:w="100"/>
              <w:right w:type="dxa" w:w="120"/>
            </w:tcMar>
          </w:tcPr>
          <w:p>
            <w:r>
              <w:rPr>
                <w:b w:val="false"/>
                <w:bCs w:val="false"/>
                <w:sz w:val="20"/>
                <w:szCs w:val="20"/>
              </w:rPr>
              <w:t xml:space="preserve">Prepayment Charge (Clause 11.3, revised)</w:t>
            </w:r>
          </w:p>
        </w:tc>
        <w:tc>
          <w:tcPr>
            <w:tcW w:type="dxa" w:w="2900"/>
            <w:shd w:fill="FDF4E6" w:val="clear"/>
            <w:tcMar>
              <w:top w:type="dxa" w:w="100"/>
              <w:left w:type="dxa" w:w="120"/>
              <w:bottom w:type="dxa" w:w="100"/>
              <w:right w:type="dxa" w:w="120"/>
            </w:tcMar>
          </w:tcPr>
          <w:p>
            <w:r>
              <w:rPr>
                <w:b w:val="false"/>
                <w:bCs w:val="false"/>
                <w:sz w:val="20"/>
                <w:szCs w:val="20"/>
              </w:rPr>
              <w:t xml:space="preserve">Nil — no charge applies</w:t>
            </w:r>
          </w:p>
        </w:tc>
        <w:tc>
          <w:tcPr>
            <w:tcW w:type="dxa" w:w="1700"/>
            <w:shd w:fill="FDF4E6" w:val="clear"/>
            <w:tcMar>
              <w:top w:type="dxa" w:w="100"/>
              <w:left w:type="dxa" w:w="120"/>
              <w:bottom w:type="dxa" w:w="100"/>
              <w:right w:type="dxa" w:w="120"/>
            </w:tcMar>
          </w:tcPr>
          <w:p>
            <w:r>
              <w:rPr>
                <w:b w:val="false"/>
                <w:bCs w:val="false"/>
                <w:sz w:val="20"/>
                <w:szCs w:val="20"/>
              </w:rPr>
              <w:t xml:space="preserve">Not applicable</w:t>
            </w:r>
          </w:p>
        </w:tc>
      </w:tr>
    </w:tbl>
    <w:p>
      <w:r>
        <w:br w:type="page"/>
      </w:r>
    </w:p>
    <w:p>
      <w:pPr>
        <w:pStyle w:val="Heading1"/>
        <w:spacing w:after="140" w:before="280"/>
      </w:pPr>
      <w:r>
        <w:rPr>
          <w:b/>
          <w:bCs/>
        </w:rPr>
        <w:t xml:space="preserve">ACKNOWLEDGEMENT OF REVISION</w:t>
      </w:r>
    </w:p>
    <w:p>
      <w:pPr>
        <w:spacing w:after="160" w:line="300"/>
        <w:jc w:val="both"/>
      </w:pPr>
      <w:r>
        <w:rPr>
          <w:b w:val="false"/>
          <w:bCs w:val="false"/>
          <w:i w:val="false"/>
          <w:iCs w:val="false"/>
        </w:rPr>
        <w:t xml:space="preserve">The Borrower(s) acknowledge having received notice of the above revisions through the channels specified in Clause 3.3 of the Original Agreement, at least 30 (thirty) days prior to the effective date of this revision, and confirm their understanding of the revised terms.</w:t>
      </w:r>
    </w:p>
    <w:p>
      <w:pPr>
        <w:spacing w:after="200" w:before="600"/>
      </w:pPr>
      <w:r>
        <w:t xml:space="preserve">For Kalpataru Housing Finance Limited:</w:t>
      </w:r>
    </w:p>
    <w:p>
      <w:pPr>
        <w:spacing w:after="200" w:before="800"/>
      </w:pPr>
      <w:r>
        <w:t xml:space="preserve">Authorised Signatory</w:t>
      </w:r>
    </w:p>
    <w:p>
      <w:pPr>
        <w:spacing w:after="200" w:before="600"/>
      </w:pPr>
      <w:r>
        <w:t xml:space="preserve">Borrower: Rohan Anand Deshmukh</w:t>
      </w:r>
    </w:p>
    <w:p>
      <w:pPr>
        <w:spacing w:after="200" w:before="800"/>
      </w:pPr>
      <w:r>
        <w:t xml:space="preserve">Signature: _______________________        Date: 15 January 2027</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Loan Agreement (Revised, v2) — KHFL/HL/2026/0041872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2026-09-14T18:58:40.972Z</dcterms:created>
  <dcterms:modified xsi:type="dcterms:W3CDTF">2026-09-14T18:58:40.981Z</dcterms:modified>
</cp:coreProperties>
</file>

<file path=docProps/custom.xml><?xml version="1.0" encoding="utf-8"?>
<Properties xmlns="http://schemas.openxmlformats.org/officeDocument/2006/custom-properties" xmlns:vt="http://schemas.openxmlformats.org/officeDocument/2006/docPropsVTypes"/>
</file>