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Kalpataru Housing Finance Limited</w:t>
      </w:r>
    </w:p>
    <w:p>
      <w:pPr>
        <w:spacing w:after="300"/>
        <w:jc w:val="center"/>
      </w:pPr>
      <w:r>
        <w:rPr>
          <w:b/>
          <w:bCs/>
          <w:sz w:val="32"/>
          <w:szCs w:val="32"/>
        </w:rPr>
        <w:t xml:space="preserve">KEY FACTS STATEMENT (KFS)</w:t>
      </w:r>
    </w:p>
    <w:p>
      <w:pPr>
        <w:spacing w:after="300"/>
        <w:jc w:val="center"/>
      </w:pPr>
      <w:r>
        <w:rPr>
          <w:i/>
          <w:iCs/>
          <w:sz w:val="18"/>
          <w:szCs w:val="18"/>
        </w:rPr>
        <w:t xml:space="preserve">Issued in the format prescribed by the Reserve Bank of India circular DOR.STR.REC.13/13.03.00/2024-25 dated 15 April 2024</w:t>
      </w:r>
    </w:p>
    <w:p>
      <w:pPr>
        <w:pBdr>
          <w:bottom w:val="single" w:color="7A2E38" w:sz="6"/>
        </w:pBdr>
        <w:spacing w:after="160"/>
      </w:pPr>
      <w:r>
        <w:rPr>
          <w:b/>
          <w:bCs/>
          <w:color w:val="7A2E38"/>
          <w:sz w:val="24"/>
          <w:szCs w:val="24"/>
        </w:rPr>
        <w:t xml:space="preserve">PART 1 — INTEREST RATE AND FEES / CHARGES</w:t>
      </w:r>
    </w:p>
    <w:p>
      <w:pPr>
        <w:pStyle w:val="Heading2"/>
        <w:spacing w:after="120" w:before="260"/>
      </w:pPr>
      <w:r>
        <w:rPr>
          <w:b/>
          <w:bCs/>
        </w:rPr>
        <w:t xml:space="preserve">(i) Loan Proposal / Account No.</w:t>
      </w:r>
    </w:p>
    <w:p>
      <w:pPr>
        <w:spacing w:after="140" w:line="300"/>
        <w:jc w:val="both"/>
      </w:pPr>
      <w:r>
        <w:rPr>
          <w:i w:val="false"/>
          <w:iCs w:val="false"/>
        </w:rPr>
        <w:t xml:space="preserve">KHFL/HL/2026/0041872</w:t>
      </w:r>
    </w:p>
    <w:p>
      <w:pPr>
        <w:pStyle w:val="Heading2"/>
        <w:spacing w:after="120" w:before="260"/>
      </w:pPr>
      <w:r>
        <w:rPr>
          <w:b/>
          <w:bCs/>
        </w:rPr>
        <w:t xml:space="preserve">(ii) Type of Loan</w:t>
      </w:r>
    </w:p>
    <w:p>
      <w:pPr>
        <w:spacing w:after="140" w:line="300"/>
        <w:jc w:val="both"/>
      </w:pPr>
      <w:r>
        <w:rPr>
          <w:i w:val="false"/>
          <w:iCs w:val="false"/>
        </w:rPr>
        <w:t xml:space="preserve">Housing Loan — Floating Rate</w:t>
      </w:r>
    </w:p>
    <w:p>
      <w:pPr>
        <w:pStyle w:val="Heading2"/>
        <w:spacing w:after="120" w:before="260"/>
      </w:pPr>
      <w:r>
        <w:rPr>
          <w:b/>
          <w:bCs/>
        </w:rPr>
        <w:t xml:space="preserve">(iii) Sanctioned Loan Amount</w:t>
      </w:r>
    </w:p>
    <w:p>
      <w:pPr>
        <w:spacing w:after="140" w:line="300"/>
        <w:jc w:val="both"/>
      </w:pPr>
      <w:r>
        <w:rPr>
          <w:i w:val="false"/>
          <w:iCs w:val="false"/>
        </w:rPr>
        <w:t xml:space="preserve">Rs. 50,00,000/- (Rupees Fifty Lakh Only)</w:t>
      </w:r>
    </w:p>
    <w:p>
      <w:pPr>
        <w:pStyle w:val="Heading2"/>
        <w:spacing w:after="120" w:before="260"/>
      </w:pPr>
      <w:r>
        <w:rPr>
          <w:b/>
          <w:bCs/>
        </w:rPr>
        <w:t xml:space="preserve">(iv) Loan Term (Years/Months/Days)</w:t>
      </w:r>
    </w:p>
    <w:p>
      <w:pPr>
        <w:spacing w:after="140" w:line="300"/>
        <w:jc w:val="both"/>
      </w:pPr>
      <w:r>
        <w:rPr>
          <w:i w:val="false"/>
          <w:iCs w:val="false"/>
        </w:rPr>
        <w:t xml:space="preserve">240 months (20 years)</w:t>
      </w:r>
    </w:p>
    <w:p>
      <w:pPr>
        <w:pStyle w:val="Heading2"/>
        <w:spacing w:after="120" w:before="260"/>
      </w:pPr>
      <w:r>
        <w:rPr>
          <w:b/>
          <w:bCs/>
        </w:rPr>
        <w:t xml:space="preserve">(v) Interest Rate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500"/>
      </w:tblGrid>
      <w:tr>
        <w:tc>
          <w:tcPr>
            <w:tcW w:type="dxa" w:w="4200"/>
            <w:shd w:fill="E8E4DC" w:val="clear"/>
            <w:tcMar>
              <w:top w:type="dxa" w:w="90"/>
              <w:left w:type="dxa" w:w="110"/>
              <w:bottom w:type="dxa" w:w="90"/>
              <w:right w:type="dxa" w:w="110"/>
            </w:tcMar>
          </w:tcPr>
          <w:p>
            <w:r>
              <w:rPr>
                <w:b/>
                <w:bCs/>
                <w:sz w:val="19"/>
                <w:szCs w:val="19"/>
              </w:rPr>
              <w:t xml:space="preserve">Particulars</w:t>
            </w:r>
          </w:p>
        </w:tc>
        <w:tc>
          <w:tcPr>
            <w:tcW w:type="dxa" w:w="2500"/>
            <w:shd w:fill="E8E4DC" w:val="clear"/>
            <w:tcMar>
              <w:top w:type="dxa" w:w="90"/>
              <w:left w:type="dxa" w:w="110"/>
              <w:bottom w:type="dxa" w:w="90"/>
              <w:right w:type="dxa" w:w="110"/>
            </w:tcMar>
          </w:tcPr>
          <w:p>
            <w:r>
              <w:rPr>
                <w:b/>
                <w:bCs/>
                <w:sz w:val="19"/>
                <w:szCs w:val="19"/>
              </w:rPr>
              <w:t xml:space="preserve">Rate</w:t>
            </w:r>
          </w:p>
        </w:tc>
        <w:tc>
          <w:tcPr>
            <w:tcW w:type="dxa" w:w="2500"/>
            <w:shd w:fill="E8E4DC" w:val="clear"/>
            <w:tcMar>
              <w:top w:type="dxa" w:w="90"/>
              <w:left w:type="dxa" w:w="110"/>
              <w:bottom w:type="dxa" w:w="90"/>
              <w:right w:type="dxa" w:w="110"/>
            </w:tcMar>
          </w:tcPr>
          <w:p>
            <w:r>
              <w:rPr>
                <w:b/>
                <w:bCs/>
                <w:sz w:val="19"/>
                <w:szCs w:val="19"/>
              </w:rPr>
              <w:t xml:space="preserve">Reset Frequency</w:t>
            </w:r>
          </w:p>
        </w:tc>
      </w:tr>
      <w:tr>
        <w:tc>
          <w:tcPr>
            <w:tcW w:type="dxa" w:w="4200"/>
            <w:tcMar>
              <w:top w:type="dxa" w:w="90"/>
              <w:left w:type="dxa" w:w="110"/>
              <w:bottom w:type="dxa" w:w="90"/>
              <w:right w:type="dxa" w:w="110"/>
            </w:tcMar>
          </w:tcPr>
          <w:p>
            <w:r>
              <w:rPr>
                <w:b w:val="false"/>
                <w:bCs w:val="false"/>
                <w:sz w:val="19"/>
                <w:szCs w:val="19"/>
              </w:rPr>
              <w:t xml:space="preserve">Reference Benchmark</w:t>
            </w:r>
          </w:p>
        </w:tc>
        <w:tc>
          <w:tcPr>
            <w:tcW w:type="dxa" w:w="2500"/>
            <w:tcMar>
              <w:top w:type="dxa" w:w="90"/>
              <w:left w:type="dxa" w:w="110"/>
              <w:bottom w:type="dxa" w:w="90"/>
              <w:right w:type="dxa" w:w="110"/>
            </w:tcMar>
          </w:tcPr>
          <w:p>
            <w:r>
              <w:rPr>
                <w:b w:val="false"/>
                <w:bCs w:val="false"/>
                <w:sz w:val="19"/>
                <w:szCs w:val="19"/>
              </w:rPr>
              <w:t xml:space="preserve">KHFL Repo Linked Lending Rate (RLLR)</w:t>
            </w:r>
          </w:p>
        </w:tc>
        <w:tc>
          <w:tcPr>
            <w:tcW w:type="dxa" w:w="2500"/>
            <w:tcMar>
              <w:top w:type="dxa" w:w="90"/>
              <w:left w:type="dxa" w:w="110"/>
              <w:bottom w:type="dxa" w:w="90"/>
              <w:right w:type="dxa" w:w="110"/>
            </w:tcMar>
          </w:tcPr>
          <w:p>
            <w:r>
              <w:rPr>
                <w:b w:val="false"/>
                <w:bCs w:val="false"/>
                <w:sz w:val="19"/>
                <w:szCs w:val="19"/>
              </w:rPr>
              <w:t xml:space="preserve">As per RBI repo rate change</w:t>
            </w:r>
          </w:p>
        </w:tc>
      </w:tr>
      <w:tr>
        <w:tc>
          <w:tcPr>
            <w:tcW w:type="dxa" w:w="4200"/>
            <w:tcMar>
              <w:top w:type="dxa" w:w="90"/>
              <w:left w:type="dxa" w:w="110"/>
              <w:bottom w:type="dxa" w:w="90"/>
              <w:right w:type="dxa" w:w="110"/>
            </w:tcMar>
          </w:tcPr>
          <w:p>
            <w:r>
              <w:rPr>
                <w:b w:val="false"/>
                <w:bCs w:val="false"/>
                <w:sz w:val="19"/>
                <w:szCs w:val="19"/>
              </w:rPr>
              <w:t xml:space="preserve">Spread</w:t>
            </w:r>
          </w:p>
        </w:tc>
        <w:tc>
          <w:tcPr>
            <w:tcW w:type="dxa" w:w="2500"/>
            <w:tcMar>
              <w:top w:type="dxa" w:w="90"/>
              <w:left w:type="dxa" w:w="110"/>
              <w:bottom w:type="dxa" w:w="90"/>
              <w:right w:type="dxa" w:w="110"/>
            </w:tcMar>
          </w:tcPr>
          <w:p>
            <w:r>
              <w:rPr>
                <w:b w:val="false"/>
                <w:bCs w:val="false"/>
                <w:sz w:val="19"/>
                <w:szCs w:val="19"/>
              </w:rPr>
              <w:t xml:space="preserve">1.70%</w:t>
            </w:r>
          </w:p>
        </w:tc>
        <w:tc>
          <w:tcPr>
            <w:tcW w:type="dxa" w:w="2500"/>
            <w:tcMar>
              <w:top w:type="dxa" w:w="90"/>
              <w:left w:type="dxa" w:w="110"/>
              <w:bottom w:type="dxa" w:w="90"/>
              <w:right w:type="dxa" w:w="110"/>
            </w:tcMar>
          </w:tcPr>
          <w:p>
            <w:r>
              <w:rPr>
                <w:b w:val="false"/>
                <w:bCs w:val="false"/>
                <w:sz w:val="19"/>
                <w:szCs w:val="19"/>
              </w:rPr>
              <w:t xml:space="preserve">Reviewed annually</w:t>
            </w:r>
          </w:p>
        </w:tc>
      </w:tr>
      <w:tr>
        <w:tc>
          <w:tcPr>
            <w:tcW w:type="dxa" w:w="4200"/>
            <w:tcMar>
              <w:top w:type="dxa" w:w="90"/>
              <w:left w:type="dxa" w:w="110"/>
              <w:bottom w:type="dxa" w:w="90"/>
              <w:right w:type="dxa" w:w="110"/>
            </w:tcMar>
          </w:tcPr>
          <w:p>
            <w:r>
              <w:rPr>
                <w:b w:val="false"/>
                <w:bCs w:val="false"/>
                <w:sz w:val="19"/>
                <w:szCs w:val="19"/>
              </w:rPr>
              <w:t xml:space="preserve">Applicable Interest Rate</w:t>
            </w:r>
          </w:p>
        </w:tc>
        <w:tc>
          <w:tcPr>
            <w:tcW w:type="dxa" w:w="2500"/>
            <w:tcMar>
              <w:top w:type="dxa" w:w="90"/>
              <w:left w:type="dxa" w:w="110"/>
              <w:bottom w:type="dxa" w:w="90"/>
              <w:right w:type="dxa" w:w="110"/>
            </w:tcMar>
          </w:tcPr>
          <w:p>
            <w:r>
              <w:rPr>
                <w:b w:val="false"/>
                <w:bCs w:val="false"/>
                <w:sz w:val="19"/>
                <w:szCs w:val="19"/>
              </w:rPr>
              <w:t xml:space="preserve">8.35% p.a.</w:t>
            </w:r>
          </w:p>
        </w:tc>
        <w:tc>
          <w:tcPr>
            <w:tcW w:type="dxa" w:w="2500"/>
            <w:tcMar>
              <w:top w:type="dxa" w:w="90"/>
              <w:left w:type="dxa" w:w="110"/>
              <w:bottom w:type="dxa" w:w="90"/>
              <w:right w:type="dxa" w:w="110"/>
            </w:tcMar>
          </w:tcPr>
          <w:p>
            <w:r>
              <w:rPr>
                <w:b w:val="false"/>
                <w:bCs w:val="false"/>
                <w:sz w:val="19"/>
                <w:szCs w:val="19"/>
              </w:rPr>
              <w:t xml:space="preserve">Quarterly, or on Benchmark change</w:t>
            </w:r>
          </w:p>
        </w:tc>
      </w:tr>
    </w:tbl>
    <w:p>
      <w:pPr>
        <w:spacing w:after="100" w:before="200"/>
      </w:pPr>
      <w:r>
        <w:rPr>
          <w:b/>
          <w:bCs/>
          <w:sz w:val="22"/>
          <w:szCs w:val="22"/>
        </w:rPr>
        <w:t xml:space="preserve">(vi) Fee / Charges</w:t>
      </w:r>
    </w:p>
    <w:p>
      <w:pPr>
        <w:spacing w:after="120"/>
      </w:pPr>
      <w:r>
        <w:rPr>
          <w:b/>
          <w:bCs/>
          <w:i/>
          <w:iCs/>
          <w:sz w:val="20"/>
          <w:szCs w:val="20"/>
        </w:rPr>
        <w:t xml:space="preserve">(A) Recurring Charges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300"/>
      </w:tblGrid>
      <w:tr>
        <w:tc>
          <w:tcPr>
            <w:tcW w:type="dxa" w:w="4600"/>
            <w:shd w:fill="E8E4DC" w:val="clear"/>
            <w:tcMar>
              <w:top w:type="dxa" w:w="90"/>
              <w:left w:type="dxa" w:w="110"/>
              <w:bottom w:type="dxa" w:w="90"/>
              <w:right w:type="dxa" w:w="110"/>
            </w:tcMar>
          </w:tcPr>
          <w:p>
            <w:r>
              <w:rPr>
                <w:b/>
                <w:bCs/>
                <w:sz w:val="19"/>
                <w:szCs w:val="19"/>
              </w:rPr>
              <w:t xml:space="preserve">Particulars</w:t>
            </w:r>
          </w:p>
        </w:tc>
        <w:tc>
          <w:tcPr>
            <w:tcW w:type="dxa" w:w="2300"/>
            <w:shd w:fill="E8E4DC" w:val="clear"/>
            <w:tcMar>
              <w:top w:type="dxa" w:w="90"/>
              <w:left w:type="dxa" w:w="110"/>
              <w:bottom w:type="dxa" w:w="90"/>
              <w:right w:type="dxa" w:w="110"/>
            </w:tcMar>
          </w:tcPr>
          <w:p>
            <w:r>
              <w:rPr>
                <w:b/>
                <w:bCs/>
                <w:sz w:val="19"/>
                <w:szCs w:val="19"/>
              </w:rPr>
              <w:t xml:space="preserve">Amount (Rs.)</w:t>
            </w:r>
          </w:p>
        </w:tc>
        <w:tc>
          <w:tcPr>
            <w:tcW w:type="dxa" w:w="2300"/>
            <w:shd w:fill="E8E4DC" w:val="clear"/>
            <w:tcMar>
              <w:top w:type="dxa" w:w="90"/>
              <w:left w:type="dxa" w:w="110"/>
              <w:bottom w:type="dxa" w:w="90"/>
              <w:right w:type="dxa" w:w="110"/>
            </w:tcMar>
          </w:tcPr>
          <w:p>
            <w:r>
              <w:rPr>
                <w:b/>
                <w:bCs/>
                <w:sz w:val="19"/>
                <w:szCs w:val="19"/>
              </w:rPr>
              <w:t xml:space="preserve">Frequency</w:t>
            </w:r>
          </w:p>
        </w:tc>
      </w:tr>
      <w:tr>
        <w:tc>
          <w:tcPr>
            <w:tcW w:type="dxa" w:w="4600"/>
            <w:tcMar>
              <w:top w:type="dxa" w:w="90"/>
              <w:left w:type="dxa" w:w="110"/>
              <w:bottom w:type="dxa" w:w="90"/>
              <w:right w:type="dxa" w:w="110"/>
            </w:tcMar>
          </w:tcPr>
          <w:p>
            <w:r>
              <w:rPr>
                <w:b w:val="false"/>
                <w:bCs w:val="false"/>
                <w:sz w:val="19"/>
                <w:szCs w:val="19"/>
              </w:rPr>
              <w:t xml:space="preserve">Property Insurance Premium</w:t>
            </w:r>
          </w:p>
        </w:tc>
        <w:tc>
          <w:tcPr>
            <w:tcW w:type="dxa" w:w="2300"/>
            <w:tcMar>
              <w:top w:type="dxa" w:w="90"/>
              <w:left w:type="dxa" w:w="110"/>
              <w:bottom w:type="dxa" w:w="90"/>
              <w:right w:type="dxa" w:w="110"/>
            </w:tcMar>
          </w:tcPr>
          <w:p>
            <w:r>
              <w:rPr>
                <w:b w:val="false"/>
                <w:bCs w:val="false"/>
                <w:sz w:val="19"/>
                <w:szCs w:val="19"/>
              </w:rPr>
              <w:t xml:space="preserve">8,500 (approx.)</w:t>
            </w:r>
          </w:p>
        </w:tc>
        <w:tc>
          <w:tcPr>
            <w:tcW w:type="dxa" w:w="2300"/>
            <w:tcMar>
              <w:top w:type="dxa" w:w="90"/>
              <w:left w:type="dxa" w:w="110"/>
              <w:bottom w:type="dxa" w:w="90"/>
              <w:right w:type="dxa" w:w="110"/>
            </w:tcMar>
          </w:tcPr>
          <w:p>
            <w:r>
              <w:rPr>
                <w:b w:val="false"/>
                <w:bCs w:val="false"/>
                <w:sz w:val="19"/>
                <w:szCs w:val="19"/>
              </w:rPr>
              <w:t xml:space="preserve">Annual</w:t>
            </w:r>
          </w:p>
        </w:tc>
      </w:tr>
    </w:tbl>
    <w:p>
      <w:pPr>
        <w:spacing w:after="120" w:before="200"/>
      </w:pPr>
      <w:r>
        <w:rPr>
          <w:b/>
          <w:bCs/>
          <w:i/>
          <w:iCs/>
          <w:sz w:val="20"/>
          <w:szCs w:val="20"/>
        </w:rPr>
        <w:t xml:space="preserve">(B) Non-Recurring Charges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300"/>
      </w:tblGrid>
      <w:tr>
        <w:tc>
          <w:tcPr>
            <w:tcW w:type="dxa" w:w="4600"/>
            <w:shd w:fill="E8E4DC" w:val="clear"/>
            <w:tcMar>
              <w:top w:type="dxa" w:w="90"/>
              <w:left w:type="dxa" w:w="110"/>
              <w:bottom w:type="dxa" w:w="90"/>
              <w:right w:type="dxa" w:w="110"/>
            </w:tcMar>
          </w:tcPr>
          <w:p>
            <w:r>
              <w:rPr>
                <w:b/>
                <w:bCs/>
                <w:sz w:val="19"/>
                <w:szCs w:val="19"/>
              </w:rPr>
              <w:t xml:space="preserve">Particulars</w:t>
            </w:r>
          </w:p>
        </w:tc>
        <w:tc>
          <w:tcPr>
            <w:tcW w:type="dxa" w:w="2300"/>
            <w:shd w:fill="E8E4DC" w:val="clear"/>
            <w:tcMar>
              <w:top w:type="dxa" w:w="90"/>
              <w:left w:type="dxa" w:w="110"/>
              <w:bottom w:type="dxa" w:w="90"/>
              <w:right w:type="dxa" w:w="110"/>
            </w:tcMar>
          </w:tcPr>
          <w:p>
            <w:r>
              <w:rPr>
                <w:b/>
                <w:bCs/>
                <w:sz w:val="19"/>
                <w:szCs w:val="19"/>
              </w:rPr>
              <w:t xml:space="preserve">Amount (Rs.)</w:t>
            </w:r>
          </w:p>
        </w:tc>
        <w:tc>
          <w:tcPr>
            <w:tcW w:type="dxa" w:w="2300"/>
            <w:shd w:fill="E8E4DC" w:val="clear"/>
            <w:tcMar>
              <w:top w:type="dxa" w:w="90"/>
              <w:left w:type="dxa" w:w="110"/>
              <w:bottom w:type="dxa" w:w="90"/>
              <w:right w:type="dxa" w:w="110"/>
            </w:tcMar>
          </w:tcPr>
          <w:p>
            <w:r>
              <w:rPr>
                <w:b/>
                <w:bCs/>
                <w:sz w:val="19"/>
                <w:szCs w:val="19"/>
              </w:rPr>
              <w:t xml:space="preserve">Payable To</w:t>
            </w:r>
          </w:p>
        </w:tc>
      </w:tr>
      <w:tr>
        <w:tc>
          <w:tcPr>
            <w:tcW w:type="dxa" w:w="4600"/>
            <w:tcMar>
              <w:top w:type="dxa" w:w="90"/>
              <w:left w:type="dxa" w:w="110"/>
              <w:bottom w:type="dxa" w:w="90"/>
              <w:right w:type="dxa" w:w="110"/>
            </w:tcMar>
          </w:tcPr>
          <w:p>
            <w:r>
              <w:rPr>
                <w:b w:val="false"/>
                <w:bCs w:val="false"/>
                <w:sz w:val="19"/>
                <w:szCs w:val="19"/>
              </w:rPr>
              <w:t xml:space="preserve">Processing Fee</w:t>
            </w:r>
          </w:p>
        </w:tc>
        <w:tc>
          <w:tcPr>
            <w:tcW w:type="dxa" w:w="2300"/>
            <w:tcMar>
              <w:top w:type="dxa" w:w="90"/>
              <w:left w:type="dxa" w:w="110"/>
              <w:bottom w:type="dxa" w:w="90"/>
              <w:right w:type="dxa" w:w="110"/>
            </w:tcMar>
          </w:tcPr>
          <w:p>
            <w:r>
              <w:rPr>
                <w:b w:val="false"/>
                <w:bCs w:val="false"/>
                <w:sz w:val="19"/>
                <w:szCs w:val="19"/>
              </w:rPr>
              <w:t xml:space="preserve">20,000</w:t>
            </w:r>
          </w:p>
        </w:tc>
        <w:tc>
          <w:tcPr>
            <w:tcW w:type="dxa" w:w="2300"/>
            <w:tcMar>
              <w:top w:type="dxa" w:w="90"/>
              <w:left w:type="dxa" w:w="110"/>
              <w:bottom w:type="dxa" w:w="90"/>
              <w:right w:type="dxa" w:w="110"/>
            </w:tcMar>
          </w:tcPr>
          <w:p>
            <w:r>
              <w:rPr>
                <w:b w:val="false"/>
                <w:bCs w:val="false"/>
                <w:sz w:val="19"/>
                <w:szCs w:val="19"/>
              </w:rPr>
              <w:t xml:space="preserve">Kalpataru Housing Finance Limited</w:t>
            </w:r>
          </w:p>
        </w:tc>
      </w:tr>
      <w:tr>
        <w:tc>
          <w:tcPr>
            <w:tcW w:type="dxa" w:w="4600"/>
            <w:tcMar>
              <w:top w:type="dxa" w:w="90"/>
              <w:left w:type="dxa" w:w="110"/>
              <w:bottom w:type="dxa" w:w="90"/>
              <w:right w:type="dxa" w:w="110"/>
            </w:tcMar>
          </w:tcPr>
          <w:p>
            <w:r>
              <w:rPr>
                <w:b w:val="false"/>
                <w:bCs w:val="false"/>
                <w:sz w:val="19"/>
                <w:szCs w:val="19"/>
              </w:rPr>
              <w:t xml:space="preserve">Legal &amp; Technical Verification Fee</w:t>
            </w:r>
          </w:p>
        </w:tc>
        <w:tc>
          <w:tcPr>
            <w:tcW w:type="dxa" w:w="2300"/>
            <w:tcMar>
              <w:top w:type="dxa" w:w="90"/>
              <w:left w:type="dxa" w:w="110"/>
              <w:bottom w:type="dxa" w:w="90"/>
              <w:right w:type="dxa" w:w="110"/>
            </w:tcMar>
          </w:tcPr>
          <w:p>
            <w:r>
              <w:rPr>
                <w:b w:val="false"/>
                <w:bCs w:val="false"/>
                <w:sz w:val="19"/>
                <w:szCs w:val="19"/>
              </w:rPr>
              <w:t xml:space="preserve">10,000</w:t>
            </w:r>
          </w:p>
        </w:tc>
        <w:tc>
          <w:tcPr>
            <w:tcW w:type="dxa" w:w="2300"/>
            <w:tcMar>
              <w:top w:type="dxa" w:w="90"/>
              <w:left w:type="dxa" w:w="110"/>
              <w:bottom w:type="dxa" w:w="90"/>
              <w:right w:type="dxa" w:w="110"/>
            </w:tcMar>
          </w:tcPr>
          <w:p>
            <w:r>
              <w:rPr>
                <w:b w:val="false"/>
                <w:bCs w:val="false"/>
                <w:sz w:val="19"/>
                <w:szCs w:val="19"/>
              </w:rPr>
              <w:t xml:space="preserve">Empanelled Agency</w:t>
            </w:r>
          </w:p>
        </w:tc>
      </w:tr>
      <w:tr>
        <w:tc>
          <w:tcPr>
            <w:tcW w:type="dxa" w:w="4600"/>
            <w:tcMar>
              <w:top w:type="dxa" w:w="90"/>
              <w:left w:type="dxa" w:w="110"/>
              <w:bottom w:type="dxa" w:w="90"/>
              <w:right w:type="dxa" w:w="110"/>
            </w:tcMar>
          </w:tcPr>
          <w:p>
            <w:r>
              <w:rPr>
                <w:b w:val="false"/>
                <w:bCs w:val="false"/>
                <w:sz w:val="19"/>
                <w:szCs w:val="19"/>
              </w:rPr>
              <w:t xml:space="preserve">CERSAI Filing Fee</w:t>
            </w:r>
          </w:p>
        </w:tc>
        <w:tc>
          <w:tcPr>
            <w:tcW w:type="dxa" w:w="2300"/>
            <w:tcMar>
              <w:top w:type="dxa" w:w="90"/>
              <w:left w:type="dxa" w:w="110"/>
              <w:bottom w:type="dxa" w:w="90"/>
              <w:right w:type="dxa" w:w="110"/>
            </w:tcMar>
          </w:tcPr>
          <w:p>
            <w:r>
              <w:rPr>
                <w:b w:val="false"/>
                <w:bCs w:val="false"/>
                <w:sz w:val="19"/>
                <w:szCs w:val="19"/>
              </w:rPr>
              <w:t xml:space="preserve">1,000</w:t>
            </w:r>
          </w:p>
        </w:tc>
        <w:tc>
          <w:tcPr>
            <w:tcW w:type="dxa" w:w="2300"/>
            <w:tcMar>
              <w:top w:type="dxa" w:w="90"/>
              <w:left w:type="dxa" w:w="110"/>
              <w:bottom w:type="dxa" w:w="90"/>
              <w:right w:type="dxa" w:w="110"/>
            </w:tcMar>
          </w:tcPr>
          <w:p>
            <w:r>
              <w:rPr>
                <w:b w:val="false"/>
                <w:bCs w:val="false"/>
                <w:sz w:val="19"/>
                <w:szCs w:val="19"/>
              </w:rPr>
              <w:t xml:space="preserve">CERSAI</w:t>
            </w:r>
          </w:p>
        </w:tc>
      </w:tr>
      <w:tr>
        <w:tc>
          <w:tcPr>
            <w:tcW w:type="dxa" w:w="4600"/>
            <w:tcMar>
              <w:top w:type="dxa" w:w="90"/>
              <w:left w:type="dxa" w:w="110"/>
              <w:bottom w:type="dxa" w:w="90"/>
              <w:right w:type="dxa" w:w="110"/>
            </w:tcMar>
          </w:tcPr>
          <w:p>
            <w:r>
              <w:rPr>
                <w:b w:val="false"/>
                <w:bCs w:val="false"/>
                <w:sz w:val="19"/>
                <w:szCs w:val="19"/>
              </w:rPr>
              <w:t xml:space="preserve">Documentation / MODT Charges</w:t>
            </w:r>
          </w:p>
        </w:tc>
        <w:tc>
          <w:tcPr>
            <w:tcW w:type="dxa" w:w="2300"/>
            <w:tcMar>
              <w:top w:type="dxa" w:w="90"/>
              <w:left w:type="dxa" w:w="110"/>
              <w:bottom w:type="dxa" w:w="90"/>
              <w:right w:type="dxa" w:w="110"/>
            </w:tcMar>
          </w:tcPr>
          <w:p>
            <w:r>
              <w:rPr>
                <w:b w:val="false"/>
                <w:bCs w:val="false"/>
                <w:sz w:val="19"/>
                <w:szCs w:val="19"/>
              </w:rPr>
              <w:t xml:space="preserve">12,000</w:t>
            </w:r>
          </w:p>
        </w:tc>
        <w:tc>
          <w:tcPr>
            <w:tcW w:type="dxa" w:w="2300"/>
            <w:tcMar>
              <w:top w:type="dxa" w:w="90"/>
              <w:left w:type="dxa" w:w="110"/>
              <w:bottom w:type="dxa" w:w="90"/>
              <w:right w:type="dxa" w:w="110"/>
            </w:tcMar>
          </w:tcPr>
          <w:p>
            <w:r>
              <w:rPr>
                <w:b w:val="false"/>
                <w:bCs w:val="false"/>
                <w:sz w:val="19"/>
                <w:szCs w:val="19"/>
              </w:rPr>
              <w:t xml:space="preserve">Kalpataru Housing Finance Limited</w:t>
            </w:r>
          </w:p>
        </w:tc>
      </w:tr>
    </w:tbl>
    <w:p>
      <w:pPr>
        <w:spacing w:after="140" w:line="300"/>
        <w:jc w:val="both"/>
      </w:pPr>
      <w:r>
        <w:rPr>
          <w:i/>
          <w:iCs/>
        </w:rPr>
        <w:t xml:space="preserve">Total non-recurring charges disclosed above: Rs. 43,000.</w:t>
      </w:r>
    </w:p>
    <w:p>
      <w:pPr>
        <w:spacing w:after="200" w:before="100"/>
      </w:pPr>
      <w:r>
        <w:rPr>
          <w:i/>
          <w:iCs/>
          <w:sz w:val="18"/>
          <w:szCs w:val="18"/>
        </w:rPr>
        <w:t xml:space="preserve">Note: This statement discloses fees and charges payable to the Regulated Entity and third parties in connection with processing and administration of the Loan. Any product voluntarily availed by the Borrower that is not a condition for sanction of the Loan is disclosed separately to the Borrower at the time such product is opted for and does not form part of this table.</w:t>
      </w:r>
    </w:p>
    <w:p>
      <w:pPr>
        <w:pStyle w:val="Heading2"/>
        <w:spacing w:after="120" w:before="260"/>
      </w:pPr>
      <w:r>
        <w:rPr>
          <w:b/>
          <w:bCs/>
        </w:rPr>
        <w:t xml:space="preserve">(vii) Annual Percentage Rate (APR)</w:t>
      </w:r>
    </w:p>
    <w:p>
      <w:pPr>
        <w:spacing w:after="140" w:line="300"/>
        <w:jc w:val="both"/>
      </w:pPr>
      <w:r>
        <w:rPr>
          <w:i w:val="false"/>
          <w:iCs w:val="false"/>
        </w:rPr>
        <w:t xml:space="preserve">9.4% p.a. (computed on Sanctioned Loan Amount, inclusive of the interest rate at (v) and the non-recurring charges at (vi)(B) above, amortised over the Loan Term. See Annexure I for the detailed computation sheet.)</w:t>
      </w:r>
    </w:p>
    <w:p>
      <w:pPr>
        <w:pStyle w:val="Heading2"/>
        <w:spacing w:after="120" w:before="260"/>
      </w:pPr>
      <w:r>
        <w:rPr>
          <w:b/>
          <w:bCs/>
        </w:rPr>
        <w:t xml:space="preserve">(viii) Details of Contingent Charges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300"/>
      </w:tblGrid>
      <w:tr>
        <w:tc>
          <w:tcPr>
            <w:tcW w:type="dxa" w:w="4600"/>
            <w:shd w:fill="E8E4DC" w:val="clear"/>
            <w:tcMar>
              <w:top w:type="dxa" w:w="90"/>
              <w:left w:type="dxa" w:w="110"/>
              <w:bottom w:type="dxa" w:w="90"/>
              <w:right w:type="dxa" w:w="110"/>
            </w:tcMar>
          </w:tcPr>
          <w:p>
            <w:r>
              <w:rPr>
                <w:b/>
                <w:bCs/>
                <w:sz w:val="19"/>
                <w:szCs w:val="19"/>
              </w:rPr>
              <w:t xml:space="preserve">Particulars</w:t>
            </w:r>
          </w:p>
        </w:tc>
        <w:tc>
          <w:tcPr>
            <w:tcW w:type="dxa" w:w="2300"/>
            <w:shd w:fill="E8E4DC" w:val="clear"/>
            <w:tcMar>
              <w:top w:type="dxa" w:w="90"/>
              <w:left w:type="dxa" w:w="110"/>
              <w:bottom w:type="dxa" w:w="90"/>
              <w:right w:type="dxa" w:w="110"/>
            </w:tcMar>
          </w:tcPr>
          <w:p>
            <w:r>
              <w:rPr>
                <w:b/>
                <w:bCs/>
                <w:sz w:val="19"/>
                <w:szCs w:val="19"/>
              </w:rPr>
              <w:t xml:space="preserve">Amount / Rate</w:t>
            </w:r>
          </w:p>
        </w:tc>
        <w:tc>
          <w:tcPr>
            <w:tcW w:type="dxa" w:w="2300"/>
            <w:shd w:fill="E8E4DC" w:val="clear"/>
            <w:tcMar>
              <w:top w:type="dxa" w:w="90"/>
              <w:left w:type="dxa" w:w="110"/>
              <w:bottom w:type="dxa" w:w="90"/>
              <w:right w:type="dxa" w:w="110"/>
            </w:tcMar>
          </w:tcPr>
          <w:p>
            <w:r>
              <w:rPr>
                <w:b/>
                <w:bCs/>
                <w:sz w:val="19"/>
                <w:szCs w:val="19"/>
              </w:rPr>
              <w:t xml:space="preserve">Trigger</w:t>
            </w:r>
          </w:p>
        </w:tc>
      </w:tr>
      <w:tr>
        <w:tc>
          <w:tcPr>
            <w:tcW w:type="dxa" w:w="4600"/>
            <w:tcMar>
              <w:top w:type="dxa" w:w="90"/>
              <w:left w:type="dxa" w:w="110"/>
              <w:bottom w:type="dxa" w:w="90"/>
              <w:right w:type="dxa" w:w="110"/>
            </w:tcMar>
          </w:tcPr>
          <w:p>
            <w:r>
              <w:rPr>
                <w:b w:val="false"/>
                <w:bCs w:val="false"/>
                <w:sz w:val="19"/>
                <w:szCs w:val="19"/>
              </w:rPr>
              <w:t xml:space="preserve">Penal Charges</w:t>
            </w:r>
          </w:p>
        </w:tc>
        <w:tc>
          <w:tcPr>
            <w:tcW w:type="dxa" w:w="2300"/>
            <w:tcMar>
              <w:top w:type="dxa" w:w="90"/>
              <w:left w:type="dxa" w:w="110"/>
              <w:bottom w:type="dxa" w:w="90"/>
              <w:right w:type="dxa" w:w="110"/>
            </w:tcMar>
          </w:tcPr>
          <w:p>
            <w:r>
              <w:rPr>
                <w:b w:val="false"/>
                <w:bCs w:val="false"/>
                <w:sz w:val="19"/>
                <w:szCs w:val="19"/>
              </w:rPr>
              <w:t xml:space="preserve">2% per month on overdue amount</w:t>
            </w:r>
          </w:p>
        </w:tc>
        <w:tc>
          <w:tcPr>
            <w:tcW w:type="dxa" w:w="2300"/>
            <w:tcMar>
              <w:top w:type="dxa" w:w="90"/>
              <w:left w:type="dxa" w:w="110"/>
              <w:bottom w:type="dxa" w:w="90"/>
              <w:right w:type="dxa" w:w="110"/>
            </w:tcMar>
          </w:tcPr>
          <w:p>
            <w:r>
              <w:rPr>
                <w:b w:val="false"/>
                <w:bCs w:val="false"/>
                <w:sz w:val="19"/>
                <w:szCs w:val="19"/>
              </w:rPr>
              <w:t xml:space="preserve">Delay in payment of EMI</w:t>
            </w:r>
          </w:p>
        </w:tc>
      </w:tr>
      <w:tr>
        <w:tc>
          <w:tcPr>
            <w:tcW w:type="dxa" w:w="4600"/>
            <w:tcMar>
              <w:top w:type="dxa" w:w="90"/>
              <w:left w:type="dxa" w:w="110"/>
              <w:bottom w:type="dxa" w:w="90"/>
              <w:right w:type="dxa" w:w="110"/>
            </w:tcMar>
          </w:tcPr>
          <w:p>
            <w:r>
              <w:rPr>
                <w:b w:val="false"/>
                <w:bCs w:val="false"/>
                <w:sz w:val="19"/>
                <w:szCs w:val="19"/>
              </w:rPr>
              <w:t xml:space="preserve">Foreclosure / Pre-payment Charges</w:t>
            </w:r>
          </w:p>
        </w:tc>
        <w:tc>
          <w:tcPr>
            <w:tcW w:type="dxa" w:w="2300"/>
            <w:tcMar>
              <w:top w:type="dxa" w:w="90"/>
              <w:left w:type="dxa" w:w="110"/>
              <w:bottom w:type="dxa" w:w="90"/>
              <w:right w:type="dxa" w:w="110"/>
            </w:tcMar>
          </w:tcPr>
          <w:p>
            <w:r>
              <w:rPr>
                <w:b w:val="false"/>
                <w:bCs w:val="false"/>
                <w:sz w:val="19"/>
                <w:szCs w:val="19"/>
              </w:rPr>
              <w:t xml:space="preserve">Nil</w:t>
            </w:r>
          </w:p>
        </w:tc>
        <w:tc>
          <w:tcPr>
            <w:tcW w:type="dxa" w:w="2300"/>
            <w:tcMar>
              <w:top w:type="dxa" w:w="90"/>
              <w:left w:type="dxa" w:w="110"/>
              <w:bottom w:type="dxa" w:w="90"/>
              <w:right w:type="dxa" w:w="110"/>
            </w:tcMar>
          </w:tcPr>
          <w:p>
            <w:r>
              <w:rPr>
                <w:b w:val="false"/>
                <w:bCs w:val="false"/>
                <w:sz w:val="19"/>
                <w:szCs w:val="19"/>
              </w:rPr>
              <w:t xml:space="preserve">Not applicable — see Part 2(iv)</w:t>
            </w:r>
          </w:p>
        </w:tc>
      </w:tr>
      <w:tr>
        <w:tc>
          <w:tcPr>
            <w:tcW w:type="dxa" w:w="4600"/>
            <w:tcMar>
              <w:top w:type="dxa" w:w="90"/>
              <w:left w:type="dxa" w:w="110"/>
              <w:bottom w:type="dxa" w:w="90"/>
              <w:right w:type="dxa" w:w="110"/>
            </w:tcMar>
          </w:tcPr>
          <w:p>
            <w:r>
              <w:rPr>
                <w:b w:val="false"/>
                <w:bCs w:val="false"/>
                <w:sz w:val="19"/>
                <w:szCs w:val="19"/>
              </w:rPr>
              <w:t xml:space="preserve">Fixed-Rate Switch Charge</w:t>
            </w:r>
          </w:p>
        </w:tc>
        <w:tc>
          <w:tcPr>
            <w:tcW w:type="dxa" w:w="2300"/>
            <w:tcMar>
              <w:top w:type="dxa" w:w="90"/>
              <w:left w:type="dxa" w:w="110"/>
              <w:bottom w:type="dxa" w:w="90"/>
              <w:right w:type="dxa" w:w="110"/>
            </w:tcMar>
          </w:tcPr>
          <w:p>
            <w:r>
              <w:rPr>
                <w:b w:val="false"/>
                <w:bCs w:val="false"/>
                <w:sz w:val="19"/>
                <w:szCs w:val="19"/>
              </w:rPr>
              <w:t xml:space="preserve">Rs. 5,000</w:t>
            </w:r>
          </w:p>
        </w:tc>
        <w:tc>
          <w:tcPr>
            <w:tcW w:type="dxa" w:w="2300"/>
            <w:tcMar>
              <w:top w:type="dxa" w:w="90"/>
              <w:left w:type="dxa" w:w="110"/>
              <w:bottom w:type="dxa" w:w="90"/>
              <w:right w:type="dxa" w:w="110"/>
            </w:tcMar>
          </w:tcPr>
          <w:p>
            <w:r>
              <w:rPr>
                <w:b w:val="false"/>
                <w:bCs w:val="false"/>
                <w:sz w:val="19"/>
                <w:szCs w:val="19"/>
              </w:rPr>
              <w:t xml:space="preserve">On borrower-initiated switch</w:t>
            </w:r>
          </w:p>
        </w:tc>
      </w:tr>
      <w:tr>
        <w:tc>
          <w:tcPr>
            <w:tcW w:type="dxa" w:w="4600"/>
            <w:tcMar>
              <w:top w:type="dxa" w:w="90"/>
              <w:left w:type="dxa" w:w="110"/>
              <w:bottom w:type="dxa" w:w="90"/>
              <w:right w:type="dxa" w:w="110"/>
            </w:tcMar>
          </w:tcPr>
          <w:p>
            <w:r>
              <w:rPr>
                <w:b w:val="false"/>
                <w:bCs w:val="false"/>
                <w:sz w:val="19"/>
                <w:szCs w:val="19"/>
              </w:rPr>
              <w:t xml:space="preserve">Cheque / NACH Bounce Charges</w:t>
            </w:r>
          </w:p>
        </w:tc>
        <w:tc>
          <w:tcPr>
            <w:tcW w:type="dxa" w:w="2300"/>
            <w:tcMar>
              <w:top w:type="dxa" w:w="90"/>
              <w:left w:type="dxa" w:w="110"/>
              <w:bottom w:type="dxa" w:w="90"/>
              <w:right w:type="dxa" w:w="110"/>
            </w:tcMar>
          </w:tcPr>
          <w:p>
            <w:r>
              <w:rPr>
                <w:b w:val="false"/>
                <w:bCs w:val="false"/>
                <w:sz w:val="19"/>
                <w:szCs w:val="19"/>
              </w:rPr>
              <w:t xml:space="preserve">Rs. 500 per instance</w:t>
            </w:r>
          </w:p>
        </w:tc>
        <w:tc>
          <w:tcPr>
            <w:tcW w:type="dxa" w:w="2300"/>
            <w:tcMar>
              <w:top w:type="dxa" w:w="90"/>
              <w:left w:type="dxa" w:w="110"/>
              <w:bottom w:type="dxa" w:w="90"/>
              <w:right w:type="dxa" w:w="110"/>
            </w:tcMar>
          </w:tcPr>
          <w:p>
            <w:r>
              <w:rPr>
                <w:b w:val="false"/>
                <w:bCs w:val="false"/>
                <w:sz w:val="19"/>
                <w:szCs w:val="19"/>
              </w:rPr>
              <w:t xml:space="preserve">Instrument returned unpaid</w:t>
            </w:r>
          </w:p>
        </w:tc>
      </w:tr>
    </w:tbl>
    <w:p>
      <w:pPr>
        <w:pBdr>
          <w:bottom w:val="single" w:color="7A2E38" w:sz="6"/>
        </w:pBdr>
        <w:spacing w:after="160" w:before="320"/>
      </w:pPr>
      <w:r>
        <w:rPr>
          <w:b/>
          <w:bCs/>
          <w:color w:val="7A2E38"/>
          <w:sz w:val="24"/>
          <w:szCs w:val="24"/>
        </w:rPr>
        <w:t xml:space="preserve">PART 2 — OTHER QUALITATIVE INFORMATION</w:t>
      </w:r>
    </w:p>
    <w:p>
      <w:pPr>
        <w:pStyle w:val="Heading2"/>
        <w:spacing w:after="120" w:before="260"/>
      </w:pPr>
      <w:r>
        <w:rPr>
          <w:b/>
          <w:bCs/>
        </w:rPr>
        <w:t xml:space="preserve">(i) Clause of Loan Agreement relating to Engagement of Recovery Agents</w:t>
      </w:r>
    </w:p>
    <w:p>
      <w:pPr>
        <w:spacing w:after="140" w:line="300"/>
        <w:jc w:val="both"/>
      </w:pPr>
      <w:r>
        <w:rPr>
          <w:i w:val="false"/>
          <w:iCs w:val="false"/>
        </w:rPr>
        <w:t xml:space="preserve">Refer Clause 12.2 (Events of Default) of the Loan Agreement.</w:t>
      </w:r>
    </w:p>
    <w:p>
      <w:pPr>
        <w:pStyle w:val="Heading2"/>
        <w:spacing w:after="120" w:before="260"/>
      </w:pPr>
      <w:r>
        <w:rPr>
          <w:b/>
          <w:bCs/>
        </w:rPr>
        <w:t xml:space="preserve">(ii) Clause of Loan Agreement relating to Grievance Redressal Mechanism</w:t>
      </w:r>
    </w:p>
    <w:p>
      <w:pPr>
        <w:spacing w:after="140" w:line="300"/>
        <w:jc w:val="both"/>
      </w:pPr>
      <w:r>
        <w:rPr>
          <w:i w:val="false"/>
          <w:iCs w:val="false"/>
        </w:rPr>
        <w:t xml:space="preserve">Refer Clause 14.3 (Miscellaneous) of the Loan Agreement, and the Reserve Bank – Integrated Ombudsman Scheme.</w:t>
      </w:r>
    </w:p>
    <w:p>
      <w:pPr>
        <w:pStyle w:val="Heading2"/>
        <w:spacing w:after="120" w:before="260"/>
      </w:pPr>
      <w:r>
        <w:rPr>
          <w:b/>
          <w:bCs/>
        </w:rPr>
        <w:t xml:space="preserve">(iii) Phone number and Nodal Grievance Redressal Officer</w:t>
      </w:r>
    </w:p>
    <w:p>
      <w:pPr>
        <w:spacing w:after="140" w:line="300"/>
        <w:jc w:val="both"/>
      </w:pPr>
      <w:r>
        <w:rPr>
          <w:i w:val="false"/>
          <w:iCs w:val="false"/>
        </w:rPr>
        <w:t xml:space="preserve">Nodal Officer, Customer Grievances, Kalpataru Housing Finance Limited — 1800-XXX-XXXX (toll free), grievance@khfl-example.in</w:t>
      </w:r>
    </w:p>
    <w:p>
      <w:pPr>
        <w:pStyle w:val="Heading2"/>
        <w:spacing w:after="120" w:before="260"/>
      </w:pPr>
      <w:r>
        <w:rPr>
          <w:b/>
          <w:bCs/>
        </w:rPr>
        <w:t xml:space="preserve">(iv) Whether the product is on floating or fixed interest rate, and applicability of foreclosure/pre-payment charges</w:t>
      </w:r>
    </w:p>
    <w:p>
      <w:pPr>
        <w:spacing w:after="140" w:line="300"/>
        <w:jc w:val="both"/>
      </w:pPr>
      <w:r>
        <w:rPr>
          <w:i w:val="false"/>
          <w:iCs w:val="false"/>
        </w:rPr>
        <w:t xml:space="preserve">This is a floating rate loan sanctioned to individual borrower(s) for a purpose other than business. In terms of the Reserve Bank of India (Pre-payment Charges on Loans) Directions, 2025 (RBI/2025-26/64 dated 2 July 2025, effective 1 January 2026), no pre-payment charges are applicable on this Loan, irrespective of the amount prepaid, the source of funds, or any lock-in period.</w:t>
      </w:r>
    </w:p>
    <w:p>
      <w:pPr>
        <w:pStyle w:val="Heading2"/>
        <w:spacing w:after="120" w:before="260"/>
      </w:pPr>
      <w:r>
        <w:rPr>
          <w:b/>
          <w:bCs/>
        </w:rPr>
        <w:t xml:space="preserve">(v) Cooling-off / look-up period</w:t>
      </w:r>
    </w:p>
    <w:p>
      <w:pPr>
        <w:spacing w:after="140" w:line="300"/>
        <w:jc w:val="both"/>
      </w:pPr>
      <w:r>
        <w:rPr>
          <w:i w:val="false"/>
          <w:iCs w:val="false"/>
        </w:rPr>
        <w:t xml:space="preserve">3 (three) calendar days from the date of this KFS, during which the Borrower may cancel the Loan without payment of any cancellation charges, save for proportionate interest for the period the Loan was availed.</w:t>
      </w:r>
    </w:p>
    <w:p>
      <w:pPr>
        <w:spacing w:after="160" w:before="400"/>
      </w:pPr>
      <w:r>
        <w:rPr>
          <w:b/>
          <w:bCs/>
          <w:sz w:val="22"/>
          <w:szCs w:val="22"/>
        </w:rPr>
        <w:t xml:space="preserve">ANNEXURE I — AMORTISATION SCHEDULE (ILLUSTRATIVE, FIRST 12 MONTHS)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800"/>
      </w:tblGrid>
      <w:tr>
        <w:tc>
          <w:tcPr>
            <w:tcW w:type="dxa" w:w="1400"/>
            <w:shd w:fill="E8E4DC" w:val="clear"/>
            <w:tcMar>
              <w:top w:type="dxa" w:w="90"/>
              <w:left w:type="dxa" w:w="110"/>
              <w:bottom w:type="dxa" w:w="90"/>
              <w:right w:type="dxa" w:w="110"/>
            </w:tcMar>
          </w:tcPr>
          <w:p>
            <w:r>
              <w:rPr>
                <w:b/>
                <w:bCs/>
                <w:sz w:val="19"/>
                <w:szCs w:val="19"/>
              </w:rPr>
              <w:t xml:space="preserve">Month</w:t>
            </w:r>
          </w:p>
        </w:tc>
        <w:tc>
          <w:tcPr>
            <w:tcW w:type="dxa" w:w="2000"/>
            <w:shd w:fill="E8E4DC" w:val="clear"/>
            <w:tcMar>
              <w:top w:type="dxa" w:w="90"/>
              <w:left w:type="dxa" w:w="110"/>
              <w:bottom w:type="dxa" w:w="90"/>
              <w:right w:type="dxa" w:w="110"/>
            </w:tcMar>
          </w:tcPr>
          <w:p>
            <w:r>
              <w:rPr>
                <w:b/>
                <w:bCs/>
                <w:sz w:val="19"/>
                <w:szCs w:val="19"/>
              </w:rPr>
              <w:t xml:space="preserve">EMI (Rs.)</w:t>
            </w:r>
          </w:p>
        </w:tc>
        <w:tc>
          <w:tcPr>
            <w:tcW w:type="dxa" w:w="2000"/>
            <w:shd w:fill="E8E4DC" w:val="clear"/>
            <w:tcMar>
              <w:top w:type="dxa" w:w="90"/>
              <w:left w:type="dxa" w:w="110"/>
              <w:bottom w:type="dxa" w:w="90"/>
              <w:right w:type="dxa" w:w="110"/>
            </w:tcMar>
          </w:tcPr>
          <w:p>
            <w:r>
              <w:rPr>
                <w:b/>
                <w:bCs/>
                <w:sz w:val="19"/>
                <w:szCs w:val="19"/>
              </w:rPr>
              <w:t xml:space="preserve">Principal (Rs.)</w:t>
            </w:r>
          </w:p>
        </w:tc>
        <w:tc>
          <w:tcPr>
            <w:tcW w:type="dxa" w:w="2000"/>
            <w:shd w:fill="E8E4DC" w:val="clear"/>
            <w:tcMar>
              <w:top w:type="dxa" w:w="90"/>
              <w:left w:type="dxa" w:w="110"/>
              <w:bottom w:type="dxa" w:w="90"/>
              <w:right w:type="dxa" w:w="110"/>
            </w:tcMar>
          </w:tcPr>
          <w:p>
            <w:r>
              <w:rPr>
                <w:b/>
                <w:bCs/>
                <w:sz w:val="19"/>
                <w:szCs w:val="19"/>
              </w:rPr>
              <w:t xml:space="preserve">Interest (Rs.)</w:t>
            </w:r>
          </w:p>
        </w:tc>
        <w:tc>
          <w:tcPr>
            <w:tcW w:type="dxa" w:w="1800"/>
            <w:shd w:fill="E8E4DC" w:val="clear"/>
            <w:tcMar>
              <w:top w:type="dxa" w:w="90"/>
              <w:left w:type="dxa" w:w="110"/>
              <w:bottom w:type="dxa" w:w="90"/>
              <w:right w:type="dxa" w:w="110"/>
            </w:tcMar>
          </w:tcPr>
          <w:p>
            <w:r>
              <w:rPr>
                <w:b/>
                <w:bCs/>
                <w:sz w:val="19"/>
                <w:szCs w:val="19"/>
              </w:rPr>
              <w:t xml:space="preserve">Balance (Rs.)</w:t>
            </w:r>
          </w:p>
        </w:tc>
      </w:tr>
      <w:tr>
        <w:tc>
          <w:tcPr>
            <w:tcW w:type="dxa" w:w="1400"/>
            <w:tcMar>
              <w:top w:type="dxa" w:w="90"/>
              <w:left w:type="dxa" w:w="110"/>
              <w:bottom w:type="dxa" w:w="90"/>
              <w:right w:type="dxa" w:w="110"/>
            </w:tcMar>
          </w:tcPr>
          <w:p>
            <w:r>
              <w:rPr>
                <w:b w:val="false"/>
                <w:bCs w:val="false"/>
                <w:sz w:val="19"/>
                <w:szCs w:val="19"/>
              </w:rPr>
              <w:t xml:space="preserve">1</w:t>
            </w:r>
          </w:p>
        </w:tc>
        <w:tc>
          <w:tcPr>
            <w:tcW w:type="dxa" w:w="2000"/>
            <w:tcMar>
              <w:top w:type="dxa" w:w="90"/>
              <w:left w:type="dxa" w:w="110"/>
              <w:bottom w:type="dxa" w:w="90"/>
              <w:right w:type="dxa" w:w="110"/>
            </w:tcMar>
          </w:tcPr>
          <w:p>
            <w:r>
              <w:rPr>
                <w:b w:val="false"/>
                <w:bCs w:val="false"/>
                <w:sz w:val="19"/>
                <w:szCs w:val="19"/>
              </w:rPr>
              <w:t xml:space="preserve">43,391</w:t>
            </w:r>
          </w:p>
        </w:tc>
        <w:tc>
          <w:tcPr>
            <w:tcW w:type="dxa" w:w="2000"/>
            <w:tcMar>
              <w:top w:type="dxa" w:w="90"/>
              <w:left w:type="dxa" w:w="110"/>
              <w:bottom w:type="dxa" w:w="90"/>
              <w:right w:type="dxa" w:w="110"/>
            </w:tcMar>
          </w:tcPr>
          <w:p>
            <w:r>
              <w:rPr>
                <w:b w:val="false"/>
                <w:bCs w:val="false"/>
                <w:sz w:val="19"/>
                <w:szCs w:val="19"/>
              </w:rPr>
              <w:t xml:space="preserve">8,595</w:t>
            </w:r>
          </w:p>
        </w:tc>
        <w:tc>
          <w:tcPr>
            <w:tcW w:type="dxa" w:w="2000"/>
            <w:tcMar>
              <w:top w:type="dxa" w:w="90"/>
              <w:left w:type="dxa" w:w="110"/>
              <w:bottom w:type="dxa" w:w="90"/>
              <w:right w:type="dxa" w:w="110"/>
            </w:tcMar>
          </w:tcPr>
          <w:p>
            <w:r>
              <w:rPr>
                <w:b w:val="false"/>
                <w:bCs w:val="false"/>
                <w:sz w:val="19"/>
                <w:szCs w:val="19"/>
              </w:rPr>
              <w:t xml:space="preserve">34,796</w:t>
            </w:r>
          </w:p>
        </w:tc>
        <w:tc>
          <w:tcPr>
            <w:tcW w:type="dxa" w:w="1800"/>
            <w:tcMar>
              <w:top w:type="dxa" w:w="90"/>
              <w:left w:type="dxa" w:w="110"/>
              <w:bottom w:type="dxa" w:w="90"/>
              <w:right w:type="dxa" w:w="110"/>
            </w:tcMar>
          </w:tcPr>
          <w:p>
            <w:r>
              <w:rPr>
                <w:b w:val="false"/>
                <w:bCs w:val="false"/>
                <w:sz w:val="19"/>
                <w:szCs w:val="19"/>
              </w:rPr>
              <w:t xml:space="preserve">49,91,405</w:t>
            </w:r>
          </w:p>
        </w:tc>
      </w:tr>
      <w:tr>
        <w:tc>
          <w:tcPr>
            <w:tcW w:type="dxa" w:w="1400"/>
            <w:tcMar>
              <w:top w:type="dxa" w:w="90"/>
              <w:left w:type="dxa" w:w="110"/>
              <w:bottom w:type="dxa" w:w="90"/>
              <w:right w:type="dxa" w:w="110"/>
            </w:tcMar>
          </w:tcPr>
          <w:p>
            <w:r>
              <w:rPr>
                <w:b w:val="false"/>
                <w:bCs w:val="false"/>
                <w:sz w:val="19"/>
                <w:szCs w:val="19"/>
              </w:rPr>
              <w:t xml:space="preserve">2</w:t>
            </w:r>
          </w:p>
        </w:tc>
        <w:tc>
          <w:tcPr>
            <w:tcW w:type="dxa" w:w="2000"/>
            <w:tcMar>
              <w:top w:type="dxa" w:w="90"/>
              <w:left w:type="dxa" w:w="110"/>
              <w:bottom w:type="dxa" w:w="90"/>
              <w:right w:type="dxa" w:w="110"/>
            </w:tcMar>
          </w:tcPr>
          <w:p>
            <w:r>
              <w:rPr>
                <w:b w:val="false"/>
                <w:bCs w:val="false"/>
                <w:sz w:val="19"/>
                <w:szCs w:val="19"/>
              </w:rPr>
              <w:t xml:space="preserve">43,391</w:t>
            </w:r>
          </w:p>
        </w:tc>
        <w:tc>
          <w:tcPr>
            <w:tcW w:type="dxa" w:w="2000"/>
            <w:tcMar>
              <w:top w:type="dxa" w:w="90"/>
              <w:left w:type="dxa" w:w="110"/>
              <w:bottom w:type="dxa" w:w="90"/>
              <w:right w:type="dxa" w:w="110"/>
            </w:tcMar>
          </w:tcPr>
          <w:p>
            <w:r>
              <w:rPr>
                <w:b w:val="false"/>
                <w:bCs w:val="false"/>
                <w:sz w:val="19"/>
                <w:szCs w:val="19"/>
              </w:rPr>
              <w:t xml:space="preserve">8,655</w:t>
            </w:r>
          </w:p>
        </w:tc>
        <w:tc>
          <w:tcPr>
            <w:tcW w:type="dxa" w:w="2000"/>
            <w:tcMar>
              <w:top w:type="dxa" w:w="90"/>
              <w:left w:type="dxa" w:w="110"/>
              <w:bottom w:type="dxa" w:w="90"/>
              <w:right w:type="dxa" w:w="110"/>
            </w:tcMar>
          </w:tcPr>
          <w:p>
            <w:r>
              <w:rPr>
                <w:b w:val="false"/>
                <w:bCs w:val="false"/>
                <w:sz w:val="19"/>
                <w:szCs w:val="19"/>
              </w:rPr>
              <w:t xml:space="preserve">34,736</w:t>
            </w:r>
          </w:p>
        </w:tc>
        <w:tc>
          <w:tcPr>
            <w:tcW w:type="dxa" w:w="1800"/>
            <w:tcMar>
              <w:top w:type="dxa" w:w="90"/>
              <w:left w:type="dxa" w:w="110"/>
              <w:bottom w:type="dxa" w:w="90"/>
              <w:right w:type="dxa" w:w="110"/>
            </w:tcMar>
          </w:tcPr>
          <w:p>
            <w:r>
              <w:rPr>
                <w:b w:val="false"/>
                <w:bCs w:val="false"/>
                <w:sz w:val="19"/>
                <w:szCs w:val="19"/>
              </w:rPr>
              <w:t xml:space="preserve">49,82,750</w:t>
            </w:r>
          </w:p>
        </w:tc>
      </w:tr>
      <w:tr>
        <w:tc>
          <w:tcPr>
            <w:tcW w:type="dxa" w:w="1400"/>
            <w:tcMar>
              <w:top w:type="dxa" w:w="90"/>
              <w:left w:type="dxa" w:w="110"/>
              <w:bottom w:type="dxa" w:w="90"/>
              <w:right w:type="dxa" w:w="110"/>
            </w:tcMar>
          </w:tcPr>
          <w:p>
            <w:r>
              <w:rPr>
                <w:b w:val="false"/>
                <w:bCs w:val="false"/>
                <w:sz w:val="19"/>
                <w:szCs w:val="19"/>
              </w:rPr>
              <w:t xml:space="preserve">…</w:t>
            </w:r>
          </w:p>
        </w:tc>
        <w:tc>
          <w:tcPr>
            <w:tcW w:type="dxa" w:w="2000"/>
            <w:tcMar>
              <w:top w:type="dxa" w:w="90"/>
              <w:left w:type="dxa" w:w="110"/>
              <w:bottom w:type="dxa" w:w="90"/>
              <w:right w:type="dxa" w:w="110"/>
            </w:tcMar>
          </w:tcPr>
          <w:p>
            <w:r>
              <w:rPr>
                <w:b w:val="false"/>
                <w:bCs w:val="false"/>
                <w:sz w:val="19"/>
                <w:szCs w:val="19"/>
              </w:rPr>
              <w:t xml:space="preserve">…</w:t>
            </w:r>
          </w:p>
        </w:tc>
        <w:tc>
          <w:tcPr>
            <w:tcW w:type="dxa" w:w="2000"/>
            <w:tcMar>
              <w:top w:type="dxa" w:w="90"/>
              <w:left w:type="dxa" w:w="110"/>
              <w:bottom w:type="dxa" w:w="90"/>
              <w:right w:type="dxa" w:w="110"/>
            </w:tcMar>
          </w:tcPr>
          <w:p>
            <w:r>
              <w:rPr>
                <w:b w:val="false"/>
                <w:bCs w:val="false"/>
                <w:sz w:val="19"/>
                <w:szCs w:val="19"/>
              </w:rPr>
              <w:t xml:space="preserve">…</w:t>
            </w:r>
          </w:p>
        </w:tc>
        <w:tc>
          <w:tcPr>
            <w:tcW w:type="dxa" w:w="2000"/>
            <w:tcMar>
              <w:top w:type="dxa" w:w="90"/>
              <w:left w:type="dxa" w:w="110"/>
              <w:bottom w:type="dxa" w:w="90"/>
              <w:right w:type="dxa" w:w="110"/>
            </w:tcMar>
          </w:tcPr>
          <w:p>
            <w:r>
              <w:rPr>
                <w:b w:val="false"/>
                <w:bCs w:val="false"/>
                <w:sz w:val="19"/>
                <w:szCs w:val="19"/>
              </w:rPr>
              <w:t xml:space="preserve">…</w:t>
            </w:r>
          </w:p>
        </w:tc>
        <w:tc>
          <w:tcPr>
            <w:tcW w:type="dxa" w:w="1800"/>
            <w:tcMar>
              <w:top w:type="dxa" w:w="90"/>
              <w:left w:type="dxa" w:w="110"/>
              <w:bottom w:type="dxa" w:w="90"/>
              <w:right w:type="dxa" w:w="110"/>
            </w:tcMar>
          </w:tcPr>
          <w:p>
            <w:r>
              <w:rPr>
                <w:b w:val="false"/>
                <w:bCs w:val="false"/>
                <w:sz w:val="19"/>
                <w:szCs w:val="19"/>
              </w:rPr>
              <w:t xml:space="preserve">…</w:t>
            </w:r>
          </w:p>
        </w:tc>
      </w:tr>
      <w:tr>
        <w:tc>
          <w:tcPr>
            <w:tcW w:type="dxa" w:w="1400"/>
            <w:tcMar>
              <w:top w:type="dxa" w:w="90"/>
              <w:left w:type="dxa" w:w="110"/>
              <w:bottom w:type="dxa" w:w="90"/>
              <w:right w:type="dxa" w:w="110"/>
            </w:tcMar>
          </w:tcPr>
          <w:p>
            <w:r>
              <w:rPr>
                <w:b w:val="false"/>
                <w:bCs w:val="false"/>
                <w:sz w:val="19"/>
                <w:szCs w:val="19"/>
              </w:rPr>
              <w:t xml:space="preserve">12</w:t>
            </w:r>
          </w:p>
        </w:tc>
        <w:tc>
          <w:tcPr>
            <w:tcW w:type="dxa" w:w="2000"/>
            <w:tcMar>
              <w:top w:type="dxa" w:w="90"/>
              <w:left w:type="dxa" w:w="110"/>
              <w:bottom w:type="dxa" w:w="90"/>
              <w:right w:type="dxa" w:w="110"/>
            </w:tcMar>
          </w:tcPr>
          <w:p>
            <w:r>
              <w:rPr>
                <w:b w:val="false"/>
                <w:bCs w:val="false"/>
                <w:sz w:val="19"/>
                <w:szCs w:val="19"/>
              </w:rPr>
              <w:t xml:space="preserve">43,391</w:t>
            </w:r>
          </w:p>
        </w:tc>
        <w:tc>
          <w:tcPr>
            <w:tcW w:type="dxa" w:w="2000"/>
            <w:tcMar>
              <w:top w:type="dxa" w:w="90"/>
              <w:left w:type="dxa" w:w="110"/>
              <w:bottom w:type="dxa" w:w="90"/>
              <w:right w:type="dxa" w:w="110"/>
            </w:tcMar>
          </w:tcPr>
          <w:p>
            <w:r>
              <w:rPr>
                <w:b w:val="false"/>
                <w:bCs w:val="false"/>
                <w:sz w:val="19"/>
                <w:szCs w:val="19"/>
              </w:rPr>
              <w:t xml:space="preserve">9,175</w:t>
            </w:r>
          </w:p>
        </w:tc>
        <w:tc>
          <w:tcPr>
            <w:tcW w:type="dxa" w:w="2000"/>
            <w:tcMar>
              <w:top w:type="dxa" w:w="90"/>
              <w:left w:type="dxa" w:w="110"/>
              <w:bottom w:type="dxa" w:w="90"/>
              <w:right w:type="dxa" w:w="110"/>
            </w:tcMar>
          </w:tcPr>
          <w:p>
            <w:r>
              <w:rPr>
                <w:b w:val="false"/>
                <w:bCs w:val="false"/>
                <w:sz w:val="19"/>
                <w:szCs w:val="19"/>
              </w:rPr>
              <w:t xml:space="preserve">34,216</w:t>
            </w:r>
          </w:p>
        </w:tc>
        <w:tc>
          <w:tcPr>
            <w:tcW w:type="dxa" w:w="1800"/>
            <w:tcMar>
              <w:top w:type="dxa" w:w="90"/>
              <w:left w:type="dxa" w:w="110"/>
              <w:bottom w:type="dxa" w:w="90"/>
              <w:right w:type="dxa" w:w="110"/>
            </w:tcMar>
          </w:tcPr>
          <w:p>
            <w:r>
              <w:rPr>
                <w:b w:val="false"/>
                <w:bCs w:val="false"/>
                <w:sz w:val="19"/>
                <w:szCs w:val="19"/>
              </w:rPr>
              <w:t xml:space="preserve">49,05,210</w:t>
            </w:r>
          </w:p>
        </w:tc>
      </w:tr>
    </w:tbl>
    <w:p>
      <w:pPr>
        <w:pBdr>
          <w:top w:val="single" w:color="7A2E38" w:sz="6"/>
          <w:bottom w:val="single" w:color="7A2E38" w:sz="6"/>
        </w:pBdr>
        <w:spacing w:after="100" w:before="400"/>
        <w:jc w:val="center"/>
      </w:pPr>
      <w:r>
        <w:rPr>
          <w:b/>
          <w:bCs/>
          <w:i/>
          <w:iCs/>
          <w:color w:val="7A2E38"/>
          <w:sz w:val="17"/>
          <w:szCs w:val="17"/>
        </w:rPr>
        <w:t xml:space="preserve">THIS SYNTHETIC KEY FACTS STATEMENT IS FICTIONAL AND PREPARED SOLELY FOR THE DEMONSTRATION OF THE FinX LOAN-AGREEMENT-INTELLIGENCE SYSTEM. NO REAL PERSON, ENTITY, OR LOAN IS REFERENCED.</w:t>
      </w:r>
    </w:p>
    <w:p>
      <w:pPr>
        <w:spacing w:before="200"/>
      </w:pPr>
      <w:r>
        <w:rPr>
          <w:sz w:val="19"/>
          <w:szCs w:val="19"/>
        </w:rPr>
        <w:t xml:space="preserve">Borrower's Acknowledgement: I confirm having received, read, and understood the contents of this Key Facts Statement prior to execution of the Loan Agreement.</w:t>
      </w:r>
    </w:p>
    <w:p>
      <w:pPr>
        <w:spacing w:before="300"/>
      </w:pPr>
      <w:r>
        <w:rPr>
          <w:sz w:val="19"/>
          <w:szCs w:val="19"/>
        </w:rPr>
        <w:t xml:space="preserve">Borrower: Rohan Anand Deshmukh        Signature: _______________        Date: 14 January 2026</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Key Facts Statement — KHFL/HL/2026/0041872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2026-09-14T18:55:05.220Z</dcterms:created>
  <dcterms:modified xsi:type="dcterms:W3CDTF">2026-09-14T18:55:05.220Z</dcterms:modified>
</cp:coreProperties>
</file>

<file path=docProps/custom.xml><?xml version="1.0" encoding="utf-8"?>
<Properties xmlns="http://schemas.openxmlformats.org/officeDocument/2006/custom-properties" xmlns:vt="http://schemas.openxmlformats.org/officeDocument/2006/docPropsVTypes"/>
</file>