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Mid-Point Check-in: AI for Science &amp; Engineering</w:t>
      </w:r>
    </w:p>
    <w:p>
      <w:pPr>
        <w:pStyle w:val="BodyText"/>
        <w:bidi w:val="0"/>
        <w:rPr/>
      </w:pPr>
      <w:r>
        <w:rPr>
          <w:b/>
        </w:rPr>
        <w:t>Project:</w:t>
      </w:r>
      <w:r>
        <w:rPr/>
        <w:t xml:space="preserve"> Physics-guided polymer property prediction from repeat-unit SMILES</w:t>
        <w:br/>
      </w:r>
      <w:r>
        <w:rPr>
          <w:b/>
        </w:rPr>
        <w:t>Team:</w:t>
      </w:r>
      <w:r>
        <w:rPr/>
        <w:t xml:space="preserve"> Sandman </w:t>
      </w:r>
      <w:r>
        <w:rPr>
          <w:i/>
        </w:rPr>
        <w:t>(confirm official spelling before export)</w:t>
      </w:r>
      <w:r>
        <w:rPr/>
        <w:br/>
      </w:r>
      <w:r>
        <w:rPr>
          <w:b/>
        </w:rPr>
        <w:t>Metric:</w:t>
      </w:r>
      <w:r>
        <w:rPr/>
        <w:t xml:space="preserve"> unweighted mean of seven target-wise R² values</w:t>
      </w:r>
    </w:p>
    <w:p>
      <w:pPr>
        <w:pStyle w:val="BodyText"/>
        <w:bidi w:val="0"/>
        <w:rPr/>
      </w:pPr>
      <w:r>
        <w:rPr/>
        <w:t xml:space="preserve">We predict glass-transition temperature (Tg), chain and bulk bandgaps (Egc, Egb), ionisation energy (Ei), electron affinity (Eea), refractive index (n), and dielectric constant (ε) from repeat-unit SMILES. The submitted notebook recorded mean R² </w:t>
      </w:r>
      <w:r>
        <w:rPr>
          <w:b/>
        </w:rPr>
        <w:t>0.907551</w:t>
      </w:r>
      <w:r>
        <w:rPr/>
        <w:t xml:space="preserve"> on the local held-out verification panel and </w:t>
      </w:r>
      <w:r>
        <w:rPr>
          <w:b/>
        </w:rPr>
        <w:t>0.920</w:t>
      </w:r>
      <w:r>
        <w:rPr/>
        <w:t xml:space="preserve"> on the public leaderboard. The leaderboard result is a frozen outcome; modelling decisions use structure-aware validation, not leaderboard iteration.</w:t>
      </w:r>
    </w:p>
    <w:p>
      <w:pPr>
        <w:pStyle w:val="Heading2"/>
        <w:bidi w:val="0"/>
        <w:ind w:hanging="0" w:start="0"/>
        <w:rPr/>
      </w:pPr>
      <w:r>
        <w:rPr/>
        <w:t>1. Proposed Strategy &amp; Technical Novelty</w:t>
      </w:r>
    </w:p>
    <w:p>
      <w:pPr>
        <w:pStyle w:val="Heading3"/>
        <w:bidi w:val="0"/>
        <w:ind w:hanging="0" w:start="0"/>
        <w:rPr/>
      </w:pPr>
      <w:r>
        <w:rPr/>
        <w:t>Architecture: specialised prediction lanes with guarded scientific structure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317500" cy="317500"/>
            <wp:effectExtent l="0" t="0" r="0" b="0"/>
            <wp:docPr id="1" name="Image1" descr="Architecture: repeat-unit SMILES → molecular representations → specialised lanes → guarded physical routes → out-of-fold assembl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: repeat-unit SMILES → molecular representations → specialised lanes → guarded physical routes → out-of-fold assembly.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rPr/>
      </w:pPr>
      <w:r>
        <w:rPr>
          <w:b/>
        </w:rPr>
        <w:t>Figure 1. Pipeline architecture.</w:t>
      </w:r>
      <w:r>
        <w:rPr/>
        <w:t xml:space="preserve"> Complementary molecular representations feed target-specific learners; validated physical relations are applied only when their required training-time measurements are available. The final out-of-fold non-negative least-squares assembly combines complementary models without cancellation-prone negative weights [1].</w:t>
      </w:r>
    </w:p>
    <w:p>
      <w:pPr>
        <w:pStyle w:val="BodyText"/>
        <w:bidi w:val="0"/>
        <w:rPr/>
      </w:pPr>
      <w:r>
        <w:rPr/>
        <w:t>One pooled raw-loss model is inappropriate here: Tg supplies 55.9% of evaluation rows and 99.986% of pooled target variance, whereas every target is worth one-seventh of the contest metric. We therefore use seven linked, target-specific lanes rather than allow the high-row-count Tg task to dominate low-data electronic and optical targets. Tree models are a strong small-tabular-data starting point [2]; a compact GINE graph lane is kept only as a decorrelated ensemble member, not as a blanket claim that deep learning is superior [3,4].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Stage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Design choice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Why it is retained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Represent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RDKit descriptors, Morgan counts, polymer atomic triples and a small character residual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separates global chemistry, local motifs and polymer-specific environments [5–7]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Predict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target-specific tree, kernel, neural and graph lanes selected by grouped CV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target sample sizes and mechanisms differ substantially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Constrain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availability-guarded Egc/Ei/Eea, Egb/Egc and ε/n routes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makes cross-property structure testable without target leakage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Assemble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out-of-fold NNLS blending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improves complementary predictions while limiting stack overfit [1]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Communicate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nearest analogue and applicability tier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structural novelty is visible rather than hidden behind one number [8]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Featurisation and scientific reasoning</w:t>
      </w:r>
    </w:p>
    <w:p>
      <w:pPr>
        <w:pStyle w:val="BodyText"/>
        <w:bidi w:val="0"/>
        <w:rPr/>
      </w:pPr>
      <w:r>
        <w:rPr/>
        <w:t>Features were retained because a targeted ablation showed a loss, not simply because they were available. RDKit descriptors encode size, ring content, polarity and flexibility proxies; Morgan counts encode local functional environments; and Polymer Genome-style atomic triples encode polymer-specific local environments [5–7]. In grouped-CV proxy tests, removing RDKit descriptors lowered Egb from 0.856 to 0.830 and Ei from 0.794 to 0.756; removing Morgan counts lowered n from 0.787 to 0.767. Atomic triples improved targeted Egb from 0.917 to 0.926 and n from 0.844 to 0.852. Character n-grams are deliberately a limited residual channel: SMILES order is notation, not material physics.</w:t>
      </w:r>
    </w:p>
    <w:p>
      <w:pPr>
        <w:pStyle w:val="BodyText"/>
        <w:bidi w:val="0"/>
        <w:rPr/>
      </w:pPr>
      <w:r>
        <w:rPr/>
        <w:t>We also tested narrow physical routes instead of assuming them. Egc agreed with Ei−Eea on 59 co-measured polymers (R² 0.9716; MAE 0.0716 eV), but a learned residual failed leave-one-out evaluation (R² −0.82) and was rejected. For Egb, an affine Egc route on 175 co-measured structures was improved from 0.9205 to 0.9478 by an ExtraTrees residual, so that correction was retained. For ε, predicting the ionic/polar remainder in ε=n²+ionic gave a non-negative remainder in all 134 audited co-measured cases and a 2.62× better-conditioned problem. These are guarded, tested reductions of the learning problem—not generic formula substitutions.</w:t>
      </w:r>
    </w:p>
    <w:p>
      <w:pPr>
        <w:pStyle w:val="Heading3"/>
        <w:bidi w:val="0"/>
        <w:ind w:hanging="0" w:start="0"/>
        <w:rPr/>
      </w:pPr>
      <w:r>
        <w:rPr/>
        <w:t>Qualitative validation: invariance, explainability, generalisability and robustness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317500" cy="317500"/>
            <wp:effectExtent l="0" t="0" r="0" b="0"/>
            <wp:docPr id="2" name="Image2" descr="Qualitative evidence: graph representation invariance, explanation stability, structural generalisation, and an applicability-domain bounda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Qualitative evidence: graph representation invariance, explanation stability, structural generalisation, and an applicability-domain boundary.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rPr/>
      </w:pPr>
      <w:r>
        <w:rPr>
          <w:b/>
        </w:rPr>
        <w:t>Figure 2. Qualitative evidence beyond the score.</w:t>
      </w:r>
      <w:r>
        <w:rPr/>
        <w:t xml:space="preserve"> The upper panels test two different effects of alternative valid SMILES spellings; the lower panels show performance under stricter structural splits and the Tg error increase with structural distance from training chemistry.</w:t>
      </w:r>
    </w:p>
    <w:p>
      <w:pPr>
        <w:pStyle w:val="BodyText"/>
        <w:bidi w:val="0"/>
        <w:rPr/>
      </w:pPr>
      <w:r>
        <w:rPr>
          <w:b/>
        </w:rPr>
        <w:t>Invariance.</w:t>
      </w:r>
      <w:r>
        <w:rPr/>
        <w:t xml:space="preserve"> SMILES is a notation, not the polymer. On valid alternative spellings of the same repeat-unit graph, the graph-derived prediction has zero 1σ violations across all seven targets; its largest recorded spread is only 0.230% of that target’s training-standard-deviation scale. Attribution cosine similarity is 0.947–0.996 (mean 0.980). This proves invariance only for equivalent graph spellings—not for changed chemistry, stereochemistry, molecular weight or processing history [9].</w:t>
      </w:r>
    </w:p>
    <w:p>
      <w:pPr>
        <w:pStyle w:val="BodyText"/>
        <w:bidi w:val="0"/>
        <w:rPr/>
      </w:pPr>
      <w:r>
        <w:rPr>
          <w:b/>
        </w:rPr>
        <w:t>Explainability.</w:t>
      </w:r>
      <w:r>
        <w:rPr/>
        <w:t xml:space="preserve"> TreeSHAP supplies feature attributions [10]. We test their fidelity rather than treating a colourful ranking as causality: in the Tg proxy, masking the top 10% SHAP-ranked features lowers R² by 0.851, compared with 0.043 for a matched random mask. The ranking is therefore load-bearing for this model intervention, while remaining a hypothesis about chemistry rather than proof of a causal mechanism [11].</w:t>
      </w:r>
    </w:p>
    <w:p>
      <w:pPr>
        <w:pStyle w:val="BodyText"/>
        <w:bidi w:val="0"/>
        <w:rPr/>
      </w:pPr>
      <w:r>
        <w:rPr>
          <w:b/>
        </w:rPr>
        <w:t>Generalisability and robustness.</w:t>
      </w:r>
      <w:r>
        <w:rPr/>
        <w:t xml:space="preserve"> A structural generalisation ladder records mean R² 0.824 on canonical-group holdout and 0.660 on scaffold holdout; all seven targets remain positive in both regimes. The expected decline identifies the boundary between familiar and novel polymer families, not a failure hidden by random validation. The demo exposes nearest analogue and an applicability tier because Tg error increases smoothly with decreasing structural similarity. This makes robustness a stated operating condition, rather than an unsupported claim of universal extrapolation [12].</w:t>
      </w:r>
    </w:p>
    <w:p>
      <w:pPr>
        <w:pStyle w:val="Heading2"/>
        <w:bidi w:val="0"/>
        <w:ind w:hanging="0" w:start="0"/>
        <w:rPr/>
      </w:pPr>
      <w:r>
        <w:rPr/>
        <w:t>2. Preliminary Salient Results</w:t>
      </w:r>
    </w:p>
    <w:p>
      <w:pPr>
        <w:pStyle w:val="BodyText"/>
        <w:bidi w:val="0"/>
        <w:rPr/>
      </w:pPr>
      <w:r>
        <w:rPr/>
        <w:t xml:space="preserve">The headline mean R² is </w:t>
      </w:r>
      <w:r>
        <w:rPr>
          <w:b/>
        </w:rPr>
        <w:t>0.907551</w:t>
      </w:r>
      <w:r>
        <w:rPr/>
        <w:t xml:space="preserve"> on the local held-out verification panel and </w:t>
      </w:r>
      <w:r>
        <w:rPr>
          <w:b/>
        </w:rPr>
        <w:t>0.920</w:t>
      </w:r>
      <w:r>
        <w:rPr/>
        <w:t xml:space="preserve"> on the public leaderboard. The score is the arithmetic mean of seven target-wise R² values; it is not a pooled R² dominated by Tg. A separately recorded compact verification model ranges from 0.871 (Ei) to 0.927 (Egb), mean 0.902509. It is reported as a diagnostic model, not substituted for the submitted assembly.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317500" cy="317500"/>
            <wp:effectExtent l="0" t="0" r="0" b="0"/>
            <wp:docPr id="3" name="Image3" descr="Tg SHAP-feature removal: top-ranked features versus matched random featu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Tg SHAP-feature removal: top-ranked features versus matched random features.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rPr/>
      </w:pPr>
      <w:r>
        <w:rPr>
          <w:b/>
        </w:rPr>
        <w:t>Figure 3. Explanation-fidelity intervention.</w:t>
      </w:r>
      <w:r>
        <w:rPr/>
        <w:t xml:space="preserve"> Removing features selected by the model’s attribution ranking is far more damaging than removing equally many random features. This is the report’s evidence for predictive explanation fidelity.</w:t>
      </w:r>
    </w:p>
    <w:p>
      <w:pPr>
        <w:pStyle w:val="BodyText"/>
        <w:bidi w:val="0"/>
        <w:rPr/>
      </w:pPr>
      <w:r>
        <w:rPr/>
        <w:t>The system supports candidate prioritisation rather than a black-box score. For electronic candidates, band-edge predictions can be checked for consistency; for optical candidates, ε is separated into n² and ionic/polar hypotheses; for Tg, rigidity, ring content and flexibility form testable hypotheses about segmental mobility. A proposed polymer remains an experimental candidate, particularly when its nearest analogue is distant.</w:t>
      </w:r>
    </w:p>
    <w:p>
      <w:pPr>
        <w:pStyle w:val="Heading2"/>
        <w:bidi w:val="0"/>
        <w:ind w:hanging="0" w:start="0"/>
        <w:rPr/>
      </w:pPr>
      <w:r>
        <w:rPr/>
        <w:t>3. Technical Challenges &amp; Pivots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Challenge / test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Observation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Decision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scarce, uneven target labels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pure ExtraTrees baseline: grouped-CV mean R² 0.816344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retain specialised classical lanes and only validated ensemble diversity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flexible Egc residual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leave-one-out R² −0.82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reject it; retain the guarded identity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notation-sensitive strings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raw characters can introduce a representation artefact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restrict to residual use; anchor invariance in graph/canonical features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uncertainty evidence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archived coverage and error–uncertainty summaries disagree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withhold calibrated-interval claim until the isolated rerun resolves it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The central limitation is equally clear: repeat-unit SMILES omit molecular-weight distribution, tacticity, morphology, processing history and measurement conditions. The model is therefore for structure-based screening and experimental prioritisation, not a substitute for material characterisation.</w:t>
      </w:r>
    </w:p>
    <w:p>
      <w:pPr>
        <w:pStyle w:val="Heading2"/>
        <w:bidi w:val="0"/>
        <w:ind w:hanging="0" w:start="0"/>
        <w:rPr/>
      </w:pPr>
      <w:r>
        <w:rPr/>
        <w:t>4. Final Sprint Roadmap and Evaluation Alignment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Evaluation expectation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How this work addresses it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Final release action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feature strategy and architecture rationale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ablations, guarded routes, architecture and literature-backed representation choices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freeze feature/route decisions with artifacts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polymer invariance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valid-SMILES rewrite prediction and attribution tests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show two equivalent spellings in the dashboard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explainability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TreeSHAP plus fidelity intervention; separate electronic/optical mechanisms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group correlated descriptors into chemical concepts and repeat the test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generalisability and robustness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grouped/scaffold splits plus similarity-tier boundary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curate a pre-registered external polymer panel with reported conditions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transparency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negative results, pure-ML baseline, and withheld uncertainty claim are reported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regenerate uncertainty tables; promote only traceable claims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Immediate work is to complete the pinned Python-3.11 isolated run, regenerate the late uncertainty evidence tables, and include a parity plot only after its split and source are verified. A reproducible all-classical ExtraTrees pipeline is already available as a transparent alternative; its 0.816344 grouped-CV mean is a baseline under a different protocol, not a direct subtraction from the held-out score [13]. The final deliverable packages the submitted pipeline, environment, evidence tables and an offline dashboard showing structure, prediction, nearest analogue, applicability tier and explanation together. This is the practical research contribution: making the next synthesis or measurement decision more explicit while showing where the model should defer to experiment.</w:t>
      </w:r>
    </w:p>
    <w:p>
      <w:pPr>
        <w:pStyle w:val="Heading2"/>
        <w:bidi w:val="0"/>
        <w:ind w:hanging="0" w:start="0"/>
        <w:rPr/>
      </w:pPr>
      <w:r>
        <w:rPr/>
        <w:t>References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Lawson, C. L. &amp; Hanson, R. J. </w:t>
      </w:r>
      <w:r>
        <w:rPr>
          <w:i/>
        </w:rPr>
        <w:t>Solving Least Squares Problems.</w:t>
      </w:r>
      <w:r>
        <w:rPr/>
        <w:t xml:space="preserve"> SIAM (1995).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Grinsztajn, L., Oyallon, E. &amp; Varoquaux, G. Why do tree-based models still outperform deep learning on typical tabular data? </w:t>
      </w:r>
      <w:r>
        <w:rPr>
          <w:i/>
        </w:rPr>
        <w:t>NeurIPS</w:t>
      </w:r>
      <w:r>
        <w:rPr/>
        <w:t xml:space="preserve"> (2022). </w:t>
      </w:r>
      <w:hyperlink r:id="rId5">
        <w:r>
          <w:rPr>
            <w:rStyle w:val="Hyperlink"/>
          </w:rPr>
          <w:t>https://papers.nips.cc/paper_files/paper/2022/hash/0378c7692da36807bdec87ab043cdadc-Abstract.html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Yang, K. </w:t>
      </w:r>
      <w:r>
        <w:rPr>
          <w:i/>
        </w:rPr>
        <w:t>et al.</w:t>
      </w:r>
      <w:r>
        <w:rPr/>
        <w:t xml:space="preserve"> Analyzing learned molecular representations for property prediction. </w:t>
      </w:r>
      <w:r>
        <w:rPr>
          <w:i/>
        </w:rPr>
        <w:t>J. Chem. Inf. Model.</w:t>
      </w:r>
      <w:r>
        <w:rPr/>
        <w:t xml:space="preserve"> (2019). </w:t>
      </w:r>
      <w:hyperlink r:id="rId6">
        <w:r>
          <w:rPr>
            <w:rStyle w:val="Hyperlink"/>
          </w:rPr>
          <w:t>https://doi.org/10.1021/acs.jcim.9b00237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Krogh, A. &amp; Vedelsby, J. Neural network ensembles, cross validation, and active learning. </w:t>
      </w:r>
      <w:r>
        <w:rPr>
          <w:i/>
        </w:rPr>
        <w:t>NeurIPS</w:t>
      </w:r>
      <w:r>
        <w:rPr/>
        <w:t xml:space="preserve"> (1994). </w:t>
      </w:r>
      <w:hyperlink r:id="rId7">
        <w:r>
          <w:rPr>
            <w:rStyle w:val="Hyperlink"/>
          </w:rPr>
          <w:t>https://proceedings.neurips.cc/paper/1994/hash/b8c37e33defde51cf91e1e03e51657da-Abstract.html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Landrum, G. RDKit: Open-source cheminformatics. </w:t>
      </w:r>
      <w:hyperlink r:id="rId8">
        <w:r>
          <w:rPr>
            <w:rStyle w:val="Hyperlink"/>
          </w:rPr>
          <w:t>https://www.rdkit.org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Rogers, D. &amp; Hahn, M. Extended-connectivity fingerprints. </w:t>
      </w:r>
      <w:r>
        <w:rPr>
          <w:i/>
        </w:rPr>
        <w:t>J. Chem. Inf. Model.</w:t>
      </w:r>
      <w:r>
        <w:rPr/>
        <w:t xml:space="preserve"> (2010). </w:t>
      </w:r>
      <w:hyperlink r:id="rId9">
        <w:r>
          <w:rPr>
            <w:rStyle w:val="Hyperlink"/>
          </w:rPr>
          <w:t>https://doi.org/10.1021/ci100050t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Kim, C. </w:t>
      </w:r>
      <w:r>
        <w:rPr>
          <w:i/>
        </w:rPr>
        <w:t>et al.</w:t>
      </w:r>
      <w:r>
        <w:rPr/>
        <w:t xml:space="preserve"> Polymer Genome: A data-powered polymer informatics platform. </w:t>
      </w:r>
      <w:r>
        <w:rPr>
          <w:i/>
        </w:rPr>
        <w:t>J. Phys. Chem. C</w:t>
      </w:r>
      <w:r>
        <w:rPr/>
        <w:t xml:space="preserve"> (2018). </w:t>
      </w:r>
      <w:hyperlink r:id="rId10">
        <w:r>
          <w:rPr>
            <w:rStyle w:val="Hyperlink"/>
          </w:rPr>
          <w:t>https://doi.org/10.1021/acs.jpcc.8b02913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OECD. </w:t>
      </w:r>
      <w:r>
        <w:rPr>
          <w:i/>
        </w:rPr>
        <w:t>Guidance Document on the Validation of (Q)SAR Models</w:t>
      </w:r>
      <w:r>
        <w:rPr/>
        <w:t xml:space="preserve"> (2007). </w:t>
      </w:r>
      <w:hyperlink r:id="rId11">
        <w:r>
          <w:rPr>
            <w:rStyle w:val="Hyperlink"/>
          </w:rPr>
          <w:t>https://www.oecd.org/env/guidance-document-on-the-validation-of-quantitative-structure-activity-relationship-q-sar-models-9789264085442-en.htm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Bjerrum, E. J. SMILES enumeration as data augmentation for neural network modelling of molecules (2017). </w:t>
      </w:r>
      <w:hyperlink r:id="rId12">
        <w:r>
          <w:rPr>
            <w:rStyle w:val="Hyperlink"/>
          </w:rPr>
          <w:t>https://arxiv.org/abs/1703.07076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Lundberg, S. M. &amp; Lee, S.-I. A unified approach to interpreting model predictions. </w:t>
      </w:r>
      <w:r>
        <w:rPr>
          <w:i/>
        </w:rPr>
        <w:t>NeurIPS</w:t>
      </w:r>
      <w:r>
        <w:rPr/>
        <w:t xml:space="preserve"> (2017). </w:t>
      </w:r>
      <w:hyperlink r:id="rId13">
        <w:r>
          <w:rPr>
            <w:rStyle w:val="Hyperlink"/>
          </w:rPr>
          <w:t>https://arxiv.org/abs/1705.07874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Hooker, S. </w:t>
      </w:r>
      <w:r>
        <w:rPr>
          <w:i/>
        </w:rPr>
        <w:t>et al.</w:t>
      </w:r>
      <w:r>
        <w:rPr/>
        <w:t xml:space="preserve"> A benchmark for interpretability methods in deep neural networks. </w:t>
      </w:r>
      <w:r>
        <w:rPr>
          <w:i/>
        </w:rPr>
        <w:t>NeurIPS</w:t>
      </w:r>
      <w:r>
        <w:rPr/>
        <w:t xml:space="preserve"> (2019). </w:t>
      </w:r>
      <w:hyperlink r:id="rId14">
        <w:r>
          <w:rPr>
            <w:rStyle w:val="Hyperlink"/>
          </w:rPr>
          <w:t>https://arxiv.org/abs/1806.10758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Bemis, G. W. &amp; Murcko, M. A. The properties of known drugs. 1. Molecular frameworks. </w:t>
      </w:r>
      <w:r>
        <w:rPr>
          <w:i/>
        </w:rPr>
        <w:t>J. Med. Chem.</w:t>
      </w:r>
      <w:r>
        <w:rPr/>
        <w:t xml:space="preserve"> (1996). </w:t>
      </w:r>
      <w:hyperlink r:id="rId15">
        <w:r>
          <w:rPr>
            <w:rStyle w:val="Hyperlink"/>
          </w:rPr>
          <w:t>https://doi.org/10.1021/jm9602928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Geurts, P., Ernst, D. &amp; Wehenkel, L. Extremely randomized trees. </w:t>
      </w:r>
      <w:r>
        <w:rPr>
          <w:i/>
        </w:rPr>
        <w:t>Machine Learning</w:t>
      </w:r>
      <w:r>
        <w:rPr/>
        <w:t xml:space="preserve"> (2006). </w:t>
      </w:r>
      <w:hyperlink r:id="rId16">
        <w:r>
          <w:rPr>
            <w:rStyle w:val="Hyperlink"/>
          </w:rPr>
          <w:t>https://doi.org/10.1007/s10994-006-6226-1</w:t>
        </w:r>
      </w:hyperlink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Appendix A — experiment register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Theme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Tested result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Decision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Feature families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RDKit/Morgan removal hurts selected grouped-CV proxy lanes; atomic triples help Egb and 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retain complementary representations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Physics route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Egc residual fails LOO; Egb residual improves route; ε decomposition is conditioned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retain only supported guarded routes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Invariance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graph-path 1σ violations 0; attribution cosine 0.947–0.996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make graph/canonical features the invariance anchor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Explainability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top-10% SHAP mask loss 0.851 vs 0.043 random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retain intervention-tested explanation scope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Pure ML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ExtraTrees grouped-CV mean 0.816344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retain reproducible baseline, not submission replacement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Uncertainty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archived audit conflict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release-gated pending isolated rerun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Appendix B — reproducibility and final-export checklist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Item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Location / condition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Submitted pipeline and architecture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AISEHack-2.0-Sandman-Polymer-Property-Prediction-Codebase/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Isolated reproduction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fixes/isolated_runs/Sandman_Polymer_Property_Prediction_2_906.ipynb</w:t>
            </w:r>
            <w:r>
              <w:rPr/>
              <w:t xml:space="preserve"> (Python 3.11.7)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Pure-ML baseline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fixes/pure_ml/VERIFICATION.md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Claim audit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finals/REPORT_CLAIM_EVIDENCE.md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Public code link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[Insert final GitHub release URL/tag]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Before export, replace the team and repository placeholders, confirm the authorship/GenAI disclosure required by the template, and add the parity plot only after the active isolated run validates it.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input/AISEHack-2.0-Sandman-Polymer-Property-Prediction-Codebase/outputs/architecture.png" TargetMode="External"/><Relationship Id="rId3" Type="http://schemas.openxmlformats.org/officeDocument/2006/relationships/image" Target="file:///input/import-1/assets/verified_qualitative_evidence.png" TargetMode="External"/><Relationship Id="rId4" Type="http://schemas.openxmlformats.org/officeDocument/2006/relationships/image" Target="file:///input/AISEHack-2.0-Sandman-Polymer-Property-Prediction-Codebase/outputs/explainability/fidelity_curve_tg.png" TargetMode="External"/><Relationship Id="rId5" Type="http://schemas.openxmlformats.org/officeDocument/2006/relationships/hyperlink" Target="https://papers.nips.cc/paper_files/paper/2022/hash/0378c7692da36807bdec87ab043cdadc-Abstract.html" TargetMode="External"/><Relationship Id="rId6" Type="http://schemas.openxmlformats.org/officeDocument/2006/relationships/hyperlink" Target="https://doi.org/10.1021/acs.jcim.9b00237" TargetMode="External"/><Relationship Id="rId7" Type="http://schemas.openxmlformats.org/officeDocument/2006/relationships/hyperlink" Target="https://proceedings.neurips.cc/paper/1994/hash/b8c37e33defde51cf91e1e03e51657da-Abstract.html" TargetMode="External"/><Relationship Id="rId8" Type="http://schemas.openxmlformats.org/officeDocument/2006/relationships/hyperlink" Target="https://www.rdkit.org/" TargetMode="External"/><Relationship Id="rId9" Type="http://schemas.openxmlformats.org/officeDocument/2006/relationships/hyperlink" Target="https://doi.org/10.1021/ci100050t" TargetMode="External"/><Relationship Id="rId10" Type="http://schemas.openxmlformats.org/officeDocument/2006/relationships/hyperlink" Target="https://doi.org/10.1021/acs.jpcc.8b02913" TargetMode="External"/><Relationship Id="rId11" Type="http://schemas.openxmlformats.org/officeDocument/2006/relationships/hyperlink" Target="https://www.oecd.org/env/guidance-document-on-the-validation-of-quantitative-structure-activity-relationship-q-sar-models-9789264085442-en.htm" TargetMode="External"/><Relationship Id="rId12" Type="http://schemas.openxmlformats.org/officeDocument/2006/relationships/hyperlink" Target="https://arxiv.org/abs/1703.07076" TargetMode="External"/><Relationship Id="rId13" Type="http://schemas.openxmlformats.org/officeDocument/2006/relationships/hyperlink" Target="https://arxiv.org/abs/1705.07874" TargetMode="External"/><Relationship Id="rId14" Type="http://schemas.openxmlformats.org/officeDocument/2006/relationships/hyperlink" Target="https://arxiv.org/abs/1806.10758" TargetMode="External"/><Relationship Id="rId15" Type="http://schemas.openxmlformats.org/officeDocument/2006/relationships/hyperlink" Target="https://doi.org/10.1021/jm9602928" TargetMode="External"/><Relationship Id="rId16" Type="http://schemas.openxmlformats.org/officeDocument/2006/relationships/hyperlink" Target="https://doi.org/10.1007/s10994-006-6226-1" TargetMode="Externa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