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Mid-Point Check-in: AI for Science &amp; Engineering</w:t>
      </w:r>
    </w:p>
    <w:p>
      <w:pPr>
        <w:pStyle w:val="BodyText"/>
        <w:bidi w:val="0"/>
        <w:rPr/>
      </w:pPr>
      <w:r>
        <w:rPr>
          <w:b/>
        </w:rPr>
        <w:t>Project title:</w:t>
      </w:r>
      <w:r>
        <w:rPr/>
        <w:t xml:space="preserve"> Physics-guided, evidence-first polymer property prediction from repeat-unit SMILES</w:t>
        <w:br/>
      </w:r>
      <w:r>
        <w:rPr>
          <w:b/>
        </w:rPr>
        <w:t>Team name:</w:t>
      </w:r>
      <w:r>
        <w:rPr/>
        <w:t xml:space="preserve"> Sandman </w:t>
      </w:r>
      <w:r>
        <w:rPr>
          <w:i/>
        </w:rPr>
        <w:t>(confirm official spelling before export)</w:t>
      </w:r>
      <w:r>
        <w:rPr/>
        <w:br/>
      </w:r>
      <w:r>
        <w:rPr>
          <w:b/>
        </w:rPr>
        <w:t>Primary domain:</w:t>
      </w:r>
      <w:r>
        <w:rPr/>
        <w:t xml:space="preserve"> Materials science / polymer informatics</w:t>
        <w:br/>
      </w:r>
      <w:r>
        <w:rPr>
          <w:b/>
        </w:rPr>
        <w:t>Submission metric:</w:t>
      </w:r>
      <w:r>
        <w:rPr/>
        <w:t xml:space="preserve"> unweighted mean of seven target-wise R² values.</w:t>
      </w:r>
    </w:p>
    <w:p>
      <w:pPr>
        <w:pStyle w:val="BodyText"/>
        <w:bidi w:val="0"/>
        <w:rPr/>
      </w:pPr>
      <w:r>
        <w:rPr/>
        <w:t xml:space="preserve">This check-in reports a seven-property pipeline for glass-transition temperature (Tg), chain and bulk bandgaps (Egc, Egb), ionisation energy (Ei), electron affinity (Eea), refractive index (n), and dielectric constant (ε). The submitted notebook records a </w:t>
      </w:r>
      <w:r>
        <w:rPr>
          <w:b/>
        </w:rPr>
        <w:t>0.907551</w:t>
      </w:r>
      <w:r>
        <w:rPr/>
        <w:t xml:space="preserve"> mean R² on the local held-out verification panel and </w:t>
      </w:r>
      <w:r>
        <w:rPr>
          <w:b/>
        </w:rPr>
        <w:t>0.920</w:t>
      </w:r>
      <w:r>
        <w:rPr/>
        <w:t xml:space="preserve"> on the public leaderboard. The public score is reported only as a submitted-system outcome; architecture choices are made with structure-aware validation, not leaderboard feedback.</w:t>
      </w:r>
    </w:p>
    <w:p>
      <w:pPr>
        <w:pStyle w:val="Heading2"/>
        <w:bidi w:val="0"/>
        <w:ind w:hanging="0" w:start="0"/>
        <w:rPr/>
      </w:pPr>
      <w:r>
        <w:rPr/>
        <w:t>1. Proposed Strategy &amp; Technical Novelty</w:t>
      </w:r>
    </w:p>
    <w:p>
      <w:pPr>
        <w:pStyle w:val="Heading3"/>
        <w:bidi w:val="0"/>
        <w:ind w:hanging="0" w:start="0"/>
        <w:rPr/>
      </w:pPr>
      <w:r>
        <w:rPr/>
        <w:t>AI methodology and the reason for it</w:t>
      </w:r>
    </w:p>
    <w:p>
      <w:pPr>
        <w:pStyle w:val="BodyText"/>
        <w:bidi w:val="0"/>
        <w:rPr/>
      </w:pPr>
      <w:r>
        <w:rPr/>
        <w:t>This is not one pooled regression task. Every target receives the same one-seventh weight although its data volume, physical mechanism, and interpolation support differ sharply. An unnormalised joint loss would therefore over-prioritise Tg, whose variance dominates the table. We instead use one shared chemistry representation and seven target-specific prediction lanes.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317500" cy="317500"/>
            <wp:effectExtent l="0" t="0" r="0" b="0"/>
            <wp:docPr id="1" name="Image1" descr="Figure 1. Shared representation → target-specific prediction lanes → guarded physics overlays → out-of-fold assembly and calibr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igure 1. Shared representation → target-specific prediction lanes → guarded physics overlays → out-of-fold assembly and calibration."/>
                    <pic:cNvPicPr>
                      <a:picLocks noChangeAspect="1" noChangeArrowheads="1"/>
                    </pic:cNvPicPr>
                  </pic:nvPicPr>
                  <pic:blipFill>
                    <a:blip r:link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>
          <w:b/>
        </w:rPr>
        <w:t>Figure 1.</w:t>
      </w:r>
      <w:r>
        <w:rPr/>
        <w:t xml:space="preserve"> The architecture is deliberately hybrid. Classical trees and kernels are strong small-tabular baselines; a GINE graph network is retained only as a decorrelated second opinion, not as a universal replacement. Out-of-fold non-negative least-squares blending limits cancellation-based overfitting.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Design element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What it captures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is retained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RDKit descriptors + Morgan counts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bulk chemistry plus local functional motifs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complementary signals for a limited-label regime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Polymer-specific atomic triples + label-free corpus SVD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local polymer chemistry and unlabelled structural context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retained only when grouped validation improves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Target-specific trees, kernels and compact neural arm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different sample sizes and error modes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avoids pretending all seven properties have one mechanism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Guarded relations: Egc≈Ei−Eea, Egb from Egc, ε=n²+ionic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known structure between co-measured properties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route fires only with a legitimate training-label partner and cannot worsen the validated learned estimate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Applicability tier + interval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similarity-aware boundary of use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user sees the evidence context, not just a point prediction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The central novelty is </w:t>
      </w:r>
      <w:r>
        <w:rPr>
          <w:i/>
        </w:rPr>
        <w:t>evidence-first physics guidance</w:t>
      </w:r>
      <w:r>
        <w:rPr/>
        <w:t>: a physical relation is not included because it is plausible; it must improve a held-out route. For example, a learned residual on the Egc=Ei−Eea identity worsened low-data leave-one-out behaviour, so the residual was rejected. The ε decomposition is used because the ionic contribution was non-negative on the audited co-measured subset. This separates a scientific constraint from decorative “physics-informed” wording.</w:t>
      </w:r>
    </w:p>
    <w:p>
      <w:pPr>
        <w:pStyle w:val="Heading3"/>
        <w:bidi w:val="0"/>
        <w:ind w:hanging="0" w:start="0"/>
        <w:rPr/>
      </w:pPr>
      <w:r>
        <w:rPr/>
        <w:t>Featurisation and SMILES invariance</w:t>
      </w:r>
    </w:p>
    <w:p>
      <w:pPr>
        <w:pStyle w:val="BodyText"/>
        <w:bidi w:val="0"/>
        <w:rPr/>
      </w:pPr>
      <w:r>
        <w:rPr/>
        <w:t xml:space="preserve">RDKit-canonical graph features anchor the representation. The character n-gram arm is deliberately a small residual component because different valid SMILES strings can represent the same polymer. We stress-test random valid SMILES rewrites rather than merely asserting invariance: the recorded graph-derived path has zero 1σ violations across all seven targets and a worst target standard deviation of </w:t>
      </w:r>
      <w:r>
        <w:rPr>
          <w:b/>
        </w:rPr>
        <w:t>0.230%</w:t>
      </w:r>
      <w:r>
        <w:rPr/>
        <w:t xml:space="preserve"> of its training-standard-deviation scale. Attribution stability is also tested, because equal scalar predictions with different reasons would not be trustworthy.</w:t>
      </w:r>
    </w:p>
    <w:p>
      <w:pPr>
        <w:pStyle w:val="Heading2"/>
        <w:bidi w:val="0"/>
        <w:ind w:hanging="0" w:start="0"/>
        <w:rPr/>
      </w:pPr>
      <w:r>
        <w:rPr/>
        <w:t>2. Preliminary Salient Results</w:t>
      </w:r>
    </w:p>
    <w:p>
      <w:pPr>
        <w:pStyle w:val="Heading3"/>
        <w:bidi w:val="0"/>
        <w:ind w:hanging="0" w:start="0"/>
        <w:rPr/>
      </w:pPr>
      <w:r>
        <w:rPr/>
        <w:t>EDA finding that changed the model</w:t>
      </w:r>
    </w:p>
    <w:p>
      <w:pPr>
        <w:pStyle w:val="BodyText"/>
        <w:bidi w:val="0"/>
        <w:rPr/>
      </w:pPr>
      <w:r>
        <w:rPr/>
        <w:t>There are no exact polymer–property pairs shared between train and evaluation for six targets, yet many DFT-evaluation structures have a different measured property in training; Tg is far closer to true structure-to-property extrapolation. This makes grouped structural validation and guarded cross-property routes necessary. It also explains why a single “best model” is not defensible for all targets.</w:t>
      </w:r>
    </w:p>
    <w:p>
      <w:pPr>
        <w:pStyle w:val="BodyText"/>
        <w:bidi w:val="0"/>
        <w:rPr/>
      </w:pPr>
      <w:r>
        <w:rPr>
          <w:b/>
        </w:rPr>
        <w:t>Current quantitative result.</w:t>
      </w:r>
      <w:r>
        <w:rPr/>
        <w:t xml:space="preserve"> The recorded local held-out panel has per-target R² values from </w:t>
      </w:r>
      <w:r>
        <w:rPr>
          <w:b/>
        </w:rPr>
        <w:t>0.871</w:t>
      </w:r>
      <w:r>
        <w:rPr/>
        <w:t xml:space="preserve"> (Ei) to </w:t>
      </w:r>
      <w:r>
        <w:rPr>
          <w:b/>
        </w:rPr>
        <w:t>0.927</w:t>
      </w:r>
      <w:r>
        <w:rPr/>
        <w:t xml:space="preserve"> (Egb), with mean </w:t>
      </w:r>
      <w:r>
        <w:rPr>
          <w:b/>
        </w:rPr>
        <w:t>0.902509</w:t>
      </w:r>
      <w:r>
        <w:rPr/>
        <w:t xml:space="preserve"> for the compact verification model. The final submitted notebook outcome is </w:t>
      </w:r>
      <w:r>
        <w:rPr>
          <w:b/>
        </w:rPr>
        <w:t>0.907551</w:t>
      </w:r>
      <w:r>
        <w:rPr/>
        <w:t>; its per-target parity plot is intentionally deferred until the pinned isolated rerun has completed, so the report does not claim a figure from an unverified intermediate artefact.</w:t>
      </w:r>
    </w:p>
    <w:p>
      <w:pPr>
        <w:pStyle w:val="BodyText"/>
        <w:bidi w:val="0"/>
        <w:rPr/>
      </w:pPr>
      <w:r>
        <w:rPr/>
        <w:drawing>
          <wp:inline distT="0" distB="0" distL="0" distR="0">
            <wp:extent cx="317500" cy="317500"/>
            <wp:effectExtent l="0" t="0" r="0" b="0"/>
            <wp:docPr id="2" name="Image2" descr="Figure 2. Verified qualitative evidence from recorded project t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Figure 2. Verified qualitative evidence from recorded project tables."/>
                    <pic:cNvPicPr>
                      <a:picLocks noChangeAspect="1" noChangeArrowheads="1"/>
                    </pic:cNvPicPr>
                  </pic:nvPicPr>
                  <pic:blipFill>
                    <a:blip r:link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bidi w:val="0"/>
        <w:rPr/>
      </w:pPr>
      <w:r>
        <w:rPr>
          <w:b/>
        </w:rPr>
        <w:t>Figure 2.</w:t>
      </w:r>
      <w:r>
        <w:rPr/>
        <w:t xml:space="preserve"> Evidence beyond the leaderboard. (a) graph-feature prediction invariance under valid SMILES rewrites; (b) explanation stability across the same rewrites (mean cosine </w:t>
      </w:r>
      <w:r>
        <w:rPr>
          <w:b/>
        </w:rPr>
        <w:t>0.980</w:t>
      </w:r>
      <w:r>
        <w:rPr/>
        <w:t>); (c) mean R² under canonical-group (</w:t>
      </w:r>
      <w:r>
        <w:rPr>
          <w:b/>
        </w:rPr>
        <w:t>0.824</w:t>
      </w:r>
      <w:r>
        <w:rPr/>
        <w:t>) and scaffold (</w:t>
      </w:r>
      <w:r>
        <w:rPr>
          <w:b/>
        </w:rPr>
        <w:t>0.660</w:t>
      </w:r>
      <w:r>
        <w:rPr/>
        <w:t xml:space="preserve">) splits; and (d) the useful robustness boundary—Tg error rises from </w:t>
      </w:r>
      <w:r>
        <w:rPr>
          <w:b/>
        </w:rPr>
        <w:t>14.8</w:t>
      </w:r>
      <w:r>
        <w:rPr/>
        <w:t xml:space="preserve"> to </w:t>
      </w:r>
      <w:r>
        <w:rPr>
          <w:b/>
        </w:rPr>
        <w:t>43.6 °C</w:t>
      </w:r>
      <w:r>
        <w:rPr/>
        <w:t xml:space="preserve"> as nearest-training similarity falls. Figure script and source tables are listed in Appendix B.</w:t>
      </w:r>
    </w:p>
    <w:p>
      <w:pPr>
        <w:pStyle w:val="Heading3"/>
        <w:bidi w:val="0"/>
        <w:ind w:hanging="0" w:start="0"/>
        <w:rPr/>
      </w:pPr>
      <w:r>
        <w:rPr/>
        <w:t>Explainability for future materials discovery</w:t>
      </w:r>
    </w:p>
    <w:p>
      <w:pPr>
        <w:pStyle w:val="BodyText"/>
        <w:bidi w:val="0"/>
        <w:rPr/>
      </w:pPr>
      <w:r>
        <w:rPr/>
        <w:t xml:space="preserve">For </w:t>
      </w:r>
      <w:r>
        <w:rPr>
          <w:b/>
        </w:rPr>
        <w:t>electronic</w:t>
      </w:r>
      <w:r>
        <w:rPr/>
        <w:t xml:space="preserve"> discovery (Egc, Egb, Ei, Eea), the model exposes which conjugation-adjacent, ring, and band-edge features support a prediction, while the Egc/Ei/Eea relationship provides a consistency check. For </w:t>
      </w:r>
      <w:r>
        <w:rPr>
          <w:b/>
        </w:rPr>
        <w:t>optical</w:t>
      </w:r>
      <w:r>
        <w:rPr/>
        <w:t xml:space="preserve"> discovery (n, ε), explanation is split into the optical n² channel and the ionic/polar channel, so a proposed repeat unit can be discussed in terms of polarisation mechanisms rather than a generic importance score. Tree explanations are tested by feature-removal intervention: on the Tg proxy, masking the top 10% SHAP-ranked features produced a 0.851 R² loss versus 0.043 under an equal random mask. This supports </w:t>
      </w:r>
      <w:r>
        <w:rPr>
          <w:i/>
        </w:rPr>
        <w:t>predictive fidelity in the stated feature space</w:t>
      </w:r>
      <w:r>
        <w:rPr/>
        <w:t>, not a claim of chemical causality.</w:t>
      </w:r>
    </w:p>
    <w:p>
      <w:pPr>
        <w:pStyle w:val="Heading2"/>
        <w:bidi w:val="0"/>
        <w:ind w:hanging="0" w:start="0"/>
        <w:rPr/>
      </w:pPr>
      <w:r>
        <w:rPr/>
        <w:t>3. Technical Challenges &amp; Pivots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Challenge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Evidence-led pivot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electronic/optical tables make flexible models unstable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target-specific classical/compact models, grouped folds, and conservative blending rather than a monolithic deep model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 single high score can hide unfamiliar-chemistry failure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add a structural generalisation ladder, nearest-neighbour similarity, and an applicability tier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SMILES text is non-unique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make graph/canonical features the invariance backbone; isolate and test the string residual separately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Plausible explanations can be unstable or non-load-bearing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>report feature-removal fidelity and rewrite-stability; retain cross-model rank agreement (</w:t>
            </w:r>
            <w:r>
              <w:rPr>
                <w:b/>
              </w:rPr>
              <w:t>ρ=0.472</w:t>
            </w:r>
            <w:r>
              <w:rPr/>
              <w:t xml:space="preserve"> vs pre-set 0.60 bar) as a limitation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Archive uncertainty artifacts disagree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 not present conformal-coverage or error–uncertainty-correlation as a success until the isolated rerun regenerates one authoritative table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The last row is an intentional transparency decision. Existing archived tables disagree on two uncertainty summaries. Rather than select a favourable number, the final release is gated on a fresh pinned run. The currently verified robustness claim is the monotone similarity–error relationship and the explicit domain warning; strict interval calibration remains in refinement.</w:t>
      </w:r>
    </w:p>
    <w:p>
      <w:pPr>
        <w:pStyle w:val="Heading2"/>
        <w:bidi w:val="0"/>
        <w:ind w:hanging="0" w:start="0"/>
        <w:rPr/>
      </w:pPr>
      <w:r>
        <w:rPr/>
        <w:t>4. Final Sprint Roadmap (Next Steps)</w:t>
      </w:r>
    </w:p>
    <w:p>
      <w:pPr>
        <w:pStyle w:val="BodyText"/>
        <w:bidi w:val="0"/>
        <w:rPr/>
      </w:pPr>
      <w:r>
        <w:rPr>
          <w:b/>
        </w:rPr>
        <w:t>Next 10 hours.</w:t>
      </w:r>
      <w:r>
        <w:rPr/>
        <w:t xml:space="preserve"> (1) Complete the user-started Python-3.11 isolated notebook run without altering its directory; (2) regenerate and compare the qualitative evidence tables; (3) add the resulting prediction-versus-truth plot only if its inputs and split are traceable; (4) freeze a code tag, environment lockfile, model artefact and submission CSV; and (5) rehearse the offline dashboard demonstration.</w:t>
      </w:r>
    </w:p>
    <w:p>
      <w:pPr>
        <w:pStyle w:val="BodyText"/>
        <w:bidi w:val="0"/>
        <w:rPr/>
      </w:pPr>
      <w:r>
        <w:rPr>
          <w:b/>
        </w:rPr>
        <w:t>Refinement plan.</w:t>
      </w:r>
      <w:r>
        <w:rPr/>
        <w:t xml:space="preserve"> First, replace per-descriptor agreement with chemically grouped attribution agreement and re-test fidelity. Second, run repeated group-aware calibration on scarce targets; release coverage only when it meets the declared tolerance. Third, pre-register a small external literature panel before seeing predictions and show all outcomes, including misses. Fourth, test additional Tg features tied to rigidity/free volume and accept them only if they improve grouped validation without weakening rewrite invariance.</w:t>
      </w:r>
    </w:p>
    <w:p>
      <w:pPr>
        <w:pStyle w:val="BodyText"/>
        <w:bidi w:val="0"/>
        <w:rPr/>
      </w:pPr>
      <w:r>
        <w:rPr>
          <w:b/>
        </w:rPr>
        <w:t>Final output.</w:t>
      </w:r>
      <w:r>
        <w:rPr/>
        <w:t xml:space="preserve"> The delivery will be (i) the reproducible notebook and pinned environment, (ii) the submission CSV and model artefact, (iii) evidence tables/figures with a claim-to-artifact map, (iv) a static report, and (v) an offline dashboard that shows a polymer structure, predicted property, interval, applicability tier, nearest analogue and feature-level explanation. The dashboard is a decision-support demonstration; it will distinguish its portable per-row model from the competition submission pipeline.</w:t>
      </w:r>
    </w:p>
    <w:p>
      <w:pPr>
        <w:pStyle w:val="Heading2"/>
        <w:bidi w:val="0"/>
        <w:ind w:hanging="0" w:start="0"/>
        <w:rPr/>
      </w:pPr>
      <w:r>
        <w:rPr/>
        <w:t>References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Kim, C. </w:t>
      </w:r>
      <w:r>
        <w:rPr>
          <w:i/>
        </w:rPr>
        <w:t>et al.</w:t>
      </w:r>
      <w:r>
        <w:rPr/>
        <w:t xml:space="preserve"> Polymer Genome: A data-powered polymer informatics platform. </w:t>
      </w:r>
      <w:r>
        <w:rPr>
          <w:i/>
        </w:rPr>
        <w:t>J. Phys. Chem. C</w:t>
      </w:r>
      <w:r>
        <w:rPr/>
        <w:t xml:space="preserve"> (2018). </w:t>
      </w:r>
      <w:hyperlink r:id="rId4">
        <w:r>
          <w:rPr>
            <w:rStyle w:val="Hyperlink"/>
          </w:rPr>
          <w:t>https://doi.org/10.1021/acs.jpcc.8b02913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Grinsztajn, L., Oyallon, E. &amp; Varoquaux, G. Why do tree-based models still outperform deep learning on typical tabular data? </w:t>
      </w:r>
      <w:r>
        <w:rPr>
          <w:i/>
        </w:rPr>
        <w:t>NeurIPS</w:t>
      </w:r>
      <w:r>
        <w:rPr/>
        <w:t xml:space="preserve"> (2022). </w:t>
      </w:r>
      <w:hyperlink r:id="rId5">
        <w:r>
          <w:rPr>
            <w:rStyle w:val="Hyperlink"/>
          </w:rPr>
          <w:t>https://papers.nips.cc/paper_files/paper/2022/hash/0378c7692da36807bdec87ab043cdadc-Abstract.html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Landrum, G. RDKit: Open-source cheminformatics. </w:t>
      </w:r>
      <w:hyperlink r:id="rId6">
        <w:r>
          <w:rPr>
            <w:rStyle w:val="Hyperlink"/>
          </w:rPr>
          <w:t>https://www.rdkit.org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Rogers, D. &amp; Hahn, M. Extended-connectivity fingerprints. </w:t>
      </w:r>
      <w:r>
        <w:rPr>
          <w:i/>
        </w:rPr>
        <w:t>J. Chem. Inf. Model.</w:t>
      </w:r>
      <w:r>
        <w:rPr/>
        <w:t xml:space="preserve"> (2010). </w:t>
      </w:r>
      <w:hyperlink r:id="rId7">
        <w:r>
          <w:rPr>
            <w:rStyle w:val="Hyperlink"/>
          </w:rPr>
          <w:t>https://doi.org/10.1021/ci100050t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Lundberg, S. M. &amp; Lee, S.-I. A unified approach to interpreting model predictions. </w:t>
      </w:r>
      <w:r>
        <w:rPr>
          <w:i/>
        </w:rPr>
        <w:t>NeurIPS</w:t>
      </w:r>
      <w:r>
        <w:rPr/>
        <w:t xml:space="preserve"> (2017). </w:t>
      </w:r>
      <w:hyperlink r:id="rId8">
        <w:r>
          <w:rPr>
            <w:rStyle w:val="Hyperlink"/>
          </w:rPr>
          <w:t>https://arxiv.org/abs/1705.07874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Hooker, S. </w:t>
      </w:r>
      <w:r>
        <w:rPr>
          <w:i/>
        </w:rPr>
        <w:t>et al.</w:t>
      </w:r>
      <w:r>
        <w:rPr/>
        <w:t xml:space="preserve"> A benchmark for interpretability methods in deep neural networks. </w:t>
      </w:r>
      <w:r>
        <w:rPr>
          <w:i/>
        </w:rPr>
        <w:t>NeurIPS</w:t>
      </w:r>
      <w:r>
        <w:rPr/>
        <w:t xml:space="preserve"> (2019). </w:t>
      </w:r>
      <w:hyperlink r:id="rId9">
        <w:r>
          <w:rPr>
            <w:rStyle w:val="Hyperlink"/>
          </w:rPr>
          <w:t>https://arxiv.org/abs/1806.10758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Angelopoulos, A. N. &amp; Bates, S. A gentle introduction to conformal prediction and distribution-free uncertainty quantification (2021). </w:t>
      </w:r>
      <w:hyperlink r:id="rId10">
        <w:r>
          <w:rPr>
            <w:rStyle w:val="Hyperlink"/>
          </w:rPr>
          <w:t>https://arxiv.org/abs/2107.07511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OECD. </w:t>
      </w:r>
      <w:r>
        <w:rPr>
          <w:i/>
        </w:rPr>
        <w:t>Guidance Document on the Validation of (Q)SAR Models</w:t>
      </w:r>
      <w:r>
        <w:rPr/>
        <w:t xml:space="preserve"> (2007). </w:t>
      </w:r>
      <w:hyperlink r:id="rId11">
        <w:r>
          <w:rPr>
            <w:rStyle w:val="Hyperlink"/>
          </w:rPr>
          <w:t>https://www.oecd.org/env/guidance-document-on-the-validation-of-quantitative-structure-activity-relationship-q-sar-models-9789264085442-en.htm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Krogh, A. &amp; Vedelsby, J. Neural network ensembles, cross validation, and active learning. </w:t>
      </w:r>
      <w:r>
        <w:rPr>
          <w:i/>
        </w:rPr>
        <w:t>NeurIPS</w:t>
      </w:r>
      <w:r>
        <w:rPr/>
        <w:t xml:space="preserve"> (1994). </w:t>
      </w:r>
      <w:hyperlink r:id="rId12">
        <w:r>
          <w:rPr>
            <w:rStyle w:val="Hyperlink"/>
          </w:rPr>
          <w:t>https://proceedings.neurips.cc/paper/1994/hash/b8c37e33defde51cf91e1e03e51657da-Abstract.html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Fox, T. G. &amp; Flory, P. J. Second-order transition temperatures and related properties of polystyrene. </w:t>
      </w:r>
      <w:r>
        <w:rPr>
          <w:i/>
        </w:rPr>
        <w:t>J. Appl. Phys.</w:t>
      </w:r>
      <w:r>
        <w:rPr/>
        <w:t xml:space="preserve"> (1950). </w:t>
      </w:r>
      <w:hyperlink r:id="rId13">
        <w:r>
          <w:rPr>
            <w:rStyle w:val="Hyperlink"/>
          </w:rPr>
          <w:t>https://doi.org/10.1063/1.1699435</w:t>
        </w:r>
      </w:hyperlink>
    </w:p>
    <w:p>
      <w:pPr>
        <w:pStyle w:val="Heading2"/>
        <w:numPr>
          <w:ilvl w:val="0"/>
          <w:numId w:val="0"/>
        </w:numPr>
        <w:bidi w:val="0"/>
        <w:ind w:hanging="0" w:start="0"/>
        <w:rPr/>
      </w:pPr>
      <w:r>
        <w:rPr/>
        <w:t>Appendix A — reproducibility and release record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Item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Location / release condition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Submitted pipeline and architecture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AISEHack-2.0-Sandman-Polymer-Property-Prediction-Codebase/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Notebook release gate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fixes/isolated_runs/Sandman_Polymer_Property_Prediction_2_906.ipynb</w:t>
            </w:r>
            <w:r>
              <w:rPr/>
              <w:t>; user-started run is in progress and must validate before promotion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Claim-to-evidence audit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fixes/qualitative_evidence/claim_evidence_map.md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Public repository 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[Insert final GitHub release URL/tag]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Environment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Python 3.11.7; export the completed isolated environment lock/requirements with the final tag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Related draft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Personal/Research_Paper/paper.md</w:t>
            </w:r>
            <w:r>
              <w:rPr/>
              <w:t xml:space="preserve"> is a separate, in-preparation research draft; it is not evidence for this check-in and should not be cited as a published result.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GenAI disclosure.</w:t>
      </w:r>
      <w:r>
        <w:rPr/>
        <w:t xml:space="preserve"> Generative-AI tools assisted with code scaffolding, documentation and literature triage. Numerical claims in this report are retained only when linked to a project artifact; generated prose is not treated as experimental evidence.</w:t>
      </w:r>
    </w:p>
    <w:p>
      <w:pPr>
        <w:pStyle w:val="Heading2"/>
        <w:bidi w:val="0"/>
        <w:ind w:hanging="0" w:start="0"/>
        <w:rPr/>
      </w:pPr>
      <w:r>
        <w:rPr/>
        <w:t>Appendix B — visual and claim manifest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Suggested visual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Local file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Architecture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AISEHack-2.0-Sandman-Polymer-Property-Prediction-Codebase/outputs/architecture.png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required workflow/novelty figure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EDA novelty regimes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AISEHack-2.0-Sandman-Polymer-Property-Prediction-Codebase/outputs/eda/novelty_two_regimes.png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why target-specific lanes are needed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Verified qualitative figure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finals/assets/verified_qualitative_evidence.png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invariance, explanation stability, generalisation and applicability boundary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Prediction-versus-truth parity plot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fixes/isolated_runs/outputs/training/parity_plots.png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/>
              <w:t xml:space="preserve">insert </w:t>
            </w:r>
            <w:r>
              <w:rPr>
                <w:b/>
              </w:rPr>
              <w:t>only after</w:t>
            </w:r>
            <w:r>
              <w:rPr/>
              <w:t xml:space="preserve"> the active isolated run completes and is validated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Feature-removal fidelity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AISEHack-2.0-Sandman-Polymer-Property-Prediction-Codebase/outputs/explainability/fidelity_curve_tg.png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optional appendix evidence for explanation fidelity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 xml:space="preserve">The rendering source for Figure 2 is </w:t>
      </w:r>
      <w:r>
        <w:rPr>
          <w:rFonts w:ascii="Liberation Mono" w:hAnsi="Liberation Mono"/>
        </w:rPr>
        <w:t>finals/scripts/build_verified_qualitative_figure.py</w:t>
      </w:r>
      <w:r>
        <w:rPr/>
        <w:t>; it reads only the named archived evidence CSVs and intentionally omits unresolved uncertainty metrics.</w:t>
      </w:r>
    </w:p>
    <w:p>
      <w:pPr>
        <w:pStyle w:val="BlockQuotation"/>
        <w:bidi w:val="0"/>
        <w:rPr/>
      </w:pPr>
      <w:r>
        <w:rPr/>
        <w:t xml:space="preserve">We, team </w:t>
      </w:r>
      <w:r>
        <w:rPr>
          <w:b/>
        </w:rPr>
        <w:t>Sandman</w:t>
      </w:r>
      <w:r>
        <w:rPr/>
        <w:t xml:space="preserve">, have made our submissions wholly based on our own efforts and have not taken help from third parties / members not part of the team. </w:t>
      </w:r>
      <w:r>
        <w:rPr>
          <w:i/>
        </w:rPr>
        <w:t>(Confirm this declaration and the team name before submission.)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file:///input/AISEHack-2.0-Sandman-Polymer-Property-Prediction-Codebase/outputs/architecture.png" TargetMode="External"/><Relationship Id="rId3" Type="http://schemas.openxmlformats.org/officeDocument/2006/relationships/image" Target="file:///input/import-1/assets/verified_qualitative_evidence.png" TargetMode="External"/><Relationship Id="rId4" Type="http://schemas.openxmlformats.org/officeDocument/2006/relationships/hyperlink" Target="https://doi.org/10.1021/acs.jpcc.8b02913" TargetMode="External"/><Relationship Id="rId5" Type="http://schemas.openxmlformats.org/officeDocument/2006/relationships/hyperlink" Target="https://papers.nips.cc/paper_files/paper/2022/hash/0378c7692da36807bdec87ab043cdadc-Abstract.html" TargetMode="External"/><Relationship Id="rId6" Type="http://schemas.openxmlformats.org/officeDocument/2006/relationships/hyperlink" Target="https://www.rdkit.org/" TargetMode="External"/><Relationship Id="rId7" Type="http://schemas.openxmlformats.org/officeDocument/2006/relationships/hyperlink" Target="https://doi.org/10.1021/ci100050t" TargetMode="External"/><Relationship Id="rId8" Type="http://schemas.openxmlformats.org/officeDocument/2006/relationships/hyperlink" Target="https://arxiv.org/abs/1705.07874" TargetMode="External"/><Relationship Id="rId9" Type="http://schemas.openxmlformats.org/officeDocument/2006/relationships/hyperlink" Target="https://arxiv.org/abs/1806.10758" TargetMode="External"/><Relationship Id="rId10" Type="http://schemas.openxmlformats.org/officeDocument/2006/relationships/hyperlink" Target="https://arxiv.org/abs/2107.07511" TargetMode="External"/><Relationship Id="rId11" Type="http://schemas.openxmlformats.org/officeDocument/2006/relationships/hyperlink" Target="https://www.oecd.org/env/guidance-document-on-the-validation-of-quantitative-structure-activity-relationship-q-sar-models-9789264085442-en.htm" TargetMode="External"/><Relationship Id="rId12" Type="http://schemas.openxmlformats.org/officeDocument/2006/relationships/hyperlink" Target="https://proceedings.neurips.cc/paper/1994/hash/b8c37e33defde51cf91e1e03e51657da-Abstract.html" TargetMode="External"/><Relationship Id="rId13" Type="http://schemas.openxmlformats.org/officeDocument/2006/relationships/hyperlink" Target="https://doi.org/10.1063/1.1699435" TargetMode="Externa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