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bj85qpmpdk55" w:id="0"/>
      <w:bookmarkEnd w:id="0"/>
      <w:r w:rsidDel="00000000" w:rsidR="00000000" w:rsidRPr="00000000">
        <w:rPr>
          <w:rFonts w:ascii="Times New Roman" w:cs="Times New Roman" w:eastAsia="Times New Roman" w:hAnsi="Times New Roman"/>
          <w:b w:val="1"/>
          <w:bCs w:val="1"/>
          <w:sz w:val="44"/>
          <w:szCs w:val="44"/>
          <w:rtl w:val="0"/>
        </w:rPr>
        <w:t xml:space="preserve">Mid-Point Check-in: Team Sandman (Polymer Property Prediction)</w:t>
      </w:r>
    </w:p>
    <w:p w:rsidR="00000000" w:rsidDel="00000000" w:rsidP="00000000" w:rsidRDefault="00000000" w:rsidRPr="00000000" w14:paraId="00000002">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Project Title:</w:t>
      </w:r>
      <w:r w:rsidDel="00000000" w:rsidR="00000000" w:rsidRPr="00000000">
        <w:rPr>
          <w:rFonts w:ascii="Times New Roman" w:cs="Times New Roman" w:eastAsia="Times New Roman" w:hAnsi="Times New Roman"/>
          <w:sz w:val="20"/>
          <w:szCs w:val="20"/>
          <w:rtl w:val="0"/>
        </w:rPr>
        <w:t xml:space="preserve"> Physics-guided, evidence based polymer property prediction from repeat-unit SMILES</w:t>
      </w:r>
    </w:p>
    <w:p w:rsidR="00000000" w:rsidDel="00000000" w:rsidP="00000000" w:rsidRDefault="00000000" w:rsidRPr="00000000" w14:paraId="00000003">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Team Name:</w:t>
      </w:r>
      <w:r w:rsidDel="00000000" w:rsidR="00000000" w:rsidRPr="00000000">
        <w:rPr>
          <w:rFonts w:ascii="Times New Roman" w:cs="Times New Roman" w:eastAsia="Times New Roman" w:hAnsi="Times New Roman"/>
          <w:sz w:val="20"/>
          <w:szCs w:val="20"/>
          <w:rtl w:val="0"/>
        </w:rPr>
        <w:t xml:space="preserve"> Sandman (Vishwa Kumaresh)</w:t>
      </w:r>
    </w:p>
    <w:p w:rsidR="00000000" w:rsidDel="00000000" w:rsidP="00000000" w:rsidRDefault="00000000" w:rsidRPr="00000000" w14:paraId="00000004">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Primary Domain:</w:t>
      </w:r>
      <w:r w:rsidDel="00000000" w:rsidR="00000000" w:rsidRPr="00000000">
        <w:rPr>
          <w:rFonts w:ascii="Times New Roman" w:cs="Times New Roman" w:eastAsia="Times New Roman" w:hAnsi="Times New Roman"/>
          <w:sz w:val="20"/>
          <w:szCs w:val="20"/>
          <w:rtl w:val="0"/>
        </w:rPr>
        <w:t xml:space="preserve"> Artificial Intelligence and Data Science (Computer vision and real time video analytics)</w:t>
      </w:r>
      <w:r w:rsidDel="00000000" w:rsidR="00000000" w:rsidRPr="00000000">
        <w:rPr>
          <w:rtl w:val="0"/>
        </w:rPr>
      </w:r>
    </w:p>
    <w:p w:rsidR="00000000" w:rsidDel="00000000" w:rsidP="00000000" w:rsidRDefault="00000000" w:rsidRPr="00000000" w14:paraId="00000005">
      <w:pPr>
        <w:spacing w:after="140" w:line="301.09090909090907"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report reports a seven-property pipeline for </w:t>
      </w:r>
      <w:r w:rsidDel="00000000" w:rsidR="00000000" w:rsidRPr="00000000">
        <w:rPr>
          <w:rFonts w:ascii="Times New Roman" w:cs="Times New Roman" w:eastAsia="Times New Roman" w:hAnsi="Times New Roman"/>
          <w:b w:val="1"/>
          <w:bCs w:val="1"/>
          <w:rtl w:val="0"/>
        </w:rPr>
        <w:t xml:space="preserve">glass-transition temperature (Tg)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chain and bulk bandgaps (Egc, Egb)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ionisation energy (Ei)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electron affinity (Eea)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refractive index (n)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and dielectric constant (ε)</w:t>
      </w:r>
      <w:r w:rsidDel="00000000" w:rsidR="00000000" w:rsidRPr="00000000">
        <w:rPr>
          <w:rFonts w:ascii="Times New Roman" w:cs="Times New Roman" w:eastAsia="Times New Roman" w:hAnsi="Times New Roman"/>
          <w:rtl w:val="0"/>
        </w:rPr>
        <w:t xml:space="preserve">. The submitted notebook records a </w:t>
      </w:r>
      <w:r w:rsidDel="00000000" w:rsidR="00000000" w:rsidRPr="00000000">
        <w:rPr>
          <w:rFonts w:ascii="Times New Roman" w:cs="Times New Roman" w:eastAsia="Times New Roman" w:hAnsi="Times New Roman"/>
          <w:b w:val="1"/>
          <w:bCs w:val="1"/>
          <w:rtl w:val="0"/>
        </w:rPr>
        <w:t xml:space="preserve">0.907551</w:t>
      </w:r>
      <w:r w:rsidDel="00000000" w:rsidR="00000000" w:rsidRPr="00000000">
        <w:rPr>
          <w:rFonts w:ascii="Times New Roman" w:cs="Times New Roman" w:eastAsia="Times New Roman" w:hAnsi="Times New Roman"/>
          <w:rtl w:val="0"/>
        </w:rPr>
        <w:t xml:space="preserve"> mean R² on the local held-out verification panel and </w:t>
      </w:r>
      <w:r w:rsidDel="00000000" w:rsidR="00000000" w:rsidRPr="00000000">
        <w:rPr>
          <w:rFonts w:ascii="Times New Roman" w:cs="Times New Roman" w:eastAsia="Times New Roman" w:hAnsi="Times New Roman"/>
          <w:b w:val="1"/>
          <w:bCs w:val="1"/>
          <w:rtl w:val="0"/>
        </w:rPr>
        <w:t xml:space="preserve">0.920</w:t>
      </w:r>
      <w:r w:rsidDel="00000000" w:rsidR="00000000" w:rsidRPr="00000000">
        <w:rPr>
          <w:rFonts w:ascii="Times New Roman" w:cs="Times New Roman" w:eastAsia="Times New Roman" w:hAnsi="Times New Roman"/>
          <w:rtl w:val="0"/>
        </w:rPr>
        <w:t xml:space="preserve"> on the public leaderboard.</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rPr>
      </w:pPr>
      <w:bookmarkStart w:colFirst="0" w:colLast="0" w:name="_9llz40tztkia" w:id="1"/>
      <w:bookmarkEnd w:id="1"/>
      <w:r w:rsidDel="00000000" w:rsidR="00000000" w:rsidRPr="00000000">
        <w:rPr>
          <w:rFonts w:ascii="Times New Roman" w:cs="Times New Roman" w:eastAsia="Times New Roman" w:hAnsi="Times New Roman"/>
          <w:b w:val="1"/>
          <w:bCs w:val="1"/>
          <w:rtl w:val="0"/>
        </w:rPr>
        <w:t xml:space="preserve">1. Proposed Strategy and Technical Novelty</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al76khbixwe" w:id="2"/>
      <w:bookmarkEnd w:id="2"/>
      <w:r w:rsidDel="00000000" w:rsidR="00000000" w:rsidRPr="00000000">
        <w:rPr>
          <w:rFonts w:ascii="Times New Roman" w:cs="Times New Roman" w:eastAsia="Times New Roman" w:hAnsi="Times New Roman"/>
          <w:b w:val="1"/>
          <w:bCs w:val="1"/>
          <w:color w:val="000000"/>
          <w:sz w:val="24"/>
          <w:szCs w:val="24"/>
          <w:rtl w:val="0"/>
        </w:rPr>
        <w:t xml:space="preserve">Novelty : A polymer-aware answer to two different problems</w:t>
      </w:r>
    </w:p>
    <w:p w:rsidR="00000000" w:rsidDel="00000000" w:rsidP="00000000" w:rsidRDefault="00000000" w:rsidRPr="00000000" w14:paraId="00000008">
      <w:pPr>
        <w:spacing w:after="140" w:line="301.0909090909090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propose a property-aware pipeline that recognises that this dataset contains two very different prediction settings. Tg usually requires learning from polymer structure to a new measured property. The smaller electronic and optical targets often have the same polymer measured for a </w:t>
      </w:r>
      <w:r w:rsidDel="00000000" w:rsidR="00000000" w:rsidRPr="00000000">
        <w:rPr>
          <w:rFonts w:ascii="Times New Roman" w:cs="Times New Roman" w:eastAsia="Times New Roman" w:hAnsi="Times New Roman"/>
          <w:i w:val="1"/>
          <w:iCs w:val="1"/>
          <w:rtl w:val="0"/>
        </w:rPr>
        <w:t xml:space="preserve">different</w:t>
      </w:r>
      <w:r w:rsidDel="00000000" w:rsidR="00000000" w:rsidRPr="00000000">
        <w:rPr>
          <w:rFonts w:ascii="Times New Roman" w:cs="Times New Roman" w:eastAsia="Times New Roman" w:hAnsi="Times New Roman"/>
          <w:rtl w:val="0"/>
        </w:rPr>
        <w:t xml:space="preserve"> property, so they can benefit from a carefully checked cross-property signal. Treating all seven targets as one pooled problem would miss this distinction and over-focus on Tg.</w:t>
      </w:r>
    </w:p>
    <w:p w:rsidR="00000000" w:rsidDel="00000000" w:rsidP="00000000" w:rsidRDefault="00000000" w:rsidRPr="00000000" w14:paraId="00000009">
      <w:pPr>
        <w:spacing w:after="140" w:line="301.0909090909090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pipeline therefore combines three ideas: (1) polymer-specific and molecular representations, (2) one learned prediction lane for every property, and (3) simple physical relations used only when they improve validation. This lets us use chemistry where it helps while keeping a learned model available for every target [1–3].</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lhe42n51lgd" w:id="3"/>
      <w:bookmarkEnd w:id="3"/>
      <w:r w:rsidDel="00000000" w:rsidR="00000000" w:rsidRPr="00000000">
        <w:rPr>
          <w:rFonts w:ascii="Times New Roman" w:cs="Times New Roman" w:eastAsia="Times New Roman" w:hAnsi="Times New Roman"/>
          <w:b w:val="1"/>
          <w:bCs w:val="1"/>
          <w:color w:val="000000"/>
          <w:sz w:val="24"/>
          <w:szCs w:val="24"/>
          <w:rtl w:val="0"/>
        </w:rPr>
        <w:t xml:space="preserve">Methodology, Architecture and Reasoning</w:t>
      </w:r>
    </w:p>
    <w:p w:rsidR="00000000" w:rsidDel="00000000" w:rsidP="00000000" w:rsidRDefault="00000000" w:rsidRPr="00000000" w14:paraId="0000000B">
      <w:pPr>
        <w:spacing w:after="140" w:line="301.0909090909090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481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40" w:line="301.0909090909090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 Pipeline architecture.</w:t>
      </w:r>
      <w:r w:rsidDel="00000000" w:rsidR="00000000" w:rsidRPr="00000000">
        <w:rPr>
          <w:rFonts w:ascii="Times New Roman" w:cs="Times New Roman" w:eastAsia="Times New Roman" w:hAnsi="Times New Roman"/>
          <w:rtl w:val="0"/>
        </w:rPr>
        <w:t xml:space="preserve"> Each target has a direct learned prediction lane. The physical routes are additional, guarded inputs.</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045"/>
        <w:gridCol w:w="2910"/>
        <w:tblGridChange w:id="0">
          <w:tblGrid>
            <w:gridCol w:w="2925"/>
            <w:gridCol w:w="3045"/>
            <w:gridCol w:w="2910"/>
          </w:tblGrid>
        </w:tblGridChange>
      </w:tblGrid>
      <w:tr>
        <w:trPr>
          <w:cantSplit w:val="0"/>
          <w:trHeight w:val="390" w:hRule="atLeast"/>
          <w:tblHeader w:val="0"/>
        </w:trPr>
        <w:tc>
          <w:tcPr>
            <w:tcBorders>
              <w:top w:color="000000" w:space="0" w:sz="8" w:val="single"/>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Stages (In Order)</w:t>
            </w:r>
          </w:p>
        </w:tc>
        <w:tc>
          <w:tcPr>
            <w:tcBorders>
              <w:top w:color="000000" w:space="0" w:sz="8" w:val="single"/>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we use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it matters</w:t>
            </w:r>
          </w:p>
        </w:tc>
      </w:tr>
      <w:tr>
        <w:trPr>
          <w:cantSplit w:val="0"/>
          <w:trHeight w:val="1740" w:hRule="atLeast"/>
          <w:tblHeader w:val="0"/>
        </w:trPr>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representation</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RDKit descriptors, Morgan fingerprints, Polymer Genome atomic triples, a label-free PI1M SVD prior, similarity kernels and a compact GINE graph signal</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size, rigidity, polarity, local chemistry, polymer environments and graph structure [2–5]</w:t>
            </w:r>
          </w:p>
        </w:tc>
      </w:tr>
      <w:tr>
        <w:trPr>
          <w:cantSplit w:val="0"/>
          <w:trHeight w:val="1200" w:hRule="atLeast"/>
          <w:tblHeader w:val="0"/>
        </w:trPr>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learned lanes</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boosting/ExtraTrees for larger targets; kernel, Gaussian-process and MLP lanes for scarce targets</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property can be predicted directly from its structure, including Egc, Egb, Ei, Eea, n and ε</w:t>
            </w:r>
          </w:p>
        </w:tc>
      </w:tr>
      <w:tr>
        <w:trPr>
          <w:cantSplit w:val="0"/>
          <w:trHeight w:val="1200" w:hRule="atLeast"/>
          <w:tblHeader w:val="0"/>
        </w:trPr>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Guarded chemistry routes</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Gungsuh" w:cs="Gungsuh" w:eastAsia="Gungsuh" w:hAnsi="Gungsuh"/>
                <w:rtl w:val="0"/>
              </w:rPr>
              <w:t xml:space="preserve">Egc from Ei−Eea; Egb from Egc; ε from n² plus a polar remainder</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useful information only when the companion measurement is available in the contest data protocol</w:t>
            </w:r>
          </w:p>
        </w:tc>
      </w:tr>
      <w:tr>
        <w:trPr>
          <w:cantSplit w:val="0"/>
          <w:trHeight w:val="1200" w:hRule="atLeast"/>
          <w:tblHeader w:val="0"/>
        </w:trPr>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Assembly</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out-of-fold NNLS blend and small target-specific calibration</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combines models that make different errors without giving any one lane unchecked control</w:t>
            </w:r>
          </w:p>
        </w:tc>
      </w:tr>
    </w:tbl>
    <w:p w:rsidR="00000000" w:rsidDel="00000000" w:rsidP="00000000" w:rsidRDefault="00000000" w:rsidRPr="00000000" w14:paraId="0000001C">
      <w:pPr>
        <w:spacing w:after="140" w:line="301.0909090909090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spacing w:after="140" w:line="301.0909090909090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property retains a direct learned lane: Egc uses boosting plus PI1M-SVD; Egb uses ExtraTrees; Ei combines MLP, Gaussian-process and Tanimoto-kernel learners; Eea has a learned small-data lane; and n and ε use classical ensembles. The GINE graph encoder adds a learned structural signal. Physical relations are extra routes; the direct lane remains available.</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5sif2z0qq59" w:id="4"/>
      <w:bookmarkEnd w:id="4"/>
      <w:r w:rsidDel="00000000" w:rsidR="00000000" w:rsidRPr="00000000">
        <w:rPr>
          <w:rFonts w:ascii="Times New Roman" w:cs="Times New Roman" w:eastAsia="Times New Roman" w:hAnsi="Times New Roman"/>
          <w:b w:val="1"/>
          <w:bCs w:val="1"/>
          <w:color w:val="000000"/>
          <w:sz w:val="24"/>
          <w:szCs w:val="24"/>
          <w:rtl w:val="0"/>
        </w:rPr>
        <w:t xml:space="preserve">Featurization Choices</w:t>
      </w:r>
    </w:p>
    <w:p w:rsidR="00000000" w:rsidDel="00000000" w:rsidP="00000000" w:rsidRDefault="00000000" w:rsidRPr="00000000" w14:paraId="0000001F">
      <w:pPr>
        <w:spacing w:after="140" w:line="301.0909090909090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feature set is deliberately complementary: (1) RDKit descriptors summarise size, ring content, polarity and flexibility; (2) Morgan fingerprints capture local functional groups; and (3) Polymer Genome atomic triples describe polymer-specific local environments [2,4,5].</w:t>
      </w:r>
    </w:p>
    <w:p w:rsidR="00000000" w:rsidDel="00000000" w:rsidP="00000000" w:rsidRDefault="00000000" w:rsidRPr="00000000" w14:paraId="00000020">
      <w:pPr>
        <w:spacing w:after="140" w:line="301.0909090909090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Removing RDKit descriptors reduced grouped-CV proxy performance for Egb from 0.856 to 0.830 and for Ei from 0.794 to 0.756. Removing Morgan counts reduced n from 0.787 to 0.767. Atomic triples improved targeted Egb from 0.917 to 0.926 and n from 0.844 to 0.852.</w:t>
      </w:r>
    </w:p>
    <w:p w:rsidR="00000000" w:rsidDel="00000000" w:rsidP="00000000" w:rsidRDefault="00000000" w:rsidRPr="00000000" w14:paraId="00000021">
      <w:pPr>
        <w:spacing w:after="140" w:line="301.09090909090907"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physics routes are also tested. The Egc = Ei−Eea relationship is already very accurate on the co-measured subset, so we keep the simple relation and reject a more flexible correction that performed poorly in leave-one-out testing. For Egb, a learned ExtraTrees correction improved the Egc-based route, so it was retained. For ε, we predict the polar/ionic contribution in ε = n² + ionic and then reconstruct ε. We also tested published gap–refractive-index relations; they did not help this dataset, so they were not used [6].</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d1vdg3cs2qy" w:id="5"/>
      <w:bookmarkEnd w:id="5"/>
      <w:r w:rsidDel="00000000" w:rsidR="00000000" w:rsidRPr="00000000">
        <w:rPr>
          <w:rFonts w:ascii="Times New Roman" w:cs="Times New Roman" w:eastAsia="Times New Roman" w:hAnsi="Times New Roman"/>
          <w:b w:val="1"/>
          <w:bCs w:val="1"/>
          <w:color w:val="000000"/>
          <w:sz w:val="24"/>
          <w:szCs w:val="24"/>
          <w:rtl w:val="0"/>
        </w:rPr>
        <w:t xml:space="preserve">Qualitative Validation : Invariance, Explainability, Generalizability, Robustness</w:t>
      </w:r>
    </w:p>
    <w:p w:rsidR="00000000" w:rsidDel="00000000" w:rsidP="00000000" w:rsidRDefault="00000000" w:rsidRPr="00000000" w14:paraId="00000023">
      <w:pPr>
        <w:spacing w:after="140" w:line="301.0909090909090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Pr>
        <w:drawing>
          <wp:inline distB="114300" distT="114300" distL="114300" distR="114300">
            <wp:extent cx="5453063" cy="317761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53063" cy="3177612"/>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Figure 2. Qualitative evidence.</w:t>
      </w:r>
      <w:r w:rsidDel="00000000" w:rsidR="00000000" w:rsidRPr="00000000">
        <w:rPr>
          <w:rFonts w:ascii="Times New Roman" w:cs="Times New Roman" w:eastAsia="Times New Roman" w:hAnsi="Times New Roman"/>
          <w:rtl w:val="0"/>
        </w:rPr>
        <w:t xml:space="preserve"> Alternative valid SMILES test invariance and explanation stability; lower panels show structural-split performance and distance-related Tg error.</w:t>
      </w:r>
    </w:p>
    <w:p w:rsidR="00000000" w:rsidDel="00000000" w:rsidP="00000000" w:rsidRDefault="00000000" w:rsidRPr="00000000" w14:paraId="00000024">
      <w:pPr>
        <w:spacing w:after="140" w:lineRule="auto"/>
        <w:ind w:left="980" w:hanging="28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b w:val="1"/>
          <w:bCs w:val="1"/>
          <w:rtl w:val="0"/>
        </w:rPr>
        <w:t xml:space="preserve">Invariance.</w:t>
      </w:r>
      <w:r w:rsidDel="00000000" w:rsidR="00000000" w:rsidRPr="00000000">
        <w:rPr>
          <w:rFonts w:ascii="Times New Roman" w:cs="Times New Roman" w:eastAsia="Times New Roman" w:hAnsi="Times New Roman"/>
          <w:rtl w:val="0"/>
        </w:rPr>
        <w:t xml:space="preserve"> A SMILES string is one way to write a polymer, not the polymer itself. We </w:t>
      </w:r>
      <w:r w:rsidDel="00000000" w:rsidR="00000000" w:rsidRPr="00000000">
        <w:rPr>
          <w:rFonts w:ascii="Times New Roman" w:cs="Times New Roman" w:eastAsia="Times New Roman" w:hAnsi="Times New Roman"/>
          <w:b w:val="1"/>
          <w:bCs w:val="1"/>
          <w:rtl w:val="0"/>
        </w:rPr>
        <w:t xml:space="preserve">generated valid alternative spellings</w:t>
      </w:r>
      <w:r w:rsidDel="00000000" w:rsidR="00000000" w:rsidRPr="00000000">
        <w:rPr>
          <w:rFonts w:ascii="Times New Roman" w:cs="Times New Roman" w:eastAsia="Times New Roman" w:hAnsi="Times New Roman"/>
          <w:rtl w:val="0"/>
        </w:rPr>
        <w:t xml:space="preserve"> of the same repeat-unit graph. The graph-based path had zero 1σ prediction violations across all seven targets; its largest spread was 0.230% of the target training scale. The explanation similarity was 0.947–0.996 (mean 0.980). This supports the use of graph and canonical features as the main representation [8]. </w:t>
      </w:r>
      <w:r w:rsidDel="00000000" w:rsidR="00000000" w:rsidRPr="00000000">
        <w:rPr>
          <w:rFonts w:ascii="Times New Roman" w:cs="Times New Roman" w:eastAsia="Times New Roman" w:hAnsi="Times New Roman"/>
          <w:b w:val="1"/>
          <w:bCs w:val="1"/>
          <w:rtl w:val="0"/>
        </w:rPr>
        <w:t xml:space="preserve">Remaining tasks include addition of primitive-repeat normalization so equivalent monomer, dimer and trimer PSMILES forms map to the same graph before featurization (For Ogliomers and Dimers).</w:t>
      </w:r>
    </w:p>
    <w:p w:rsidR="00000000" w:rsidDel="00000000" w:rsidP="00000000" w:rsidRDefault="00000000" w:rsidRPr="00000000" w14:paraId="00000025">
      <w:pPr>
        <w:spacing w:after="14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Explainability.</w:t>
      </w:r>
      <w:r w:rsidDel="00000000" w:rsidR="00000000" w:rsidRPr="00000000">
        <w:rPr>
          <w:rFonts w:ascii="Times New Roman" w:cs="Times New Roman" w:eastAsia="Times New Roman" w:hAnsi="Times New Roman"/>
          <w:rtl w:val="0"/>
        </w:rPr>
        <w:t xml:space="preserve"> TreeSHAP identifies which features matter most to a prediction [9]. We tested this with a feature-removal check: removing the top 10% SHAP-ranked features from the Tg proxy lowered R² by 0.851, versus 0.043 for a same-size random removal. The reported explanations therefore identify features the model genuinely relies on [10].</w:t>
      </w:r>
    </w:p>
    <w:p w:rsidR="00000000" w:rsidDel="00000000" w:rsidP="00000000" w:rsidRDefault="00000000" w:rsidRPr="00000000" w14:paraId="00000026">
      <w:pPr>
        <w:spacing w:after="140" w:lineRule="auto"/>
        <w:ind w:left="98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Generalisability and Representational Robustness.</w:t>
      </w:r>
      <w:r w:rsidDel="00000000" w:rsidR="00000000" w:rsidRPr="00000000">
        <w:rPr>
          <w:rFonts w:ascii="Times New Roman" w:cs="Times New Roman" w:eastAsia="Times New Roman" w:hAnsi="Times New Roman"/>
          <w:rtl w:val="0"/>
        </w:rPr>
        <w:t xml:space="preserve"> The mean score is 0.824 </w:t>
      </w:r>
      <w:r w:rsidDel="00000000" w:rsidR="00000000" w:rsidRPr="00000000">
        <w:rPr>
          <w:rFonts w:ascii="Times New Roman" w:cs="Times New Roman" w:eastAsia="Times New Roman" w:hAnsi="Times New Roman"/>
          <w:rtl w:val="0"/>
        </w:rPr>
        <w:t xml:space="preserve">when identical canonical structures are kept together</w:t>
      </w:r>
      <w:r w:rsidDel="00000000" w:rsidR="00000000" w:rsidRPr="00000000">
        <w:rPr>
          <w:rFonts w:ascii="Times New Roman" w:cs="Times New Roman" w:eastAsia="Times New Roman" w:hAnsi="Times New Roman"/>
          <w:rtl w:val="0"/>
        </w:rPr>
        <w:t xml:space="preserve"> and 0.660 when entire scaffolds are held out; all seven targets remain positive in both tests. Tg error also rises as nearest-neighbour similarity falls, so the demo shows an applicability tier and nearest analogue rather than treating every prediction equally [11,12].</w:t>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rPr>
      </w:pPr>
      <w:bookmarkStart w:colFirst="0" w:colLast="0" w:name="_vfi7j47l0ylx" w:id="6"/>
      <w:bookmarkEnd w:id="6"/>
      <w:r w:rsidDel="00000000" w:rsidR="00000000" w:rsidRPr="00000000">
        <w:rPr>
          <w:rFonts w:ascii="Times New Roman" w:cs="Times New Roman" w:eastAsia="Times New Roman" w:hAnsi="Times New Roman"/>
          <w:b w:val="1"/>
          <w:bCs w:val="1"/>
          <w:rtl w:val="0"/>
        </w:rPr>
        <w:t xml:space="preserve">2. Preliminary Salient Results</w:t>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1xdh22tiqsh" w:id="7"/>
      <w:bookmarkEnd w:id="7"/>
      <w:r w:rsidDel="00000000" w:rsidR="00000000" w:rsidRPr="00000000">
        <w:rPr>
          <w:rFonts w:ascii="Times New Roman" w:cs="Times New Roman" w:eastAsia="Times New Roman" w:hAnsi="Times New Roman"/>
          <w:b w:val="1"/>
          <w:bCs w:val="1"/>
          <w:color w:val="000000"/>
          <w:sz w:val="24"/>
          <w:szCs w:val="24"/>
          <w:rtl w:val="0"/>
        </w:rPr>
        <w:t xml:space="preserve">EDA Findings that Impacted our Pipeline</w:t>
      </w:r>
    </w:p>
    <w:p w:rsidR="00000000" w:rsidDel="00000000" w:rsidP="00000000" w:rsidRDefault="00000000" w:rsidRPr="00000000" w14:paraId="00000029">
      <w:pPr>
        <w:spacing w:after="140" w:line="301.0909090909090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29238" cy="2724402"/>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29238" cy="2724402"/>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Figure 3. EDA: label imbalance and overlap with the training data.</w:t>
      </w:r>
      <w:r w:rsidDel="00000000" w:rsidR="00000000" w:rsidRPr="00000000">
        <w:rPr>
          <w:rFonts w:ascii="Times New Roman" w:cs="Times New Roman" w:eastAsia="Times New Roman" w:hAnsi="Times New Roman"/>
          <w:rtl w:val="0"/>
        </w:rPr>
        <w:t xml:space="preserve"> The left panel shows the uneven 7,409-label dataset despite equal target weights. The right panel shows that almost no exact polymer–property pairs repeat, while 88–99% of the small DFT targets have cross-property support. This motivates the target-specific lanes and guarded routes.</w:t>
      </w:r>
    </w:p>
    <w:p w:rsidR="00000000" w:rsidDel="00000000" w:rsidP="00000000" w:rsidRDefault="00000000" w:rsidRPr="00000000" w14:paraId="0000002A">
      <w:pPr>
        <w:spacing w:after="140" w:line="301.0909090909090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Tg contributes </w:t>
      </w:r>
      <w:r w:rsidDel="00000000" w:rsidR="00000000" w:rsidRPr="00000000">
        <w:rPr>
          <w:rFonts w:ascii="Times New Roman" w:cs="Times New Roman" w:eastAsia="Times New Roman" w:hAnsi="Times New Roman"/>
          <w:b w:val="1"/>
          <w:bCs w:val="1"/>
          <w:rtl w:val="0"/>
        </w:rPr>
        <w:t xml:space="preserve">55.9%</w:t>
      </w:r>
      <w:r w:rsidDel="00000000" w:rsidR="00000000" w:rsidRPr="00000000">
        <w:rPr>
          <w:rFonts w:ascii="Times New Roman" w:cs="Times New Roman" w:eastAsia="Times New Roman" w:hAnsi="Times New Roman"/>
          <w:rtl w:val="0"/>
        </w:rPr>
        <w:t xml:space="preserve"> of rows and </w:t>
      </w:r>
      <w:r w:rsidDel="00000000" w:rsidR="00000000" w:rsidRPr="00000000">
        <w:rPr>
          <w:rFonts w:ascii="Times New Roman" w:cs="Times New Roman" w:eastAsia="Times New Roman" w:hAnsi="Times New Roman"/>
          <w:b w:val="1"/>
          <w:bCs w:val="1"/>
          <w:rtl w:val="0"/>
        </w:rPr>
        <w:t xml:space="preserve">99.986%</w:t>
      </w:r>
      <w:r w:rsidDel="00000000" w:rsidR="00000000" w:rsidRPr="00000000">
        <w:rPr>
          <w:rFonts w:ascii="Times New Roman" w:cs="Times New Roman" w:eastAsia="Times New Roman" w:hAnsi="Times New Roman"/>
          <w:rtl w:val="0"/>
        </w:rPr>
        <w:t xml:space="preserve"> of pooled variance, but receives the same one-seventh score weight as Ei, which contributes </w:t>
      </w:r>
      <w:r w:rsidDel="00000000" w:rsidR="00000000" w:rsidRPr="00000000">
        <w:rPr>
          <w:rFonts w:ascii="Times New Roman" w:cs="Times New Roman" w:eastAsia="Times New Roman" w:hAnsi="Times New Roman"/>
          <w:b w:val="1"/>
          <w:bCs w:val="1"/>
          <w:rtl w:val="0"/>
        </w:rPr>
        <w:t xml:space="preserve">3.0%</w:t>
      </w:r>
      <w:r w:rsidDel="00000000" w:rsidR="00000000" w:rsidRPr="00000000">
        <w:rPr>
          <w:rFonts w:ascii="Times New Roman" w:cs="Times New Roman" w:eastAsia="Times New Roman" w:hAnsi="Times New Roman"/>
          <w:rtl w:val="0"/>
        </w:rPr>
        <w:t xml:space="preserve"> of rows. </w:t>
      </w:r>
      <w:r w:rsidDel="00000000" w:rsidR="00000000" w:rsidRPr="00000000">
        <w:rPr>
          <w:rFonts w:ascii="Times New Roman" w:cs="Times New Roman" w:eastAsia="Times New Roman" w:hAnsi="Times New Roman"/>
          <w:b w:val="1"/>
          <w:bCs w:val="1"/>
          <w:rtl w:val="0"/>
        </w:rPr>
        <w:t xml:space="preserve">A single pooled loss would therefore learn mainly Tg.</w:t>
      </w:r>
      <w:r w:rsidDel="00000000" w:rsidR="00000000" w:rsidRPr="00000000">
        <w:rPr>
          <w:rFonts w:ascii="Times New Roman" w:cs="Times New Roman" w:eastAsia="Times New Roman" w:hAnsi="Times New Roman"/>
          <w:rtl w:val="0"/>
        </w:rPr>
        <w:t xml:space="preserve"> Train and test share </w:t>
      </w:r>
      <w:r w:rsidDel="00000000" w:rsidR="00000000" w:rsidRPr="00000000">
        <w:rPr>
          <w:rFonts w:ascii="Times New Roman" w:cs="Times New Roman" w:eastAsia="Times New Roman" w:hAnsi="Times New Roman"/>
          <w:b w:val="1"/>
          <w:bCs w:val="1"/>
          <w:rtl w:val="0"/>
        </w:rPr>
        <w:t xml:space="preserve">1,063</w:t>
      </w:r>
      <w:r w:rsidDel="00000000" w:rsidR="00000000" w:rsidRPr="00000000">
        <w:rPr>
          <w:rFonts w:ascii="Times New Roman" w:cs="Times New Roman" w:eastAsia="Times New Roman" w:hAnsi="Times New Roman"/>
          <w:rtl w:val="0"/>
        </w:rPr>
        <w:t xml:space="preserve"> canonical structures, so we use canonical-SMILES GroupKFold; the same polymer family cannot appear on both sides of an internal split. </w:t>
      </w:r>
      <w:r w:rsidDel="00000000" w:rsidR="00000000" w:rsidRPr="00000000">
        <w:rPr>
          <w:rFonts w:ascii="Times New Roman" w:cs="Times New Roman" w:eastAsia="Times New Roman" w:hAnsi="Times New Roman"/>
          <w:b w:val="1"/>
          <w:bCs w:val="1"/>
          <w:rtl w:val="0"/>
        </w:rPr>
        <w:t xml:space="preserve">This is why we went with our pipeline as well</w:t>
      </w:r>
      <w:r w:rsidDel="00000000" w:rsidR="00000000" w:rsidRPr="00000000">
        <w:rPr>
          <w:rFonts w:ascii="Times New Roman" w:cs="Times New Roman" w:eastAsia="Times New Roman" w:hAnsi="Times New Roman"/>
          <w:rtl w:val="0"/>
        </w:rPr>
        <w:t xml:space="preserve"> (Split into different prediction methods for different polymer properties)</w:t>
      </w:r>
    </w:p>
    <w:p w:rsidR="00000000" w:rsidDel="00000000" w:rsidP="00000000" w:rsidRDefault="00000000" w:rsidRPr="00000000" w14:paraId="0000002B">
      <w:pPr>
        <w:pStyle w:val="Heading2"/>
        <w:keepNext w:val="0"/>
        <w:keepLines w:val="0"/>
        <w:spacing w:after="80" w:line="301.09090909090907" w:lineRule="auto"/>
        <w:rPr>
          <w:rFonts w:ascii="Times New Roman" w:cs="Times New Roman" w:eastAsia="Times New Roman" w:hAnsi="Times New Roman"/>
          <w:b w:val="1"/>
          <w:bCs w:val="1"/>
        </w:rPr>
      </w:pPr>
      <w:bookmarkStart w:colFirst="0" w:colLast="0" w:name="_wyumvtpxz7ny" w:id="8"/>
      <w:bookmarkEnd w:id="8"/>
      <w:r w:rsidDel="00000000" w:rsidR="00000000" w:rsidRPr="00000000">
        <w:rPr>
          <w:rFonts w:ascii="Times New Roman" w:cs="Times New Roman" w:eastAsia="Times New Roman" w:hAnsi="Times New Roman"/>
          <w:b w:val="1"/>
          <w:bCs w:val="1"/>
          <w:rtl w:val="0"/>
        </w:rPr>
        <w:t xml:space="preserve">3. Technical Challenges and Pivots</w:t>
      </w:r>
    </w:p>
    <w:p w:rsidR="00000000" w:rsidDel="00000000" w:rsidP="00000000" w:rsidRDefault="00000000" w:rsidRPr="00000000" w14:paraId="0000002C">
      <w:pPr>
        <w:spacing w:after="140" w:line="301.09090909090907"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Two challenges shaped the pipeline: unequal target data and deciding when chemistry should guide a model. We use canonical-SMILES GroupKFold, target-specific learned lanes and shared molecular/polymer features. Egc = Ei−Eea is retained without a learned correction because it added noise; the Egb ExtraTrees correction is retained because it improved validation. The current roadblock is reliable uncertainty for scarce targets; until calibration is verified, we use structural-similarity applicability tiers.</w:t>
      </w:r>
      <w:r w:rsidDel="00000000" w:rsidR="00000000" w:rsidRPr="00000000">
        <w:rPr>
          <w:rtl w:val="0"/>
        </w:rPr>
      </w:r>
    </w:p>
    <w:p w:rsidR="00000000" w:rsidDel="00000000" w:rsidP="00000000" w:rsidRDefault="00000000" w:rsidRPr="00000000" w14:paraId="0000002D">
      <w:pPr>
        <w:pStyle w:val="Heading2"/>
        <w:keepNext w:val="0"/>
        <w:keepLines w:val="0"/>
        <w:spacing w:after="80" w:line="301.09090909090907" w:lineRule="auto"/>
        <w:rPr>
          <w:rFonts w:ascii="Times New Roman" w:cs="Times New Roman" w:eastAsia="Times New Roman" w:hAnsi="Times New Roman"/>
          <w:b w:val="1"/>
          <w:bCs w:val="1"/>
        </w:rPr>
      </w:pPr>
      <w:bookmarkStart w:colFirst="0" w:colLast="0" w:name="_7m9q0jbqguw1" w:id="9"/>
      <w:bookmarkEnd w:id="9"/>
      <w:r w:rsidDel="00000000" w:rsidR="00000000" w:rsidRPr="00000000">
        <w:rPr>
          <w:rFonts w:ascii="Times New Roman" w:cs="Times New Roman" w:eastAsia="Times New Roman" w:hAnsi="Times New Roman"/>
          <w:b w:val="1"/>
          <w:bCs w:val="1"/>
          <w:rtl w:val="0"/>
        </w:rPr>
        <w:t xml:space="preserve">4. Final Sprint Roadmap</w:t>
      </w:r>
    </w:p>
    <w:p w:rsidR="00000000" w:rsidDel="00000000" w:rsidP="00000000" w:rsidRDefault="00000000" w:rsidRPr="00000000" w14:paraId="0000002E">
      <w:pPr>
        <w:spacing w:after="140" w:line="301.0909090909090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w:t>
      </w:r>
      <w:r w:rsidDel="00000000" w:rsidR="00000000" w:rsidRPr="00000000">
        <w:rPr>
          <w:rFonts w:ascii="Times New Roman" w:cs="Times New Roman" w:eastAsia="Times New Roman" w:hAnsi="Times New Roman"/>
          <w:rtl w:val="0"/>
        </w:rPr>
        <w:t xml:space="preserve">e will finalise the pipeline, evidence tables and dashboard, including a same-polymer SMILES invariance demonstration. We are testing a pure-ML alternative (current grouped-CV mean R² </w:t>
      </w:r>
      <w:r w:rsidDel="00000000" w:rsidR="00000000" w:rsidRPr="00000000">
        <w:rPr>
          <w:rFonts w:ascii="Times New Roman" w:cs="Times New Roman" w:eastAsia="Times New Roman" w:hAnsi="Times New Roman"/>
          <w:b w:val="1"/>
          <w:bCs w:val="1"/>
          <w:rtl w:val="0"/>
        </w:rPr>
        <w:t xml:space="preserve">0.816344</w:t>
      </w:r>
      <w:r w:rsidDel="00000000" w:rsidR="00000000" w:rsidRPr="00000000">
        <w:rPr>
          <w:rFonts w:ascii="Times New Roman" w:cs="Times New Roman" w:eastAsia="Times New Roman" w:hAnsi="Times New Roman"/>
          <w:rtl w:val="0"/>
        </w:rPr>
        <w:t xml:space="preserve">), grouping explanations into chemical concepts, and assessing a small literature-based polymer panel. For electronic candidates, explanations highlight conjugation, aromaticity and band-edge motifs; for optical candidates, they separate refractive-index and polar/ionic contributions. The final deliverable is a trained prediction pipeline with an interactive dashboard for structure, prediction, explanation and applicability.</w:t>
      </w:r>
      <w:r w:rsidDel="00000000" w:rsidR="00000000" w:rsidRPr="00000000">
        <w:br w:type="page"/>
      </w:r>
      <w:r w:rsidDel="00000000" w:rsidR="00000000" w:rsidRPr="00000000">
        <w:rPr>
          <w:rtl w:val="0"/>
        </w:rPr>
      </w:r>
    </w:p>
    <w:p w:rsidR="00000000" w:rsidDel="00000000" w:rsidP="00000000" w:rsidRDefault="00000000" w:rsidRPr="00000000" w14:paraId="0000002F">
      <w:pPr>
        <w:spacing w:after="140" w:line="301.09090909090907"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030">
      <w:pPr>
        <w:spacing w:after="140" w:line="301.09090909090907" w:lineRule="auto"/>
        <w:rPr>
          <w:rFonts w:ascii="Times New Roman" w:cs="Times New Roman" w:eastAsia="Times New Roman" w:hAnsi="Times New Roman"/>
          <w:color w:val="551a8b"/>
          <w:u w:val="single"/>
        </w:rPr>
      </w:pPr>
      <w:r w:rsidDel="00000000" w:rsidR="00000000" w:rsidRPr="00000000">
        <w:rPr>
          <w:rFonts w:ascii="Times New Roman" w:cs="Times New Roman" w:eastAsia="Times New Roman" w:hAnsi="Times New Roman"/>
          <w:rtl w:val="0"/>
        </w:rPr>
        <w:t xml:space="preserve">1.   Kuenneth, C.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Polymer informatics with multi-task learning. </w:t>
      </w:r>
      <w:r w:rsidDel="00000000" w:rsidR="00000000" w:rsidRPr="00000000">
        <w:rPr>
          <w:rFonts w:ascii="Times New Roman" w:cs="Times New Roman" w:eastAsia="Times New Roman" w:hAnsi="Times New Roman"/>
          <w:i w:val="1"/>
          <w:iCs w:val="1"/>
          <w:rtl w:val="0"/>
        </w:rPr>
        <w:t xml:space="preserve">Patterns</w:t>
      </w:r>
      <w:r w:rsidDel="00000000" w:rsidR="00000000" w:rsidRPr="00000000">
        <w:rPr>
          <w:rFonts w:ascii="Times New Roman" w:cs="Times New Roman" w:eastAsia="Times New Roman" w:hAnsi="Times New Roman"/>
          <w:rtl w:val="0"/>
        </w:rPr>
        <w:t xml:space="preserve"> (2021).</w:t>
      </w:r>
      <w:hyperlink r:id="rId9">
        <w:r w:rsidDel="00000000" w:rsidR="00000000" w:rsidRPr="00000000">
          <w:rPr>
            <w:rFonts w:ascii="Times New Roman" w:cs="Times New Roman" w:eastAsia="Times New Roman" w:hAnsi="Times New Roman"/>
            <w:color w:val="551a8b"/>
            <w:u w:val="single"/>
            <w:rtl w:val="0"/>
          </w:rPr>
          <w:t xml:space="preserve">https://doi.org/10.1016/j.patter.2021.100238</w:t>
        </w:r>
      </w:hyperlink>
      <w:r w:rsidDel="00000000" w:rsidR="00000000" w:rsidRPr="00000000">
        <w:rPr>
          <w:rtl w:val="0"/>
        </w:rPr>
      </w:r>
    </w:p>
    <w:p w:rsidR="00000000" w:rsidDel="00000000" w:rsidP="00000000" w:rsidRDefault="00000000" w:rsidRPr="00000000" w14:paraId="00000031">
      <w:pPr>
        <w:spacing w:after="140" w:line="301.09090909090907" w:lineRule="auto"/>
        <w:rPr>
          <w:rFonts w:ascii="Times New Roman" w:cs="Times New Roman" w:eastAsia="Times New Roman" w:hAnsi="Times New Roman"/>
          <w:color w:val="551a8b"/>
          <w:u w:val="single"/>
        </w:rPr>
      </w:pPr>
      <w:r w:rsidDel="00000000" w:rsidR="00000000" w:rsidRPr="00000000">
        <w:rPr>
          <w:rFonts w:ascii="Times New Roman" w:cs="Times New Roman" w:eastAsia="Times New Roman" w:hAnsi="Times New Roman"/>
          <w:rtl w:val="0"/>
        </w:rPr>
        <w:t xml:space="preserve">2.   Kim, C.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Polymer Genome: a data-powered polymer informatics platform. </w:t>
      </w:r>
      <w:r w:rsidDel="00000000" w:rsidR="00000000" w:rsidRPr="00000000">
        <w:rPr>
          <w:rFonts w:ascii="Times New Roman" w:cs="Times New Roman" w:eastAsia="Times New Roman" w:hAnsi="Times New Roman"/>
          <w:i w:val="1"/>
          <w:iCs w:val="1"/>
          <w:rtl w:val="0"/>
        </w:rPr>
        <w:t xml:space="preserve">Journal of Physical Chemistry C</w:t>
      </w:r>
      <w:r w:rsidDel="00000000" w:rsidR="00000000" w:rsidRPr="00000000">
        <w:rPr>
          <w:rFonts w:ascii="Times New Roman" w:cs="Times New Roman" w:eastAsia="Times New Roman" w:hAnsi="Times New Roman"/>
          <w:rtl w:val="0"/>
        </w:rPr>
        <w:t xml:space="preserve">(2018). </w:t>
      </w:r>
      <w:hyperlink r:id="rId10">
        <w:r w:rsidDel="00000000" w:rsidR="00000000" w:rsidRPr="00000000">
          <w:rPr>
            <w:rFonts w:ascii="Times New Roman" w:cs="Times New Roman" w:eastAsia="Times New Roman" w:hAnsi="Times New Roman"/>
            <w:color w:val="551a8b"/>
            <w:u w:val="single"/>
            <w:rtl w:val="0"/>
          </w:rPr>
          <w:t xml:space="preserve">https://doi.org/10.1021/acs.jpcc.8b02913</w:t>
        </w:r>
      </w:hyperlink>
      <w:r w:rsidDel="00000000" w:rsidR="00000000" w:rsidRPr="00000000">
        <w:rPr>
          <w:rtl w:val="0"/>
        </w:rPr>
      </w:r>
    </w:p>
    <w:p w:rsidR="00000000" w:rsidDel="00000000" w:rsidP="00000000" w:rsidRDefault="00000000" w:rsidRPr="00000000" w14:paraId="00000032">
      <w:pPr>
        <w:spacing w:after="140" w:line="301.09090909090907" w:lineRule="auto"/>
        <w:rPr>
          <w:rFonts w:ascii="Times New Roman" w:cs="Times New Roman" w:eastAsia="Times New Roman" w:hAnsi="Times New Roman"/>
          <w:color w:val="551a8b"/>
          <w:u w:val="single"/>
        </w:rPr>
      </w:pPr>
      <w:r w:rsidDel="00000000" w:rsidR="00000000" w:rsidRPr="00000000">
        <w:rPr>
          <w:rFonts w:ascii="Times New Roman" w:cs="Times New Roman" w:eastAsia="Times New Roman" w:hAnsi="Times New Roman"/>
          <w:rtl w:val="0"/>
        </w:rPr>
        <w:t xml:space="preserve">3.   Ma, R. &amp; Luo, Y. PI1M: a benchmark database for polymer informatics. </w:t>
      </w:r>
      <w:r w:rsidDel="00000000" w:rsidR="00000000" w:rsidRPr="00000000">
        <w:rPr>
          <w:rFonts w:ascii="Times New Roman" w:cs="Times New Roman" w:eastAsia="Times New Roman" w:hAnsi="Times New Roman"/>
          <w:i w:val="1"/>
          <w:iCs w:val="1"/>
          <w:rtl w:val="0"/>
        </w:rPr>
        <w:t xml:space="preserve">Journal of Chemical Information and Modeling</w:t>
      </w:r>
      <w:r w:rsidDel="00000000" w:rsidR="00000000" w:rsidRPr="00000000">
        <w:rPr>
          <w:rFonts w:ascii="Times New Roman" w:cs="Times New Roman" w:eastAsia="Times New Roman" w:hAnsi="Times New Roman"/>
          <w:rtl w:val="0"/>
        </w:rPr>
        <w:t xml:space="preserve"> (2020). </w:t>
      </w:r>
      <w:hyperlink r:id="rId11">
        <w:r w:rsidDel="00000000" w:rsidR="00000000" w:rsidRPr="00000000">
          <w:rPr>
            <w:rFonts w:ascii="Times New Roman" w:cs="Times New Roman" w:eastAsia="Times New Roman" w:hAnsi="Times New Roman"/>
            <w:color w:val="551a8b"/>
            <w:u w:val="single"/>
            <w:rtl w:val="0"/>
          </w:rPr>
          <w:t xml:space="preserve">https://doi.org/10.1021/acs.jcim.0c00726</w:t>
        </w:r>
      </w:hyperlink>
      <w:r w:rsidDel="00000000" w:rsidR="00000000" w:rsidRPr="00000000">
        <w:rPr>
          <w:rtl w:val="0"/>
        </w:rPr>
      </w:r>
    </w:p>
    <w:p w:rsidR="00000000" w:rsidDel="00000000" w:rsidP="00000000" w:rsidRDefault="00000000" w:rsidRPr="00000000" w14:paraId="00000033">
      <w:pPr>
        <w:spacing w:after="140" w:line="301.09090909090907" w:lineRule="auto"/>
        <w:rPr>
          <w:rFonts w:ascii="Times New Roman" w:cs="Times New Roman" w:eastAsia="Times New Roman" w:hAnsi="Times New Roman"/>
          <w:color w:val="551a8b"/>
          <w:u w:val="single"/>
        </w:rPr>
      </w:pPr>
      <w:r w:rsidDel="00000000" w:rsidR="00000000" w:rsidRPr="00000000">
        <w:rPr>
          <w:rFonts w:ascii="Times New Roman" w:cs="Times New Roman" w:eastAsia="Times New Roman" w:hAnsi="Times New Roman"/>
          <w:rtl w:val="0"/>
        </w:rPr>
        <w:t xml:space="preserve">4.   Landrum, G. RDKit: Open-source cheminformatics. </w:t>
      </w:r>
      <w:hyperlink r:id="rId12">
        <w:r w:rsidDel="00000000" w:rsidR="00000000" w:rsidRPr="00000000">
          <w:rPr>
            <w:rFonts w:ascii="Times New Roman" w:cs="Times New Roman" w:eastAsia="Times New Roman" w:hAnsi="Times New Roman"/>
            <w:color w:val="551a8b"/>
            <w:u w:val="single"/>
            <w:rtl w:val="0"/>
          </w:rPr>
          <w:t xml:space="preserve">https://www.rdkit.org</w:t>
        </w:r>
      </w:hyperlink>
      <w:r w:rsidDel="00000000" w:rsidR="00000000" w:rsidRPr="00000000">
        <w:rPr>
          <w:rtl w:val="0"/>
        </w:rPr>
      </w:r>
    </w:p>
    <w:p w:rsidR="00000000" w:rsidDel="00000000" w:rsidP="00000000" w:rsidRDefault="00000000" w:rsidRPr="00000000" w14:paraId="00000034">
      <w:pPr>
        <w:spacing w:after="140" w:line="301.09090909090907" w:lineRule="auto"/>
        <w:rPr>
          <w:rFonts w:ascii="Times New Roman" w:cs="Times New Roman" w:eastAsia="Times New Roman" w:hAnsi="Times New Roman"/>
          <w:color w:val="551a8b"/>
          <w:u w:val="single"/>
        </w:rPr>
      </w:pPr>
      <w:r w:rsidDel="00000000" w:rsidR="00000000" w:rsidRPr="00000000">
        <w:rPr>
          <w:rFonts w:ascii="Times New Roman" w:cs="Times New Roman" w:eastAsia="Times New Roman" w:hAnsi="Times New Roman"/>
          <w:rtl w:val="0"/>
        </w:rPr>
        <w:t xml:space="preserve">5.   Rogers, D. &amp; Hahn, M. Extended-connectivity fingerprints. </w:t>
      </w:r>
      <w:r w:rsidDel="00000000" w:rsidR="00000000" w:rsidRPr="00000000">
        <w:rPr>
          <w:rFonts w:ascii="Times New Roman" w:cs="Times New Roman" w:eastAsia="Times New Roman" w:hAnsi="Times New Roman"/>
          <w:i w:val="1"/>
          <w:iCs w:val="1"/>
          <w:rtl w:val="0"/>
        </w:rPr>
        <w:t xml:space="preserve">Journal of Chemical Information and Modeling</w:t>
      </w:r>
      <w:r w:rsidDel="00000000" w:rsidR="00000000" w:rsidRPr="00000000">
        <w:rPr>
          <w:rFonts w:ascii="Times New Roman" w:cs="Times New Roman" w:eastAsia="Times New Roman" w:hAnsi="Times New Roman"/>
          <w:rtl w:val="0"/>
        </w:rPr>
        <w:t xml:space="preserve">(2010). </w:t>
      </w:r>
      <w:hyperlink r:id="rId13">
        <w:r w:rsidDel="00000000" w:rsidR="00000000" w:rsidRPr="00000000">
          <w:rPr>
            <w:rFonts w:ascii="Times New Roman" w:cs="Times New Roman" w:eastAsia="Times New Roman" w:hAnsi="Times New Roman"/>
            <w:color w:val="551a8b"/>
            <w:u w:val="single"/>
            <w:rtl w:val="0"/>
          </w:rPr>
          <w:t xml:space="preserve">https://doi.org/10.1021/ci100050t</w:t>
        </w:r>
      </w:hyperlink>
      <w:r w:rsidDel="00000000" w:rsidR="00000000" w:rsidRPr="00000000">
        <w:rPr>
          <w:rtl w:val="0"/>
        </w:rPr>
      </w:r>
    </w:p>
    <w:p w:rsidR="00000000" w:rsidDel="00000000" w:rsidP="00000000" w:rsidRDefault="00000000" w:rsidRPr="00000000" w14:paraId="00000035">
      <w:pPr>
        <w:spacing w:after="140" w:line="301.09090909090907" w:lineRule="auto"/>
        <w:rPr>
          <w:rFonts w:ascii="Times New Roman" w:cs="Times New Roman" w:eastAsia="Times New Roman" w:hAnsi="Times New Roman"/>
          <w:color w:val="551a8b"/>
          <w:u w:val="single"/>
        </w:rPr>
      </w:pPr>
      <w:r w:rsidDel="00000000" w:rsidR="00000000" w:rsidRPr="00000000">
        <w:rPr>
          <w:rFonts w:ascii="Times New Roman" w:cs="Times New Roman" w:eastAsia="Times New Roman" w:hAnsi="Times New Roman"/>
          <w:rtl w:val="0"/>
        </w:rPr>
        <w:t xml:space="preserve">6.   Moss, T. S. Relation between the refractive index and the energy gap of semiconductors. </w:t>
      </w:r>
      <w:r w:rsidDel="00000000" w:rsidR="00000000" w:rsidRPr="00000000">
        <w:rPr>
          <w:rFonts w:ascii="Times New Roman" w:cs="Times New Roman" w:eastAsia="Times New Roman" w:hAnsi="Times New Roman"/>
          <w:i w:val="1"/>
          <w:iCs w:val="1"/>
          <w:rtl w:val="0"/>
        </w:rPr>
        <w:t xml:space="preserve">physica status solidi (b)</w:t>
      </w:r>
      <w:r w:rsidDel="00000000" w:rsidR="00000000" w:rsidRPr="00000000">
        <w:rPr>
          <w:rFonts w:ascii="Times New Roman" w:cs="Times New Roman" w:eastAsia="Times New Roman" w:hAnsi="Times New Roman"/>
          <w:rtl w:val="0"/>
        </w:rPr>
        <w:t xml:space="preserve">(1985). </w:t>
      </w:r>
      <w:hyperlink r:id="rId14">
        <w:r w:rsidDel="00000000" w:rsidR="00000000" w:rsidRPr="00000000">
          <w:rPr>
            <w:rFonts w:ascii="Times New Roman" w:cs="Times New Roman" w:eastAsia="Times New Roman" w:hAnsi="Times New Roman"/>
            <w:color w:val="551a8b"/>
            <w:u w:val="single"/>
            <w:rtl w:val="0"/>
          </w:rPr>
          <w:t xml:space="preserve">https://doi.org/10.1002/pssb.2221310202</w:t>
        </w:r>
      </w:hyperlink>
      <w:r w:rsidDel="00000000" w:rsidR="00000000" w:rsidRPr="00000000">
        <w:rPr>
          <w:rtl w:val="0"/>
        </w:rPr>
      </w:r>
    </w:p>
    <w:p w:rsidR="00000000" w:rsidDel="00000000" w:rsidP="00000000" w:rsidRDefault="00000000" w:rsidRPr="00000000" w14:paraId="00000036">
      <w:pPr>
        <w:spacing w:after="140" w:line="301.09090909090907" w:lineRule="auto"/>
        <w:rPr>
          <w:rFonts w:ascii="Times New Roman" w:cs="Times New Roman" w:eastAsia="Times New Roman" w:hAnsi="Times New Roman"/>
          <w:color w:val="551a8b"/>
          <w:u w:val="single"/>
        </w:rPr>
      </w:pPr>
      <w:r w:rsidDel="00000000" w:rsidR="00000000" w:rsidRPr="00000000">
        <w:rPr>
          <w:rFonts w:ascii="Times New Roman" w:cs="Times New Roman" w:eastAsia="Times New Roman" w:hAnsi="Times New Roman"/>
          <w:rtl w:val="0"/>
        </w:rPr>
        <w:t xml:space="preserve">7. Ravindra, N. M. &amp; Srivastava, V. K. </w:t>
      </w:r>
      <w:r w:rsidDel="00000000" w:rsidR="00000000" w:rsidRPr="00000000">
        <w:rPr>
          <w:rFonts w:ascii="Times New Roman" w:cs="Times New Roman" w:eastAsia="Times New Roman" w:hAnsi="Times New Roman"/>
          <w:i w:val="1"/>
          <w:iCs w:val="1"/>
          <w:rtl w:val="0"/>
        </w:rPr>
        <w:t xml:space="preserve">Variation of refractive index with energy gap in semiconductors.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Infrared Physics</w:t>
      </w:r>
      <w:r w:rsidDel="00000000" w:rsidR="00000000" w:rsidRPr="00000000">
        <w:rPr>
          <w:rFonts w:ascii="Times New Roman" w:cs="Times New Roman" w:eastAsia="Times New Roman" w:hAnsi="Times New Roman"/>
          <w:rtl w:val="0"/>
        </w:rPr>
        <w:t xml:space="preserve">19(5), 603–604 (1979). </w:t>
      </w:r>
      <w:hyperlink r:id="rId15">
        <w:r w:rsidDel="00000000" w:rsidR="00000000" w:rsidRPr="00000000">
          <w:rPr>
            <w:rFonts w:ascii="Times New Roman" w:cs="Times New Roman" w:eastAsia="Times New Roman" w:hAnsi="Times New Roman"/>
            <w:color w:val="1155cc"/>
            <w:u w:val="single"/>
            <w:rtl w:val="0"/>
          </w:rPr>
          <w:t xml:space="preserve">https://doi.org/10.1016/0020-0891(79)90081-2</w:t>
        </w:r>
      </w:hyperlink>
      <w:r w:rsidDel="00000000" w:rsidR="00000000" w:rsidRPr="00000000">
        <w:rPr>
          <w:rtl w:val="0"/>
        </w:rPr>
      </w:r>
    </w:p>
    <w:p w:rsidR="00000000" w:rsidDel="00000000" w:rsidP="00000000" w:rsidRDefault="00000000" w:rsidRPr="00000000" w14:paraId="00000037">
      <w:pPr>
        <w:spacing w:after="140" w:line="301.09090909090907" w:lineRule="auto"/>
        <w:rPr>
          <w:rFonts w:ascii="Times New Roman" w:cs="Times New Roman" w:eastAsia="Times New Roman" w:hAnsi="Times New Roman"/>
          <w:color w:val="551a8b"/>
          <w:u w:val="single"/>
        </w:rPr>
      </w:pPr>
      <w:r w:rsidDel="00000000" w:rsidR="00000000" w:rsidRPr="00000000">
        <w:rPr>
          <w:rFonts w:ascii="Times New Roman" w:cs="Times New Roman" w:eastAsia="Times New Roman" w:hAnsi="Times New Roman"/>
          <w:rtl w:val="0"/>
        </w:rPr>
        <w:t xml:space="preserve">8.   Bjerrum, E. J. SMILES enumeration as data augmentation for neural network modelling of molecules (2017). </w:t>
      </w:r>
      <w:hyperlink r:id="rId16">
        <w:r w:rsidDel="00000000" w:rsidR="00000000" w:rsidRPr="00000000">
          <w:rPr>
            <w:rFonts w:ascii="Times New Roman" w:cs="Times New Roman" w:eastAsia="Times New Roman" w:hAnsi="Times New Roman"/>
            <w:color w:val="551a8b"/>
            <w:u w:val="single"/>
            <w:rtl w:val="0"/>
          </w:rPr>
          <w:t xml:space="preserve">https://arxiv.org/abs/1703.07076</w:t>
        </w:r>
      </w:hyperlink>
      <w:r w:rsidDel="00000000" w:rsidR="00000000" w:rsidRPr="00000000">
        <w:rPr>
          <w:rtl w:val="0"/>
        </w:rPr>
      </w:r>
    </w:p>
    <w:p w:rsidR="00000000" w:rsidDel="00000000" w:rsidP="00000000" w:rsidRDefault="00000000" w:rsidRPr="00000000" w14:paraId="00000038">
      <w:pPr>
        <w:spacing w:after="140" w:line="301.09090909090907" w:lineRule="auto"/>
        <w:rPr>
          <w:rFonts w:ascii="Times New Roman" w:cs="Times New Roman" w:eastAsia="Times New Roman" w:hAnsi="Times New Roman"/>
          <w:color w:val="551a8b"/>
          <w:u w:val="single"/>
        </w:rPr>
      </w:pPr>
      <w:r w:rsidDel="00000000" w:rsidR="00000000" w:rsidRPr="00000000">
        <w:rPr>
          <w:rFonts w:ascii="Times New Roman" w:cs="Times New Roman" w:eastAsia="Times New Roman" w:hAnsi="Times New Roman"/>
          <w:rtl w:val="0"/>
        </w:rPr>
        <w:t xml:space="preserve">9.   Lundberg et al., </w:t>
      </w:r>
      <w:r w:rsidDel="00000000" w:rsidR="00000000" w:rsidRPr="00000000">
        <w:rPr>
          <w:rFonts w:ascii="Times New Roman" w:cs="Times New Roman" w:eastAsia="Times New Roman" w:hAnsi="Times New Roman"/>
          <w:i w:val="1"/>
          <w:iCs w:val="1"/>
          <w:rtl w:val="0"/>
        </w:rPr>
        <w:t xml:space="preserve">From local explanations to global understanding with explainable AI for trees</w:t>
      </w:r>
      <w:r w:rsidDel="00000000" w:rsidR="00000000" w:rsidRPr="00000000">
        <w:rPr>
          <w:rFonts w:ascii="Times New Roman" w:cs="Times New Roman" w:eastAsia="Times New Roman" w:hAnsi="Times New Roman"/>
          <w:rtl w:val="0"/>
        </w:rPr>
        <w:t xml:space="preserve">, Nature Machine Intelligence, 2020, DOI 10.1038/s42256-019-0138-9.</w:t>
      </w:r>
      <w:r w:rsidDel="00000000" w:rsidR="00000000" w:rsidRPr="00000000">
        <w:rPr>
          <w:rtl w:val="0"/>
        </w:rPr>
      </w:r>
    </w:p>
    <w:p w:rsidR="00000000" w:rsidDel="00000000" w:rsidP="00000000" w:rsidRDefault="00000000" w:rsidRPr="00000000" w14:paraId="00000039">
      <w:pPr>
        <w:spacing w:after="140" w:line="301.09090909090907" w:lineRule="auto"/>
        <w:rPr>
          <w:rFonts w:ascii="Times New Roman" w:cs="Times New Roman" w:eastAsia="Times New Roman" w:hAnsi="Times New Roman"/>
          <w:color w:val="551a8b"/>
          <w:u w:val="single"/>
        </w:rPr>
      </w:pPr>
      <w:r w:rsidDel="00000000" w:rsidR="00000000" w:rsidRPr="00000000">
        <w:rPr>
          <w:rFonts w:ascii="Times New Roman" w:cs="Times New Roman" w:eastAsia="Times New Roman" w:hAnsi="Times New Roman"/>
          <w:rtl w:val="0"/>
        </w:rPr>
        <w:t xml:space="preserve">10.                  Hooker, S.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A benchmark for interpretability methods in deep neural networks. </w:t>
      </w:r>
      <w:r w:rsidDel="00000000" w:rsidR="00000000" w:rsidRPr="00000000">
        <w:rPr>
          <w:rFonts w:ascii="Times New Roman" w:cs="Times New Roman" w:eastAsia="Times New Roman" w:hAnsi="Times New Roman"/>
          <w:i w:val="1"/>
          <w:iCs w:val="1"/>
          <w:rtl w:val="0"/>
        </w:rPr>
        <w:t xml:space="preserve">NeurIPS</w:t>
      </w:r>
      <w:r w:rsidDel="00000000" w:rsidR="00000000" w:rsidRPr="00000000">
        <w:rPr>
          <w:rFonts w:ascii="Times New Roman" w:cs="Times New Roman" w:eastAsia="Times New Roman" w:hAnsi="Times New Roman"/>
          <w:rtl w:val="0"/>
        </w:rPr>
        <w:t xml:space="preserve"> (2019). </w:t>
      </w:r>
      <w:hyperlink r:id="rId17">
        <w:r w:rsidDel="00000000" w:rsidR="00000000" w:rsidRPr="00000000">
          <w:rPr>
            <w:rFonts w:ascii="Times New Roman" w:cs="Times New Roman" w:eastAsia="Times New Roman" w:hAnsi="Times New Roman"/>
            <w:color w:val="551a8b"/>
            <w:u w:val="single"/>
            <w:rtl w:val="0"/>
          </w:rPr>
          <w:t xml:space="preserve">https://arxiv.org/abs/1806.10758</w:t>
        </w:r>
      </w:hyperlink>
      <w:r w:rsidDel="00000000" w:rsidR="00000000" w:rsidRPr="00000000">
        <w:rPr>
          <w:rtl w:val="0"/>
        </w:rPr>
      </w:r>
    </w:p>
    <w:p w:rsidR="00000000" w:rsidDel="00000000" w:rsidP="00000000" w:rsidRDefault="00000000" w:rsidRPr="00000000" w14:paraId="0000003A">
      <w:pPr>
        <w:spacing w:after="140" w:line="301.09090909090907" w:lineRule="auto"/>
        <w:rPr>
          <w:rFonts w:ascii="Times New Roman" w:cs="Times New Roman" w:eastAsia="Times New Roman" w:hAnsi="Times New Roman"/>
          <w:color w:val="551a8b"/>
          <w:u w:val="single"/>
        </w:rPr>
      </w:pPr>
      <w:r w:rsidDel="00000000" w:rsidR="00000000" w:rsidRPr="00000000">
        <w:rPr>
          <w:rFonts w:ascii="Times New Roman" w:cs="Times New Roman" w:eastAsia="Times New Roman" w:hAnsi="Times New Roman"/>
          <w:rtl w:val="0"/>
        </w:rPr>
        <w:t xml:space="preserve">11.                  Bemis, G. W. &amp; Murcko, M. A. The properties of known drugs. 1. Molecular frameworks. </w:t>
      </w:r>
      <w:r w:rsidDel="00000000" w:rsidR="00000000" w:rsidRPr="00000000">
        <w:rPr>
          <w:rFonts w:ascii="Times New Roman" w:cs="Times New Roman" w:eastAsia="Times New Roman" w:hAnsi="Times New Roman"/>
          <w:i w:val="1"/>
          <w:iCs w:val="1"/>
          <w:rtl w:val="0"/>
        </w:rPr>
        <w:t xml:space="preserve">Journal of Medicinal Chemistry</w:t>
      </w:r>
      <w:r w:rsidDel="00000000" w:rsidR="00000000" w:rsidRPr="00000000">
        <w:rPr>
          <w:rFonts w:ascii="Times New Roman" w:cs="Times New Roman" w:eastAsia="Times New Roman" w:hAnsi="Times New Roman"/>
          <w:rtl w:val="0"/>
        </w:rPr>
        <w:t xml:space="preserve"> (1996). </w:t>
      </w:r>
      <w:hyperlink r:id="rId18">
        <w:r w:rsidDel="00000000" w:rsidR="00000000" w:rsidRPr="00000000">
          <w:rPr>
            <w:rFonts w:ascii="Times New Roman" w:cs="Times New Roman" w:eastAsia="Times New Roman" w:hAnsi="Times New Roman"/>
            <w:color w:val="551a8b"/>
            <w:u w:val="single"/>
            <w:rtl w:val="0"/>
          </w:rPr>
          <w:t xml:space="preserve">https://doi.org/10.1021/jm9602928</w:t>
        </w:r>
      </w:hyperlink>
      <w:r w:rsidDel="00000000" w:rsidR="00000000" w:rsidRPr="00000000">
        <w:rPr>
          <w:rtl w:val="0"/>
        </w:rPr>
      </w:r>
    </w:p>
    <w:p w:rsidR="00000000" w:rsidDel="00000000" w:rsidP="00000000" w:rsidRDefault="00000000" w:rsidRPr="00000000" w14:paraId="0000003B">
      <w:pPr>
        <w:spacing w:after="140" w:line="301.09090909090907"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12.                  OECD. </w:t>
      </w:r>
      <w:r w:rsidDel="00000000" w:rsidR="00000000" w:rsidRPr="00000000">
        <w:rPr>
          <w:rFonts w:ascii="Times New Roman" w:cs="Times New Roman" w:eastAsia="Times New Roman" w:hAnsi="Times New Roman"/>
          <w:i w:val="1"/>
          <w:iCs w:val="1"/>
          <w:rtl w:val="0"/>
        </w:rPr>
        <w:t xml:space="preserve">Guidance Document on the Validation of (Q)SAR Models</w:t>
      </w:r>
      <w:r w:rsidDel="00000000" w:rsidR="00000000" w:rsidRPr="00000000">
        <w:rPr>
          <w:rFonts w:ascii="Times New Roman" w:cs="Times New Roman" w:eastAsia="Times New Roman" w:hAnsi="Times New Roman"/>
          <w:rtl w:val="0"/>
        </w:rPr>
        <w:t xml:space="preserve"> (2007). </w:t>
      </w:r>
      <w:hyperlink r:id="rId19">
        <w:r w:rsidDel="00000000" w:rsidR="00000000" w:rsidRPr="00000000">
          <w:rPr>
            <w:rFonts w:ascii="Times New Roman" w:cs="Times New Roman" w:eastAsia="Times New Roman" w:hAnsi="Times New Roman"/>
            <w:color w:val="551a8b"/>
            <w:u w:val="single"/>
            <w:rtl w:val="0"/>
          </w:rPr>
          <w:t xml:space="preserve">https://www.oecd.org/env/guidance-document-on-the-validation-of-quantitative-structure-activity-relationship-q-sar-models-9789264085442-en.htm</w:t>
        </w:r>
      </w:hyperlink>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bCs w:val="1"/>
        </w:rPr>
      </w:pPr>
      <w:bookmarkStart w:colFirst="0" w:colLast="0" w:name="_dwjzqqo16k9q" w:id="10"/>
      <w:bookmarkEnd w:id="10"/>
      <w:r w:rsidDel="00000000" w:rsidR="00000000" w:rsidRPr="00000000">
        <w:rPr>
          <w:rFonts w:ascii="Times New Roman" w:cs="Times New Roman" w:eastAsia="Times New Roman" w:hAnsi="Times New Roman"/>
          <w:b w:val="1"/>
          <w:bCs w:val="1"/>
          <w:rtl w:val="0"/>
        </w:rPr>
        <w:t xml:space="preserve">Appendix A — experiment register</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85"/>
        <w:gridCol w:w="2910"/>
        <w:tblGridChange w:id="0">
          <w:tblGrid>
            <w:gridCol w:w="2970"/>
            <w:gridCol w:w="2985"/>
            <w:gridCol w:w="2910"/>
          </w:tblGrid>
        </w:tblGridChange>
      </w:tblGrid>
      <w:tr>
        <w:trPr>
          <w:cantSplit w:val="0"/>
          <w:trHeight w:val="660" w:hRule="atLeast"/>
          <w:tblHeader w:val="0"/>
        </w:trPr>
        <w:tc>
          <w:tcPr>
            <w:tcBorders>
              <w:top w:color="000000" w:space="0" w:sz="8" w:val="single"/>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 family</w:t>
            </w:r>
          </w:p>
        </w:tc>
        <w:tc>
          <w:tcPr>
            <w:tcBorders>
              <w:top w:color="000000" w:space="0" w:sz="8" w:val="single"/>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Representative scored result</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Decision</w:t>
            </w:r>
          </w:p>
        </w:tc>
      </w:tr>
      <w:tr>
        <w:trPr>
          <w:cantSplit w:val="0"/>
          <w:trHeight w:val="660" w:hRule="atLeast"/>
          <w:tblHeader w:val="0"/>
        </w:trPr>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 physical routes</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Cardo" w:cs="Cardo" w:eastAsia="Cardo" w:hAnsi="Cardo"/>
                <w:rtl w:val="0"/>
              </w:rPr>
              <w:t xml:space="preserve">ε +0.0666; n +0.0434; Egb route 0.9205 → 0.9478</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retain the three supported routes</w:t>
            </w:r>
          </w:p>
        </w:tc>
      </w:tr>
      <w:tr>
        <w:trPr>
          <w:cantSplit w:val="0"/>
          <w:trHeight w:val="660" w:hRule="atLeast"/>
          <w:tblHeader w:val="0"/>
        </w:trPr>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 representations</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Cardo" w:cs="Cardo" w:eastAsia="Cardo" w:hAnsi="Cardo"/>
                <w:rtl w:val="0"/>
              </w:rPr>
              <w:t xml:space="preserve">atomic triples: Egb 0.9167 → 0.9259; n 0.8438 → 0.8519</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retain polymer-specific triples</w:t>
            </w:r>
          </w:p>
        </w:tc>
      </w:tr>
      <w:tr>
        <w:trPr>
          <w:cantSplit w:val="0"/>
          <w:trHeight w:val="660" w:hRule="atLeast"/>
          <w:tblHeader w:val="0"/>
        </w:trPr>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D3: label-free corpora</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PI1M SVD helped; all-target corpus SVD hurt</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retain the polymer-only prior</w:t>
            </w:r>
          </w:p>
        </w:tc>
      </w:tr>
      <w:tr>
        <w:trPr>
          <w:cantSplit w:val="0"/>
          <w:trHeight w:val="660" w:hRule="atLeast"/>
          <w:tblHeader w:val="0"/>
        </w:trPr>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D5: classical ML and kernels</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NNLS blend +0.02 to +0.05 over the best member</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model family to target size</w:t>
            </w:r>
          </w:p>
        </w:tc>
      </w:tr>
      <w:tr>
        <w:trPr>
          <w:cantSplit w:val="0"/>
          <w:trHeight w:val="660" w:hRule="atLeast"/>
          <w:tblHeader w:val="0"/>
        </w:trPr>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D6: cross-property learning</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 labels helped all five small DFT targets</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availability-guarded routes</w:t>
            </w:r>
          </w:p>
        </w:tc>
      </w:tr>
      <w:tr>
        <w:trPr>
          <w:cantSplit w:val="0"/>
          <w:trHeight w:val="930" w:hRule="atLeast"/>
          <w:tblHeader w:val="0"/>
        </w:trPr>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D8: calibration</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residual positive on five targets; isotonic calibration overfit</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only validation-supported adjustment</w:t>
            </w:r>
          </w:p>
        </w:tc>
      </w:tr>
    </w:tbl>
    <w:p w:rsidR="00000000" w:rsidDel="00000000" w:rsidP="00000000" w:rsidRDefault="00000000" w:rsidRPr="00000000" w14:paraId="00000052">
      <w:pPr>
        <w:spacing w:after="140" w:line="301.09090909090907" w:lineRule="auto"/>
        <w:rPr>
          <w:rFonts w:ascii="Times New Roman" w:cs="Times New Roman" w:eastAsia="Times New Roman" w:hAnsi="Times New Roman"/>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21/acs.jcim.0c00726" TargetMode="External"/><Relationship Id="rId10" Type="http://schemas.openxmlformats.org/officeDocument/2006/relationships/hyperlink" Target="https://doi.org/10.1021/acs.jpcc.8b02913" TargetMode="External"/><Relationship Id="rId13" Type="http://schemas.openxmlformats.org/officeDocument/2006/relationships/hyperlink" Target="https://doi.org/10.1021/ci100050t" TargetMode="External"/><Relationship Id="rId12" Type="http://schemas.openxmlformats.org/officeDocument/2006/relationships/hyperlink" Target="https://www.rdkit.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patter.2021.100238" TargetMode="External"/><Relationship Id="rId15" Type="http://schemas.openxmlformats.org/officeDocument/2006/relationships/hyperlink" Target="https://doi.org/10.1016/0020-0891(79)90081-2" TargetMode="External"/><Relationship Id="rId14" Type="http://schemas.openxmlformats.org/officeDocument/2006/relationships/hyperlink" Target="https://doi.org/10.1002/pssb.2221310202" TargetMode="External"/><Relationship Id="rId17" Type="http://schemas.openxmlformats.org/officeDocument/2006/relationships/hyperlink" Target="https://arxiv.org/abs/1806.10758" TargetMode="External"/><Relationship Id="rId16" Type="http://schemas.openxmlformats.org/officeDocument/2006/relationships/hyperlink" Target="https://arxiv.org/abs/1703.07076" TargetMode="External"/><Relationship Id="rId5" Type="http://schemas.openxmlformats.org/officeDocument/2006/relationships/styles" Target="styles.xml"/><Relationship Id="rId19" Type="http://schemas.openxmlformats.org/officeDocument/2006/relationships/hyperlink" Target="https://www.oecd.org/env/guidance-document-on-the-validation-of-quantitative-structure-activity-relationship-q-sar-models-9789264085442-en.htm" TargetMode="External"/><Relationship Id="rId6" Type="http://schemas.openxmlformats.org/officeDocument/2006/relationships/image" Target="media/image3.png"/><Relationship Id="rId18" Type="http://schemas.openxmlformats.org/officeDocument/2006/relationships/hyperlink" Target="https://doi.org/10.1021/jm9602928"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