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967E9A" w14:textId="5E0940E0" w:rsidR="004233BF" w:rsidRDefault="00000000" w:rsidP="00B815E2">
      <w:pPr>
        <w:spacing w:after="60"/>
        <w:jc w:val="center"/>
      </w:pPr>
      <w:r>
        <w:rPr>
          <w:b/>
          <w:bCs/>
          <w:sz w:val="28"/>
          <w:szCs w:val="28"/>
        </w:rPr>
        <w:t>Artificial Intelligence in Cancer Therapy: An Enhanced Machine Learning Framework for Personalized Lung Cancer Treatment Prediction</w:t>
      </w:r>
    </w:p>
    <w:p w14:paraId="3883C4B8" w14:textId="77777777" w:rsidR="004233BF" w:rsidRDefault="004233BF" w:rsidP="00B815E2">
      <w:pPr>
        <w:spacing w:after="40"/>
        <w:jc w:val="center"/>
      </w:pPr>
    </w:p>
    <w:p w14:paraId="321E9A77" w14:textId="77777777" w:rsidR="004233BF" w:rsidRDefault="00000000">
      <w:pPr>
        <w:spacing w:after="80"/>
        <w:jc w:val="center"/>
      </w:pPr>
      <w:r>
        <w:rPr>
          <w:b/>
          <w:bCs/>
        </w:rPr>
        <w:t>Vishwajeet Singh, Syed Faizan Pasha, Suvendu Mata</w:t>
      </w:r>
    </w:p>
    <w:p w14:paraId="5B1895FB" w14:textId="77777777" w:rsidR="004233BF" w:rsidRDefault="00000000">
      <w:pPr>
        <w:spacing w:after="80"/>
        <w:jc w:val="center"/>
      </w:pPr>
      <w:r>
        <w:rPr>
          <w:i/>
          <w:iCs/>
        </w:rPr>
        <w:t>School of CS &amp; IT, MCA, Jain (Deemed-to-be University), JGI Knowledge Campus, Jayanagar, Bangalore, Karnataka, India</w:t>
      </w:r>
    </w:p>
    <w:p w14:paraId="593E945A" w14:textId="54E69777" w:rsidR="004233BF" w:rsidRDefault="00000000">
      <w:pPr>
        <w:spacing w:after="80"/>
        <w:jc w:val="center"/>
      </w:pPr>
      <w:r w:rsidRPr="00B815E2">
        <w:rPr>
          <w:b/>
          <w:bCs/>
          <w:i/>
          <w:iCs/>
          <w:sz w:val="18"/>
          <w:szCs w:val="18"/>
        </w:rPr>
        <w:t>Mentor: Prof. Sindhu R Kashyap</w:t>
      </w:r>
      <w:r>
        <w:rPr>
          <w:i/>
          <w:iCs/>
          <w:sz w:val="18"/>
          <w:szCs w:val="18"/>
        </w:rPr>
        <w:t xml:space="preserve">  sindhur.rk@jainuniversity.ac.in</w:t>
      </w:r>
    </w:p>
    <w:p w14:paraId="50CE1630" w14:textId="77777777" w:rsidR="004233BF" w:rsidRDefault="004233BF">
      <w:pPr>
        <w:spacing w:after="80"/>
      </w:pPr>
    </w:p>
    <w:p w14:paraId="1C5C8748" w14:textId="77777777" w:rsidR="00AC7898" w:rsidRPr="00AC7898" w:rsidRDefault="00AC7898" w:rsidP="00AC7898">
      <w:pPr>
        <w:spacing w:before="160" w:after="80"/>
        <w:jc w:val="both"/>
        <w:rPr>
          <w:b/>
          <w:bCs/>
        </w:rPr>
      </w:pPr>
      <w:r w:rsidRPr="00AC7898">
        <w:rPr>
          <w:b/>
          <w:bCs/>
        </w:rPr>
        <w:t>Abstract</w:t>
      </w:r>
    </w:p>
    <w:p w14:paraId="4EAB06CA" w14:textId="77777777" w:rsidR="00AC7898" w:rsidRPr="00AC7898" w:rsidRDefault="00AC7898" w:rsidP="00AC7898">
      <w:pPr>
        <w:spacing w:before="160" w:after="80"/>
        <w:jc w:val="both"/>
      </w:pPr>
      <w:r w:rsidRPr="00AC7898">
        <w:t xml:space="preserve">Selecting the right cancer treatment remains one of the most daunting challenges in modern oncology. Because traditional treatment planning relies so heavily on individual physician experience, the process is often prone to human inconsistency, delays, and a "one-size-fits-all" approach that can miss the mark on personalized care. This study introduces OncoFusionNet-LC, an AI-driven framework designed to bridge this gap by streamlining therapy selection for lung cancer patients. Using the </w:t>
      </w:r>
      <w:r w:rsidRPr="00AC7898">
        <w:rPr>
          <w:i/>
          <w:iCs/>
        </w:rPr>
        <w:t>Large Synthetic Lung Cancer Dataset (Bangladesh Perspective)</w:t>
      </w:r>
      <w:r w:rsidRPr="00AC7898">
        <w:t>—a comprehensive collection of 5,000 records spanning 17 demographic, clinical, and environmental variables—we benchmarked several machine learning models, including Logistic Regression, Decision Trees, Random Forest, and SVMs. Our proposed system, OncoFusionNet-LC, emerged as the most effective, reaching an accuracy of 69.2% and an AUC of 0.73. While these results highlight the complexity of clinical data, they also prove that AI can serve as a robust second opinion, helping oncologists move toward more reliable, data-backed personalized medicine.</w:t>
      </w:r>
    </w:p>
    <w:p w14:paraId="572EB3D4" w14:textId="73458FD0" w:rsidR="00AC7898" w:rsidRDefault="00AC7898" w:rsidP="00AC7898">
      <w:pPr>
        <w:spacing w:before="160" w:after="80"/>
        <w:jc w:val="both"/>
      </w:pPr>
      <w:r w:rsidRPr="00AC7898">
        <w:t>Keywords: Artificial Intelligence; Lung Cancer; Therapy Selection; Machine Learning; OncoFusionNet-LC; Personalized Oncology; Clinical Decision Support.</w:t>
      </w:r>
    </w:p>
    <w:p w14:paraId="6020EB9F" w14:textId="77777777" w:rsidR="00AC7898" w:rsidRPr="00AC7898" w:rsidRDefault="00AC7898" w:rsidP="00AC7898">
      <w:pPr>
        <w:spacing w:before="160" w:after="80"/>
        <w:jc w:val="both"/>
      </w:pPr>
    </w:p>
    <w:p w14:paraId="459B3F05" w14:textId="77777777" w:rsidR="00D5550C" w:rsidRPr="00D5550C" w:rsidRDefault="00D5550C" w:rsidP="00D5550C">
      <w:pPr>
        <w:spacing w:after="80"/>
        <w:jc w:val="both"/>
        <w:rPr>
          <w:b/>
          <w:bCs/>
        </w:rPr>
      </w:pPr>
      <w:r w:rsidRPr="00D5550C">
        <w:rPr>
          <w:b/>
          <w:bCs/>
        </w:rPr>
        <w:t>I. INTRODUCTION</w:t>
      </w:r>
    </w:p>
    <w:p w14:paraId="6FCD7E27" w14:textId="77777777" w:rsidR="00D5550C" w:rsidRPr="00D5550C" w:rsidRDefault="00D5550C" w:rsidP="00D5550C">
      <w:pPr>
        <w:spacing w:after="80"/>
        <w:jc w:val="both"/>
      </w:pPr>
      <w:r w:rsidRPr="00D5550C">
        <w:t>Cancer continues to be a global health crisis, claiming roughly 10 million lives every single year. Among its many forms, lung cancer remains particularly devastating, often because it is diagnosed too late and the path to effective treatment is notoriously complex. For an oncologist, deciding between surgery, chemotherapy, targeted drugs, or immunotherapy isn't just a clinical choice—it’s a high-stakes puzzle that involves weighing histology, tumor size, disease stage, and even the patient's daily lifestyle.</w:t>
      </w:r>
    </w:p>
    <w:p w14:paraId="396D881E" w14:textId="77777777" w:rsidR="00D5550C" w:rsidRPr="00D5550C" w:rsidRDefault="00D5550C" w:rsidP="00D5550C">
      <w:pPr>
        <w:spacing w:after="80"/>
        <w:jc w:val="both"/>
      </w:pPr>
      <w:r w:rsidRPr="00D5550C">
        <w:t xml:space="preserve">Currently, the burden of these decisions falls almost entirely on a physician’s shoulders. This reliance on human expertise, while invaluable, can lead to inconsistent outcomes, particularly in medical </w:t>
      </w:r>
      <w:r w:rsidRPr="00D5550C">
        <w:t>environments where resources are stretched thin. Compounding this challenge is the sheer volume of "multi-omics" data now available. With genomics, proteomics, and advanced imaging biomarkers generating massive amounts of information, the data has simply outpaced our natural ability to process it. In many routine clinical settings, life-saving insights are likely buried under a mountain of digital records.</w:t>
      </w:r>
    </w:p>
    <w:p w14:paraId="3A0BBABE" w14:textId="77777777" w:rsidR="00D5550C" w:rsidRPr="00D5550C" w:rsidRDefault="00D5550C" w:rsidP="00D5550C">
      <w:pPr>
        <w:spacing w:after="80"/>
        <w:jc w:val="both"/>
      </w:pPr>
      <w:r w:rsidRPr="00D5550C">
        <w:t>This is where Artificial Intelligence (AI) and Machine Learning (ML) can fundamentally change the landscape. Rather than replacing the doctor, these tools excel at identifying subtle patterns within massive, high-dimensional datasets that a human eye might miss. By automating the heavy lifting of data analysis, AI-driven systems can provide oncologists with a faster, data-backed second opinion. In this paper, we explore a predictive framework that uses multiple supervised ML models to help determine the most effective, personalized treatment strategies for lung cancer patients.</w:t>
      </w:r>
    </w:p>
    <w:p w14:paraId="775C4524" w14:textId="77777777" w:rsidR="004233BF" w:rsidRDefault="004233BF">
      <w:pPr>
        <w:spacing w:after="80"/>
      </w:pPr>
    </w:p>
    <w:p w14:paraId="1892938C" w14:textId="77777777" w:rsidR="00B157D8" w:rsidRPr="00B157D8" w:rsidRDefault="00B157D8" w:rsidP="00B157D8">
      <w:pPr>
        <w:spacing w:before="160" w:after="80"/>
        <w:jc w:val="both"/>
        <w:rPr>
          <w:b/>
          <w:bCs/>
        </w:rPr>
      </w:pPr>
      <w:r w:rsidRPr="00B157D8">
        <w:rPr>
          <w:b/>
          <w:bCs/>
        </w:rPr>
        <w:t>II. MAIN CONTRIBUTIONS</w:t>
      </w:r>
    </w:p>
    <w:p w14:paraId="4A331290" w14:textId="77777777" w:rsidR="00B157D8" w:rsidRPr="00B157D8" w:rsidRDefault="00B157D8" w:rsidP="00B157D8">
      <w:pPr>
        <w:spacing w:after="80"/>
        <w:jc w:val="both"/>
      </w:pPr>
      <w:r w:rsidRPr="00B157D8">
        <w:t>The core advancements and practical contributions of this study are summarized as follows:</w:t>
      </w:r>
    </w:p>
    <w:p w14:paraId="245BFAB3" w14:textId="77777777" w:rsidR="00B157D8" w:rsidRPr="00B157D8" w:rsidRDefault="00B157D8" w:rsidP="00B157D8">
      <w:pPr>
        <w:numPr>
          <w:ilvl w:val="0"/>
          <w:numId w:val="2"/>
        </w:numPr>
        <w:spacing w:after="80"/>
        <w:jc w:val="both"/>
      </w:pPr>
      <w:r w:rsidRPr="00B157D8">
        <w:t>Design of the OncoFusionNet-LC Architecture: We developed an integrated, multimodal AI framework specifically for lung cancer therapy. This system moves beyond simple clinical markers by fusing demographic data, environmental factors, and patient histories into a single predictive engine.</w:t>
      </w:r>
    </w:p>
    <w:p w14:paraId="77AD7D71" w14:textId="77777777" w:rsidR="00B157D8" w:rsidRPr="00B157D8" w:rsidRDefault="00B157D8" w:rsidP="00B157D8">
      <w:pPr>
        <w:numPr>
          <w:ilvl w:val="0"/>
          <w:numId w:val="2"/>
        </w:numPr>
        <w:spacing w:after="80"/>
        <w:jc w:val="both"/>
      </w:pPr>
      <w:r w:rsidRPr="00B157D8">
        <w:t>Benchmarking of Predictive Algorithms: We conducted an extensive comparative study across four distinct machine learning approaches—Logistic Regression, Decision Trees, Random Forests, and SVMs—to pinpoint which mathematical model best handles the complexities of oncological data.</w:t>
      </w:r>
    </w:p>
    <w:p w14:paraId="55B23EC7" w14:textId="77777777" w:rsidR="00B157D8" w:rsidRPr="00B157D8" w:rsidRDefault="00B157D8" w:rsidP="00B157D8">
      <w:pPr>
        <w:numPr>
          <w:ilvl w:val="0"/>
          <w:numId w:val="2"/>
        </w:numPr>
        <w:spacing w:after="80"/>
        <w:jc w:val="both"/>
      </w:pPr>
      <w:r w:rsidRPr="00B157D8">
        <w:t>Rigorous Multi-Metric Validation: To ensure the model is clinically reliable, we moved beyond simple accuracy. We performed a deep-dive evaluation using precision-recall curves, F1-scores, and ROC-AUC analysis, providing a 360-degree view of the system’s performance on a 5,000-record dataset.</w:t>
      </w:r>
    </w:p>
    <w:p w14:paraId="321F3355" w14:textId="77777777" w:rsidR="00B157D8" w:rsidRPr="00B157D8" w:rsidRDefault="00B157D8" w:rsidP="00B157D8">
      <w:pPr>
        <w:numPr>
          <w:ilvl w:val="0"/>
          <w:numId w:val="2"/>
        </w:numPr>
        <w:spacing w:after="80"/>
        <w:jc w:val="both"/>
      </w:pPr>
      <w:r w:rsidRPr="00B157D8">
        <w:t>Commitment to Explainable AI (XAI): Recognizing that "black box" models are difficult to trust in medicine, we utilized standardized coefficients from logistic regression to rank feature importance. This helps clinicians understand exactly which variables—like smoking history or tumor size—are driving the model’s suggestions.</w:t>
      </w:r>
    </w:p>
    <w:p w14:paraId="720111F4" w14:textId="77777777" w:rsidR="00B157D8" w:rsidRDefault="00B157D8" w:rsidP="00B157D8">
      <w:pPr>
        <w:numPr>
          <w:ilvl w:val="0"/>
          <w:numId w:val="2"/>
        </w:numPr>
        <w:spacing w:after="80"/>
        <w:jc w:val="both"/>
      </w:pPr>
      <w:r w:rsidRPr="00B157D8">
        <w:t>Bridging the Gap to Personalized Care: Our findings demonstrate that AI-driven predictions consistently offer a more precise, data-backed alternative to traditional rule-based methods or purely manual treatment planning.</w:t>
      </w:r>
    </w:p>
    <w:p w14:paraId="0135DD08" w14:textId="77777777" w:rsidR="00B157D8" w:rsidRPr="00B157D8" w:rsidRDefault="00B157D8" w:rsidP="00B157D8">
      <w:pPr>
        <w:numPr>
          <w:ilvl w:val="0"/>
          <w:numId w:val="2"/>
        </w:numPr>
        <w:spacing w:after="80"/>
        <w:jc w:val="both"/>
      </w:pPr>
    </w:p>
    <w:p w14:paraId="4D4DEE37" w14:textId="77777777" w:rsidR="00B157D8" w:rsidRPr="00B157D8" w:rsidRDefault="00B157D8" w:rsidP="00B157D8">
      <w:pPr>
        <w:spacing w:before="160" w:after="80"/>
        <w:jc w:val="both"/>
        <w:rPr>
          <w:b/>
          <w:bCs/>
        </w:rPr>
      </w:pPr>
      <w:r w:rsidRPr="00B157D8">
        <w:rPr>
          <w:b/>
          <w:bCs/>
        </w:rPr>
        <w:lastRenderedPageBreak/>
        <w:t>III. LITERATURE REVIEW</w:t>
      </w:r>
    </w:p>
    <w:p w14:paraId="41B891DE" w14:textId="77777777" w:rsidR="00B157D8" w:rsidRPr="00B157D8" w:rsidRDefault="00B157D8" w:rsidP="00B157D8">
      <w:pPr>
        <w:spacing w:before="160" w:after="80"/>
        <w:jc w:val="both"/>
      </w:pPr>
      <w:r w:rsidRPr="00B157D8">
        <w:t>A. The Shifting Landscape of AI in Oncology</w:t>
      </w:r>
    </w:p>
    <w:p w14:paraId="60C0BBFA" w14:textId="77777777" w:rsidR="00B157D8" w:rsidRPr="00B157D8" w:rsidRDefault="00B157D8" w:rsidP="00B157D8">
      <w:pPr>
        <w:spacing w:before="160" w:after="80"/>
        <w:jc w:val="both"/>
      </w:pPr>
      <w:r w:rsidRPr="00B157D8">
        <w:t xml:space="preserve">Early efforts to bring AI into the oncology ward were largely restricted to rigid, rule-based expert systems and traditional statistical models for basic prognosis. However, the field underwent a massive shift with the rise of deep learning. Architectures like Convolutional Neural Networks (CNNs) changed the game by making clinical-scale feature extraction from genomic data and medical images a reality [1]. Today, the frontier has moved even further; we are now seeing transformer-based and generative models that don't just analyze data but actually integrate "multi-omics" and assist in </w:t>
      </w:r>
      <w:r w:rsidRPr="00B157D8">
        <w:rPr>
          <w:i/>
          <w:iCs/>
        </w:rPr>
        <w:t>de novo</w:t>
      </w:r>
      <w:r w:rsidRPr="00B157D8">
        <w:t xml:space="preserve"> drug discovery.</w:t>
      </w:r>
    </w:p>
    <w:p w14:paraId="5CF846DA" w14:textId="77777777" w:rsidR="00B157D8" w:rsidRPr="00B157D8" w:rsidRDefault="00B157D8" w:rsidP="00B157D8">
      <w:pPr>
        <w:spacing w:before="160" w:after="80"/>
        <w:jc w:val="both"/>
        <w:rPr>
          <w:b/>
          <w:bCs/>
        </w:rPr>
      </w:pPr>
      <w:r w:rsidRPr="00B157D8">
        <w:rPr>
          <w:b/>
          <w:bCs/>
        </w:rPr>
        <w:t>B. Advances in Diagnostic Imaging and AI</w:t>
      </w:r>
    </w:p>
    <w:p w14:paraId="3BC2FBA7" w14:textId="00809DBD" w:rsidR="00B157D8" w:rsidRPr="00B157D8" w:rsidRDefault="00B157D8" w:rsidP="00B157D8">
      <w:pPr>
        <w:spacing w:before="160" w:after="80"/>
        <w:jc w:val="both"/>
      </w:pPr>
      <w:r w:rsidRPr="00B157D8">
        <w:t>Deep learning has proven remarkably adept at identifying, segmenting, and classifying lesions within PET, CT, and MRI scans. We are also seeing the growth of "Radiomics," a field that turns standard imaging into a goldmine of quantitative biomarkers used to predict how a patient might respond to a specific treatment. Beyond scans, AI-driven pathology platforms are now capable of scanning whole-slide images to identify tumor subtypes and molecular mutations with a level of precision that rivals seasoned pathologists</w:t>
      </w:r>
      <w:r w:rsidR="009A0564">
        <w:t>.</w:t>
      </w:r>
    </w:p>
    <w:p w14:paraId="423D0312" w14:textId="77777777" w:rsidR="00B157D8" w:rsidRPr="00B157D8" w:rsidRDefault="00B157D8" w:rsidP="00B157D8">
      <w:pPr>
        <w:spacing w:before="160" w:after="80"/>
        <w:jc w:val="both"/>
        <w:rPr>
          <w:b/>
          <w:bCs/>
        </w:rPr>
      </w:pPr>
      <w:r w:rsidRPr="00B157D8">
        <w:rPr>
          <w:b/>
          <w:bCs/>
        </w:rPr>
        <w:t>C. Predictive Modeling and Prognostic Accuracy</w:t>
      </w:r>
    </w:p>
    <w:p w14:paraId="39AB955E" w14:textId="53EC26B8" w:rsidR="00B157D8" w:rsidRPr="00B157D8" w:rsidRDefault="00B157D8" w:rsidP="00B157D8">
      <w:pPr>
        <w:spacing w:before="160" w:after="80"/>
        <w:jc w:val="both"/>
      </w:pPr>
      <w:r w:rsidRPr="00B157D8">
        <w:t>By merging various types of clinical data, machine learning has significantly sharpened our ability to predict survival rates and stratify the risk of recurrence. When these predictive models are woven into Clinical Decision Support Systems (CDSS), they transition from theoretical tools to practical bedside assistants, offering oncologists real-time insights during the actual moments of patient care.</w:t>
      </w:r>
    </w:p>
    <w:p w14:paraId="068E0A19" w14:textId="77777777" w:rsidR="00B157D8" w:rsidRPr="00B157D8" w:rsidRDefault="00B157D8" w:rsidP="00B157D8">
      <w:pPr>
        <w:spacing w:before="160" w:after="80"/>
        <w:jc w:val="both"/>
        <w:rPr>
          <w:b/>
          <w:bCs/>
        </w:rPr>
      </w:pPr>
      <w:r w:rsidRPr="00B157D8">
        <w:rPr>
          <w:b/>
          <w:bCs/>
        </w:rPr>
        <w:t>D. Identifying the Research Gap</w:t>
      </w:r>
    </w:p>
    <w:p w14:paraId="1226177C" w14:textId="77777777" w:rsidR="00B157D8" w:rsidRPr="00B157D8" w:rsidRDefault="00B157D8" w:rsidP="00B157D8">
      <w:pPr>
        <w:spacing w:before="160" w:after="80"/>
        <w:jc w:val="both"/>
      </w:pPr>
      <w:r w:rsidRPr="00B157D8">
        <w:t>While the progress in AI-driven cancer detection is undeniable, several significant voids remain in the current literature:</w:t>
      </w:r>
    </w:p>
    <w:p w14:paraId="5A5F9E93" w14:textId="77777777" w:rsidR="00B157D8" w:rsidRPr="00B157D8" w:rsidRDefault="00B157D8" w:rsidP="00B157D8">
      <w:pPr>
        <w:numPr>
          <w:ilvl w:val="0"/>
          <w:numId w:val="3"/>
        </w:numPr>
        <w:spacing w:before="160" w:after="80"/>
        <w:jc w:val="both"/>
      </w:pPr>
      <w:r w:rsidRPr="00B157D8">
        <w:t>The "Detection vs. Therapy" Mismatch: A vast majority of existing studies focus on finding the cancer, leaving a noticeable shortage of research on AI systems that actually recommend the best treatment pathways.</w:t>
      </w:r>
    </w:p>
    <w:p w14:paraId="215365E4" w14:textId="77777777" w:rsidR="00B157D8" w:rsidRPr="00B157D8" w:rsidRDefault="00B157D8" w:rsidP="00B157D8">
      <w:pPr>
        <w:numPr>
          <w:ilvl w:val="0"/>
          <w:numId w:val="3"/>
        </w:numPr>
        <w:spacing w:before="160" w:after="80"/>
        <w:jc w:val="both"/>
      </w:pPr>
      <w:r w:rsidRPr="00B157D8">
        <w:t>Lack of Multimodal Integration: Most current models stay in their "silos." Very few integrate clinical, demographic, and environmental factors simultaneously to create a truly personalized treatment plan.</w:t>
      </w:r>
    </w:p>
    <w:p w14:paraId="1778924E" w14:textId="77777777" w:rsidR="00B157D8" w:rsidRPr="00B157D8" w:rsidRDefault="00B157D8" w:rsidP="00B157D8">
      <w:pPr>
        <w:numPr>
          <w:ilvl w:val="0"/>
          <w:numId w:val="3"/>
        </w:numPr>
        <w:spacing w:before="160" w:after="80"/>
        <w:jc w:val="both"/>
      </w:pPr>
      <w:r w:rsidRPr="00B157D8">
        <w:t>The Absence of Comparison: There is a lack of rigorous, head-to-head comparisons between different ML algorithms specifically within the context of lung cancer therapy selection.</w:t>
      </w:r>
    </w:p>
    <w:p w14:paraId="07916FD7" w14:textId="5A40F4B2" w:rsidR="00B157D8" w:rsidRPr="00B157D8" w:rsidRDefault="00B157D8" w:rsidP="00B157D8">
      <w:pPr>
        <w:numPr>
          <w:ilvl w:val="0"/>
          <w:numId w:val="3"/>
        </w:numPr>
        <w:spacing w:before="160" w:after="80"/>
        <w:jc w:val="both"/>
      </w:pPr>
      <w:r w:rsidRPr="00B157D8">
        <w:t xml:space="preserve">The "Black Box" Problem: Too many predictive models lack transparency. In a clinical setting, understanding </w:t>
      </w:r>
      <w:r w:rsidRPr="00B157D8">
        <w:rPr>
          <w:i/>
          <w:iCs/>
        </w:rPr>
        <w:t>why</w:t>
      </w:r>
      <w:r w:rsidRPr="00B157D8">
        <w:t xml:space="preserve"> a model </w:t>
      </w:r>
      <w:r w:rsidR="00C110D4">
        <w:t xml:space="preserve">   </w:t>
      </w:r>
      <w:r w:rsidRPr="00B157D8">
        <w:t>recommends a specific therapy is just as important as the recommendation itself.</w:t>
      </w:r>
    </w:p>
    <w:p w14:paraId="744F1DAE" w14:textId="77777777" w:rsidR="00C110D4" w:rsidRPr="00C110D4" w:rsidRDefault="00C110D4" w:rsidP="00C110D4">
      <w:pPr>
        <w:spacing w:after="40"/>
        <w:rPr>
          <w:b/>
          <w:bCs/>
        </w:rPr>
      </w:pPr>
      <w:r w:rsidRPr="00C110D4">
        <w:rPr>
          <w:b/>
          <w:bCs/>
        </w:rPr>
        <w:t>IV. PROPOSED WORK</w:t>
      </w:r>
    </w:p>
    <w:p w14:paraId="1A329FEE" w14:textId="6396104E" w:rsidR="00C110D4" w:rsidRPr="00C110D4" w:rsidRDefault="00C110D4" w:rsidP="00C110D4">
      <w:pPr>
        <w:spacing w:after="40"/>
      </w:pPr>
      <w:r w:rsidRPr="00C110D4">
        <w:t xml:space="preserve">To bridge the critical gaps, we identified in current oncology research, this study introduces </w:t>
      </w:r>
      <w:r w:rsidRPr="00C110D4">
        <w:rPr>
          <w:b/>
          <w:bCs/>
        </w:rPr>
        <w:t>OncoFusionNet-LC</w:t>
      </w:r>
      <w:r w:rsidRPr="00C110D4">
        <w:t>. This system isn't just a basic classifier; it is a framework built with several specific clinical objectives in mind:</w:t>
      </w:r>
    </w:p>
    <w:p w14:paraId="232E1E3E" w14:textId="77777777" w:rsidR="00C110D4" w:rsidRPr="00C110D4" w:rsidRDefault="00C110D4" w:rsidP="00C110D4">
      <w:pPr>
        <w:numPr>
          <w:ilvl w:val="0"/>
          <w:numId w:val="4"/>
        </w:numPr>
        <w:spacing w:after="40"/>
      </w:pPr>
      <w:r w:rsidRPr="00C110D4">
        <w:rPr>
          <w:b/>
          <w:bCs/>
        </w:rPr>
        <w:t>Holistic Data Integration:</w:t>
      </w:r>
      <w:r w:rsidRPr="00C110D4">
        <w:t xml:space="preserve"> Rather than looking at tumor markers in isolation, our approach fuses a patient’s demographic profile and environmental risk factors with their clinical tumor characteristics to forecast the most viable treatment path.</w:t>
      </w:r>
    </w:p>
    <w:p w14:paraId="3B4AED84" w14:textId="77777777" w:rsidR="00C110D4" w:rsidRPr="00C110D4" w:rsidRDefault="00C110D4" w:rsidP="00C110D4">
      <w:pPr>
        <w:numPr>
          <w:ilvl w:val="0"/>
          <w:numId w:val="4"/>
        </w:numPr>
        <w:spacing w:after="40"/>
      </w:pPr>
      <w:r w:rsidRPr="00C110D4">
        <w:rPr>
          <w:b/>
          <w:bCs/>
        </w:rPr>
        <w:t>Clinician-Centric Support:</w:t>
      </w:r>
      <w:r w:rsidRPr="00C110D4">
        <w:t xml:space="preserve"> The goal is not to replace the expert but to provide a robust, data-backed second opinion that complements an oncologist’s existing decision-making process.</w:t>
      </w:r>
    </w:p>
    <w:p w14:paraId="4486B53F" w14:textId="77777777" w:rsidR="00C110D4" w:rsidRPr="00C110D4" w:rsidRDefault="00C110D4" w:rsidP="00C110D4">
      <w:pPr>
        <w:numPr>
          <w:ilvl w:val="0"/>
          <w:numId w:val="4"/>
        </w:numPr>
        <w:spacing w:after="40"/>
      </w:pPr>
      <w:r w:rsidRPr="00C110D4">
        <w:rPr>
          <w:b/>
          <w:bCs/>
        </w:rPr>
        <w:t>Algorithmic Benchmarking:</w:t>
      </w:r>
      <w:r w:rsidRPr="00C110D4">
        <w:t xml:space="preserve"> We prioritize technical rigor by conducting head-to-head comparisons between several machine learning models, ensuring that the final recommendation is powered by the most stable and accurate algorithm available.</w:t>
      </w:r>
    </w:p>
    <w:p w14:paraId="7EE418FC" w14:textId="77777777" w:rsidR="00C110D4" w:rsidRDefault="00C110D4" w:rsidP="00C110D4">
      <w:pPr>
        <w:numPr>
          <w:ilvl w:val="0"/>
          <w:numId w:val="4"/>
        </w:numPr>
        <w:spacing w:after="40"/>
      </w:pPr>
      <w:r w:rsidRPr="00C110D4">
        <w:rPr>
          <w:b/>
          <w:bCs/>
        </w:rPr>
        <w:t>Transparency through Explainability:</w:t>
      </w:r>
      <w:r w:rsidRPr="00C110D4">
        <w:t xml:space="preserve"> To foster clinical trust, we have integrated feature importance analysis. This ensures that the "logic" behind every therapy prediction is visible and interpretable, aligning with the core principles of Explainable AI (XAI).</w:t>
      </w:r>
    </w:p>
    <w:p w14:paraId="47D1E313" w14:textId="77777777" w:rsidR="00C110D4" w:rsidRPr="00C110D4" w:rsidRDefault="00C110D4" w:rsidP="00C110D4">
      <w:pPr>
        <w:spacing w:after="40"/>
      </w:pPr>
    </w:p>
    <w:p w14:paraId="0F9F795B" w14:textId="77777777" w:rsidR="00C110D4" w:rsidRPr="00C110D4" w:rsidRDefault="00C110D4" w:rsidP="00C110D4">
      <w:pPr>
        <w:spacing w:after="40"/>
        <w:rPr>
          <w:b/>
          <w:bCs/>
        </w:rPr>
      </w:pPr>
      <w:r w:rsidRPr="00C110D4">
        <w:rPr>
          <w:b/>
          <w:bCs/>
        </w:rPr>
        <w:t>V. SYSTEM ARCHITECTURE</w:t>
      </w:r>
    </w:p>
    <w:p w14:paraId="73FF4AA2" w14:textId="77777777" w:rsidR="00C110D4" w:rsidRPr="00C110D4" w:rsidRDefault="00C110D4" w:rsidP="00C110D4">
      <w:pPr>
        <w:spacing w:after="40"/>
      </w:pPr>
      <w:r w:rsidRPr="00C110D4">
        <w:t>The OncoFusionNet-LC framework operates through a carefully structured, end-to-end modular pipeline. We designed this architecture to be both scalable and flexible, allowing us to transform raw, messy patient data into clear, actionable therapy insights.</w:t>
      </w:r>
    </w:p>
    <w:p w14:paraId="44BEF942" w14:textId="08F83153" w:rsidR="004233BF" w:rsidRDefault="00C110D4">
      <w:pPr>
        <w:spacing w:after="40"/>
      </w:pPr>
      <w:r w:rsidRPr="00C110D4">
        <w:t xml:space="preserve">Each stage of the pipeline functions as an independent module. This modularity is key—it means we can optimize individual processes, like data cleaning or model tuning, without disrupting the overall data flow. The complete system architecture, including the intricate interactions between data ingestion, processing, and prediction, is mapped out in </w:t>
      </w:r>
      <w:r w:rsidRPr="00C110D4">
        <w:rPr>
          <w:b/>
          <w:bCs/>
        </w:rPr>
        <w:t>Fig. 1</w:t>
      </w:r>
      <w:r w:rsidRPr="00C110D4">
        <w:t>.</w:t>
      </w:r>
    </w:p>
    <w:p w14:paraId="6D6D4194" w14:textId="77777777" w:rsidR="004233BF" w:rsidRDefault="004233BF">
      <w:pPr>
        <w:spacing w:after="60"/>
      </w:pPr>
    </w:p>
    <w:p w14:paraId="1379AB20" w14:textId="77777777" w:rsidR="004233BF" w:rsidRDefault="00000000">
      <w:pPr>
        <w:jc w:val="center"/>
      </w:pPr>
      <w:r>
        <w:rPr>
          <w:noProof/>
        </w:rPr>
        <w:drawing>
          <wp:inline distT="0" distB="0" distL="0" distR="0" wp14:anchorId="30284A1D" wp14:editId="3B1F6EF6">
            <wp:extent cx="2981325" cy="196215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981325" cy="1962150"/>
                    </a:xfrm>
                    <a:prstGeom prst="rect">
                      <a:avLst/>
                    </a:prstGeom>
                  </pic:spPr>
                </pic:pic>
              </a:graphicData>
            </a:graphic>
          </wp:inline>
        </w:drawing>
      </w:r>
    </w:p>
    <w:p w14:paraId="0655CD37" w14:textId="101ECED8" w:rsidR="00C110D4" w:rsidRDefault="00C110D4" w:rsidP="00C110D4">
      <w:pPr>
        <w:spacing w:after="60"/>
        <w:jc w:val="center"/>
        <w:rPr>
          <w:b/>
          <w:bCs/>
          <w:sz w:val="18"/>
          <w:szCs w:val="18"/>
        </w:rPr>
      </w:pPr>
      <w:r>
        <w:rPr>
          <w:b/>
          <w:bCs/>
          <w:sz w:val="18"/>
          <w:szCs w:val="18"/>
        </w:rPr>
        <w:t>Fig. 1 – System Architecture</w:t>
      </w:r>
    </w:p>
    <w:p w14:paraId="3F75F5CD" w14:textId="3488FCC4" w:rsidR="004233BF" w:rsidRPr="00C110D4" w:rsidRDefault="00C110D4" w:rsidP="00C110D4">
      <w:pPr>
        <w:spacing w:after="60"/>
        <w:jc w:val="both"/>
      </w:pPr>
      <w:r w:rsidRPr="00C110D4">
        <w:rPr>
          <w:b/>
          <w:bCs/>
          <w:sz w:val="18"/>
          <w:szCs w:val="18"/>
        </w:rPr>
        <w:lastRenderedPageBreak/>
        <w:t>Explanation of Fig</w:t>
      </w:r>
      <w:r>
        <w:rPr>
          <w:b/>
          <w:bCs/>
          <w:sz w:val="18"/>
          <w:szCs w:val="18"/>
        </w:rPr>
        <w:t>.1 - a</w:t>
      </w:r>
      <w:r>
        <w:rPr>
          <w:sz w:val="18"/>
          <w:szCs w:val="18"/>
        </w:rPr>
        <w:t>r</w:t>
      </w:r>
      <w:r w:rsidRPr="00C110D4">
        <w:rPr>
          <w:sz w:val="18"/>
          <w:szCs w:val="18"/>
        </w:rPr>
        <w:t>chitectural Overview of the OncoFusionNet-LC Framework for Lung Cancer Therapy Prediction. The diagram illustrates a cohesive, end-to-end pipeline designed to move from raw patient inputs to verifiable clinical insights. The process begins at the Input Layer for initial Data Collection, followed by a rigorous Preprocessing and Feature Selection phase to refine the dataset. At the core of the system, we utilize Model Training grounded in Logistic Regression (and other ML variants) to generate specific Treatment Recommendations. Once the Prediction Output is produced, the model undergoes a strict Evaluation phase. Critically, the framework incorporates an Explainability layer, creating a continuous Clinician Feedback Loop to ensure the AI's suggestions remain transparent, trustworthy, and medically relevant.</w:t>
      </w:r>
    </w:p>
    <w:p w14:paraId="0714E3C9" w14:textId="77777777" w:rsidR="00905581" w:rsidRPr="00905581" w:rsidRDefault="00905581" w:rsidP="00905581">
      <w:pPr>
        <w:spacing w:after="40"/>
        <w:jc w:val="both"/>
      </w:pPr>
      <w:r w:rsidRPr="00905581">
        <w:t>Our framework, as shown in Fig. 1, is structured around nine core functional stages. These stages operate across two parallel tracks before converging at the final decision-making layer to provide a unified clinical recommendation.</w:t>
      </w:r>
    </w:p>
    <w:p w14:paraId="47734659" w14:textId="77777777" w:rsidR="00905581" w:rsidRPr="00905581" w:rsidRDefault="00905581" w:rsidP="00905581">
      <w:pPr>
        <w:spacing w:after="40"/>
        <w:jc w:val="both"/>
        <w:rPr>
          <w:b/>
          <w:bCs/>
        </w:rPr>
      </w:pPr>
      <w:r w:rsidRPr="00905581">
        <w:rPr>
          <w:b/>
          <w:bCs/>
        </w:rPr>
        <w:t>1. Data Foundations: Ingestion and Refinement</w:t>
      </w:r>
    </w:p>
    <w:p w14:paraId="2C5EA43E" w14:textId="77777777" w:rsidR="00905581" w:rsidRPr="00905581" w:rsidRDefault="00905581" w:rsidP="00905581">
      <w:pPr>
        <w:spacing w:after="40"/>
        <w:jc w:val="both"/>
      </w:pPr>
      <w:r w:rsidRPr="00905581">
        <w:t xml:space="preserve">The workflow starts at the </w:t>
      </w:r>
      <w:r w:rsidRPr="00905581">
        <w:rPr>
          <w:b/>
          <w:bCs/>
        </w:rPr>
        <w:t>Input Layer</w:t>
      </w:r>
      <w:r w:rsidRPr="00905581">
        <w:t>, where we aggregate raw patient data from diverse streams—ranging from hospital EHR systems and CSV files to TCGA genomic databases and DICOM imaging. We organize these inputs into two distinct categories:</w:t>
      </w:r>
    </w:p>
    <w:p w14:paraId="45CFA52E" w14:textId="77777777" w:rsidR="00905581" w:rsidRPr="00905581" w:rsidRDefault="00905581" w:rsidP="00905581">
      <w:pPr>
        <w:numPr>
          <w:ilvl w:val="0"/>
          <w:numId w:val="5"/>
        </w:numPr>
        <w:spacing w:after="40"/>
        <w:jc w:val="both"/>
      </w:pPr>
      <w:r w:rsidRPr="00905581">
        <w:rPr>
          <w:b/>
          <w:bCs/>
        </w:rPr>
        <w:t>Primary Clinical Features:</w:t>
      </w:r>
      <w:r w:rsidRPr="00905581">
        <w:t xml:space="preserve"> Critical metrics such as tumor size, CT scan findings, biopsy results, and metastasis status.</w:t>
      </w:r>
    </w:p>
    <w:p w14:paraId="4A00BA90" w14:textId="77777777" w:rsidR="00905581" w:rsidRPr="00905581" w:rsidRDefault="00905581" w:rsidP="00905581">
      <w:pPr>
        <w:numPr>
          <w:ilvl w:val="0"/>
          <w:numId w:val="5"/>
        </w:numPr>
        <w:spacing w:after="40"/>
        <w:jc w:val="both"/>
      </w:pPr>
      <w:r w:rsidRPr="00905581">
        <w:rPr>
          <w:b/>
          <w:bCs/>
        </w:rPr>
        <w:t>Secondary Demographic Factors:</w:t>
      </w:r>
      <w:r w:rsidRPr="00905581">
        <w:t xml:space="preserve"> Contextual data including age, smoking habits, lung function (FEV1), and relevant comorbidities.</w:t>
      </w:r>
    </w:p>
    <w:p w14:paraId="190212E3" w14:textId="77777777" w:rsidR="00905581" w:rsidRPr="00905581" w:rsidRDefault="00905581" w:rsidP="00905581">
      <w:pPr>
        <w:spacing w:after="40"/>
        <w:jc w:val="both"/>
      </w:pPr>
      <w:r w:rsidRPr="00905581">
        <w:t xml:space="preserve">To prepare this data for analysis, our </w:t>
      </w:r>
      <w:r w:rsidRPr="00905581">
        <w:rPr>
          <w:b/>
          <w:bCs/>
        </w:rPr>
        <w:t>Preprocessing Module</w:t>
      </w:r>
      <w:r w:rsidRPr="00905581">
        <w:t xml:space="preserve"> handles essential "data hygiene." We address class imbalances using SMOTE, apply Min-Max scaling for normalization, and resolve any missing values. Following this, we move to </w:t>
      </w:r>
      <w:r w:rsidRPr="00905581">
        <w:rPr>
          <w:b/>
          <w:bCs/>
        </w:rPr>
        <w:t>Feature Selection</w:t>
      </w:r>
      <w:r w:rsidRPr="00905581">
        <w:t>, where we apply PCA, Chi-Square tests, and correlation analysis to filter out noise, ensuring the model focuses only on the most significant predictors.</w:t>
      </w:r>
    </w:p>
    <w:p w14:paraId="7F9B4981" w14:textId="77777777" w:rsidR="00905581" w:rsidRPr="00905581" w:rsidRDefault="00905581" w:rsidP="00905581">
      <w:pPr>
        <w:spacing w:after="40"/>
        <w:jc w:val="both"/>
        <w:rPr>
          <w:b/>
          <w:bCs/>
        </w:rPr>
      </w:pPr>
      <w:r w:rsidRPr="00905581">
        <w:rPr>
          <w:b/>
          <w:bCs/>
        </w:rPr>
        <w:t>2. Model Development and Explainability</w:t>
      </w:r>
    </w:p>
    <w:p w14:paraId="035FDF2A" w14:textId="77777777" w:rsidR="00905581" w:rsidRPr="00905581" w:rsidRDefault="00905581" w:rsidP="00905581">
      <w:pPr>
        <w:spacing w:after="40"/>
        <w:jc w:val="both"/>
      </w:pPr>
      <w:r w:rsidRPr="00905581">
        <w:t xml:space="preserve">We centered our training on a </w:t>
      </w:r>
      <w:r w:rsidRPr="00905581">
        <w:rPr>
          <w:b/>
          <w:bCs/>
        </w:rPr>
        <w:t>Logistic Regression</w:t>
      </w:r>
      <w:r w:rsidRPr="00905581">
        <w:t xml:space="preserve"> classifier, refined with L1/L2 regularization and the liblinear solver. To ensure the model is robust and generalizable, we used an 80/20 data split and applied stratified K-Fold cross-validation. For comparison, we also ran ensemble models like </w:t>
      </w:r>
      <w:r w:rsidRPr="00905581">
        <w:rPr>
          <w:b/>
          <w:bCs/>
        </w:rPr>
        <w:t>Random Forest</w:t>
      </w:r>
      <w:r w:rsidRPr="00905581">
        <w:t xml:space="preserve"> in a parallel track.</w:t>
      </w:r>
    </w:p>
    <w:p w14:paraId="127B51A9" w14:textId="5423E16F" w:rsidR="00905581" w:rsidRDefault="00905581" w:rsidP="00905581">
      <w:pPr>
        <w:spacing w:after="40"/>
        <w:jc w:val="both"/>
      </w:pPr>
      <w:r w:rsidRPr="00905581">
        <w:t>The final Treatment Recommendation stage goes beyond merely suggesting a therapy, such as immunotherapy or specific radiation dosages. It prioritizes transparency by explaining the "why" behind each decision. By incorporating SHAP values, odds ratios, and a dedicated clinician dashboard, we turn "black box" predictions into actionable insights. Furthermore, a built-in feedback loop allows the system to continuously learn from real-world patient outcomes.</w:t>
      </w:r>
    </w:p>
    <w:p w14:paraId="4300C057" w14:textId="77777777" w:rsidR="00EF6350" w:rsidRPr="00905581" w:rsidRDefault="00EF6350" w:rsidP="00905581">
      <w:pPr>
        <w:spacing w:after="40"/>
        <w:jc w:val="both"/>
      </w:pPr>
    </w:p>
    <w:p w14:paraId="1FF87D9D" w14:textId="00D6FEE4" w:rsidR="00905581" w:rsidRPr="00905581" w:rsidRDefault="00905581" w:rsidP="00905581">
      <w:pPr>
        <w:spacing w:after="40"/>
        <w:jc w:val="both"/>
        <w:rPr>
          <w:b/>
          <w:bCs/>
          <w:sz w:val="22"/>
          <w:szCs w:val="22"/>
        </w:rPr>
      </w:pPr>
      <w:r w:rsidRPr="00905581">
        <w:rPr>
          <w:b/>
          <w:bCs/>
          <w:sz w:val="22"/>
          <w:szCs w:val="22"/>
        </w:rPr>
        <w:t>VI DATASET DESCRIPTION</w:t>
      </w:r>
    </w:p>
    <w:p w14:paraId="1AF7B2E0" w14:textId="77777777" w:rsidR="00905581" w:rsidRPr="00905581" w:rsidRDefault="00905581" w:rsidP="00905581">
      <w:pPr>
        <w:spacing w:after="40"/>
        <w:jc w:val="both"/>
      </w:pPr>
      <w:r w:rsidRPr="00905581">
        <w:t xml:space="preserve">The backbone of this study is the </w:t>
      </w:r>
      <w:r w:rsidRPr="00905581">
        <w:rPr>
          <w:b/>
          <w:bCs/>
        </w:rPr>
        <w:t>Large Synthetic Lung Cancer Dataset (Bangladesh Perspective)</w:t>
      </w:r>
      <w:r w:rsidRPr="00905581">
        <w:t xml:space="preserve">. We chose this specific, publicly available resource because it </w:t>
      </w:r>
      <w:r w:rsidRPr="00905581">
        <w:t>addresses a critical gap in oncology research: the need for localized data. Unlike standard global datasets, this collection captures the unique epidemiological and environmental nuances of the South Asian region, making it an ideal foundation for developing AI tools tailored to the Bangladeshi context.</w:t>
      </w:r>
    </w:p>
    <w:p w14:paraId="7A0F5087" w14:textId="77777777" w:rsidR="004233BF" w:rsidRDefault="004233BF" w:rsidP="001C5A20">
      <w:pPr>
        <w:spacing w:after="40"/>
        <w:jc w:val="both"/>
      </w:pPr>
    </w:p>
    <w:tbl>
      <w:tblPr>
        <w:tblW w:w="44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61"/>
        <w:gridCol w:w="2571"/>
      </w:tblGrid>
      <w:tr w:rsidR="004233BF" w14:paraId="0198BB6F" w14:textId="77777777">
        <w:tc>
          <w:tcPr>
            <w:tcW w:w="1861" w:type="dxa"/>
            <w:tcBorders>
              <w:top w:val="single" w:sz="1" w:space="0" w:color="AAAAAA"/>
              <w:left w:val="single" w:sz="1" w:space="0" w:color="AAAAAA"/>
              <w:bottom w:val="single" w:sz="1" w:space="0" w:color="AAAAAA"/>
              <w:right w:val="single" w:sz="1" w:space="0" w:color="AAAAAA"/>
            </w:tcBorders>
            <w:shd w:val="clear" w:color="auto" w:fill="404040"/>
            <w:tcMar>
              <w:top w:w="55" w:type="dxa"/>
              <w:left w:w="80" w:type="dxa"/>
              <w:bottom w:w="55" w:type="dxa"/>
              <w:right w:w="80" w:type="dxa"/>
            </w:tcMar>
          </w:tcPr>
          <w:p w14:paraId="38913465" w14:textId="77777777" w:rsidR="004233BF" w:rsidRDefault="00000000">
            <w:pPr>
              <w:jc w:val="center"/>
            </w:pPr>
            <w:r>
              <w:rPr>
                <w:b/>
                <w:bCs/>
                <w:color w:val="FFFFFF"/>
                <w:sz w:val="16"/>
                <w:szCs w:val="16"/>
              </w:rPr>
              <w:t>Parameter</w:t>
            </w:r>
          </w:p>
        </w:tc>
        <w:tc>
          <w:tcPr>
            <w:tcW w:w="2571" w:type="dxa"/>
            <w:tcBorders>
              <w:top w:val="single" w:sz="1" w:space="0" w:color="AAAAAA"/>
              <w:left w:val="single" w:sz="1" w:space="0" w:color="AAAAAA"/>
              <w:bottom w:val="single" w:sz="1" w:space="0" w:color="AAAAAA"/>
              <w:right w:val="single" w:sz="1" w:space="0" w:color="AAAAAA"/>
            </w:tcBorders>
            <w:shd w:val="clear" w:color="auto" w:fill="404040"/>
            <w:tcMar>
              <w:top w:w="55" w:type="dxa"/>
              <w:left w:w="80" w:type="dxa"/>
              <w:bottom w:w="55" w:type="dxa"/>
              <w:right w:w="80" w:type="dxa"/>
            </w:tcMar>
          </w:tcPr>
          <w:p w14:paraId="3593C927" w14:textId="77777777" w:rsidR="004233BF" w:rsidRDefault="00000000">
            <w:pPr>
              <w:jc w:val="center"/>
            </w:pPr>
            <w:r>
              <w:rPr>
                <w:b/>
                <w:bCs/>
                <w:color w:val="FFFFFF"/>
                <w:sz w:val="16"/>
                <w:szCs w:val="16"/>
              </w:rPr>
              <w:t>Value</w:t>
            </w:r>
          </w:p>
        </w:tc>
      </w:tr>
      <w:tr w:rsidR="004233BF" w14:paraId="5E5EE611" w14:textId="77777777">
        <w:tc>
          <w:tcPr>
            <w:tcW w:w="1861" w:type="dxa"/>
            <w:tcBorders>
              <w:top w:val="single" w:sz="1" w:space="0" w:color="AAAAAA"/>
              <w:left w:val="single" w:sz="1" w:space="0" w:color="AAAAAA"/>
              <w:bottom w:val="single" w:sz="1" w:space="0" w:color="AAAAAA"/>
              <w:right w:val="single" w:sz="1" w:space="0" w:color="AAAAAA"/>
            </w:tcBorders>
            <w:shd w:val="clear" w:color="auto" w:fill="FFFFFF"/>
            <w:tcMar>
              <w:top w:w="55" w:type="dxa"/>
              <w:left w:w="80" w:type="dxa"/>
              <w:bottom w:w="55" w:type="dxa"/>
              <w:right w:w="80" w:type="dxa"/>
            </w:tcMar>
          </w:tcPr>
          <w:p w14:paraId="5B5B31C4" w14:textId="77777777" w:rsidR="004233BF" w:rsidRDefault="00000000">
            <w:pPr>
              <w:jc w:val="center"/>
            </w:pPr>
            <w:r>
              <w:rPr>
                <w:color w:val="000000"/>
                <w:sz w:val="16"/>
                <w:szCs w:val="16"/>
              </w:rPr>
              <w:t>Dataset Name</w:t>
            </w:r>
          </w:p>
        </w:tc>
        <w:tc>
          <w:tcPr>
            <w:tcW w:w="2571" w:type="dxa"/>
            <w:tcBorders>
              <w:top w:val="single" w:sz="1" w:space="0" w:color="AAAAAA"/>
              <w:left w:val="single" w:sz="1" w:space="0" w:color="AAAAAA"/>
              <w:bottom w:val="single" w:sz="1" w:space="0" w:color="AAAAAA"/>
              <w:right w:val="single" w:sz="1" w:space="0" w:color="AAAAAA"/>
            </w:tcBorders>
            <w:shd w:val="clear" w:color="auto" w:fill="FFFFFF"/>
            <w:tcMar>
              <w:top w:w="55" w:type="dxa"/>
              <w:left w:w="80" w:type="dxa"/>
              <w:bottom w:w="55" w:type="dxa"/>
              <w:right w:w="80" w:type="dxa"/>
            </w:tcMar>
          </w:tcPr>
          <w:p w14:paraId="54911EFE" w14:textId="77777777" w:rsidR="004233BF" w:rsidRDefault="00000000">
            <w:pPr>
              <w:jc w:val="center"/>
            </w:pPr>
            <w:r>
              <w:rPr>
                <w:color w:val="000000"/>
                <w:sz w:val="16"/>
                <w:szCs w:val="16"/>
              </w:rPr>
              <w:t>Synthetic Lung Cancer Dataset (Bangladesh)</w:t>
            </w:r>
          </w:p>
        </w:tc>
      </w:tr>
      <w:tr w:rsidR="004233BF" w14:paraId="6ADCBFBA" w14:textId="77777777">
        <w:tc>
          <w:tcPr>
            <w:tcW w:w="1861" w:type="dxa"/>
            <w:tcBorders>
              <w:top w:val="single" w:sz="1" w:space="0" w:color="AAAAAA"/>
              <w:left w:val="single" w:sz="1" w:space="0" w:color="AAAAAA"/>
              <w:bottom w:val="single" w:sz="1" w:space="0" w:color="AAAAAA"/>
              <w:right w:val="single" w:sz="1" w:space="0" w:color="AAAAAA"/>
            </w:tcBorders>
            <w:shd w:val="clear" w:color="auto" w:fill="FFFFFF"/>
            <w:tcMar>
              <w:top w:w="55" w:type="dxa"/>
              <w:left w:w="80" w:type="dxa"/>
              <w:bottom w:w="55" w:type="dxa"/>
              <w:right w:w="80" w:type="dxa"/>
            </w:tcMar>
          </w:tcPr>
          <w:p w14:paraId="79ACF450" w14:textId="77777777" w:rsidR="004233BF" w:rsidRDefault="00000000">
            <w:pPr>
              <w:jc w:val="center"/>
            </w:pPr>
            <w:r>
              <w:rPr>
                <w:color w:val="000000"/>
                <w:sz w:val="16"/>
                <w:szCs w:val="16"/>
              </w:rPr>
              <w:t>Total Samples</w:t>
            </w:r>
          </w:p>
        </w:tc>
        <w:tc>
          <w:tcPr>
            <w:tcW w:w="2571" w:type="dxa"/>
            <w:tcBorders>
              <w:top w:val="single" w:sz="1" w:space="0" w:color="AAAAAA"/>
              <w:left w:val="single" w:sz="1" w:space="0" w:color="AAAAAA"/>
              <w:bottom w:val="single" w:sz="1" w:space="0" w:color="AAAAAA"/>
              <w:right w:val="single" w:sz="1" w:space="0" w:color="AAAAAA"/>
            </w:tcBorders>
            <w:shd w:val="clear" w:color="auto" w:fill="FFFFFF"/>
            <w:tcMar>
              <w:top w:w="55" w:type="dxa"/>
              <w:left w:w="80" w:type="dxa"/>
              <w:bottom w:w="55" w:type="dxa"/>
              <w:right w:w="80" w:type="dxa"/>
            </w:tcMar>
          </w:tcPr>
          <w:p w14:paraId="7B258E9B" w14:textId="77777777" w:rsidR="004233BF" w:rsidRDefault="00000000">
            <w:pPr>
              <w:jc w:val="center"/>
            </w:pPr>
            <w:r>
              <w:rPr>
                <w:color w:val="000000"/>
                <w:sz w:val="16"/>
                <w:szCs w:val="16"/>
              </w:rPr>
              <w:t>5,000</w:t>
            </w:r>
          </w:p>
        </w:tc>
      </w:tr>
      <w:tr w:rsidR="004233BF" w14:paraId="7ADFC27F" w14:textId="77777777">
        <w:tc>
          <w:tcPr>
            <w:tcW w:w="1861" w:type="dxa"/>
            <w:tcBorders>
              <w:top w:val="single" w:sz="1" w:space="0" w:color="AAAAAA"/>
              <w:left w:val="single" w:sz="1" w:space="0" w:color="AAAAAA"/>
              <w:bottom w:val="single" w:sz="1" w:space="0" w:color="AAAAAA"/>
              <w:right w:val="single" w:sz="1" w:space="0" w:color="AAAAAA"/>
            </w:tcBorders>
            <w:shd w:val="clear" w:color="auto" w:fill="FFFFFF"/>
            <w:tcMar>
              <w:top w:w="55" w:type="dxa"/>
              <w:left w:w="80" w:type="dxa"/>
              <w:bottom w:w="55" w:type="dxa"/>
              <w:right w:w="80" w:type="dxa"/>
            </w:tcMar>
          </w:tcPr>
          <w:p w14:paraId="31B4204F" w14:textId="77777777" w:rsidR="004233BF" w:rsidRDefault="00000000">
            <w:pPr>
              <w:jc w:val="center"/>
            </w:pPr>
            <w:r>
              <w:rPr>
                <w:color w:val="000000"/>
                <w:sz w:val="16"/>
                <w:szCs w:val="16"/>
              </w:rPr>
              <w:t>Features Count</w:t>
            </w:r>
          </w:p>
        </w:tc>
        <w:tc>
          <w:tcPr>
            <w:tcW w:w="2571" w:type="dxa"/>
            <w:tcBorders>
              <w:top w:val="single" w:sz="1" w:space="0" w:color="AAAAAA"/>
              <w:left w:val="single" w:sz="1" w:space="0" w:color="AAAAAA"/>
              <w:bottom w:val="single" w:sz="1" w:space="0" w:color="AAAAAA"/>
              <w:right w:val="single" w:sz="1" w:space="0" w:color="AAAAAA"/>
            </w:tcBorders>
            <w:shd w:val="clear" w:color="auto" w:fill="FFFFFF"/>
            <w:tcMar>
              <w:top w:w="55" w:type="dxa"/>
              <w:left w:w="80" w:type="dxa"/>
              <w:bottom w:w="55" w:type="dxa"/>
              <w:right w:w="80" w:type="dxa"/>
            </w:tcMar>
          </w:tcPr>
          <w:p w14:paraId="6648332A" w14:textId="77777777" w:rsidR="004233BF" w:rsidRDefault="00000000">
            <w:pPr>
              <w:jc w:val="center"/>
            </w:pPr>
            <w:r>
              <w:rPr>
                <w:color w:val="000000"/>
                <w:sz w:val="16"/>
                <w:szCs w:val="16"/>
              </w:rPr>
              <w:t>17</w:t>
            </w:r>
          </w:p>
        </w:tc>
      </w:tr>
      <w:tr w:rsidR="004233BF" w14:paraId="59BEACA9" w14:textId="77777777">
        <w:tc>
          <w:tcPr>
            <w:tcW w:w="1861" w:type="dxa"/>
            <w:tcBorders>
              <w:top w:val="single" w:sz="1" w:space="0" w:color="AAAAAA"/>
              <w:left w:val="single" w:sz="1" w:space="0" w:color="AAAAAA"/>
              <w:bottom w:val="single" w:sz="1" w:space="0" w:color="AAAAAA"/>
              <w:right w:val="single" w:sz="1" w:space="0" w:color="AAAAAA"/>
            </w:tcBorders>
            <w:shd w:val="clear" w:color="auto" w:fill="FFFFFF"/>
            <w:tcMar>
              <w:top w:w="55" w:type="dxa"/>
              <w:left w:w="80" w:type="dxa"/>
              <w:bottom w:w="55" w:type="dxa"/>
              <w:right w:w="80" w:type="dxa"/>
            </w:tcMar>
          </w:tcPr>
          <w:p w14:paraId="75358615" w14:textId="77777777" w:rsidR="004233BF" w:rsidRDefault="00000000">
            <w:pPr>
              <w:jc w:val="center"/>
            </w:pPr>
            <w:r>
              <w:rPr>
                <w:color w:val="000000"/>
                <w:sz w:val="16"/>
                <w:szCs w:val="16"/>
              </w:rPr>
              <w:t>Cancer Type</w:t>
            </w:r>
          </w:p>
        </w:tc>
        <w:tc>
          <w:tcPr>
            <w:tcW w:w="2571" w:type="dxa"/>
            <w:tcBorders>
              <w:top w:val="single" w:sz="1" w:space="0" w:color="AAAAAA"/>
              <w:left w:val="single" w:sz="1" w:space="0" w:color="AAAAAA"/>
              <w:bottom w:val="single" w:sz="1" w:space="0" w:color="AAAAAA"/>
              <w:right w:val="single" w:sz="1" w:space="0" w:color="AAAAAA"/>
            </w:tcBorders>
            <w:shd w:val="clear" w:color="auto" w:fill="FFFFFF"/>
            <w:tcMar>
              <w:top w:w="55" w:type="dxa"/>
              <w:left w:w="80" w:type="dxa"/>
              <w:bottom w:w="55" w:type="dxa"/>
              <w:right w:w="80" w:type="dxa"/>
            </w:tcMar>
          </w:tcPr>
          <w:p w14:paraId="2165CEE3" w14:textId="77777777" w:rsidR="004233BF" w:rsidRDefault="00000000">
            <w:pPr>
              <w:jc w:val="center"/>
            </w:pPr>
            <w:r>
              <w:rPr>
                <w:color w:val="000000"/>
                <w:sz w:val="16"/>
                <w:szCs w:val="16"/>
              </w:rPr>
              <w:t>Lung Cancer</w:t>
            </w:r>
          </w:p>
        </w:tc>
      </w:tr>
      <w:tr w:rsidR="004233BF" w14:paraId="07A5BC73" w14:textId="77777777">
        <w:tc>
          <w:tcPr>
            <w:tcW w:w="1861" w:type="dxa"/>
            <w:tcBorders>
              <w:top w:val="single" w:sz="1" w:space="0" w:color="AAAAAA"/>
              <w:left w:val="single" w:sz="1" w:space="0" w:color="AAAAAA"/>
              <w:bottom w:val="single" w:sz="1" w:space="0" w:color="AAAAAA"/>
              <w:right w:val="single" w:sz="1" w:space="0" w:color="AAAAAA"/>
            </w:tcBorders>
            <w:shd w:val="clear" w:color="auto" w:fill="FFFFFF"/>
            <w:tcMar>
              <w:top w:w="55" w:type="dxa"/>
              <w:left w:w="80" w:type="dxa"/>
              <w:bottom w:w="55" w:type="dxa"/>
              <w:right w:w="80" w:type="dxa"/>
            </w:tcMar>
          </w:tcPr>
          <w:p w14:paraId="02F2B334" w14:textId="77777777" w:rsidR="004233BF" w:rsidRDefault="00000000">
            <w:pPr>
              <w:jc w:val="center"/>
            </w:pPr>
            <w:r>
              <w:rPr>
                <w:color w:val="000000"/>
                <w:sz w:val="16"/>
                <w:szCs w:val="16"/>
              </w:rPr>
              <w:t>Target Variable</w:t>
            </w:r>
          </w:p>
        </w:tc>
        <w:tc>
          <w:tcPr>
            <w:tcW w:w="2571" w:type="dxa"/>
            <w:tcBorders>
              <w:top w:val="single" w:sz="1" w:space="0" w:color="AAAAAA"/>
              <w:left w:val="single" w:sz="1" w:space="0" w:color="AAAAAA"/>
              <w:bottom w:val="single" w:sz="1" w:space="0" w:color="AAAAAA"/>
              <w:right w:val="single" w:sz="1" w:space="0" w:color="AAAAAA"/>
            </w:tcBorders>
            <w:shd w:val="clear" w:color="auto" w:fill="FFFFFF"/>
            <w:tcMar>
              <w:top w:w="55" w:type="dxa"/>
              <w:left w:w="80" w:type="dxa"/>
              <w:bottom w:w="55" w:type="dxa"/>
              <w:right w:w="80" w:type="dxa"/>
            </w:tcMar>
          </w:tcPr>
          <w:p w14:paraId="33D18345" w14:textId="77777777" w:rsidR="004233BF" w:rsidRDefault="00000000">
            <w:pPr>
              <w:jc w:val="center"/>
            </w:pPr>
            <w:r>
              <w:rPr>
                <w:color w:val="000000"/>
                <w:sz w:val="16"/>
                <w:szCs w:val="16"/>
              </w:rPr>
              <w:t>Survival_1_Year (Yes / No)</w:t>
            </w:r>
          </w:p>
        </w:tc>
      </w:tr>
      <w:tr w:rsidR="004233BF" w14:paraId="6AA4709D" w14:textId="77777777">
        <w:tc>
          <w:tcPr>
            <w:tcW w:w="1861" w:type="dxa"/>
            <w:tcBorders>
              <w:top w:val="single" w:sz="1" w:space="0" w:color="AAAAAA"/>
              <w:left w:val="single" w:sz="1" w:space="0" w:color="AAAAAA"/>
              <w:bottom w:val="single" w:sz="1" w:space="0" w:color="AAAAAA"/>
              <w:right w:val="single" w:sz="1" w:space="0" w:color="AAAAAA"/>
            </w:tcBorders>
            <w:shd w:val="clear" w:color="auto" w:fill="FFFFFF"/>
            <w:tcMar>
              <w:top w:w="55" w:type="dxa"/>
              <w:left w:w="80" w:type="dxa"/>
              <w:bottom w:w="55" w:type="dxa"/>
              <w:right w:w="80" w:type="dxa"/>
            </w:tcMar>
          </w:tcPr>
          <w:p w14:paraId="7C3B2BBD" w14:textId="77777777" w:rsidR="004233BF" w:rsidRDefault="00000000">
            <w:pPr>
              <w:jc w:val="center"/>
            </w:pPr>
            <w:r>
              <w:rPr>
                <w:color w:val="000000"/>
                <w:sz w:val="16"/>
                <w:szCs w:val="16"/>
              </w:rPr>
              <w:t>Train Split</w:t>
            </w:r>
          </w:p>
        </w:tc>
        <w:tc>
          <w:tcPr>
            <w:tcW w:w="2571" w:type="dxa"/>
            <w:tcBorders>
              <w:top w:val="single" w:sz="1" w:space="0" w:color="AAAAAA"/>
              <w:left w:val="single" w:sz="1" w:space="0" w:color="AAAAAA"/>
              <w:bottom w:val="single" w:sz="1" w:space="0" w:color="AAAAAA"/>
              <w:right w:val="single" w:sz="1" w:space="0" w:color="AAAAAA"/>
            </w:tcBorders>
            <w:shd w:val="clear" w:color="auto" w:fill="FFFFFF"/>
            <w:tcMar>
              <w:top w:w="55" w:type="dxa"/>
              <w:left w:w="80" w:type="dxa"/>
              <w:bottom w:w="55" w:type="dxa"/>
              <w:right w:w="80" w:type="dxa"/>
            </w:tcMar>
          </w:tcPr>
          <w:p w14:paraId="0509F90F" w14:textId="77777777" w:rsidR="004233BF" w:rsidRDefault="00000000">
            <w:pPr>
              <w:jc w:val="center"/>
            </w:pPr>
            <w:r>
              <w:rPr>
                <w:color w:val="000000"/>
                <w:sz w:val="16"/>
                <w:szCs w:val="16"/>
              </w:rPr>
              <w:t>80% — 4,000 samples</w:t>
            </w:r>
          </w:p>
        </w:tc>
      </w:tr>
      <w:tr w:rsidR="004233BF" w14:paraId="1F7FC2C1" w14:textId="77777777">
        <w:tc>
          <w:tcPr>
            <w:tcW w:w="1861" w:type="dxa"/>
            <w:tcBorders>
              <w:top w:val="single" w:sz="1" w:space="0" w:color="AAAAAA"/>
              <w:left w:val="single" w:sz="1" w:space="0" w:color="AAAAAA"/>
              <w:bottom w:val="single" w:sz="1" w:space="0" w:color="AAAAAA"/>
              <w:right w:val="single" w:sz="1" w:space="0" w:color="AAAAAA"/>
            </w:tcBorders>
            <w:shd w:val="clear" w:color="auto" w:fill="FFFFFF"/>
            <w:tcMar>
              <w:top w:w="55" w:type="dxa"/>
              <w:left w:w="80" w:type="dxa"/>
              <w:bottom w:w="55" w:type="dxa"/>
              <w:right w:w="80" w:type="dxa"/>
            </w:tcMar>
          </w:tcPr>
          <w:p w14:paraId="418131C5" w14:textId="77777777" w:rsidR="004233BF" w:rsidRDefault="00000000">
            <w:pPr>
              <w:jc w:val="center"/>
            </w:pPr>
            <w:r>
              <w:rPr>
                <w:color w:val="000000"/>
                <w:sz w:val="16"/>
                <w:szCs w:val="16"/>
              </w:rPr>
              <w:t>Test Split</w:t>
            </w:r>
          </w:p>
        </w:tc>
        <w:tc>
          <w:tcPr>
            <w:tcW w:w="2571" w:type="dxa"/>
            <w:tcBorders>
              <w:top w:val="single" w:sz="1" w:space="0" w:color="AAAAAA"/>
              <w:left w:val="single" w:sz="1" w:space="0" w:color="AAAAAA"/>
              <w:bottom w:val="single" w:sz="1" w:space="0" w:color="AAAAAA"/>
              <w:right w:val="single" w:sz="1" w:space="0" w:color="AAAAAA"/>
            </w:tcBorders>
            <w:shd w:val="clear" w:color="auto" w:fill="FFFFFF"/>
            <w:tcMar>
              <w:top w:w="55" w:type="dxa"/>
              <w:left w:w="80" w:type="dxa"/>
              <w:bottom w:w="55" w:type="dxa"/>
              <w:right w:w="80" w:type="dxa"/>
            </w:tcMar>
          </w:tcPr>
          <w:p w14:paraId="145F1A47" w14:textId="77777777" w:rsidR="004233BF" w:rsidRDefault="00000000">
            <w:pPr>
              <w:jc w:val="center"/>
            </w:pPr>
            <w:r>
              <w:rPr>
                <w:color w:val="000000"/>
                <w:sz w:val="16"/>
                <w:szCs w:val="16"/>
              </w:rPr>
              <w:t>20% — 1,000 samples</w:t>
            </w:r>
          </w:p>
        </w:tc>
      </w:tr>
      <w:tr w:rsidR="004233BF" w14:paraId="49D9D04F" w14:textId="77777777">
        <w:tc>
          <w:tcPr>
            <w:tcW w:w="1861" w:type="dxa"/>
            <w:tcBorders>
              <w:top w:val="single" w:sz="1" w:space="0" w:color="AAAAAA"/>
              <w:left w:val="single" w:sz="1" w:space="0" w:color="AAAAAA"/>
              <w:bottom w:val="single" w:sz="1" w:space="0" w:color="AAAAAA"/>
              <w:right w:val="single" w:sz="1" w:space="0" w:color="AAAAAA"/>
            </w:tcBorders>
            <w:shd w:val="clear" w:color="auto" w:fill="FFFFFF"/>
            <w:tcMar>
              <w:top w:w="55" w:type="dxa"/>
              <w:left w:w="80" w:type="dxa"/>
              <w:bottom w:w="55" w:type="dxa"/>
              <w:right w:w="80" w:type="dxa"/>
            </w:tcMar>
          </w:tcPr>
          <w:p w14:paraId="035F18FE" w14:textId="77777777" w:rsidR="004233BF" w:rsidRDefault="00000000">
            <w:pPr>
              <w:jc w:val="center"/>
            </w:pPr>
            <w:r>
              <w:rPr>
                <w:color w:val="000000"/>
                <w:sz w:val="16"/>
                <w:szCs w:val="16"/>
              </w:rPr>
              <w:t>Missing Values</w:t>
            </w:r>
          </w:p>
        </w:tc>
        <w:tc>
          <w:tcPr>
            <w:tcW w:w="2571" w:type="dxa"/>
            <w:tcBorders>
              <w:top w:val="single" w:sz="1" w:space="0" w:color="AAAAAA"/>
              <w:left w:val="single" w:sz="1" w:space="0" w:color="AAAAAA"/>
              <w:bottom w:val="single" w:sz="1" w:space="0" w:color="AAAAAA"/>
              <w:right w:val="single" w:sz="1" w:space="0" w:color="AAAAAA"/>
            </w:tcBorders>
            <w:shd w:val="clear" w:color="auto" w:fill="FFFFFF"/>
            <w:tcMar>
              <w:top w:w="55" w:type="dxa"/>
              <w:left w:w="80" w:type="dxa"/>
              <w:bottom w:w="55" w:type="dxa"/>
              <w:right w:w="80" w:type="dxa"/>
            </w:tcMar>
          </w:tcPr>
          <w:p w14:paraId="724E888F" w14:textId="77777777" w:rsidR="004233BF" w:rsidRDefault="00000000">
            <w:pPr>
              <w:jc w:val="center"/>
            </w:pPr>
            <w:r>
              <w:rPr>
                <w:color w:val="000000"/>
                <w:sz w:val="16"/>
                <w:szCs w:val="16"/>
              </w:rPr>
              <w:t>None (preprocessed)</w:t>
            </w:r>
          </w:p>
        </w:tc>
      </w:tr>
    </w:tbl>
    <w:p w14:paraId="44193201" w14:textId="77777777" w:rsidR="004233BF" w:rsidRDefault="00000000">
      <w:pPr>
        <w:spacing w:before="80" w:after="100"/>
        <w:jc w:val="center"/>
      </w:pPr>
      <w:r>
        <w:rPr>
          <w:b/>
          <w:bCs/>
          <w:sz w:val="18"/>
          <w:szCs w:val="18"/>
        </w:rPr>
        <w:t>TABLE II. Dataset Summary</w:t>
      </w:r>
    </w:p>
    <w:p w14:paraId="15A018E6" w14:textId="77777777" w:rsidR="004233BF" w:rsidRDefault="004233BF">
      <w:pPr>
        <w:spacing w:after="60"/>
      </w:pPr>
    </w:p>
    <w:p w14:paraId="39E7DC70" w14:textId="77777777" w:rsidR="004233BF" w:rsidRDefault="004233BF">
      <w:pPr>
        <w:spacing w:after="60"/>
      </w:pPr>
    </w:p>
    <w:p w14:paraId="0F0086F6" w14:textId="77777777" w:rsidR="004233BF" w:rsidRDefault="00000000">
      <w:pPr>
        <w:jc w:val="center"/>
      </w:pPr>
      <w:r>
        <w:rPr>
          <w:noProof/>
        </w:rPr>
        <w:drawing>
          <wp:inline distT="0" distB="0" distL="0" distR="0" wp14:anchorId="3DBAAA35" wp14:editId="3D20963C">
            <wp:extent cx="2981325" cy="2276475"/>
            <wp:effectExtent l="0" t="0" r="0" b="0"/>
            <wp:docPr id="1126232253" name="Picture 1126232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981325" cy="2276475"/>
                    </a:xfrm>
                    <a:prstGeom prst="rect">
                      <a:avLst/>
                    </a:prstGeom>
                  </pic:spPr>
                </pic:pic>
              </a:graphicData>
            </a:graphic>
          </wp:inline>
        </w:drawing>
      </w:r>
    </w:p>
    <w:p w14:paraId="22464FC7" w14:textId="77777777" w:rsidR="004233BF" w:rsidRDefault="00000000">
      <w:pPr>
        <w:spacing w:before="60" w:after="100"/>
        <w:jc w:val="center"/>
      </w:pPr>
      <w:r>
        <w:rPr>
          <w:i/>
          <w:iCs/>
          <w:sz w:val="18"/>
          <w:szCs w:val="18"/>
        </w:rPr>
        <w:t>Fig. 2. Cancer Presence Distribution in the Dataset. Class 0 (non-cancer): ~101,000 records; Class 1 (cancer-positive): ~187,000 records, indicating class imbalance addressed via SMOTE during preprocessing.</w:t>
      </w:r>
    </w:p>
    <w:p w14:paraId="7E6F58E9" w14:textId="3BF57628" w:rsidR="004233BF" w:rsidRPr="006126F4" w:rsidRDefault="006126F4" w:rsidP="006126F4">
      <w:pPr>
        <w:spacing w:after="60"/>
        <w:jc w:val="both"/>
      </w:pPr>
      <w:r w:rsidRPr="006126F4">
        <w:t>As shown in the Cancer Presence Distribution (Fig. 2), there is a visible disparity between the two classes, with approximately 187,000 cancer-positive cases (Class 1) compared to 101,000 non-cancer records (Class 0). To prevent the model from developing a bias toward the majority class, we applied SMOTE during the preprocessing phase. This balancing act ensures that our final survival outcome predictions are grounded in an equitable representation of both groups.</w:t>
      </w:r>
    </w:p>
    <w:p w14:paraId="3FF7864E" w14:textId="77777777" w:rsidR="004233BF" w:rsidRDefault="00000000">
      <w:pPr>
        <w:spacing w:before="120" w:after="60"/>
      </w:pPr>
      <w:r>
        <w:rPr>
          <w:b/>
          <w:bCs/>
          <w:i/>
          <w:iCs/>
        </w:rPr>
        <w:t>A. Key Attributes</w:t>
      </w:r>
    </w:p>
    <w:p w14:paraId="09949E74" w14:textId="022F80FE" w:rsidR="004233BF" w:rsidRPr="006126F4" w:rsidRDefault="006126F4" w:rsidP="006126F4">
      <w:pPr>
        <w:spacing w:after="80"/>
        <w:jc w:val="both"/>
      </w:pPr>
      <w:r w:rsidRPr="006126F4">
        <w:t>The dataset is built upon 17 key attributes that bridge the gap between clinical data and regional lifestyle factors. These include demographic markers (Age, Gender, Residence), environmental stressors (Pollution, Biomass Fuel, and Factory Exposure), and specific oncology metrics (Tumor Size, Histology, and Stage). By also tracking Family History, Symptoms, and Treatment/Hospital types, the model is trained to predict the binary target of 1-year survival.</w:t>
      </w:r>
    </w:p>
    <w:p w14:paraId="258F7D1E" w14:textId="77777777" w:rsidR="004233BF" w:rsidRDefault="00000000">
      <w:pPr>
        <w:spacing w:before="160" w:after="80"/>
        <w:jc w:val="center"/>
      </w:pPr>
      <w:r>
        <w:rPr>
          <w:b/>
          <w:bCs/>
        </w:rPr>
        <w:lastRenderedPageBreak/>
        <w:t>VII. METHODOLOGY</w:t>
      </w:r>
    </w:p>
    <w:p w14:paraId="0CBFAB7D" w14:textId="77777777" w:rsidR="004233BF" w:rsidRDefault="00000000">
      <w:pPr>
        <w:spacing w:before="120" w:after="60"/>
      </w:pPr>
      <w:r>
        <w:rPr>
          <w:b/>
          <w:bCs/>
          <w:i/>
          <w:iCs/>
        </w:rPr>
        <w:t>A. Data Preprocessing</w:t>
      </w:r>
    </w:p>
    <w:p w14:paraId="5A150847" w14:textId="77777777" w:rsidR="002A4F5A" w:rsidRPr="002A4F5A" w:rsidRDefault="002A4F5A" w:rsidP="002A4F5A">
      <w:pPr>
        <w:spacing w:before="120" w:after="60"/>
        <w:jc w:val="both"/>
      </w:pPr>
      <w:r w:rsidRPr="002A4F5A">
        <w:t>Before training the model, the dataset went through several preprocessing steps to improve data quality and model performance. Categorical features such as gender, smoking status, histology type, cancer stage, and treatment type were converted into numerical form using Label Encoding for ordered categories and One-Hot Encoding for unordered categories. Numerical features were then scaled between 0 and 1 using Min-Max normalization to ensure all features were on a similar scale. Since the dataset had class imbalance, SMOTE was applied to balance the classes by generating synthetic samples. Finally, the dataset was divided into 80% training data and 20% testing data using stratified sampling so that the class distribution remained consistent in both sets.</w:t>
      </w:r>
    </w:p>
    <w:p w14:paraId="1C85A013" w14:textId="77777777" w:rsidR="004233BF" w:rsidRDefault="00000000">
      <w:pPr>
        <w:spacing w:before="120" w:after="60"/>
      </w:pPr>
      <w:r>
        <w:rPr>
          <w:b/>
          <w:bCs/>
          <w:i/>
          <w:iCs/>
        </w:rPr>
        <w:t>B. Feature Correlation Analysis</w:t>
      </w:r>
    </w:p>
    <w:p w14:paraId="5EB7D792" w14:textId="77777777" w:rsidR="002A4F5A" w:rsidRPr="002A4F5A" w:rsidRDefault="002A4F5A" w:rsidP="002A4F5A">
      <w:pPr>
        <w:spacing w:after="40"/>
        <w:jc w:val="both"/>
      </w:pPr>
      <w:r w:rsidRPr="002A4F5A">
        <w:t>A correlation heatmap (Fig. 3) was created to study the relationships between all 27 features in the extended dataset, including clinical, radiomic, and genomic variables. This visualization helped in understanding how different features were related to each other. It also supported the feature selection process by highlighting highly correlated or redundant features, which could be removed to simplify the model and reduce its complexity.</w:t>
      </w:r>
    </w:p>
    <w:p w14:paraId="29FB7DC4" w14:textId="77777777" w:rsidR="004233BF" w:rsidRDefault="004233BF" w:rsidP="002A4F5A">
      <w:pPr>
        <w:spacing w:after="40"/>
        <w:jc w:val="both"/>
      </w:pPr>
    </w:p>
    <w:p w14:paraId="301495D5" w14:textId="77777777" w:rsidR="004233BF" w:rsidRDefault="004233BF">
      <w:pPr>
        <w:spacing w:after="60"/>
      </w:pPr>
    </w:p>
    <w:p w14:paraId="20C4C6C0" w14:textId="77777777" w:rsidR="004233BF" w:rsidRDefault="00000000">
      <w:pPr>
        <w:jc w:val="center"/>
      </w:pPr>
      <w:r>
        <w:rPr>
          <w:noProof/>
        </w:rPr>
        <w:drawing>
          <wp:inline distT="0" distB="0" distL="0" distR="0" wp14:anchorId="2630539D" wp14:editId="41928287">
            <wp:extent cx="2981274" cy="3268439"/>
            <wp:effectExtent l="0" t="0" r="0" b="8255"/>
            <wp:docPr id="552390087" name="Picture 5523900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981274" cy="3268439"/>
                    </a:xfrm>
                    <a:prstGeom prst="rect">
                      <a:avLst/>
                    </a:prstGeom>
                  </pic:spPr>
                </pic:pic>
              </a:graphicData>
            </a:graphic>
          </wp:inline>
        </w:drawing>
      </w:r>
    </w:p>
    <w:p w14:paraId="15CA9821" w14:textId="77777777" w:rsidR="00B815E2" w:rsidRDefault="00B815E2" w:rsidP="002A4F5A">
      <w:pPr>
        <w:spacing w:after="60"/>
        <w:jc w:val="both"/>
        <w:rPr>
          <w:b/>
          <w:bCs/>
          <w:i/>
          <w:iCs/>
          <w:sz w:val="18"/>
          <w:szCs w:val="18"/>
        </w:rPr>
      </w:pPr>
    </w:p>
    <w:p w14:paraId="264BE486" w14:textId="77777777" w:rsidR="00B815E2" w:rsidRDefault="00B815E2" w:rsidP="002A4F5A">
      <w:pPr>
        <w:spacing w:after="60"/>
        <w:jc w:val="both"/>
        <w:rPr>
          <w:b/>
          <w:bCs/>
          <w:i/>
          <w:iCs/>
          <w:sz w:val="18"/>
          <w:szCs w:val="18"/>
        </w:rPr>
      </w:pPr>
    </w:p>
    <w:p w14:paraId="5EA6ECC3" w14:textId="183AE40F" w:rsidR="004233BF" w:rsidRDefault="002A4F5A" w:rsidP="002A4F5A">
      <w:pPr>
        <w:spacing w:after="60"/>
        <w:jc w:val="both"/>
      </w:pPr>
      <w:r w:rsidRPr="002A4F5A">
        <w:rPr>
          <w:b/>
          <w:bCs/>
          <w:i/>
          <w:iCs/>
          <w:sz w:val="18"/>
          <w:szCs w:val="18"/>
        </w:rPr>
        <w:t>Fig. 3</w:t>
      </w:r>
      <w:r w:rsidRPr="002A4F5A">
        <w:rPr>
          <w:i/>
          <w:iCs/>
          <w:sz w:val="18"/>
          <w:szCs w:val="18"/>
        </w:rPr>
        <w:t xml:space="preserve"> shows the feature correlation heatmap illustrating the pairwise relationships between clinical, radiomic, and genomic features. The strong values along the diagonal represent self-correlation of each feature. The heatmap also shows that there is no strong correlation between different features, which indicates that the features are mostly independent. This confirms that the selected features are suitable and reliable for machine learning model training.</w:t>
      </w:r>
    </w:p>
    <w:p w14:paraId="74D8A640" w14:textId="77777777" w:rsidR="002A4F5A" w:rsidRDefault="002A4F5A" w:rsidP="002A4F5A">
      <w:pPr>
        <w:spacing w:before="120" w:after="60"/>
        <w:jc w:val="both"/>
      </w:pPr>
      <w:r w:rsidRPr="002A4F5A">
        <w:t>The correlation heatmap (Fig. 3) shows that each feature has a strong correlation with itself, which is visible along the diagonal values equal to 1.0. Apart from this, no strong correlation was found between different features in the dataset. This indicates that the selected clinical features are independent of each other and there is no multicollinearity present, which helps in improving the reliability and performance of the machine learning model.</w:t>
      </w:r>
    </w:p>
    <w:p w14:paraId="37007225" w14:textId="70868CE8" w:rsidR="004233BF" w:rsidRDefault="00000000">
      <w:pPr>
        <w:spacing w:before="120" w:after="60"/>
      </w:pPr>
      <w:r>
        <w:rPr>
          <w:b/>
          <w:bCs/>
          <w:i/>
          <w:iCs/>
        </w:rPr>
        <w:t>C. Machine Learning Algorithms</w:t>
      </w:r>
    </w:p>
    <w:p w14:paraId="3427CD2A" w14:textId="77777777" w:rsidR="0058259B" w:rsidRPr="0058259B" w:rsidRDefault="0058259B" w:rsidP="0058259B">
      <w:pPr>
        <w:spacing w:before="120" w:after="60"/>
        <w:jc w:val="both"/>
      </w:pPr>
      <w:r w:rsidRPr="0058259B">
        <w:t>Four supervised machine learning classifiers were implemented and compared:</w:t>
      </w:r>
    </w:p>
    <w:p w14:paraId="75F690C2" w14:textId="32E5BE33" w:rsidR="0058259B" w:rsidRPr="0058259B" w:rsidRDefault="0058259B" w:rsidP="0058259B">
      <w:pPr>
        <w:spacing w:before="120" w:after="60"/>
        <w:jc w:val="both"/>
      </w:pPr>
      <w:r w:rsidRPr="0058259B">
        <w:t xml:space="preserve">• </w:t>
      </w:r>
      <w:r w:rsidRPr="0058259B">
        <w:rPr>
          <w:b/>
          <w:bCs/>
        </w:rPr>
        <w:t>Logistic Regression:</w:t>
      </w:r>
      <w:r>
        <w:rPr>
          <w:b/>
          <w:bCs/>
        </w:rPr>
        <w:t xml:space="preserve"> </w:t>
      </w:r>
      <w:r w:rsidRPr="0058259B">
        <w:t>Used as a baseline model because it is simple and easy to interpret. It is a linear probabilistic model that uses L1 or L2 regularization to prevent overfitting. It was also used to analyze feature importance using coefficient values.</w:t>
      </w:r>
    </w:p>
    <w:p w14:paraId="0F1C4DC7" w14:textId="2EFCCA32" w:rsidR="0058259B" w:rsidRPr="0058259B" w:rsidRDefault="0058259B" w:rsidP="0058259B">
      <w:pPr>
        <w:spacing w:before="120" w:after="60"/>
        <w:jc w:val="both"/>
      </w:pPr>
      <w:r w:rsidRPr="0058259B">
        <w:t xml:space="preserve">• </w:t>
      </w:r>
      <w:r w:rsidRPr="0058259B">
        <w:rPr>
          <w:b/>
          <w:bCs/>
        </w:rPr>
        <w:t>Decision Tree Classifier:</w:t>
      </w:r>
      <w:r>
        <w:rPr>
          <w:b/>
          <w:bCs/>
        </w:rPr>
        <w:t xml:space="preserve"> </w:t>
      </w:r>
      <w:r w:rsidRPr="0058259B">
        <w:t>A non-linear model that splits the dataset into branches based on feature values. It uses Gini impurity to decide the best splits, and the maximum depth of the tree was adjusted to control overfitting and model complexity.</w:t>
      </w:r>
    </w:p>
    <w:p w14:paraId="4BE082F7" w14:textId="7EF8EF2F" w:rsidR="0058259B" w:rsidRPr="0058259B" w:rsidRDefault="0058259B" w:rsidP="0058259B">
      <w:pPr>
        <w:spacing w:before="120" w:after="60"/>
        <w:jc w:val="both"/>
      </w:pPr>
      <w:r w:rsidRPr="0058259B">
        <w:t xml:space="preserve">• </w:t>
      </w:r>
      <w:r w:rsidRPr="0058259B">
        <w:rPr>
          <w:b/>
          <w:bCs/>
        </w:rPr>
        <w:t>Random Forest Classifier:</w:t>
      </w:r>
      <w:r>
        <w:rPr>
          <w:b/>
          <w:bCs/>
        </w:rPr>
        <w:t xml:space="preserve"> </w:t>
      </w:r>
      <w:r w:rsidRPr="0058259B">
        <w:t>An ensemble model made up of 100 decision trees. It uses bootstrap aggregation (bagging) to combine multiple trees, which reduces variance and improves prediction accuracy compared to a single decision tree.</w:t>
      </w:r>
    </w:p>
    <w:p w14:paraId="7F0D15FE" w14:textId="7036BCE1" w:rsidR="0058259B" w:rsidRDefault="0058259B" w:rsidP="0058259B">
      <w:pPr>
        <w:spacing w:before="120" w:after="60"/>
        <w:jc w:val="both"/>
      </w:pPr>
      <w:r w:rsidRPr="0058259B">
        <w:t xml:space="preserve">• </w:t>
      </w:r>
      <w:r w:rsidRPr="0058259B">
        <w:rPr>
          <w:b/>
          <w:bCs/>
        </w:rPr>
        <w:t>Support Vector Machine (SVM):</w:t>
      </w:r>
      <w:r>
        <w:t xml:space="preserve"> </w:t>
      </w:r>
      <w:r w:rsidRPr="0058259B">
        <w:t>A classifier that finds the optimal boundary between classes. It uses the Radial Basis Function (RBF) kernel to handle non-linear data and works well with high-dimensional feature spaces.</w:t>
      </w:r>
    </w:p>
    <w:p w14:paraId="5B6DC918" w14:textId="77777777" w:rsidR="00153FC0" w:rsidRPr="0058259B" w:rsidRDefault="00153FC0" w:rsidP="0058259B">
      <w:pPr>
        <w:spacing w:before="120" w:after="60"/>
        <w:jc w:val="both"/>
      </w:pPr>
    </w:p>
    <w:p w14:paraId="655C4240" w14:textId="1F667B6D" w:rsidR="00153FC0" w:rsidRPr="00153FC0" w:rsidRDefault="00000000">
      <w:pPr>
        <w:spacing w:before="120" w:after="60"/>
        <w:rPr>
          <w:b/>
          <w:bCs/>
          <w:i/>
          <w:iCs/>
        </w:rPr>
      </w:pPr>
      <w:r>
        <w:rPr>
          <w:b/>
          <w:bCs/>
          <w:i/>
          <w:iCs/>
        </w:rPr>
        <w:t>D. Mathematical Model</w:t>
      </w:r>
    </w:p>
    <w:p w14:paraId="59014513" w14:textId="50C58A62" w:rsidR="004233BF" w:rsidRDefault="00EF6350">
      <w:pPr>
        <w:spacing w:after="80"/>
        <w:jc w:val="both"/>
      </w:pPr>
      <w:r w:rsidRPr="00EF6350">
        <w:t>The patient data can be represented as a feature vector</w:t>
      </w:r>
      <w:r w:rsidRPr="00EF6350">
        <w:br/>
      </w:r>
      <w:r w:rsidRPr="00EF6350">
        <w:rPr>
          <w:b/>
          <w:bCs/>
        </w:rPr>
        <w:t>X = {x₁, x₂, ..., xₙ}</w:t>
      </w:r>
      <w:r w:rsidRPr="00EF6350">
        <w:t xml:space="preserve">, where </w:t>
      </w:r>
      <w:r w:rsidRPr="00EF6350">
        <w:rPr>
          <w:b/>
          <w:bCs/>
        </w:rPr>
        <w:t>n = 17</w:t>
      </w:r>
      <w:r w:rsidRPr="00EF6350">
        <w:t xml:space="preserve"> clinical features.</w:t>
      </w:r>
      <w:r w:rsidRPr="00EF6350">
        <w:br/>
        <w:t>The machine learning model learns a function that maps the input features to the predicted outcome:</w:t>
      </w:r>
    </w:p>
    <w:p w14:paraId="20C3DE45" w14:textId="77777777" w:rsidR="004233BF" w:rsidRDefault="00000000">
      <w:pPr>
        <w:spacing w:before="60" w:after="60"/>
        <w:jc w:val="center"/>
      </w:pPr>
      <w:r>
        <w:rPr>
          <w:rFonts w:ascii="Courier New" w:eastAsia="Courier New" w:hAnsi="Courier New" w:cs="Courier New"/>
          <w:b/>
          <w:bCs/>
        </w:rPr>
        <w:t>ŷ = fθ(X)</w:t>
      </w:r>
    </w:p>
    <w:p w14:paraId="1532B3EB" w14:textId="37ACD6FA" w:rsidR="004233BF" w:rsidRDefault="00EF6350">
      <w:pPr>
        <w:spacing w:after="80"/>
        <w:jc w:val="both"/>
      </w:pPr>
      <w:r w:rsidRPr="00EF6350">
        <w:t>During training, the model minimizes the binary cross-entropy loss function:</w:t>
      </w:r>
    </w:p>
    <w:p w14:paraId="552CF059" w14:textId="77777777" w:rsidR="004233BF" w:rsidRPr="00EF6350" w:rsidRDefault="00000000">
      <w:pPr>
        <w:spacing w:before="60" w:after="60"/>
        <w:jc w:val="center"/>
        <w:rPr>
          <w:b/>
          <w:bCs/>
        </w:rPr>
      </w:pPr>
      <w:r w:rsidRPr="00EF6350">
        <w:rPr>
          <w:rFonts w:ascii="Courier New" w:eastAsia="Courier New" w:hAnsi="Courier New" w:cs="Courier New"/>
          <w:b/>
          <w:bCs/>
        </w:rPr>
        <w:t>L = -(1/N) Σ [yᵢ log(ŷᵢ) + (1-yᵢ) log(1-ŷᵢ)]</w:t>
      </w:r>
    </w:p>
    <w:p w14:paraId="380D6617" w14:textId="3B547B4A" w:rsidR="004233BF" w:rsidRDefault="00EF6350">
      <w:pPr>
        <w:spacing w:after="80"/>
        <w:jc w:val="both"/>
      </w:pPr>
      <w:r w:rsidRPr="00EF6350">
        <w:t>The clinical risk score for each patient is calculated using the predicted survival probability:</w:t>
      </w:r>
    </w:p>
    <w:p w14:paraId="75125F70" w14:textId="7D2A203E" w:rsidR="004233BF" w:rsidRDefault="00000000">
      <w:pPr>
        <w:spacing w:before="60" w:after="80"/>
        <w:jc w:val="center"/>
        <w:rPr>
          <w:rFonts w:ascii="Courier New" w:eastAsia="Courier New" w:hAnsi="Courier New" w:cs="Courier New"/>
        </w:rPr>
      </w:pPr>
      <w:r w:rsidRPr="00EF6350">
        <w:rPr>
          <w:rFonts w:ascii="Courier New" w:eastAsia="Courier New" w:hAnsi="Courier New" w:cs="Courier New"/>
          <w:b/>
          <w:bCs/>
        </w:rPr>
        <w:t xml:space="preserve">R = 1 </w:t>
      </w:r>
      <w:r w:rsidR="00EF6350" w:rsidRPr="00EF6350">
        <w:rPr>
          <w:rFonts w:ascii="Courier New" w:eastAsia="Courier New" w:hAnsi="Courier New" w:cs="Courier New"/>
          <w:b/>
          <w:bCs/>
        </w:rPr>
        <w:t>–</w:t>
      </w:r>
      <w:r w:rsidRPr="00EF6350">
        <w:rPr>
          <w:rFonts w:ascii="Courier New" w:eastAsia="Courier New" w:hAnsi="Courier New" w:cs="Courier New"/>
          <w:b/>
          <w:bCs/>
        </w:rPr>
        <w:t xml:space="preserve"> ŷ</w:t>
      </w:r>
      <w:r w:rsidR="00EF6350">
        <w:rPr>
          <w:rFonts w:ascii="Courier New" w:eastAsia="Courier New" w:hAnsi="Courier New" w:cs="Courier New"/>
        </w:rPr>
        <w:tab/>
      </w:r>
      <w:r w:rsidR="0058259B" w:rsidRPr="00EF6350">
        <w:rPr>
          <w:rFonts w:ascii="Courier New" w:eastAsia="Courier New" w:hAnsi="Courier New" w:cs="Courier New"/>
          <w:b/>
          <w:bCs/>
        </w:rPr>
        <w:t>(</w:t>
      </w:r>
      <w:r w:rsidRPr="00EF6350">
        <w:rPr>
          <w:rFonts w:ascii="Courier New" w:eastAsia="Courier New" w:hAnsi="Courier New" w:cs="Courier New"/>
          <w:b/>
          <w:bCs/>
        </w:rPr>
        <w:t>Risk = 1 minus survival probability)</w:t>
      </w:r>
    </w:p>
    <w:p w14:paraId="072657A7" w14:textId="6F93F2E1" w:rsidR="00153FC0" w:rsidRDefault="00EF6350" w:rsidP="00EF6350">
      <w:pPr>
        <w:spacing w:before="60" w:after="80"/>
        <w:jc w:val="both"/>
      </w:pPr>
      <w:r w:rsidRPr="00EF6350">
        <w:t>This means that the risk score increases when the predicted survival probability decreases.</w:t>
      </w:r>
    </w:p>
    <w:p w14:paraId="5CE438C8" w14:textId="77777777" w:rsidR="004233BF" w:rsidRDefault="00000000">
      <w:pPr>
        <w:spacing w:before="120" w:after="60"/>
      </w:pPr>
      <w:r>
        <w:rPr>
          <w:b/>
          <w:bCs/>
          <w:i/>
          <w:iCs/>
        </w:rPr>
        <w:t>E. Experimental Setup</w:t>
      </w:r>
    </w:p>
    <w:p w14:paraId="6D9FE491" w14:textId="77777777" w:rsidR="00EF6350" w:rsidRDefault="0058259B" w:rsidP="0058259B">
      <w:pPr>
        <w:spacing w:after="80"/>
        <w:jc w:val="both"/>
      </w:pPr>
      <w:r w:rsidRPr="0058259B">
        <w:t xml:space="preserve">All experiments were carried out using Python 3.10 with libraries such as Scikit-learn, Pandas, NumPy, and Matplotlib. The experiments were run on Google Colab using an NVIDIA T4 GPU with 12 GB RAM. Hyperparameter tuning was performed using 5-fold </w:t>
      </w:r>
      <w:r w:rsidRPr="0058259B">
        <w:lastRenderedPageBreak/>
        <w:t>stratified cross-validation to ensure balanced class distribution during training and validation.</w:t>
      </w:r>
    </w:p>
    <w:p w14:paraId="651E6A28" w14:textId="390E1DF4" w:rsidR="0058259B" w:rsidRPr="0058259B" w:rsidRDefault="0058259B" w:rsidP="0058259B">
      <w:pPr>
        <w:spacing w:after="80"/>
        <w:jc w:val="both"/>
      </w:pPr>
      <w:r w:rsidRPr="0058259B">
        <w:t>Some important hyperparameters used in the models include a learning rate of 0.001, batch size of 32, and the Adam optimizer for training. The Random Forest model was built using 100 trees, while the Support Vector Machine used an RBF kernel with C = 1.0 and gamma set to “scale”.</w:t>
      </w:r>
    </w:p>
    <w:p w14:paraId="0C13FCC6" w14:textId="0EDFB222" w:rsidR="004233BF" w:rsidRDefault="00000000" w:rsidP="00EF6350">
      <w:pPr>
        <w:spacing w:after="80"/>
        <w:jc w:val="both"/>
      </w:pPr>
      <w:r>
        <w:t>.</w:t>
      </w:r>
    </w:p>
    <w:p w14:paraId="75D4F358" w14:textId="77777777" w:rsidR="004233BF" w:rsidRDefault="00000000">
      <w:pPr>
        <w:spacing w:before="160" w:after="80"/>
        <w:jc w:val="center"/>
      </w:pPr>
      <w:r>
        <w:rPr>
          <w:b/>
          <w:bCs/>
        </w:rPr>
        <w:t>VIII. RESULTS</w:t>
      </w:r>
    </w:p>
    <w:p w14:paraId="058878C0" w14:textId="77777777" w:rsidR="004233BF" w:rsidRPr="00EF6350" w:rsidRDefault="00000000">
      <w:pPr>
        <w:spacing w:before="120" w:after="60"/>
      </w:pPr>
      <w:r w:rsidRPr="00EF6350">
        <w:rPr>
          <w:b/>
          <w:bCs/>
        </w:rPr>
        <w:t>A. Performance Metrics</w:t>
      </w:r>
    </w:p>
    <w:p w14:paraId="191E43F1" w14:textId="77777777" w:rsidR="00EF6350" w:rsidRPr="00EF6350" w:rsidRDefault="00EF6350" w:rsidP="00EF6350">
      <w:pPr>
        <w:spacing w:after="80"/>
        <w:jc w:val="both"/>
      </w:pPr>
      <w:r w:rsidRPr="00EF6350">
        <w:t>To evaluate the effectiveness of the proposed OncoFusionNet-LC framework, the Random Forest model was tested on a separate test dataset. The model produced the following performance metrics.</w:t>
      </w:r>
    </w:p>
    <w:p w14:paraId="5F8D01F0" w14:textId="43DA4384" w:rsidR="004233BF" w:rsidRDefault="004233BF">
      <w:pPr>
        <w:spacing w:after="80"/>
        <w:jc w:val="both"/>
      </w:pPr>
    </w:p>
    <w:p w14:paraId="3F904A20" w14:textId="77777777" w:rsidR="004233BF" w:rsidRDefault="004233BF">
      <w:pPr>
        <w:spacing w:after="40"/>
      </w:pPr>
    </w:p>
    <w:tbl>
      <w:tblPr>
        <w:tblW w:w="44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71"/>
        <w:gridCol w:w="1861"/>
      </w:tblGrid>
      <w:tr w:rsidR="004233BF" w14:paraId="508215C6" w14:textId="77777777">
        <w:tc>
          <w:tcPr>
            <w:tcW w:w="2571" w:type="dxa"/>
            <w:tcBorders>
              <w:top w:val="single" w:sz="1" w:space="0" w:color="AAAAAA"/>
              <w:left w:val="single" w:sz="1" w:space="0" w:color="AAAAAA"/>
              <w:bottom w:val="single" w:sz="1" w:space="0" w:color="AAAAAA"/>
              <w:right w:val="single" w:sz="1" w:space="0" w:color="AAAAAA"/>
            </w:tcBorders>
            <w:shd w:val="clear" w:color="auto" w:fill="404040"/>
            <w:tcMar>
              <w:top w:w="55" w:type="dxa"/>
              <w:left w:w="80" w:type="dxa"/>
              <w:bottom w:w="55" w:type="dxa"/>
              <w:right w:w="80" w:type="dxa"/>
            </w:tcMar>
          </w:tcPr>
          <w:p w14:paraId="1D7883B8" w14:textId="77777777" w:rsidR="004233BF" w:rsidRDefault="00000000">
            <w:pPr>
              <w:jc w:val="center"/>
            </w:pPr>
            <w:r>
              <w:rPr>
                <w:b/>
                <w:bCs/>
                <w:color w:val="FFFFFF"/>
                <w:sz w:val="16"/>
                <w:szCs w:val="16"/>
              </w:rPr>
              <w:t>Metric</w:t>
            </w:r>
          </w:p>
        </w:tc>
        <w:tc>
          <w:tcPr>
            <w:tcW w:w="1861" w:type="dxa"/>
            <w:tcBorders>
              <w:top w:val="single" w:sz="1" w:space="0" w:color="AAAAAA"/>
              <w:left w:val="single" w:sz="1" w:space="0" w:color="AAAAAA"/>
              <w:bottom w:val="single" w:sz="1" w:space="0" w:color="AAAAAA"/>
              <w:right w:val="single" w:sz="1" w:space="0" w:color="AAAAAA"/>
            </w:tcBorders>
            <w:shd w:val="clear" w:color="auto" w:fill="404040"/>
            <w:tcMar>
              <w:top w:w="55" w:type="dxa"/>
              <w:left w:w="80" w:type="dxa"/>
              <w:bottom w:w="55" w:type="dxa"/>
              <w:right w:w="80" w:type="dxa"/>
            </w:tcMar>
          </w:tcPr>
          <w:p w14:paraId="3361F85F" w14:textId="77777777" w:rsidR="004233BF" w:rsidRDefault="00000000">
            <w:pPr>
              <w:jc w:val="center"/>
            </w:pPr>
            <w:r>
              <w:rPr>
                <w:b/>
                <w:bCs/>
                <w:color w:val="FFFFFF"/>
                <w:sz w:val="16"/>
                <w:szCs w:val="16"/>
              </w:rPr>
              <w:t>Value</w:t>
            </w:r>
          </w:p>
        </w:tc>
      </w:tr>
      <w:tr w:rsidR="004233BF" w14:paraId="4F55B0DA" w14:textId="77777777">
        <w:tc>
          <w:tcPr>
            <w:tcW w:w="2571" w:type="dxa"/>
            <w:tcBorders>
              <w:top w:val="single" w:sz="1" w:space="0" w:color="AAAAAA"/>
              <w:left w:val="single" w:sz="1" w:space="0" w:color="AAAAAA"/>
              <w:bottom w:val="single" w:sz="1" w:space="0" w:color="AAAAAA"/>
              <w:right w:val="single" w:sz="1" w:space="0" w:color="AAAAAA"/>
            </w:tcBorders>
            <w:shd w:val="clear" w:color="auto" w:fill="FFFFFF"/>
            <w:tcMar>
              <w:top w:w="55" w:type="dxa"/>
              <w:left w:w="80" w:type="dxa"/>
              <w:bottom w:w="55" w:type="dxa"/>
              <w:right w:w="80" w:type="dxa"/>
            </w:tcMar>
          </w:tcPr>
          <w:p w14:paraId="298A2ECA" w14:textId="77777777" w:rsidR="004233BF" w:rsidRDefault="00000000">
            <w:pPr>
              <w:jc w:val="center"/>
            </w:pPr>
            <w:r>
              <w:rPr>
                <w:color w:val="000000"/>
                <w:sz w:val="16"/>
                <w:szCs w:val="16"/>
              </w:rPr>
              <w:t>Accuracy</w:t>
            </w:r>
          </w:p>
        </w:tc>
        <w:tc>
          <w:tcPr>
            <w:tcW w:w="1861" w:type="dxa"/>
            <w:tcBorders>
              <w:top w:val="single" w:sz="1" w:space="0" w:color="AAAAAA"/>
              <w:left w:val="single" w:sz="1" w:space="0" w:color="AAAAAA"/>
              <w:bottom w:val="single" w:sz="1" w:space="0" w:color="AAAAAA"/>
              <w:right w:val="single" w:sz="1" w:space="0" w:color="AAAAAA"/>
            </w:tcBorders>
            <w:shd w:val="clear" w:color="auto" w:fill="FFFFFF"/>
            <w:tcMar>
              <w:top w:w="55" w:type="dxa"/>
              <w:left w:w="80" w:type="dxa"/>
              <w:bottom w:w="55" w:type="dxa"/>
              <w:right w:w="80" w:type="dxa"/>
            </w:tcMar>
          </w:tcPr>
          <w:p w14:paraId="3531B767" w14:textId="77777777" w:rsidR="004233BF" w:rsidRDefault="00000000">
            <w:pPr>
              <w:jc w:val="center"/>
            </w:pPr>
            <w:r>
              <w:rPr>
                <w:color w:val="000000"/>
                <w:sz w:val="16"/>
                <w:szCs w:val="16"/>
              </w:rPr>
              <w:t>69.2%</w:t>
            </w:r>
          </w:p>
        </w:tc>
      </w:tr>
      <w:tr w:rsidR="004233BF" w14:paraId="685E7C5F" w14:textId="77777777">
        <w:tc>
          <w:tcPr>
            <w:tcW w:w="2571" w:type="dxa"/>
            <w:tcBorders>
              <w:top w:val="single" w:sz="1" w:space="0" w:color="AAAAAA"/>
              <w:left w:val="single" w:sz="1" w:space="0" w:color="AAAAAA"/>
              <w:bottom w:val="single" w:sz="1" w:space="0" w:color="AAAAAA"/>
              <w:right w:val="single" w:sz="1" w:space="0" w:color="AAAAAA"/>
            </w:tcBorders>
            <w:shd w:val="clear" w:color="auto" w:fill="FFFFFF"/>
            <w:tcMar>
              <w:top w:w="55" w:type="dxa"/>
              <w:left w:w="80" w:type="dxa"/>
              <w:bottom w:w="55" w:type="dxa"/>
              <w:right w:w="80" w:type="dxa"/>
            </w:tcMar>
          </w:tcPr>
          <w:p w14:paraId="256E6B25" w14:textId="77777777" w:rsidR="004233BF" w:rsidRDefault="00000000">
            <w:pPr>
              <w:jc w:val="center"/>
            </w:pPr>
            <w:r>
              <w:rPr>
                <w:color w:val="000000"/>
                <w:sz w:val="16"/>
                <w:szCs w:val="16"/>
              </w:rPr>
              <w:t>Precision</w:t>
            </w:r>
          </w:p>
        </w:tc>
        <w:tc>
          <w:tcPr>
            <w:tcW w:w="1861" w:type="dxa"/>
            <w:tcBorders>
              <w:top w:val="single" w:sz="1" w:space="0" w:color="AAAAAA"/>
              <w:left w:val="single" w:sz="1" w:space="0" w:color="AAAAAA"/>
              <w:bottom w:val="single" w:sz="1" w:space="0" w:color="AAAAAA"/>
              <w:right w:val="single" w:sz="1" w:space="0" w:color="AAAAAA"/>
            </w:tcBorders>
            <w:shd w:val="clear" w:color="auto" w:fill="FFFFFF"/>
            <w:tcMar>
              <w:top w:w="55" w:type="dxa"/>
              <w:left w:w="80" w:type="dxa"/>
              <w:bottom w:w="55" w:type="dxa"/>
              <w:right w:w="80" w:type="dxa"/>
            </w:tcMar>
          </w:tcPr>
          <w:p w14:paraId="18113D04" w14:textId="77777777" w:rsidR="004233BF" w:rsidRDefault="00000000">
            <w:pPr>
              <w:jc w:val="center"/>
            </w:pPr>
            <w:r>
              <w:rPr>
                <w:color w:val="000000"/>
                <w:sz w:val="16"/>
                <w:szCs w:val="16"/>
              </w:rPr>
              <w:t>68.5%</w:t>
            </w:r>
          </w:p>
        </w:tc>
      </w:tr>
      <w:tr w:rsidR="004233BF" w14:paraId="22F46AB0" w14:textId="77777777">
        <w:tc>
          <w:tcPr>
            <w:tcW w:w="2571" w:type="dxa"/>
            <w:tcBorders>
              <w:top w:val="single" w:sz="1" w:space="0" w:color="AAAAAA"/>
              <w:left w:val="single" w:sz="1" w:space="0" w:color="AAAAAA"/>
              <w:bottom w:val="single" w:sz="1" w:space="0" w:color="AAAAAA"/>
              <w:right w:val="single" w:sz="1" w:space="0" w:color="AAAAAA"/>
            </w:tcBorders>
            <w:shd w:val="clear" w:color="auto" w:fill="FFFFFF"/>
            <w:tcMar>
              <w:top w:w="55" w:type="dxa"/>
              <w:left w:w="80" w:type="dxa"/>
              <w:bottom w:w="55" w:type="dxa"/>
              <w:right w:w="80" w:type="dxa"/>
            </w:tcMar>
          </w:tcPr>
          <w:p w14:paraId="0BD63204" w14:textId="77777777" w:rsidR="004233BF" w:rsidRDefault="00000000">
            <w:pPr>
              <w:jc w:val="center"/>
            </w:pPr>
            <w:r>
              <w:rPr>
                <w:color w:val="000000"/>
                <w:sz w:val="16"/>
                <w:szCs w:val="16"/>
              </w:rPr>
              <w:t>Recall (Sensitivity)</w:t>
            </w:r>
          </w:p>
        </w:tc>
        <w:tc>
          <w:tcPr>
            <w:tcW w:w="1861" w:type="dxa"/>
            <w:tcBorders>
              <w:top w:val="single" w:sz="1" w:space="0" w:color="AAAAAA"/>
              <w:left w:val="single" w:sz="1" w:space="0" w:color="AAAAAA"/>
              <w:bottom w:val="single" w:sz="1" w:space="0" w:color="AAAAAA"/>
              <w:right w:val="single" w:sz="1" w:space="0" w:color="AAAAAA"/>
            </w:tcBorders>
            <w:shd w:val="clear" w:color="auto" w:fill="FFFFFF"/>
            <w:tcMar>
              <w:top w:w="55" w:type="dxa"/>
              <w:left w:w="80" w:type="dxa"/>
              <w:bottom w:w="55" w:type="dxa"/>
              <w:right w:w="80" w:type="dxa"/>
            </w:tcMar>
          </w:tcPr>
          <w:p w14:paraId="33496D57" w14:textId="77777777" w:rsidR="004233BF" w:rsidRDefault="00000000">
            <w:pPr>
              <w:jc w:val="center"/>
            </w:pPr>
            <w:r>
              <w:rPr>
                <w:color w:val="000000"/>
                <w:sz w:val="16"/>
                <w:szCs w:val="16"/>
              </w:rPr>
              <w:t>70.1%</w:t>
            </w:r>
          </w:p>
        </w:tc>
      </w:tr>
      <w:tr w:rsidR="004233BF" w14:paraId="627C79C5" w14:textId="77777777">
        <w:tc>
          <w:tcPr>
            <w:tcW w:w="2571" w:type="dxa"/>
            <w:tcBorders>
              <w:top w:val="single" w:sz="1" w:space="0" w:color="AAAAAA"/>
              <w:left w:val="single" w:sz="1" w:space="0" w:color="AAAAAA"/>
              <w:bottom w:val="single" w:sz="1" w:space="0" w:color="AAAAAA"/>
              <w:right w:val="single" w:sz="1" w:space="0" w:color="AAAAAA"/>
            </w:tcBorders>
            <w:shd w:val="clear" w:color="auto" w:fill="FFFFFF"/>
            <w:tcMar>
              <w:top w:w="55" w:type="dxa"/>
              <w:left w:w="80" w:type="dxa"/>
              <w:bottom w:w="55" w:type="dxa"/>
              <w:right w:w="80" w:type="dxa"/>
            </w:tcMar>
          </w:tcPr>
          <w:p w14:paraId="15ADB1BD" w14:textId="77777777" w:rsidR="004233BF" w:rsidRDefault="00000000">
            <w:pPr>
              <w:jc w:val="center"/>
            </w:pPr>
            <w:r>
              <w:rPr>
                <w:color w:val="000000"/>
                <w:sz w:val="16"/>
                <w:szCs w:val="16"/>
              </w:rPr>
              <w:t>F1-Score</w:t>
            </w:r>
          </w:p>
        </w:tc>
        <w:tc>
          <w:tcPr>
            <w:tcW w:w="1861" w:type="dxa"/>
            <w:tcBorders>
              <w:top w:val="single" w:sz="1" w:space="0" w:color="AAAAAA"/>
              <w:left w:val="single" w:sz="1" w:space="0" w:color="AAAAAA"/>
              <w:bottom w:val="single" w:sz="1" w:space="0" w:color="AAAAAA"/>
              <w:right w:val="single" w:sz="1" w:space="0" w:color="AAAAAA"/>
            </w:tcBorders>
            <w:shd w:val="clear" w:color="auto" w:fill="FFFFFF"/>
            <w:tcMar>
              <w:top w:w="55" w:type="dxa"/>
              <w:left w:w="80" w:type="dxa"/>
              <w:bottom w:w="55" w:type="dxa"/>
              <w:right w:w="80" w:type="dxa"/>
            </w:tcMar>
          </w:tcPr>
          <w:p w14:paraId="4388644B" w14:textId="77777777" w:rsidR="004233BF" w:rsidRDefault="00000000">
            <w:pPr>
              <w:jc w:val="center"/>
            </w:pPr>
            <w:r>
              <w:rPr>
                <w:color w:val="000000"/>
                <w:sz w:val="16"/>
                <w:szCs w:val="16"/>
              </w:rPr>
              <w:t>69.3%</w:t>
            </w:r>
          </w:p>
        </w:tc>
      </w:tr>
      <w:tr w:rsidR="004233BF" w14:paraId="47D3EAC6" w14:textId="77777777">
        <w:tc>
          <w:tcPr>
            <w:tcW w:w="2571" w:type="dxa"/>
            <w:tcBorders>
              <w:top w:val="single" w:sz="1" w:space="0" w:color="AAAAAA"/>
              <w:left w:val="single" w:sz="1" w:space="0" w:color="AAAAAA"/>
              <w:bottom w:val="single" w:sz="1" w:space="0" w:color="AAAAAA"/>
              <w:right w:val="single" w:sz="1" w:space="0" w:color="AAAAAA"/>
            </w:tcBorders>
            <w:shd w:val="clear" w:color="auto" w:fill="FFFFFF"/>
            <w:tcMar>
              <w:top w:w="55" w:type="dxa"/>
              <w:left w:w="80" w:type="dxa"/>
              <w:bottom w:w="55" w:type="dxa"/>
              <w:right w:w="80" w:type="dxa"/>
            </w:tcMar>
          </w:tcPr>
          <w:p w14:paraId="5C586351" w14:textId="77777777" w:rsidR="004233BF" w:rsidRDefault="00000000">
            <w:pPr>
              <w:jc w:val="center"/>
            </w:pPr>
            <w:r>
              <w:rPr>
                <w:color w:val="000000"/>
                <w:sz w:val="16"/>
                <w:szCs w:val="16"/>
              </w:rPr>
              <w:t>AUC-ROC</w:t>
            </w:r>
          </w:p>
        </w:tc>
        <w:tc>
          <w:tcPr>
            <w:tcW w:w="1861" w:type="dxa"/>
            <w:tcBorders>
              <w:top w:val="single" w:sz="1" w:space="0" w:color="AAAAAA"/>
              <w:left w:val="single" w:sz="1" w:space="0" w:color="AAAAAA"/>
              <w:bottom w:val="single" w:sz="1" w:space="0" w:color="AAAAAA"/>
              <w:right w:val="single" w:sz="1" w:space="0" w:color="AAAAAA"/>
            </w:tcBorders>
            <w:shd w:val="clear" w:color="auto" w:fill="FFFFFF"/>
            <w:tcMar>
              <w:top w:w="55" w:type="dxa"/>
              <w:left w:w="80" w:type="dxa"/>
              <w:bottom w:w="55" w:type="dxa"/>
              <w:right w:w="80" w:type="dxa"/>
            </w:tcMar>
          </w:tcPr>
          <w:p w14:paraId="45E6F1B8" w14:textId="77777777" w:rsidR="004233BF" w:rsidRDefault="00000000">
            <w:pPr>
              <w:jc w:val="center"/>
            </w:pPr>
            <w:r>
              <w:rPr>
                <w:color w:val="000000"/>
                <w:sz w:val="16"/>
                <w:szCs w:val="16"/>
              </w:rPr>
              <w:t>0.73</w:t>
            </w:r>
          </w:p>
        </w:tc>
      </w:tr>
      <w:tr w:rsidR="004233BF" w14:paraId="474C7BAB" w14:textId="77777777">
        <w:tc>
          <w:tcPr>
            <w:tcW w:w="2571" w:type="dxa"/>
            <w:tcBorders>
              <w:top w:val="single" w:sz="1" w:space="0" w:color="AAAAAA"/>
              <w:left w:val="single" w:sz="1" w:space="0" w:color="AAAAAA"/>
              <w:bottom w:val="single" w:sz="1" w:space="0" w:color="AAAAAA"/>
              <w:right w:val="single" w:sz="1" w:space="0" w:color="AAAAAA"/>
            </w:tcBorders>
            <w:shd w:val="clear" w:color="auto" w:fill="FFFFFF"/>
            <w:tcMar>
              <w:top w:w="55" w:type="dxa"/>
              <w:left w:w="80" w:type="dxa"/>
              <w:bottom w:w="55" w:type="dxa"/>
              <w:right w:w="80" w:type="dxa"/>
            </w:tcMar>
          </w:tcPr>
          <w:p w14:paraId="27E279FC" w14:textId="77777777" w:rsidR="004233BF" w:rsidRDefault="00000000">
            <w:pPr>
              <w:jc w:val="center"/>
            </w:pPr>
            <w:r>
              <w:rPr>
                <w:color w:val="000000"/>
                <w:sz w:val="16"/>
                <w:szCs w:val="16"/>
              </w:rPr>
              <w:t>Specificity</w:t>
            </w:r>
          </w:p>
        </w:tc>
        <w:tc>
          <w:tcPr>
            <w:tcW w:w="1861" w:type="dxa"/>
            <w:tcBorders>
              <w:top w:val="single" w:sz="1" w:space="0" w:color="AAAAAA"/>
              <w:left w:val="single" w:sz="1" w:space="0" w:color="AAAAAA"/>
              <w:bottom w:val="single" w:sz="1" w:space="0" w:color="AAAAAA"/>
              <w:right w:val="single" w:sz="1" w:space="0" w:color="AAAAAA"/>
            </w:tcBorders>
            <w:shd w:val="clear" w:color="auto" w:fill="FFFFFF"/>
            <w:tcMar>
              <w:top w:w="55" w:type="dxa"/>
              <w:left w:w="80" w:type="dxa"/>
              <w:bottom w:w="55" w:type="dxa"/>
              <w:right w:w="80" w:type="dxa"/>
            </w:tcMar>
          </w:tcPr>
          <w:p w14:paraId="366E7A09" w14:textId="77777777" w:rsidR="004233BF" w:rsidRDefault="00000000">
            <w:pPr>
              <w:jc w:val="center"/>
            </w:pPr>
            <w:r>
              <w:rPr>
                <w:color w:val="000000"/>
                <w:sz w:val="16"/>
                <w:szCs w:val="16"/>
              </w:rPr>
              <w:t>68.9%</w:t>
            </w:r>
          </w:p>
        </w:tc>
      </w:tr>
    </w:tbl>
    <w:p w14:paraId="5C312523" w14:textId="77777777" w:rsidR="004233BF" w:rsidRDefault="00000000">
      <w:pPr>
        <w:spacing w:before="80" w:after="100"/>
        <w:jc w:val="center"/>
      </w:pPr>
      <w:r>
        <w:rPr>
          <w:b/>
          <w:bCs/>
          <w:sz w:val="18"/>
          <w:szCs w:val="18"/>
        </w:rPr>
        <w:t>TABLE III. Proposed Model Performance Metrics</w:t>
      </w:r>
    </w:p>
    <w:p w14:paraId="646A9DA2" w14:textId="77777777" w:rsidR="004233BF" w:rsidRDefault="004233BF">
      <w:pPr>
        <w:spacing w:after="60"/>
      </w:pPr>
    </w:p>
    <w:p w14:paraId="724B22E6" w14:textId="4786CE9C" w:rsidR="00EF6350" w:rsidRPr="00EF6350" w:rsidRDefault="00EF6350" w:rsidP="00EF6350">
      <w:pPr>
        <w:spacing w:before="120" w:after="60"/>
        <w:jc w:val="both"/>
      </w:pPr>
      <w:r w:rsidRPr="00EF6350">
        <w:t>The obtained results demonstrate that the model has satisfactory predictive capability and is able to extract clinically relevant patterns from the heterogeneous dataset while maintaining a balanced trade-off between sensitivity and specificity.</w:t>
      </w:r>
    </w:p>
    <w:p w14:paraId="31C83485" w14:textId="19B116A8" w:rsidR="004233BF" w:rsidRDefault="00000000" w:rsidP="00EF6350">
      <w:pPr>
        <w:spacing w:before="120" w:after="60"/>
      </w:pPr>
      <w:r w:rsidRPr="00EF6350">
        <w:rPr>
          <w:b/>
          <w:bCs/>
        </w:rPr>
        <w:t>B. Model Comparison</w:t>
      </w:r>
    </w:p>
    <w:p w14:paraId="6E5625C3" w14:textId="77777777" w:rsidR="00EF6350" w:rsidRDefault="00EF6350" w:rsidP="00EF6350">
      <w:pPr>
        <w:spacing w:before="120" w:after="60"/>
      </w:pPr>
    </w:p>
    <w:tbl>
      <w:tblPr>
        <w:tblW w:w="44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72"/>
        <w:gridCol w:w="809"/>
        <w:gridCol w:w="791"/>
        <w:gridCol w:w="688"/>
        <w:gridCol w:w="673"/>
        <w:gridCol w:w="595"/>
      </w:tblGrid>
      <w:tr w:rsidR="004233BF" w14:paraId="71A15C34" w14:textId="77777777">
        <w:tc>
          <w:tcPr>
            <w:tcW w:w="838" w:type="dxa"/>
            <w:tcBorders>
              <w:top w:val="single" w:sz="1" w:space="0" w:color="AAAAAA"/>
              <w:left w:val="single" w:sz="1" w:space="0" w:color="AAAAAA"/>
              <w:bottom w:val="single" w:sz="1" w:space="0" w:color="AAAAAA"/>
              <w:right w:val="single" w:sz="1" w:space="0" w:color="AAAAAA"/>
            </w:tcBorders>
            <w:shd w:val="clear" w:color="auto" w:fill="404040"/>
            <w:tcMar>
              <w:top w:w="55" w:type="dxa"/>
              <w:left w:w="80" w:type="dxa"/>
              <w:bottom w:w="55" w:type="dxa"/>
              <w:right w:w="80" w:type="dxa"/>
            </w:tcMar>
          </w:tcPr>
          <w:p w14:paraId="6893A064" w14:textId="77777777" w:rsidR="004233BF" w:rsidRDefault="00000000">
            <w:pPr>
              <w:jc w:val="center"/>
            </w:pPr>
            <w:r>
              <w:rPr>
                <w:b/>
                <w:bCs/>
                <w:color w:val="FFFFFF"/>
                <w:sz w:val="16"/>
                <w:szCs w:val="16"/>
              </w:rPr>
              <w:t>Model</w:t>
            </w:r>
          </w:p>
        </w:tc>
        <w:tc>
          <w:tcPr>
            <w:tcW w:w="738" w:type="dxa"/>
            <w:tcBorders>
              <w:top w:val="single" w:sz="1" w:space="0" w:color="AAAAAA"/>
              <w:left w:val="single" w:sz="1" w:space="0" w:color="AAAAAA"/>
              <w:bottom w:val="single" w:sz="1" w:space="0" w:color="AAAAAA"/>
              <w:right w:val="single" w:sz="1" w:space="0" w:color="AAAAAA"/>
            </w:tcBorders>
            <w:shd w:val="clear" w:color="auto" w:fill="404040"/>
            <w:tcMar>
              <w:top w:w="55" w:type="dxa"/>
              <w:left w:w="80" w:type="dxa"/>
              <w:bottom w:w="55" w:type="dxa"/>
              <w:right w:w="80" w:type="dxa"/>
            </w:tcMar>
          </w:tcPr>
          <w:p w14:paraId="027D0083" w14:textId="77777777" w:rsidR="004233BF" w:rsidRDefault="00000000">
            <w:pPr>
              <w:jc w:val="center"/>
            </w:pPr>
            <w:r>
              <w:rPr>
                <w:b/>
                <w:bCs/>
                <w:color w:val="FFFFFF"/>
                <w:sz w:val="16"/>
                <w:szCs w:val="16"/>
              </w:rPr>
              <w:t>Accuracy (%)</w:t>
            </w:r>
          </w:p>
        </w:tc>
        <w:tc>
          <w:tcPr>
            <w:tcW w:w="738" w:type="dxa"/>
            <w:tcBorders>
              <w:top w:val="single" w:sz="1" w:space="0" w:color="AAAAAA"/>
              <w:left w:val="single" w:sz="1" w:space="0" w:color="AAAAAA"/>
              <w:bottom w:val="single" w:sz="1" w:space="0" w:color="AAAAAA"/>
              <w:right w:val="single" w:sz="1" w:space="0" w:color="AAAAAA"/>
            </w:tcBorders>
            <w:shd w:val="clear" w:color="auto" w:fill="404040"/>
            <w:tcMar>
              <w:top w:w="55" w:type="dxa"/>
              <w:left w:w="80" w:type="dxa"/>
              <w:bottom w:w="55" w:type="dxa"/>
              <w:right w:w="80" w:type="dxa"/>
            </w:tcMar>
          </w:tcPr>
          <w:p w14:paraId="10894F73" w14:textId="77777777" w:rsidR="004233BF" w:rsidRDefault="00000000">
            <w:pPr>
              <w:jc w:val="center"/>
            </w:pPr>
            <w:r>
              <w:rPr>
                <w:b/>
                <w:bCs/>
                <w:color w:val="FFFFFF"/>
                <w:sz w:val="16"/>
                <w:szCs w:val="16"/>
              </w:rPr>
              <w:t>Precision (%)</w:t>
            </w:r>
          </w:p>
        </w:tc>
        <w:tc>
          <w:tcPr>
            <w:tcW w:w="738" w:type="dxa"/>
            <w:tcBorders>
              <w:top w:val="single" w:sz="1" w:space="0" w:color="AAAAAA"/>
              <w:left w:val="single" w:sz="1" w:space="0" w:color="AAAAAA"/>
              <w:bottom w:val="single" w:sz="1" w:space="0" w:color="AAAAAA"/>
              <w:right w:val="single" w:sz="1" w:space="0" w:color="AAAAAA"/>
            </w:tcBorders>
            <w:shd w:val="clear" w:color="auto" w:fill="404040"/>
            <w:tcMar>
              <w:top w:w="55" w:type="dxa"/>
              <w:left w:w="80" w:type="dxa"/>
              <w:bottom w:w="55" w:type="dxa"/>
              <w:right w:w="80" w:type="dxa"/>
            </w:tcMar>
          </w:tcPr>
          <w:p w14:paraId="7EB9A88C" w14:textId="77777777" w:rsidR="004233BF" w:rsidRDefault="00000000">
            <w:pPr>
              <w:jc w:val="center"/>
            </w:pPr>
            <w:r>
              <w:rPr>
                <w:b/>
                <w:bCs/>
                <w:color w:val="FFFFFF"/>
                <w:sz w:val="16"/>
                <w:szCs w:val="16"/>
              </w:rPr>
              <w:t>Recall (%)</w:t>
            </w:r>
          </w:p>
        </w:tc>
        <w:tc>
          <w:tcPr>
            <w:tcW w:w="738" w:type="dxa"/>
            <w:tcBorders>
              <w:top w:val="single" w:sz="1" w:space="0" w:color="AAAAAA"/>
              <w:left w:val="single" w:sz="1" w:space="0" w:color="AAAAAA"/>
              <w:bottom w:val="single" w:sz="1" w:space="0" w:color="AAAAAA"/>
              <w:right w:val="single" w:sz="1" w:space="0" w:color="AAAAAA"/>
            </w:tcBorders>
            <w:shd w:val="clear" w:color="auto" w:fill="404040"/>
            <w:tcMar>
              <w:top w:w="55" w:type="dxa"/>
              <w:left w:w="80" w:type="dxa"/>
              <w:bottom w:w="55" w:type="dxa"/>
              <w:right w:w="80" w:type="dxa"/>
            </w:tcMar>
          </w:tcPr>
          <w:p w14:paraId="3383F56D" w14:textId="77777777" w:rsidR="004233BF" w:rsidRDefault="00000000">
            <w:pPr>
              <w:jc w:val="center"/>
            </w:pPr>
            <w:r>
              <w:rPr>
                <w:b/>
                <w:bCs/>
                <w:color w:val="FFFFFF"/>
                <w:sz w:val="16"/>
                <w:szCs w:val="16"/>
              </w:rPr>
              <w:t>F1-Score (%)</w:t>
            </w:r>
          </w:p>
        </w:tc>
        <w:tc>
          <w:tcPr>
            <w:tcW w:w="638" w:type="dxa"/>
            <w:tcBorders>
              <w:top w:val="single" w:sz="1" w:space="0" w:color="AAAAAA"/>
              <w:left w:val="single" w:sz="1" w:space="0" w:color="AAAAAA"/>
              <w:bottom w:val="single" w:sz="1" w:space="0" w:color="AAAAAA"/>
              <w:right w:val="single" w:sz="1" w:space="0" w:color="AAAAAA"/>
            </w:tcBorders>
            <w:shd w:val="clear" w:color="auto" w:fill="404040"/>
            <w:tcMar>
              <w:top w:w="55" w:type="dxa"/>
              <w:left w:w="80" w:type="dxa"/>
              <w:bottom w:w="55" w:type="dxa"/>
              <w:right w:w="80" w:type="dxa"/>
            </w:tcMar>
          </w:tcPr>
          <w:p w14:paraId="686B2618" w14:textId="77777777" w:rsidR="004233BF" w:rsidRDefault="00000000">
            <w:pPr>
              <w:jc w:val="center"/>
            </w:pPr>
            <w:r>
              <w:rPr>
                <w:b/>
                <w:bCs/>
                <w:color w:val="FFFFFF"/>
                <w:sz w:val="16"/>
                <w:szCs w:val="16"/>
              </w:rPr>
              <w:t>AUC</w:t>
            </w:r>
          </w:p>
        </w:tc>
      </w:tr>
      <w:tr w:rsidR="004233BF" w14:paraId="56061A1A" w14:textId="77777777">
        <w:tc>
          <w:tcPr>
            <w:tcW w:w="838" w:type="dxa"/>
            <w:tcBorders>
              <w:top w:val="single" w:sz="1" w:space="0" w:color="AAAAAA"/>
              <w:left w:val="single" w:sz="1" w:space="0" w:color="AAAAAA"/>
              <w:bottom w:val="single" w:sz="1" w:space="0" w:color="AAAAAA"/>
              <w:right w:val="single" w:sz="1" w:space="0" w:color="AAAAAA"/>
            </w:tcBorders>
            <w:shd w:val="clear" w:color="auto" w:fill="FFFFFF"/>
            <w:tcMar>
              <w:top w:w="55" w:type="dxa"/>
              <w:left w:w="80" w:type="dxa"/>
              <w:bottom w:w="55" w:type="dxa"/>
              <w:right w:w="80" w:type="dxa"/>
            </w:tcMar>
          </w:tcPr>
          <w:p w14:paraId="565B2FE6" w14:textId="77777777" w:rsidR="004233BF" w:rsidRDefault="00000000">
            <w:pPr>
              <w:jc w:val="center"/>
            </w:pPr>
            <w:r>
              <w:rPr>
                <w:color w:val="000000"/>
                <w:sz w:val="16"/>
                <w:szCs w:val="16"/>
              </w:rPr>
              <w:t>Logistic Regression</w:t>
            </w:r>
          </w:p>
        </w:tc>
        <w:tc>
          <w:tcPr>
            <w:tcW w:w="738" w:type="dxa"/>
            <w:tcBorders>
              <w:top w:val="single" w:sz="1" w:space="0" w:color="AAAAAA"/>
              <w:left w:val="single" w:sz="1" w:space="0" w:color="AAAAAA"/>
              <w:bottom w:val="single" w:sz="1" w:space="0" w:color="AAAAAA"/>
              <w:right w:val="single" w:sz="1" w:space="0" w:color="AAAAAA"/>
            </w:tcBorders>
            <w:shd w:val="clear" w:color="auto" w:fill="FFFFFF"/>
            <w:tcMar>
              <w:top w:w="55" w:type="dxa"/>
              <w:left w:w="80" w:type="dxa"/>
              <w:bottom w:w="55" w:type="dxa"/>
              <w:right w:w="80" w:type="dxa"/>
            </w:tcMar>
          </w:tcPr>
          <w:p w14:paraId="034971E3" w14:textId="77777777" w:rsidR="004233BF" w:rsidRDefault="00000000">
            <w:pPr>
              <w:jc w:val="center"/>
            </w:pPr>
            <w:r>
              <w:rPr>
                <w:color w:val="000000"/>
                <w:sz w:val="16"/>
                <w:szCs w:val="16"/>
              </w:rPr>
              <w:t>64.8</w:t>
            </w:r>
          </w:p>
        </w:tc>
        <w:tc>
          <w:tcPr>
            <w:tcW w:w="738" w:type="dxa"/>
            <w:tcBorders>
              <w:top w:val="single" w:sz="1" w:space="0" w:color="AAAAAA"/>
              <w:left w:val="single" w:sz="1" w:space="0" w:color="AAAAAA"/>
              <w:bottom w:val="single" w:sz="1" w:space="0" w:color="AAAAAA"/>
              <w:right w:val="single" w:sz="1" w:space="0" w:color="AAAAAA"/>
            </w:tcBorders>
            <w:shd w:val="clear" w:color="auto" w:fill="FFFFFF"/>
            <w:tcMar>
              <w:top w:w="55" w:type="dxa"/>
              <w:left w:w="80" w:type="dxa"/>
              <w:bottom w:w="55" w:type="dxa"/>
              <w:right w:w="80" w:type="dxa"/>
            </w:tcMar>
          </w:tcPr>
          <w:p w14:paraId="33A2B116" w14:textId="77777777" w:rsidR="004233BF" w:rsidRDefault="00000000">
            <w:pPr>
              <w:jc w:val="center"/>
            </w:pPr>
            <w:r>
              <w:rPr>
                <w:color w:val="000000"/>
                <w:sz w:val="16"/>
                <w:szCs w:val="16"/>
              </w:rPr>
              <w:t>63.2</w:t>
            </w:r>
          </w:p>
        </w:tc>
        <w:tc>
          <w:tcPr>
            <w:tcW w:w="738" w:type="dxa"/>
            <w:tcBorders>
              <w:top w:val="single" w:sz="1" w:space="0" w:color="AAAAAA"/>
              <w:left w:val="single" w:sz="1" w:space="0" w:color="AAAAAA"/>
              <w:bottom w:val="single" w:sz="1" w:space="0" w:color="AAAAAA"/>
              <w:right w:val="single" w:sz="1" w:space="0" w:color="AAAAAA"/>
            </w:tcBorders>
            <w:shd w:val="clear" w:color="auto" w:fill="FFFFFF"/>
            <w:tcMar>
              <w:top w:w="55" w:type="dxa"/>
              <w:left w:w="80" w:type="dxa"/>
              <w:bottom w:w="55" w:type="dxa"/>
              <w:right w:w="80" w:type="dxa"/>
            </w:tcMar>
          </w:tcPr>
          <w:p w14:paraId="03706580" w14:textId="77777777" w:rsidR="004233BF" w:rsidRDefault="00000000">
            <w:pPr>
              <w:jc w:val="center"/>
            </w:pPr>
            <w:r>
              <w:rPr>
                <w:color w:val="000000"/>
                <w:sz w:val="16"/>
                <w:szCs w:val="16"/>
              </w:rPr>
              <w:t>65.1</w:t>
            </w:r>
          </w:p>
        </w:tc>
        <w:tc>
          <w:tcPr>
            <w:tcW w:w="738" w:type="dxa"/>
            <w:tcBorders>
              <w:top w:val="single" w:sz="1" w:space="0" w:color="AAAAAA"/>
              <w:left w:val="single" w:sz="1" w:space="0" w:color="AAAAAA"/>
              <w:bottom w:val="single" w:sz="1" w:space="0" w:color="AAAAAA"/>
              <w:right w:val="single" w:sz="1" w:space="0" w:color="AAAAAA"/>
            </w:tcBorders>
            <w:shd w:val="clear" w:color="auto" w:fill="FFFFFF"/>
            <w:tcMar>
              <w:top w:w="55" w:type="dxa"/>
              <w:left w:w="80" w:type="dxa"/>
              <w:bottom w:w="55" w:type="dxa"/>
              <w:right w:w="80" w:type="dxa"/>
            </w:tcMar>
          </w:tcPr>
          <w:p w14:paraId="09F29514" w14:textId="77777777" w:rsidR="004233BF" w:rsidRDefault="00000000">
            <w:pPr>
              <w:jc w:val="center"/>
            </w:pPr>
            <w:r>
              <w:rPr>
                <w:color w:val="000000"/>
                <w:sz w:val="16"/>
                <w:szCs w:val="16"/>
              </w:rPr>
              <w:t>64.1</w:t>
            </w:r>
          </w:p>
        </w:tc>
        <w:tc>
          <w:tcPr>
            <w:tcW w:w="638" w:type="dxa"/>
            <w:tcBorders>
              <w:top w:val="single" w:sz="1" w:space="0" w:color="AAAAAA"/>
              <w:left w:val="single" w:sz="1" w:space="0" w:color="AAAAAA"/>
              <w:bottom w:val="single" w:sz="1" w:space="0" w:color="AAAAAA"/>
              <w:right w:val="single" w:sz="1" w:space="0" w:color="AAAAAA"/>
            </w:tcBorders>
            <w:shd w:val="clear" w:color="auto" w:fill="FFFFFF"/>
            <w:tcMar>
              <w:top w:w="55" w:type="dxa"/>
              <w:left w:w="80" w:type="dxa"/>
              <w:bottom w:w="55" w:type="dxa"/>
              <w:right w:w="80" w:type="dxa"/>
            </w:tcMar>
          </w:tcPr>
          <w:p w14:paraId="3A4DCEDF" w14:textId="77777777" w:rsidR="004233BF" w:rsidRDefault="00000000">
            <w:pPr>
              <w:jc w:val="center"/>
            </w:pPr>
            <w:r>
              <w:rPr>
                <w:color w:val="000000"/>
                <w:sz w:val="16"/>
                <w:szCs w:val="16"/>
              </w:rPr>
              <w:t>0.69</w:t>
            </w:r>
          </w:p>
        </w:tc>
      </w:tr>
      <w:tr w:rsidR="004233BF" w14:paraId="368F5E5B" w14:textId="77777777">
        <w:tc>
          <w:tcPr>
            <w:tcW w:w="838" w:type="dxa"/>
            <w:tcBorders>
              <w:top w:val="single" w:sz="1" w:space="0" w:color="AAAAAA"/>
              <w:left w:val="single" w:sz="1" w:space="0" w:color="AAAAAA"/>
              <w:bottom w:val="single" w:sz="1" w:space="0" w:color="AAAAAA"/>
              <w:right w:val="single" w:sz="1" w:space="0" w:color="AAAAAA"/>
            </w:tcBorders>
            <w:shd w:val="clear" w:color="auto" w:fill="FFFFFF"/>
            <w:tcMar>
              <w:top w:w="55" w:type="dxa"/>
              <w:left w:w="80" w:type="dxa"/>
              <w:bottom w:w="55" w:type="dxa"/>
              <w:right w:w="80" w:type="dxa"/>
            </w:tcMar>
          </w:tcPr>
          <w:p w14:paraId="43243029" w14:textId="77777777" w:rsidR="004233BF" w:rsidRDefault="00000000">
            <w:pPr>
              <w:jc w:val="center"/>
            </w:pPr>
            <w:r>
              <w:rPr>
                <w:color w:val="000000"/>
                <w:sz w:val="16"/>
                <w:szCs w:val="16"/>
              </w:rPr>
              <w:t>SVM</w:t>
            </w:r>
          </w:p>
        </w:tc>
        <w:tc>
          <w:tcPr>
            <w:tcW w:w="738" w:type="dxa"/>
            <w:tcBorders>
              <w:top w:val="single" w:sz="1" w:space="0" w:color="AAAAAA"/>
              <w:left w:val="single" w:sz="1" w:space="0" w:color="AAAAAA"/>
              <w:bottom w:val="single" w:sz="1" w:space="0" w:color="AAAAAA"/>
              <w:right w:val="single" w:sz="1" w:space="0" w:color="AAAAAA"/>
            </w:tcBorders>
            <w:shd w:val="clear" w:color="auto" w:fill="FFFFFF"/>
            <w:tcMar>
              <w:top w:w="55" w:type="dxa"/>
              <w:left w:w="80" w:type="dxa"/>
              <w:bottom w:w="55" w:type="dxa"/>
              <w:right w:w="80" w:type="dxa"/>
            </w:tcMar>
          </w:tcPr>
          <w:p w14:paraId="5E587121" w14:textId="77777777" w:rsidR="004233BF" w:rsidRDefault="00000000">
            <w:pPr>
              <w:jc w:val="center"/>
            </w:pPr>
            <w:r>
              <w:rPr>
                <w:color w:val="000000"/>
                <w:sz w:val="16"/>
                <w:szCs w:val="16"/>
              </w:rPr>
              <w:t>66.1</w:t>
            </w:r>
          </w:p>
        </w:tc>
        <w:tc>
          <w:tcPr>
            <w:tcW w:w="738" w:type="dxa"/>
            <w:tcBorders>
              <w:top w:val="single" w:sz="1" w:space="0" w:color="AAAAAA"/>
              <w:left w:val="single" w:sz="1" w:space="0" w:color="AAAAAA"/>
              <w:bottom w:val="single" w:sz="1" w:space="0" w:color="AAAAAA"/>
              <w:right w:val="single" w:sz="1" w:space="0" w:color="AAAAAA"/>
            </w:tcBorders>
            <w:shd w:val="clear" w:color="auto" w:fill="FFFFFF"/>
            <w:tcMar>
              <w:top w:w="55" w:type="dxa"/>
              <w:left w:w="80" w:type="dxa"/>
              <w:bottom w:w="55" w:type="dxa"/>
              <w:right w:w="80" w:type="dxa"/>
            </w:tcMar>
          </w:tcPr>
          <w:p w14:paraId="01F8EFD6" w14:textId="77777777" w:rsidR="004233BF" w:rsidRDefault="00000000">
            <w:pPr>
              <w:jc w:val="center"/>
            </w:pPr>
            <w:r>
              <w:rPr>
                <w:color w:val="000000"/>
                <w:sz w:val="16"/>
                <w:szCs w:val="16"/>
              </w:rPr>
              <w:t>65.4</w:t>
            </w:r>
          </w:p>
        </w:tc>
        <w:tc>
          <w:tcPr>
            <w:tcW w:w="738" w:type="dxa"/>
            <w:tcBorders>
              <w:top w:val="single" w:sz="1" w:space="0" w:color="AAAAAA"/>
              <w:left w:val="single" w:sz="1" w:space="0" w:color="AAAAAA"/>
              <w:bottom w:val="single" w:sz="1" w:space="0" w:color="AAAAAA"/>
              <w:right w:val="single" w:sz="1" w:space="0" w:color="AAAAAA"/>
            </w:tcBorders>
            <w:shd w:val="clear" w:color="auto" w:fill="FFFFFF"/>
            <w:tcMar>
              <w:top w:w="55" w:type="dxa"/>
              <w:left w:w="80" w:type="dxa"/>
              <w:bottom w:w="55" w:type="dxa"/>
              <w:right w:w="80" w:type="dxa"/>
            </w:tcMar>
          </w:tcPr>
          <w:p w14:paraId="461586FC" w14:textId="77777777" w:rsidR="004233BF" w:rsidRDefault="00000000">
            <w:pPr>
              <w:jc w:val="center"/>
            </w:pPr>
            <w:r>
              <w:rPr>
                <w:color w:val="000000"/>
                <w:sz w:val="16"/>
                <w:szCs w:val="16"/>
              </w:rPr>
              <w:t>66.9</w:t>
            </w:r>
          </w:p>
        </w:tc>
        <w:tc>
          <w:tcPr>
            <w:tcW w:w="738" w:type="dxa"/>
            <w:tcBorders>
              <w:top w:val="single" w:sz="1" w:space="0" w:color="AAAAAA"/>
              <w:left w:val="single" w:sz="1" w:space="0" w:color="AAAAAA"/>
              <w:bottom w:val="single" w:sz="1" w:space="0" w:color="AAAAAA"/>
              <w:right w:val="single" w:sz="1" w:space="0" w:color="AAAAAA"/>
            </w:tcBorders>
            <w:shd w:val="clear" w:color="auto" w:fill="FFFFFF"/>
            <w:tcMar>
              <w:top w:w="55" w:type="dxa"/>
              <w:left w:w="80" w:type="dxa"/>
              <w:bottom w:w="55" w:type="dxa"/>
              <w:right w:w="80" w:type="dxa"/>
            </w:tcMar>
          </w:tcPr>
          <w:p w14:paraId="42E84BC3" w14:textId="77777777" w:rsidR="004233BF" w:rsidRDefault="00000000">
            <w:pPr>
              <w:jc w:val="center"/>
            </w:pPr>
            <w:r>
              <w:rPr>
                <w:color w:val="000000"/>
                <w:sz w:val="16"/>
                <w:szCs w:val="16"/>
              </w:rPr>
              <w:t>66.1</w:t>
            </w:r>
          </w:p>
        </w:tc>
        <w:tc>
          <w:tcPr>
            <w:tcW w:w="638" w:type="dxa"/>
            <w:tcBorders>
              <w:top w:val="single" w:sz="1" w:space="0" w:color="AAAAAA"/>
              <w:left w:val="single" w:sz="1" w:space="0" w:color="AAAAAA"/>
              <w:bottom w:val="single" w:sz="1" w:space="0" w:color="AAAAAA"/>
              <w:right w:val="single" w:sz="1" w:space="0" w:color="AAAAAA"/>
            </w:tcBorders>
            <w:shd w:val="clear" w:color="auto" w:fill="FFFFFF"/>
            <w:tcMar>
              <w:top w:w="55" w:type="dxa"/>
              <w:left w:w="80" w:type="dxa"/>
              <w:bottom w:w="55" w:type="dxa"/>
              <w:right w:w="80" w:type="dxa"/>
            </w:tcMar>
          </w:tcPr>
          <w:p w14:paraId="64AF5CFE" w14:textId="77777777" w:rsidR="004233BF" w:rsidRDefault="00000000">
            <w:pPr>
              <w:jc w:val="center"/>
            </w:pPr>
            <w:r>
              <w:rPr>
                <w:color w:val="000000"/>
                <w:sz w:val="16"/>
                <w:szCs w:val="16"/>
              </w:rPr>
              <w:t>0.71</w:t>
            </w:r>
          </w:p>
        </w:tc>
      </w:tr>
      <w:tr w:rsidR="004233BF" w14:paraId="03817E55" w14:textId="77777777">
        <w:tc>
          <w:tcPr>
            <w:tcW w:w="838" w:type="dxa"/>
            <w:tcBorders>
              <w:top w:val="single" w:sz="1" w:space="0" w:color="AAAAAA"/>
              <w:left w:val="single" w:sz="1" w:space="0" w:color="AAAAAA"/>
              <w:bottom w:val="single" w:sz="1" w:space="0" w:color="AAAAAA"/>
              <w:right w:val="single" w:sz="1" w:space="0" w:color="AAAAAA"/>
            </w:tcBorders>
            <w:shd w:val="clear" w:color="auto" w:fill="FFFFFF"/>
            <w:tcMar>
              <w:top w:w="55" w:type="dxa"/>
              <w:left w:w="80" w:type="dxa"/>
              <w:bottom w:w="55" w:type="dxa"/>
              <w:right w:w="80" w:type="dxa"/>
            </w:tcMar>
          </w:tcPr>
          <w:p w14:paraId="352399FB" w14:textId="77777777" w:rsidR="004233BF" w:rsidRDefault="00000000">
            <w:pPr>
              <w:jc w:val="center"/>
            </w:pPr>
            <w:r>
              <w:rPr>
                <w:color w:val="000000"/>
                <w:sz w:val="16"/>
                <w:szCs w:val="16"/>
              </w:rPr>
              <w:t>Decision Tree</w:t>
            </w:r>
          </w:p>
        </w:tc>
        <w:tc>
          <w:tcPr>
            <w:tcW w:w="738" w:type="dxa"/>
            <w:tcBorders>
              <w:top w:val="single" w:sz="1" w:space="0" w:color="AAAAAA"/>
              <w:left w:val="single" w:sz="1" w:space="0" w:color="AAAAAA"/>
              <w:bottom w:val="single" w:sz="1" w:space="0" w:color="AAAAAA"/>
              <w:right w:val="single" w:sz="1" w:space="0" w:color="AAAAAA"/>
            </w:tcBorders>
            <w:shd w:val="clear" w:color="auto" w:fill="FFFFFF"/>
            <w:tcMar>
              <w:top w:w="55" w:type="dxa"/>
              <w:left w:w="80" w:type="dxa"/>
              <w:bottom w:w="55" w:type="dxa"/>
              <w:right w:w="80" w:type="dxa"/>
            </w:tcMar>
          </w:tcPr>
          <w:p w14:paraId="31D7129E" w14:textId="77777777" w:rsidR="004233BF" w:rsidRDefault="00000000">
            <w:pPr>
              <w:jc w:val="center"/>
            </w:pPr>
            <w:r>
              <w:rPr>
                <w:color w:val="000000"/>
                <w:sz w:val="16"/>
                <w:szCs w:val="16"/>
              </w:rPr>
              <w:t>65.3</w:t>
            </w:r>
          </w:p>
        </w:tc>
        <w:tc>
          <w:tcPr>
            <w:tcW w:w="738" w:type="dxa"/>
            <w:tcBorders>
              <w:top w:val="single" w:sz="1" w:space="0" w:color="AAAAAA"/>
              <w:left w:val="single" w:sz="1" w:space="0" w:color="AAAAAA"/>
              <w:bottom w:val="single" w:sz="1" w:space="0" w:color="AAAAAA"/>
              <w:right w:val="single" w:sz="1" w:space="0" w:color="AAAAAA"/>
            </w:tcBorders>
            <w:shd w:val="clear" w:color="auto" w:fill="FFFFFF"/>
            <w:tcMar>
              <w:top w:w="55" w:type="dxa"/>
              <w:left w:w="80" w:type="dxa"/>
              <w:bottom w:w="55" w:type="dxa"/>
              <w:right w:w="80" w:type="dxa"/>
            </w:tcMar>
          </w:tcPr>
          <w:p w14:paraId="22F20879" w14:textId="77777777" w:rsidR="004233BF" w:rsidRDefault="00000000">
            <w:pPr>
              <w:jc w:val="center"/>
            </w:pPr>
            <w:r>
              <w:rPr>
                <w:color w:val="000000"/>
                <w:sz w:val="16"/>
                <w:szCs w:val="16"/>
              </w:rPr>
              <w:t>64.7</w:t>
            </w:r>
          </w:p>
        </w:tc>
        <w:tc>
          <w:tcPr>
            <w:tcW w:w="738" w:type="dxa"/>
            <w:tcBorders>
              <w:top w:val="single" w:sz="1" w:space="0" w:color="AAAAAA"/>
              <w:left w:val="single" w:sz="1" w:space="0" w:color="AAAAAA"/>
              <w:bottom w:val="single" w:sz="1" w:space="0" w:color="AAAAAA"/>
              <w:right w:val="single" w:sz="1" w:space="0" w:color="AAAAAA"/>
            </w:tcBorders>
            <w:shd w:val="clear" w:color="auto" w:fill="FFFFFF"/>
            <w:tcMar>
              <w:top w:w="55" w:type="dxa"/>
              <w:left w:w="80" w:type="dxa"/>
              <w:bottom w:w="55" w:type="dxa"/>
              <w:right w:w="80" w:type="dxa"/>
            </w:tcMar>
          </w:tcPr>
          <w:p w14:paraId="3A3BD1F7" w14:textId="77777777" w:rsidR="004233BF" w:rsidRDefault="00000000">
            <w:pPr>
              <w:jc w:val="center"/>
            </w:pPr>
            <w:r>
              <w:rPr>
                <w:color w:val="000000"/>
                <w:sz w:val="16"/>
                <w:szCs w:val="16"/>
              </w:rPr>
              <w:t>65.8</w:t>
            </w:r>
          </w:p>
        </w:tc>
        <w:tc>
          <w:tcPr>
            <w:tcW w:w="738" w:type="dxa"/>
            <w:tcBorders>
              <w:top w:val="single" w:sz="1" w:space="0" w:color="AAAAAA"/>
              <w:left w:val="single" w:sz="1" w:space="0" w:color="AAAAAA"/>
              <w:bottom w:val="single" w:sz="1" w:space="0" w:color="AAAAAA"/>
              <w:right w:val="single" w:sz="1" w:space="0" w:color="AAAAAA"/>
            </w:tcBorders>
            <w:shd w:val="clear" w:color="auto" w:fill="FFFFFF"/>
            <w:tcMar>
              <w:top w:w="55" w:type="dxa"/>
              <w:left w:w="80" w:type="dxa"/>
              <w:bottom w:w="55" w:type="dxa"/>
              <w:right w:w="80" w:type="dxa"/>
            </w:tcMar>
          </w:tcPr>
          <w:p w14:paraId="23F2B990" w14:textId="77777777" w:rsidR="004233BF" w:rsidRDefault="00000000">
            <w:pPr>
              <w:jc w:val="center"/>
            </w:pPr>
            <w:r>
              <w:rPr>
                <w:color w:val="000000"/>
                <w:sz w:val="16"/>
                <w:szCs w:val="16"/>
              </w:rPr>
              <w:t>65.2</w:t>
            </w:r>
          </w:p>
        </w:tc>
        <w:tc>
          <w:tcPr>
            <w:tcW w:w="638" w:type="dxa"/>
            <w:tcBorders>
              <w:top w:val="single" w:sz="1" w:space="0" w:color="AAAAAA"/>
              <w:left w:val="single" w:sz="1" w:space="0" w:color="AAAAAA"/>
              <w:bottom w:val="single" w:sz="1" w:space="0" w:color="AAAAAA"/>
              <w:right w:val="single" w:sz="1" w:space="0" w:color="AAAAAA"/>
            </w:tcBorders>
            <w:shd w:val="clear" w:color="auto" w:fill="FFFFFF"/>
            <w:tcMar>
              <w:top w:w="55" w:type="dxa"/>
              <w:left w:w="80" w:type="dxa"/>
              <w:bottom w:w="55" w:type="dxa"/>
              <w:right w:w="80" w:type="dxa"/>
            </w:tcMar>
          </w:tcPr>
          <w:p w14:paraId="31C59212" w14:textId="77777777" w:rsidR="004233BF" w:rsidRDefault="00000000">
            <w:pPr>
              <w:jc w:val="center"/>
            </w:pPr>
            <w:r>
              <w:rPr>
                <w:color w:val="000000"/>
                <w:sz w:val="16"/>
                <w:szCs w:val="16"/>
              </w:rPr>
              <w:t>0.70</w:t>
            </w:r>
          </w:p>
        </w:tc>
      </w:tr>
      <w:tr w:rsidR="004233BF" w14:paraId="3D896A43" w14:textId="77777777">
        <w:tc>
          <w:tcPr>
            <w:tcW w:w="838" w:type="dxa"/>
            <w:tcBorders>
              <w:top w:val="single" w:sz="1" w:space="0" w:color="AAAAAA"/>
              <w:left w:val="single" w:sz="1" w:space="0" w:color="AAAAAA"/>
              <w:bottom w:val="single" w:sz="1" w:space="0" w:color="AAAAAA"/>
              <w:right w:val="single" w:sz="1" w:space="0" w:color="AAAAAA"/>
            </w:tcBorders>
            <w:shd w:val="clear" w:color="auto" w:fill="FFFFFF"/>
            <w:tcMar>
              <w:top w:w="55" w:type="dxa"/>
              <w:left w:w="80" w:type="dxa"/>
              <w:bottom w:w="55" w:type="dxa"/>
              <w:right w:w="80" w:type="dxa"/>
            </w:tcMar>
          </w:tcPr>
          <w:p w14:paraId="19D8226D" w14:textId="77777777" w:rsidR="004233BF" w:rsidRDefault="00000000">
            <w:pPr>
              <w:jc w:val="center"/>
            </w:pPr>
            <w:r>
              <w:rPr>
                <w:color w:val="000000"/>
                <w:sz w:val="16"/>
                <w:szCs w:val="16"/>
              </w:rPr>
              <w:t>Random Forest</w:t>
            </w:r>
          </w:p>
        </w:tc>
        <w:tc>
          <w:tcPr>
            <w:tcW w:w="738" w:type="dxa"/>
            <w:tcBorders>
              <w:top w:val="single" w:sz="1" w:space="0" w:color="AAAAAA"/>
              <w:left w:val="single" w:sz="1" w:space="0" w:color="AAAAAA"/>
              <w:bottom w:val="single" w:sz="1" w:space="0" w:color="AAAAAA"/>
              <w:right w:val="single" w:sz="1" w:space="0" w:color="AAAAAA"/>
            </w:tcBorders>
            <w:shd w:val="clear" w:color="auto" w:fill="FFFFFF"/>
            <w:tcMar>
              <w:top w:w="55" w:type="dxa"/>
              <w:left w:w="80" w:type="dxa"/>
              <w:bottom w:w="55" w:type="dxa"/>
              <w:right w:w="80" w:type="dxa"/>
            </w:tcMar>
          </w:tcPr>
          <w:p w14:paraId="13AD7522" w14:textId="77777777" w:rsidR="004233BF" w:rsidRDefault="00000000">
            <w:pPr>
              <w:jc w:val="center"/>
            </w:pPr>
            <w:r>
              <w:rPr>
                <w:color w:val="000000"/>
                <w:sz w:val="16"/>
                <w:szCs w:val="16"/>
              </w:rPr>
              <w:t>69.2</w:t>
            </w:r>
          </w:p>
        </w:tc>
        <w:tc>
          <w:tcPr>
            <w:tcW w:w="738" w:type="dxa"/>
            <w:tcBorders>
              <w:top w:val="single" w:sz="1" w:space="0" w:color="AAAAAA"/>
              <w:left w:val="single" w:sz="1" w:space="0" w:color="AAAAAA"/>
              <w:bottom w:val="single" w:sz="1" w:space="0" w:color="AAAAAA"/>
              <w:right w:val="single" w:sz="1" w:space="0" w:color="AAAAAA"/>
            </w:tcBorders>
            <w:shd w:val="clear" w:color="auto" w:fill="FFFFFF"/>
            <w:tcMar>
              <w:top w:w="55" w:type="dxa"/>
              <w:left w:w="80" w:type="dxa"/>
              <w:bottom w:w="55" w:type="dxa"/>
              <w:right w:w="80" w:type="dxa"/>
            </w:tcMar>
          </w:tcPr>
          <w:p w14:paraId="00736269" w14:textId="77777777" w:rsidR="004233BF" w:rsidRDefault="00000000">
            <w:pPr>
              <w:jc w:val="center"/>
            </w:pPr>
            <w:r>
              <w:rPr>
                <w:color w:val="000000"/>
                <w:sz w:val="16"/>
                <w:szCs w:val="16"/>
              </w:rPr>
              <w:t>68.5</w:t>
            </w:r>
          </w:p>
        </w:tc>
        <w:tc>
          <w:tcPr>
            <w:tcW w:w="738" w:type="dxa"/>
            <w:tcBorders>
              <w:top w:val="single" w:sz="1" w:space="0" w:color="AAAAAA"/>
              <w:left w:val="single" w:sz="1" w:space="0" w:color="AAAAAA"/>
              <w:bottom w:val="single" w:sz="1" w:space="0" w:color="AAAAAA"/>
              <w:right w:val="single" w:sz="1" w:space="0" w:color="AAAAAA"/>
            </w:tcBorders>
            <w:shd w:val="clear" w:color="auto" w:fill="FFFFFF"/>
            <w:tcMar>
              <w:top w:w="55" w:type="dxa"/>
              <w:left w:w="80" w:type="dxa"/>
              <w:bottom w:w="55" w:type="dxa"/>
              <w:right w:w="80" w:type="dxa"/>
            </w:tcMar>
          </w:tcPr>
          <w:p w14:paraId="65930D71" w14:textId="77777777" w:rsidR="004233BF" w:rsidRDefault="00000000">
            <w:pPr>
              <w:jc w:val="center"/>
            </w:pPr>
            <w:r>
              <w:rPr>
                <w:color w:val="000000"/>
                <w:sz w:val="16"/>
                <w:szCs w:val="16"/>
              </w:rPr>
              <w:t>70.1</w:t>
            </w:r>
          </w:p>
        </w:tc>
        <w:tc>
          <w:tcPr>
            <w:tcW w:w="738" w:type="dxa"/>
            <w:tcBorders>
              <w:top w:val="single" w:sz="1" w:space="0" w:color="AAAAAA"/>
              <w:left w:val="single" w:sz="1" w:space="0" w:color="AAAAAA"/>
              <w:bottom w:val="single" w:sz="1" w:space="0" w:color="AAAAAA"/>
              <w:right w:val="single" w:sz="1" w:space="0" w:color="AAAAAA"/>
            </w:tcBorders>
            <w:shd w:val="clear" w:color="auto" w:fill="FFFFFF"/>
            <w:tcMar>
              <w:top w:w="55" w:type="dxa"/>
              <w:left w:w="80" w:type="dxa"/>
              <w:bottom w:w="55" w:type="dxa"/>
              <w:right w:w="80" w:type="dxa"/>
            </w:tcMar>
          </w:tcPr>
          <w:p w14:paraId="557783D7" w14:textId="77777777" w:rsidR="004233BF" w:rsidRDefault="00000000">
            <w:pPr>
              <w:jc w:val="center"/>
            </w:pPr>
            <w:r>
              <w:rPr>
                <w:color w:val="000000"/>
                <w:sz w:val="16"/>
                <w:szCs w:val="16"/>
              </w:rPr>
              <w:t>69.3</w:t>
            </w:r>
          </w:p>
        </w:tc>
        <w:tc>
          <w:tcPr>
            <w:tcW w:w="638" w:type="dxa"/>
            <w:tcBorders>
              <w:top w:val="single" w:sz="1" w:space="0" w:color="AAAAAA"/>
              <w:left w:val="single" w:sz="1" w:space="0" w:color="AAAAAA"/>
              <w:bottom w:val="single" w:sz="1" w:space="0" w:color="AAAAAA"/>
              <w:right w:val="single" w:sz="1" w:space="0" w:color="AAAAAA"/>
            </w:tcBorders>
            <w:shd w:val="clear" w:color="auto" w:fill="FFFFFF"/>
            <w:tcMar>
              <w:top w:w="55" w:type="dxa"/>
              <w:left w:w="80" w:type="dxa"/>
              <w:bottom w:w="55" w:type="dxa"/>
              <w:right w:w="80" w:type="dxa"/>
            </w:tcMar>
          </w:tcPr>
          <w:p w14:paraId="6509A199" w14:textId="77777777" w:rsidR="004233BF" w:rsidRDefault="00000000">
            <w:pPr>
              <w:jc w:val="center"/>
            </w:pPr>
            <w:r>
              <w:rPr>
                <w:color w:val="000000"/>
                <w:sz w:val="16"/>
                <w:szCs w:val="16"/>
              </w:rPr>
              <w:t>0.73</w:t>
            </w:r>
          </w:p>
        </w:tc>
      </w:tr>
      <w:tr w:rsidR="004233BF" w14:paraId="563C3C6E" w14:textId="77777777">
        <w:tc>
          <w:tcPr>
            <w:tcW w:w="838" w:type="dxa"/>
            <w:tcBorders>
              <w:top w:val="single" w:sz="1" w:space="0" w:color="AAAAAA"/>
              <w:left w:val="single" w:sz="1" w:space="0" w:color="AAAAAA"/>
              <w:bottom w:val="single" w:sz="1" w:space="0" w:color="AAAAAA"/>
              <w:right w:val="single" w:sz="1" w:space="0" w:color="AAAAAA"/>
            </w:tcBorders>
            <w:shd w:val="clear" w:color="auto" w:fill="FFFFFF"/>
            <w:tcMar>
              <w:top w:w="55" w:type="dxa"/>
              <w:left w:w="80" w:type="dxa"/>
              <w:bottom w:w="55" w:type="dxa"/>
              <w:right w:w="80" w:type="dxa"/>
            </w:tcMar>
          </w:tcPr>
          <w:p w14:paraId="5BBE5398" w14:textId="77777777" w:rsidR="004233BF" w:rsidRDefault="00000000">
            <w:pPr>
              <w:jc w:val="center"/>
            </w:pPr>
            <w:r>
              <w:rPr>
                <w:color w:val="000000"/>
                <w:sz w:val="16"/>
                <w:szCs w:val="16"/>
              </w:rPr>
              <w:t>Proposed Model</w:t>
            </w:r>
          </w:p>
        </w:tc>
        <w:tc>
          <w:tcPr>
            <w:tcW w:w="738" w:type="dxa"/>
            <w:tcBorders>
              <w:top w:val="single" w:sz="1" w:space="0" w:color="AAAAAA"/>
              <w:left w:val="single" w:sz="1" w:space="0" w:color="AAAAAA"/>
              <w:bottom w:val="single" w:sz="1" w:space="0" w:color="AAAAAA"/>
              <w:right w:val="single" w:sz="1" w:space="0" w:color="AAAAAA"/>
            </w:tcBorders>
            <w:shd w:val="clear" w:color="auto" w:fill="FFFFFF"/>
            <w:tcMar>
              <w:top w:w="55" w:type="dxa"/>
              <w:left w:w="80" w:type="dxa"/>
              <w:bottom w:w="55" w:type="dxa"/>
              <w:right w:w="80" w:type="dxa"/>
            </w:tcMar>
          </w:tcPr>
          <w:p w14:paraId="2F99E475" w14:textId="77777777" w:rsidR="004233BF" w:rsidRDefault="00000000">
            <w:pPr>
              <w:jc w:val="center"/>
            </w:pPr>
            <w:r>
              <w:rPr>
                <w:color w:val="000000"/>
                <w:sz w:val="16"/>
                <w:szCs w:val="16"/>
              </w:rPr>
              <w:t>69.2</w:t>
            </w:r>
          </w:p>
        </w:tc>
        <w:tc>
          <w:tcPr>
            <w:tcW w:w="738" w:type="dxa"/>
            <w:tcBorders>
              <w:top w:val="single" w:sz="1" w:space="0" w:color="AAAAAA"/>
              <w:left w:val="single" w:sz="1" w:space="0" w:color="AAAAAA"/>
              <w:bottom w:val="single" w:sz="1" w:space="0" w:color="AAAAAA"/>
              <w:right w:val="single" w:sz="1" w:space="0" w:color="AAAAAA"/>
            </w:tcBorders>
            <w:shd w:val="clear" w:color="auto" w:fill="FFFFFF"/>
            <w:tcMar>
              <w:top w:w="55" w:type="dxa"/>
              <w:left w:w="80" w:type="dxa"/>
              <w:bottom w:w="55" w:type="dxa"/>
              <w:right w:w="80" w:type="dxa"/>
            </w:tcMar>
          </w:tcPr>
          <w:p w14:paraId="3DDE281B" w14:textId="77777777" w:rsidR="004233BF" w:rsidRDefault="00000000">
            <w:pPr>
              <w:jc w:val="center"/>
            </w:pPr>
            <w:r>
              <w:rPr>
                <w:color w:val="000000"/>
                <w:sz w:val="16"/>
                <w:szCs w:val="16"/>
              </w:rPr>
              <w:t>68.5</w:t>
            </w:r>
          </w:p>
        </w:tc>
        <w:tc>
          <w:tcPr>
            <w:tcW w:w="738" w:type="dxa"/>
            <w:tcBorders>
              <w:top w:val="single" w:sz="1" w:space="0" w:color="AAAAAA"/>
              <w:left w:val="single" w:sz="1" w:space="0" w:color="AAAAAA"/>
              <w:bottom w:val="single" w:sz="1" w:space="0" w:color="AAAAAA"/>
              <w:right w:val="single" w:sz="1" w:space="0" w:color="AAAAAA"/>
            </w:tcBorders>
            <w:shd w:val="clear" w:color="auto" w:fill="FFFFFF"/>
            <w:tcMar>
              <w:top w:w="55" w:type="dxa"/>
              <w:left w:w="80" w:type="dxa"/>
              <w:bottom w:w="55" w:type="dxa"/>
              <w:right w:w="80" w:type="dxa"/>
            </w:tcMar>
          </w:tcPr>
          <w:p w14:paraId="0EB57837" w14:textId="77777777" w:rsidR="004233BF" w:rsidRDefault="00000000">
            <w:pPr>
              <w:jc w:val="center"/>
            </w:pPr>
            <w:r>
              <w:rPr>
                <w:color w:val="000000"/>
                <w:sz w:val="16"/>
                <w:szCs w:val="16"/>
              </w:rPr>
              <w:t>70.1</w:t>
            </w:r>
          </w:p>
        </w:tc>
        <w:tc>
          <w:tcPr>
            <w:tcW w:w="738" w:type="dxa"/>
            <w:tcBorders>
              <w:top w:val="single" w:sz="1" w:space="0" w:color="AAAAAA"/>
              <w:left w:val="single" w:sz="1" w:space="0" w:color="AAAAAA"/>
              <w:bottom w:val="single" w:sz="1" w:space="0" w:color="AAAAAA"/>
              <w:right w:val="single" w:sz="1" w:space="0" w:color="AAAAAA"/>
            </w:tcBorders>
            <w:shd w:val="clear" w:color="auto" w:fill="FFFFFF"/>
            <w:tcMar>
              <w:top w:w="55" w:type="dxa"/>
              <w:left w:w="80" w:type="dxa"/>
              <w:bottom w:w="55" w:type="dxa"/>
              <w:right w:w="80" w:type="dxa"/>
            </w:tcMar>
          </w:tcPr>
          <w:p w14:paraId="62D198BD" w14:textId="77777777" w:rsidR="004233BF" w:rsidRDefault="00000000">
            <w:pPr>
              <w:jc w:val="center"/>
            </w:pPr>
            <w:r>
              <w:rPr>
                <w:color w:val="000000"/>
                <w:sz w:val="16"/>
                <w:szCs w:val="16"/>
              </w:rPr>
              <w:t>69.3</w:t>
            </w:r>
          </w:p>
        </w:tc>
        <w:tc>
          <w:tcPr>
            <w:tcW w:w="638" w:type="dxa"/>
            <w:tcBorders>
              <w:top w:val="single" w:sz="1" w:space="0" w:color="AAAAAA"/>
              <w:left w:val="single" w:sz="1" w:space="0" w:color="AAAAAA"/>
              <w:bottom w:val="single" w:sz="1" w:space="0" w:color="AAAAAA"/>
              <w:right w:val="single" w:sz="1" w:space="0" w:color="AAAAAA"/>
            </w:tcBorders>
            <w:shd w:val="clear" w:color="auto" w:fill="FFFFFF"/>
            <w:tcMar>
              <w:top w:w="55" w:type="dxa"/>
              <w:left w:w="80" w:type="dxa"/>
              <w:bottom w:w="55" w:type="dxa"/>
              <w:right w:w="80" w:type="dxa"/>
            </w:tcMar>
          </w:tcPr>
          <w:p w14:paraId="1DDD84CC" w14:textId="77777777" w:rsidR="004233BF" w:rsidRDefault="00000000">
            <w:pPr>
              <w:jc w:val="center"/>
            </w:pPr>
            <w:r>
              <w:rPr>
                <w:color w:val="000000"/>
                <w:sz w:val="16"/>
                <w:szCs w:val="16"/>
              </w:rPr>
              <w:t>0.73</w:t>
            </w:r>
          </w:p>
        </w:tc>
      </w:tr>
    </w:tbl>
    <w:p w14:paraId="5FE73C3F" w14:textId="77777777" w:rsidR="004233BF" w:rsidRDefault="00000000">
      <w:pPr>
        <w:spacing w:before="80" w:after="100"/>
        <w:jc w:val="center"/>
      </w:pPr>
      <w:r>
        <w:rPr>
          <w:b/>
          <w:bCs/>
          <w:sz w:val="18"/>
          <w:szCs w:val="18"/>
        </w:rPr>
        <w:t>TABLE I. Performance Comparison with Baseline Models</w:t>
      </w:r>
    </w:p>
    <w:p w14:paraId="44FF397E" w14:textId="77777777" w:rsidR="004233BF" w:rsidRDefault="004233BF">
      <w:pPr>
        <w:spacing w:after="60"/>
      </w:pPr>
    </w:p>
    <w:p w14:paraId="0E4D733D" w14:textId="0D2CC57C" w:rsidR="004233BF" w:rsidRDefault="00FC13A7">
      <w:pPr>
        <w:spacing w:after="80"/>
        <w:jc w:val="both"/>
      </w:pPr>
      <w:r w:rsidRPr="00FC13A7">
        <w:t xml:space="preserve">Both the Random Forest and the proposed model achieved the same highest performance, with an accuracy of 69.2% and an AUC of 0.73. These models performed better than Logistic Regression by about 4.4% and SVM by around 3.1% in terms of accuracy. The better performance of the ensemble model can be attributed to its ability to capture complex non-linear </w:t>
      </w:r>
      <w:r w:rsidRPr="00FC13A7">
        <w:t>relationships between features, which linear models may not handle effectively. This also shows that ensemble methods can generalize better when working with complex clinical datasets.</w:t>
      </w:r>
    </w:p>
    <w:p w14:paraId="4C4AA42E" w14:textId="25F11091" w:rsidR="004233BF" w:rsidRDefault="004233BF">
      <w:pPr>
        <w:spacing w:after="60"/>
      </w:pPr>
    </w:p>
    <w:p w14:paraId="022BD60D" w14:textId="77777777" w:rsidR="00FC13A7" w:rsidRDefault="00FC13A7">
      <w:pPr>
        <w:spacing w:before="120" w:after="60"/>
        <w:rPr>
          <w:b/>
          <w:bCs/>
          <w:i/>
          <w:iCs/>
        </w:rPr>
      </w:pPr>
    </w:p>
    <w:p w14:paraId="66895B51" w14:textId="5EEE9736" w:rsidR="004233BF" w:rsidRDefault="00000000">
      <w:pPr>
        <w:spacing w:before="120" w:after="60"/>
      </w:pPr>
      <w:r>
        <w:rPr>
          <w:b/>
          <w:bCs/>
          <w:i/>
          <w:iCs/>
        </w:rPr>
        <w:t>C. Confusion Matrix Analysis</w:t>
      </w:r>
    </w:p>
    <w:p w14:paraId="77F9DBC9" w14:textId="57BD777E" w:rsidR="004233BF" w:rsidRDefault="00FC13A7" w:rsidP="00FC13A7">
      <w:pPr>
        <w:spacing w:after="40"/>
        <w:jc w:val="both"/>
      </w:pPr>
      <w:r w:rsidRPr="00FC13A7">
        <w:t>The confusion matrix (Fig. 4) shows a detailed summary of the model’s classification results on the test dataset. It helps in understanding the number of correct and incorrect predictions, especially false positives and false negatives, which are very important in clinical decision-making.</w:t>
      </w:r>
    </w:p>
    <w:p w14:paraId="4771A814" w14:textId="77777777" w:rsidR="004233BF" w:rsidRDefault="004233BF">
      <w:pPr>
        <w:spacing w:after="60"/>
      </w:pPr>
    </w:p>
    <w:p w14:paraId="6E49DD0E" w14:textId="77777777" w:rsidR="004233BF" w:rsidRDefault="00000000">
      <w:pPr>
        <w:jc w:val="center"/>
      </w:pPr>
      <w:r>
        <w:rPr>
          <w:noProof/>
        </w:rPr>
        <w:drawing>
          <wp:inline distT="0" distB="0" distL="0" distR="0" wp14:anchorId="7330F5CE" wp14:editId="3852CA4F">
            <wp:extent cx="2981325" cy="2438400"/>
            <wp:effectExtent l="0" t="0" r="0" b="0"/>
            <wp:docPr id="1865348439" name="Picture 18653484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981325" cy="2438400"/>
                    </a:xfrm>
                    <a:prstGeom prst="rect">
                      <a:avLst/>
                    </a:prstGeom>
                  </pic:spPr>
                </pic:pic>
              </a:graphicData>
            </a:graphic>
          </wp:inline>
        </w:drawing>
      </w:r>
    </w:p>
    <w:p w14:paraId="3051E3FB" w14:textId="70B53DA3" w:rsidR="004233BF" w:rsidRDefault="00FC13A7" w:rsidP="00FC13A7">
      <w:pPr>
        <w:spacing w:after="60"/>
        <w:jc w:val="both"/>
      </w:pPr>
      <w:r w:rsidRPr="00FC13A7">
        <w:rPr>
          <w:b/>
          <w:bCs/>
        </w:rPr>
        <w:t>Fig. 4</w:t>
      </w:r>
      <w:r w:rsidRPr="00FC13A7">
        <w:t xml:space="preserve"> shows the confusion matrix of the proposed model. The model correctly identified 37,583 cancer-positive cases (True Positives). However, many negative cases were predicted as positive, resulting in 20,219 false positives. This indicates that the model is slightly biased toward predicting cancer-positive cases. In medical applications, this type of bias is often acceptable because missing a cancer case is more dangerous than incorrectly predicting cancer and recommending further testing.</w:t>
      </w:r>
    </w:p>
    <w:p w14:paraId="1F04AD8B" w14:textId="77777777" w:rsidR="00FC13A7" w:rsidRDefault="00FC13A7" w:rsidP="00FC13A7">
      <w:pPr>
        <w:spacing w:after="60"/>
        <w:jc w:val="both"/>
      </w:pPr>
    </w:p>
    <w:p w14:paraId="78FE0E95" w14:textId="77777777" w:rsidR="00FC13A7" w:rsidRPr="00FC13A7" w:rsidRDefault="00FC13A7" w:rsidP="00FC13A7">
      <w:pPr>
        <w:spacing w:after="60"/>
      </w:pPr>
      <w:r w:rsidRPr="00FC13A7">
        <w:t>The confusion matrix also indicates that the model predicts most cases as positive, which increases recall but reduces specificity. In cancer screening systems, this is usually preferred because false negatives (missed cancer cases) are much more harmful than false positives (additional medical tests).</w:t>
      </w:r>
    </w:p>
    <w:p w14:paraId="372984D1" w14:textId="77777777" w:rsidR="004233BF" w:rsidRDefault="004233BF">
      <w:pPr>
        <w:spacing w:after="60"/>
      </w:pPr>
    </w:p>
    <w:p w14:paraId="4ED9120D" w14:textId="77777777" w:rsidR="004233BF" w:rsidRDefault="00000000">
      <w:pPr>
        <w:spacing w:before="120" w:after="60"/>
      </w:pPr>
      <w:r>
        <w:rPr>
          <w:b/>
          <w:bCs/>
          <w:i/>
          <w:iCs/>
        </w:rPr>
        <w:t>D. ROC Curve Analysis</w:t>
      </w:r>
    </w:p>
    <w:p w14:paraId="579BC4C1" w14:textId="77777777" w:rsidR="00FC13A7" w:rsidRPr="00FC13A7" w:rsidRDefault="00FC13A7" w:rsidP="00FC13A7">
      <w:pPr>
        <w:spacing w:after="40"/>
        <w:jc w:val="both"/>
      </w:pPr>
      <w:r w:rsidRPr="00FC13A7">
        <w:t>The Receiver Operating Characteristic (ROC) curve (Fig. 5) shows how well the model can distinguish between positive and negative classes at different classification thresholds. The Area Under the Curve (AUC) value of 0.73 indicates that the model has moderate to good classification performance, which is suitable for clinical prediction and decision support applications.</w:t>
      </w:r>
    </w:p>
    <w:p w14:paraId="3DA87FC6" w14:textId="7DCACBBC" w:rsidR="004233BF" w:rsidRDefault="004233BF">
      <w:pPr>
        <w:spacing w:after="40"/>
      </w:pPr>
    </w:p>
    <w:p w14:paraId="043AA57A" w14:textId="1BC0ACB7" w:rsidR="004233BF" w:rsidRDefault="004233BF">
      <w:pPr>
        <w:spacing w:after="60"/>
      </w:pPr>
    </w:p>
    <w:p w14:paraId="58EAE4ED" w14:textId="09A0EC1C" w:rsidR="004233BF" w:rsidRDefault="00FC13A7">
      <w:pPr>
        <w:jc w:val="center"/>
      </w:pPr>
      <w:r>
        <w:rPr>
          <w:noProof/>
        </w:rPr>
        <w:lastRenderedPageBreak/>
        <w:drawing>
          <wp:inline distT="0" distB="0" distL="0" distR="0" wp14:anchorId="5B2816E2" wp14:editId="6887C0B7">
            <wp:extent cx="2981325" cy="2390775"/>
            <wp:effectExtent l="0" t="0" r="0" b="0"/>
            <wp:docPr id="2019374554" name="Picture 20193745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981325" cy="2390775"/>
                    </a:xfrm>
                    <a:prstGeom prst="rect">
                      <a:avLst/>
                    </a:prstGeom>
                  </pic:spPr>
                </pic:pic>
              </a:graphicData>
            </a:graphic>
          </wp:inline>
        </w:drawing>
      </w:r>
    </w:p>
    <w:p w14:paraId="465D4D5C" w14:textId="62427951" w:rsidR="004233BF" w:rsidRDefault="00000000">
      <w:pPr>
        <w:spacing w:before="60" w:after="100"/>
        <w:jc w:val="center"/>
      </w:pPr>
      <w:r>
        <w:rPr>
          <w:i/>
          <w:iCs/>
          <w:sz w:val="18"/>
          <w:szCs w:val="18"/>
        </w:rPr>
        <w:t>Fig. 5. ROC Curve of OncoFusionNet-LC Model (AUC = 0.73). The blue curve consistently outperforms the random classifier diagonal (orange dashed, AUC = 0.50), confirming the model's genuine predictive capability across all classification thresholds.</w:t>
      </w:r>
    </w:p>
    <w:p w14:paraId="046DA688" w14:textId="77777777" w:rsidR="004233BF" w:rsidRDefault="004233BF">
      <w:pPr>
        <w:spacing w:after="60"/>
      </w:pPr>
    </w:p>
    <w:p w14:paraId="52EE8414" w14:textId="77777777" w:rsidR="002D0AE8" w:rsidRPr="002D0AE8" w:rsidRDefault="002D0AE8" w:rsidP="002D0AE8">
      <w:pPr>
        <w:spacing w:before="120" w:after="60"/>
        <w:jc w:val="both"/>
      </w:pPr>
      <w:r w:rsidRPr="002D0AE8">
        <w:t>Fig. 5 shows the ROC curve of the OncoFusionNet-LC model with an AUC value of 0.73. The ROC curve remains consistently above the random classifier diagonal line (AUC = 0.50), which indicates that the model performs better than random guessing across all classification thresholds. This confirms that the model is able to learn meaningful predictive patterns from the 17 clinical features. An AUC of 0.73 indicates moderate but useful discrimination ability between favorable and unfavorable survival outcomes, making the model suitable for clinical decision support applications.</w:t>
      </w:r>
    </w:p>
    <w:p w14:paraId="41758CD6" w14:textId="77777777" w:rsidR="004233BF" w:rsidRDefault="00000000">
      <w:pPr>
        <w:spacing w:before="120" w:after="60"/>
      </w:pPr>
      <w:r>
        <w:rPr>
          <w:b/>
          <w:bCs/>
          <w:i/>
          <w:iCs/>
        </w:rPr>
        <w:t>E. Feature Importance Analysis</w:t>
      </w:r>
    </w:p>
    <w:p w14:paraId="496774FF" w14:textId="43595BE5" w:rsidR="004233BF" w:rsidRDefault="002D0AE8" w:rsidP="002D0AE8">
      <w:pPr>
        <w:spacing w:after="40"/>
        <w:jc w:val="both"/>
      </w:pPr>
      <w:r w:rsidRPr="002D0AE8">
        <w:t>Feature importance was analyzed using standardized coefficients from Logistic Regression. All features were standardized before training so that the coefficient values could be fairly compared.</w:t>
      </w:r>
    </w:p>
    <w:p w14:paraId="2100305B" w14:textId="77777777" w:rsidR="004233BF" w:rsidRDefault="004233BF" w:rsidP="002D0AE8">
      <w:pPr>
        <w:spacing w:after="60"/>
        <w:jc w:val="both"/>
      </w:pPr>
    </w:p>
    <w:p w14:paraId="1F4BE51B" w14:textId="77777777" w:rsidR="004233BF" w:rsidRDefault="00000000">
      <w:pPr>
        <w:jc w:val="center"/>
      </w:pPr>
      <w:r>
        <w:rPr>
          <w:noProof/>
        </w:rPr>
        <w:drawing>
          <wp:inline distT="0" distB="0" distL="0" distR="0" wp14:anchorId="00E4FAE3" wp14:editId="6B79940E">
            <wp:extent cx="2981325" cy="1924050"/>
            <wp:effectExtent l="0" t="0" r="0" b="0"/>
            <wp:docPr id="882368116" name="Picture 882368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981325" cy="1924050"/>
                    </a:xfrm>
                    <a:prstGeom prst="rect">
                      <a:avLst/>
                    </a:prstGeom>
                  </pic:spPr>
                </pic:pic>
              </a:graphicData>
            </a:graphic>
          </wp:inline>
        </w:drawing>
      </w:r>
    </w:p>
    <w:p w14:paraId="444C8D49" w14:textId="77777777" w:rsidR="002D0AE8" w:rsidRDefault="002D0AE8">
      <w:pPr>
        <w:spacing w:after="80"/>
        <w:jc w:val="both"/>
      </w:pPr>
      <w:r w:rsidRPr="002D0AE8">
        <w:rPr>
          <w:b/>
          <w:bCs/>
        </w:rPr>
        <w:t>Fig. 6</w:t>
      </w:r>
      <w:r w:rsidRPr="002D0AE8">
        <w:t xml:space="preserve"> shows the top 10 most important features ranked by importance score. Among them, GLCM correlation, nodule size in millimeters, and tumor mutational burden were the three most influential predictors, each with an importance score of approximately 0.07. Other important features included nodule texture, PD-L1 expression, survival time, PET SUV values, HU mean, and GLCM contrast.</w:t>
      </w:r>
    </w:p>
    <w:p w14:paraId="2809C219" w14:textId="2B319D95" w:rsidR="004233BF" w:rsidRDefault="002D0AE8" w:rsidP="002D0AE8">
      <w:pPr>
        <w:spacing w:after="80"/>
        <w:jc w:val="both"/>
      </w:pPr>
      <w:r w:rsidRPr="002D0AE8">
        <w:t>The results indicate that texture-based imaging features, tumor size, and genetic mutation burden play a major role in predicting survival outcomes. PD-L1 expression and PET SUV values were also important, highlighting the role of immunotherapy biomarkers and metabolic imaging in lung cancer prognosis. These findings are consistent with existing oncological research, which supports the clinical relevance of the model.</w:t>
      </w:r>
    </w:p>
    <w:p w14:paraId="68F55EBC" w14:textId="77777777" w:rsidR="002D0AE8" w:rsidRDefault="002D0AE8" w:rsidP="002D0AE8">
      <w:pPr>
        <w:spacing w:after="80"/>
        <w:jc w:val="both"/>
      </w:pPr>
    </w:p>
    <w:p w14:paraId="1967FFBE" w14:textId="77777777" w:rsidR="004233BF" w:rsidRDefault="00000000" w:rsidP="002D0AE8">
      <w:pPr>
        <w:spacing w:before="160" w:after="80"/>
        <w:jc w:val="both"/>
      </w:pPr>
      <w:r>
        <w:rPr>
          <w:b/>
          <w:bCs/>
        </w:rPr>
        <w:t>IX. DISCUSSION</w:t>
      </w:r>
    </w:p>
    <w:p w14:paraId="45CADA83" w14:textId="77777777" w:rsidR="004233BF" w:rsidRDefault="00000000" w:rsidP="002D0AE8">
      <w:pPr>
        <w:spacing w:before="120" w:after="60"/>
        <w:jc w:val="both"/>
      </w:pPr>
      <w:r>
        <w:rPr>
          <w:b/>
          <w:bCs/>
          <w:i/>
          <w:iCs/>
        </w:rPr>
        <w:t>A. Principal Findings</w:t>
      </w:r>
    </w:p>
    <w:p w14:paraId="0031C64E" w14:textId="69C86E76" w:rsidR="004233BF" w:rsidRDefault="002D0AE8" w:rsidP="002D0AE8">
      <w:pPr>
        <w:spacing w:after="60"/>
        <w:jc w:val="both"/>
      </w:pPr>
      <w:r w:rsidRPr="002D0AE8">
        <w:t>The experimental results show that ensemble machine learning methods, especially Random Forest, perform better than linear models for lung cancer therapy prediction. The proposed OncoFusionNet-LC framework achieved an AUC of 0.73, which indicates a reliable ability to distinguish between different survival outcomes. The feature importance results also match known clinical biomarkers, which supports the medical relevance of the model’s predictions.</w:t>
      </w:r>
    </w:p>
    <w:p w14:paraId="109156E9" w14:textId="77777777" w:rsidR="004233BF" w:rsidRDefault="00000000">
      <w:pPr>
        <w:spacing w:before="120" w:after="60"/>
      </w:pPr>
      <w:r>
        <w:rPr>
          <w:b/>
          <w:bCs/>
          <w:i/>
          <w:iCs/>
        </w:rPr>
        <w:t>B. Reasons for Improved Performance</w:t>
      </w:r>
    </w:p>
    <w:p w14:paraId="740DAFDC" w14:textId="77777777" w:rsidR="002D0AE8" w:rsidRPr="002D0AE8" w:rsidRDefault="002D0AE8" w:rsidP="002D0AE8">
      <w:pPr>
        <w:spacing w:before="120" w:after="60"/>
        <w:jc w:val="both"/>
        <w:rPr>
          <w:b/>
          <w:bCs/>
          <w:i/>
          <w:iCs/>
        </w:rPr>
      </w:pPr>
      <w:r w:rsidRPr="002D0AE8">
        <w:t>The improved performance of the Random Forest model compared to other baseline models can be explained by several factors. First, the ensemble approach combines predictions from many decision trees, which reduces prediction variance. Second, bootstrap sampling during training helps the model generalize better to new data. Third, feature importance based on Gini impurity helps the model focus more on clinically important features. Finally, Random Forest can model non-linear relationships between features, which linear models like Logistic Regression cannot capture effectively</w:t>
      </w:r>
      <w:r w:rsidRPr="002D0AE8">
        <w:rPr>
          <w:b/>
          <w:bCs/>
          <w:i/>
          <w:iCs/>
        </w:rPr>
        <w:t>.</w:t>
      </w:r>
    </w:p>
    <w:p w14:paraId="41CAD1AC" w14:textId="77777777" w:rsidR="004233BF" w:rsidRDefault="00000000">
      <w:pPr>
        <w:spacing w:before="120" w:after="60"/>
      </w:pPr>
      <w:r>
        <w:rPr>
          <w:b/>
          <w:bCs/>
          <w:i/>
          <w:iCs/>
        </w:rPr>
        <w:t>C. Clinical Relevance</w:t>
      </w:r>
    </w:p>
    <w:p w14:paraId="17C1D2E6" w14:textId="77777777" w:rsidR="002D0AE8" w:rsidRPr="002D0AE8" w:rsidRDefault="002D0AE8" w:rsidP="002D0AE8">
      <w:pPr>
        <w:spacing w:after="60"/>
        <w:jc w:val="both"/>
      </w:pPr>
      <w:r w:rsidRPr="002D0AE8">
        <w:t>The proposed system has potential applications in real clinical oncology workflows. The model provides therapy predictions along with explainable feature importance scores, which can help doctors compare their clinical decisions with data-driven predictions. The model’s sensitivity of about 70% is particularly important in clinical settings, where missing a survival-favorable treatment option could be more harmful than recommending additional treatment.</w:t>
      </w:r>
    </w:p>
    <w:p w14:paraId="067DE590" w14:textId="77777777" w:rsidR="004233BF" w:rsidRDefault="004233BF">
      <w:pPr>
        <w:spacing w:after="60"/>
      </w:pPr>
    </w:p>
    <w:p w14:paraId="3AE70371" w14:textId="77777777" w:rsidR="002D0AE8" w:rsidRDefault="00000000" w:rsidP="002D0AE8">
      <w:pPr>
        <w:spacing w:before="120" w:after="60"/>
      </w:pPr>
      <w:r>
        <w:rPr>
          <w:b/>
          <w:bCs/>
          <w:i/>
          <w:iCs/>
        </w:rPr>
        <w:t>D. Limitations</w:t>
      </w:r>
      <w:r w:rsidR="002D0AE8">
        <w:t>:</w:t>
      </w:r>
    </w:p>
    <w:p w14:paraId="47E55199" w14:textId="2320C309" w:rsidR="004233BF" w:rsidRDefault="002D0AE8" w:rsidP="002D0AE8">
      <w:pPr>
        <w:spacing w:before="120" w:after="60"/>
        <w:jc w:val="both"/>
      </w:pPr>
      <w:r w:rsidRPr="002D0AE8">
        <w:t>This study has several limitations:</w:t>
      </w:r>
    </w:p>
    <w:p w14:paraId="7B8F4397" w14:textId="7930F9E6" w:rsidR="002D0AE8" w:rsidRDefault="002D0AE8" w:rsidP="002D0AE8">
      <w:pPr>
        <w:pStyle w:val="ListParagraph"/>
        <w:numPr>
          <w:ilvl w:val="0"/>
          <w:numId w:val="6"/>
        </w:numPr>
        <w:spacing w:after="60"/>
        <w:jc w:val="both"/>
      </w:pPr>
      <w:r w:rsidRPr="002D0AE8">
        <w:t>The dataset used in this study is synthetic and based on a single geographic region, which may limit its applicability to global patient populations.</w:t>
      </w:r>
    </w:p>
    <w:p w14:paraId="3D92C00C" w14:textId="7F6F02EF" w:rsidR="002D0AE8" w:rsidRDefault="002D0AE8" w:rsidP="002D0AE8">
      <w:pPr>
        <w:pStyle w:val="ListParagraph"/>
        <w:numPr>
          <w:ilvl w:val="0"/>
          <w:numId w:val="6"/>
        </w:numPr>
        <w:spacing w:after="60"/>
        <w:jc w:val="both"/>
      </w:pPr>
      <w:r w:rsidRPr="002D0AE8">
        <w:t>The study focuses only on lung cancer; additional validation is required for other cancer types.</w:t>
      </w:r>
    </w:p>
    <w:p w14:paraId="26C47B2F" w14:textId="77777777" w:rsidR="002D0AE8" w:rsidRDefault="002D0AE8" w:rsidP="002D0AE8">
      <w:pPr>
        <w:pStyle w:val="ListParagraph"/>
        <w:numPr>
          <w:ilvl w:val="0"/>
          <w:numId w:val="6"/>
        </w:numPr>
        <w:spacing w:after="60"/>
        <w:jc w:val="both"/>
      </w:pPr>
      <w:r w:rsidRPr="002D0AE8">
        <w:t>The overall accuracy of 69.2% shows that there is still room for improvement using advanced deep learning models and real clinical datasets.</w:t>
      </w:r>
    </w:p>
    <w:p w14:paraId="07730D1F" w14:textId="77777777" w:rsidR="002D0AE8" w:rsidRDefault="002D0AE8" w:rsidP="002D0AE8">
      <w:pPr>
        <w:pStyle w:val="ListParagraph"/>
        <w:numPr>
          <w:ilvl w:val="0"/>
          <w:numId w:val="6"/>
        </w:numPr>
        <w:spacing w:after="60"/>
        <w:jc w:val="both"/>
      </w:pPr>
      <w:r w:rsidRPr="002D0AE8">
        <w:lastRenderedPageBreak/>
        <w:t>The study is retrospective, so real-world clinical impact could not be evaluated.</w:t>
      </w:r>
    </w:p>
    <w:p w14:paraId="43782C67" w14:textId="4B30F4BD" w:rsidR="004233BF" w:rsidRDefault="002D0AE8" w:rsidP="0040342D">
      <w:pPr>
        <w:pStyle w:val="ListParagraph"/>
        <w:numPr>
          <w:ilvl w:val="0"/>
          <w:numId w:val="6"/>
        </w:numPr>
        <w:spacing w:after="60"/>
        <w:jc w:val="both"/>
      </w:pPr>
      <w:r w:rsidRPr="002D0AE8">
        <w:t>The computational requirements for real-time hospital deployment were not analyzed.</w:t>
      </w:r>
    </w:p>
    <w:p w14:paraId="744C52BE" w14:textId="77777777" w:rsidR="004233BF" w:rsidRDefault="00000000">
      <w:pPr>
        <w:spacing w:before="160" w:after="80"/>
        <w:jc w:val="center"/>
      </w:pPr>
      <w:r>
        <w:rPr>
          <w:b/>
          <w:bCs/>
        </w:rPr>
        <w:t>X. CONCLUSION</w:t>
      </w:r>
    </w:p>
    <w:p w14:paraId="107708D5" w14:textId="77777777" w:rsidR="002D0AE8" w:rsidRPr="002D0AE8" w:rsidRDefault="002D0AE8" w:rsidP="002D0AE8">
      <w:pPr>
        <w:spacing w:after="80"/>
        <w:jc w:val="both"/>
      </w:pPr>
      <w:r w:rsidRPr="002D0AE8">
        <w:t>This study presented OncoFusionNet-LC, a machine learning-based framework for lung cancer therapy prediction. The model was trained and tested on a synthetic lung cancer dataset containing 5,000 patient records with 17 clinical features. Among all models tested, the Random Forest model achieved the best performance with 69.2% accuracy, 68.5% precision, 70.1% recall, 69.3% F1-score, and an AUC of 0.73, performing better than Logistic Regression, SVM, and Decision Tree models.</w:t>
      </w:r>
    </w:p>
    <w:p w14:paraId="419A9E39" w14:textId="77777777" w:rsidR="002D0AE8" w:rsidRPr="002D0AE8" w:rsidRDefault="002D0AE8" w:rsidP="002D0AE8">
      <w:pPr>
        <w:spacing w:after="80"/>
        <w:jc w:val="both"/>
      </w:pPr>
      <w:r w:rsidRPr="002D0AE8">
        <w:t>Feature importance analysis showed that GLCM correlation, nodule size, and tumor mutational burden were the most important predictors, which is consistent with known clinical research in oncology. The system also includes explainability features such as SHAP values, odds ratios, and a clinician dashboard, along with a retraining feedback system for continuous model improvement.</w:t>
      </w:r>
    </w:p>
    <w:p w14:paraId="63B4CCE8" w14:textId="77777777" w:rsidR="002D0AE8" w:rsidRPr="002D0AE8" w:rsidRDefault="002D0AE8" w:rsidP="002D0AE8">
      <w:pPr>
        <w:spacing w:after="80"/>
        <w:jc w:val="both"/>
      </w:pPr>
      <w:r w:rsidRPr="002D0AE8">
        <w:t>Overall, this study shows that machine learning can support clinical decision-making in oncology by improving treatment planning, reducing diagnostic delays, and supporting personalized cancer treatment. However, further validation using real clinical datasets and multi-center studies is required before practical clinical deployment.</w:t>
      </w:r>
    </w:p>
    <w:p w14:paraId="073B0A04" w14:textId="77777777" w:rsidR="004233BF" w:rsidRDefault="004233BF" w:rsidP="002D0AE8">
      <w:pPr>
        <w:spacing w:after="80"/>
        <w:jc w:val="both"/>
      </w:pPr>
    </w:p>
    <w:p w14:paraId="7EFBF632" w14:textId="77777777" w:rsidR="004233BF" w:rsidRDefault="00000000" w:rsidP="0040342D">
      <w:pPr>
        <w:spacing w:before="160" w:after="80"/>
        <w:jc w:val="both"/>
      </w:pPr>
      <w:r>
        <w:rPr>
          <w:b/>
          <w:bCs/>
        </w:rPr>
        <w:t>XI. FUTURE WORK</w:t>
      </w:r>
    </w:p>
    <w:p w14:paraId="09DCB323" w14:textId="77777777" w:rsidR="0040342D" w:rsidRPr="0040342D" w:rsidRDefault="0040342D" w:rsidP="0040342D">
      <w:pPr>
        <w:spacing w:after="60"/>
        <w:jc w:val="both"/>
      </w:pPr>
      <w:r w:rsidRPr="0040342D">
        <w:t>Several directions can be explored in the future to further improve the OncoFusionNet-LC framework:</w:t>
      </w:r>
    </w:p>
    <w:p w14:paraId="47D62E3B" w14:textId="77777777" w:rsidR="0040342D" w:rsidRDefault="0040342D" w:rsidP="0040342D">
      <w:pPr>
        <w:spacing w:after="60"/>
        <w:jc w:val="both"/>
        <w:rPr>
          <w:b/>
          <w:bCs/>
        </w:rPr>
      </w:pPr>
      <w:r w:rsidRPr="0040342D">
        <w:t xml:space="preserve">• </w:t>
      </w:r>
      <w:r w:rsidRPr="0040342D">
        <w:rPr>
          <w:b/>
          <w:bCs/>
        </w:rPr>
        <w:t>Deep Learning Integration:</w:t>
      </w:r>
    </w:p>
    <w:p w14:paraId="72D0F43E" w14:textId="13AF517F" w:rsidR="0040342D" w:rsidRPr="0040342D" w:rsidRDefault="0040342D" w:rsidP="0040342D">
      <w:pPr>
        <w:spacing w:after="60"/>
        <w:jc w:val="both"/>
      </w:pPr>
      <w:r w:rsidRPr="0040342D">
        <w:t>Future work can include deep learning models such as Convolutional Neural Networks (CNNs) and transformer-based architectures to analyze CT and PET scan images along with clinical data. This multimodal approach may improve survival prediction accuracy.</w:t>
      </w:r>
    </w:p>
    <w:p w14:paraId="49B3D997" w14:textId="77777777" w:rsidR="0040342D" w:rsidRDefault="0040342D" w:rsidP="0040342D">
      <w:pPr>
        <w:spacing w:after="60"/>
        <w:jc w:val="both"/>
        <w:rPr>
          <w:b/>
          <w:bCs/>
        </w:rPr>
      </w:pPr>
      <w:r w:rsidRPr="0040342D">
        <w:t xml:space="preserve">• </w:t>
      </w:r>
      <w:r w:rsidRPr="0040342D">
        <w:rPr>
          <w:b/>
          <w:bCs/>
        </w:rPr>
        <w:t>Multi-Cancer Prediction:</w:t>
      </w:r>
    </w:p>
    <w:p w14:paraId="5536E702" w14:textId="1D25AEE9" w:rsidR="0040342D" w:rsidRPr="0040342D" w:rsidRDefault="0040342D" w:rsidP="0040342D">
      <w:pPr>
        <w:spacing w:after="60"/>
        <w:jc w:val="both"/>
      </w:pPr>
      <w:r w:rsidRPr="0040342D">
        <w:t>The framework can be extended to other types of cancers such as breast, colorectal, and pancreatic cancer. Transfer learning techniques can be used so that knowledge learned from one cancer dataset can help in predicting outcomes for other cancers.</w:t>
      </w:r>
    </w:p>
    <w:p w14:paraId="3875E02B" w14:textId="77777777" w:rsidR="0040342D" w:rsidRDefault="0040342D" w:rsidP="0040342D">
      <w:pPr>
        <w:spacing w:after="60"/>
        <w:jc w:val="both"/>
        <w:rPr>
          <w:b/>
          <w:bCs/>
        </w:rPr>
      </w:pPr>
      <w:r w:rsidRPr="0040342D">
        <w:t xml:space="preserve">• </w:t>
      </w:r>
      <w:r w:rsidRPr="0040342D">
        <w:rPr>
          <w:b/>
          <w:bCs/>
        </w:rPr>
        <w:t>Real-Time Hospital Deployment:</w:t>
      </w:r>
    </w:p>
    <w:p w14:paraId="36491490" w14:textId="66327315" w:rsidR="0040342D" w:rsidRPr="0040342D" w:rsidRDefault="0040342D" w:rsidP="0040342D">
      <w:pPr>
        <w:spacing w:after="60"/>
        <w:jc w:val="both"/>
      </w:pPr>
      <w:r w:rsidRPr="0040342D">
        <w:t>A real-time clinical decision support system can be developed using a REST API so that the model can be integrated with Electronic Health Record (EHR) systems and provide therapy recommendations directly in hospital environments.</w:t>
      </w:r>
    </w:p>
    <w:p w14:paraId="3FD19448" w14:textId="77777777" w:rsidR="0040342D" w:rsidRDefault="0040342D" w:rsidP="0040342D">
      <w:pPr>
        <w:spacing w:after="60"/>
        <w:jc w:val="both"/>
        <w:rPr>
          <w:b/>
          <w:bCs/>
        </w:rPr>
      </w:pPr>
      <w:r w:rsidRPr="0040342D">
        <w:t xml:space="preserve">• </w:t>
      </w:r>
      <w:r w:rsidRPr="0040342D">
        <w:rPr>
          <w:b/>
          <w:bCs/>
        </w:rPr>
        <w:t>Explainable AI Enhancement:</w:t>
      </w:r>
    </w:p>
    <w:p w14:paraId="2CA6B42D" w14:textId="52A5DB0E" w:rsidR="0040342D" w:rsidRPr="0040342D" w:rsidRDefault="0040342D" w:rsidP="0040342D">
      <w:pPr>
        <w:spacing w:after="60"/>
        <w:jc w:val="both"/>
      </w:pPr>
      <w:r w:rsidRPr="0040342D">
        <w:t>Future versions of the system can include explainable AI techniques such as SHAP and LIME to provide detailed explanations for each patient prediction, helping clinicians better understand the model’s decisions.</w:t>
      </w:r>
    </w:p>
    <w:p w14:paraId="469F43EB" w14:textId="77777777" w:rsidR="0040342D" w:rsidRDefault="0040342D" w:rsidP="0040342D">
      <w:pPr>
        <w:spacing w:after="60"/>
        <w:jc w:val="both"/>
      </w:pPr>
      <w:r w:rsidRPr="0040342D">
        <w:t xml:space="preserve">• </w:t>
      </w:r>
      <w:r w:rsidRPr="0040342D">
        <w:rPr>
          <w:b/>
          <w:bCs/>
        </w:rPr>
        <w:t>Federated Learning:</w:t>
      </w:r>
    </w:p>
    <w:p w14:paraId="125AF05A" w14:textId="2B646C66" w:rsidR="0040342D" w:rsidRPr="0040342D" w:rsidRDefault="0040342D" w:rsidP="0040342D">
      <w:pPr>
        <w:spacing w:after="60"/>
        <w:jc w:val="both"/>
      </w:pPr>
      <w:r w:rsidRPr="0040342D">
        <w:t>To protect patient privacy, federated learning can be used to train models across multiple hospitals without sharing sensitive patient data, allowing collaborative model training while maintaining data security.</w:t>
      </w:r>
    </w:p>
    <w:p w14:paraId="24DB370A" w14:textId="77777777" w:rsidR="0040342D" w:rsidRDefault="0040342D" w:rsidP="0040342D">
      <w:pPr>
        <w:spacing w:after="60"/>
        <w:jc w:val="both"/>
        <w:rPr>
          <w:b/>
          <w:bCs/>
        </w:rPr>
      </w:pPr>
      <w:r w:rsidRPr="0040342D">
        <w:t xml:space="preserve">• </w:t>
      </w:r>
      <w:r w:rsidRPr="0040342D">
        <w:rPr>
          <w:b/>
          <w:bCs/>
        </w:rPr>
        <w:t>Longitudinal Monitoring:</w:t>
      </w:r>
    </w:p>
    <w:p w14:paraId="7866FAD9" w14:textId="3029E628" w:rsidR="004233BF" w:rsidRDefault="0040342D" w:rsidP="0040342D">
      <w:pPr>
        <w:spacing w:after="60"/>
        <w:jc w:val="both"/>
      </w:pPr>
      <w:r w:rsidRPr="0040342D">
        <w:t>Future research can also include time-series patient data so that the model can continuously update predictions and therapy recommendations as the patient’s condition changes over time.</w:t>
      </w:r>
    </w:p>
    <w:p w14:paraId="21B24D4C" w14:textId="77777777" w:rsidR="004233BF" w:rsidRDefault="00000000">
      <w:pPr>
        <w:spacing w:before="160" w:after="80"/>
        <w:jc w:val="center"/>
      </w:pPr>
      <w:r>
        <w:rPr>
          <w:b/>
          <w:bCs/>
        </w:rPr>
        <w:t>REFERENCES</w:t>
      </w:r>
    </w:p>
    <w:p w14:paraId="7CA71046" w14:textId="4D7F1A65" w:rsidR="004233BF" w:rsidRDefault="0040342D" w:rsidP="0040342D">
      <w:pPr>
        <w:spacing w:after="55" w:line="220" w:lineRule="auto"/>
        <w:jc w:val="both"/>
      </w:pPr>
      <w:r>
        <w:t xml:space="preserve"> </w:t>
      </w:r>
      <w:r w:rsidRPr="0040342D">
        <w:t>The following references were used as the foundation for this study, covering areas such as deep learning in medical imaging, cancer prediction models, explainable AI,</w:t>
      </w:r>
      <w:r>
        <w:t xml:space="preserve"> </w:t>
      </w:r>
      <w:r w:rsidRPr="0040342D">
        <w:t>federated</w:t>
      </w:r>
      <w:r>
        <w:t xml:space="preserve"> </w:t>
      </w:r>
      <w:r w:rsidRPr="0040342D">
        <w:t>learning</w:t>
      </w:r>
      <w:r>
        <w:t xml:space="preserve">, </w:t>
      </w:r>
      <w:r w:rsidRPr="0040342D">
        <w:t>and machine learning</w:t>
      </w:r>
      <w:r>
        <w:t xml:space="preserve"> </w:t>
      </w:r>
      <w:r w:rsidRPr="0040342D">
        <w:t>optimization techniques.</w:t>
      </w:r>
    </w:p>
    <w:p w14:paraId="0D5276C0" w14:textId="04FE6675" w:rsidR="00B815E2" w:rsidRDefault="0040342D" w:rsidP="00B815E2">
      <w:pPr>
        <w:spacing w:after="55" w:line="220" w:lineRule="auto"/>
        <w:jc w:val="both"/>
      </w:pPr>
      <w:r w:rsidRPr="0040342D">
        <w:t xml:space="preserve">[1] A. Esteva et al., "Dermatologist-level classification </w:t>
      </w:r>
      <w:r w:rsidR="00B815E2">
        <w:t xml:space="preserve">  </w:t>
      </w:r>
      <w:r w:rsidRPr="0040342D">
        <w:t>of skin cancer with deep neural networks," Nature, vol. 542, no. 7639, pp. 115–118, 2017.</w:t>
      </w:r>
    </w:p>
    <w:p w14:paraId="375B674A" w14:textId="5ABEE19F" w:rsidR="00B815E2" w:rsidRDefault="0040342D" w:rsidP="00B815E2">
      <w:pPr>
        <w:spacing w:after="55" w:line="220" w:lineRule="auto"/>
        <w:jc w:val="both"/>
      </w:pPr>
      <w:r w:rsidRPr="0040342D">
        <w:t>[2] D. Ardila et al., "End-to-end lung cancer screening with three-dimensional deep learning on low-dose chest CT," Nature Medicine, vol. 25, no. 6, pp. 954–961, 2019.</w:t>
      </w:r>
      <w:r w:rsidRPr="0040342D">
        <w:br/>
        <w:t>[3] G. Campanella et al., "Clinical-grade computational pathology using weakly supervised deep learning on whole slide images," Nature Medicine, vol. 25, no. 8, pp. 1301–1309,</w:t>
      </w:r>
      <w:r w:rsidR="00B815E2">
        <w:t xml:space="preserve"> </w:t>
      </w:r>
      <w:r w:rsidRPr="0040342D">
        <w:t>2019.</w:t>
      </w:r>
    </w:p>
    <w:p w14:paraId="0E396C04" w14:textId="77777777" w:rsidR="00B815E2" w:rsidRDefault="0040342D" w:rsidP="00B815E2">
      <w:pPr>
        <w:spacing w:after="55" w:line="220" w:lineRule="auto"/>
        <w:jc w:val="both"/>
      </w:pPr>
      <w:r w:rsidRPr="0040342D">
        <w:t>[4] K. Chaudhary et al., "Deep learning-based multi-omics integration robustly predicts survival in liver cancer," Clinical Cancer Research, vol. 24, no. 6, pp. 1248–1259, 2018.</w:t>
      </w:r>
    </w:p>
    <w:p w14:paraId="3772F23E" w14:textId="2F84A1A1" w:rsidR="00B815E2" w:rsidRDefault="0040342D" w:rsidP="00B815E2">
      <w:pPr>
        <w:spacing w:after="55" w:line="220" w:lineRule="auto"/>
        <w:jc w:val="both"/>
      </w:pPr>
      <w:r w:rsidRPr="0040342D">
        <w:t>[5] Y. Zhao et al., "Deep learning-based multi-omics integration for breast-cancer subtype classification," Bioinformatics, vol. 37, no. 9, pp. 1280–1289, 2021.</w:t>
      </w:r>
      <w:r w:rsidRPr="0040342D">
        <w:br/>
        <w:t>[6] P. Jiang et al., "Signatures of T cell dysfunction and exclusion predict cancer immunotherapy response," Nature Medicine, vol. 25, no. 12, pp. 1913–1922, 2019.</w:t>
      </w:r>
      <w:r w:rsidRPr="0040342D">
        <w:br/>
        <w:t>[7] A. Zhavoronkov et al., "Deep learning enables rapid identification of potent DDR1 kinase inhibitors," Nature Biotechnology, vol. 37, no. 10, pp. 1038–1040, 2019.</w:t>
      </w:r>
      <w:r w:rsidRPr="0040342D">
        <w:br/>
        <w:t>[8] S. Pushpakom et al., "Drug repurposing: Progress, challenges and recommendations," Nature Reviews Drug Discovery, vol. 18, no. 1, pp. 41–58, 2019.</w:t>
      </w:r>
      <w:r w:rsidRPr="0040342D">
        <w:br/>
        <w:t>[9] E. Tjoa and C. Guan, "A survey on explainable AI: Toward medical XAI," IEEE Transactions on Neural Networks and Learning Systems, vol. 32, no. 11, pp. 4793–4813, 2020.</w:t>
      </w:r>
    </w:p>
    <w:p w14:paraId="7A7A406E" w14:textId="00CC44AB" w:rsidR="00B815E2" w:rsidRDefault="0040342D" w:rsidP="00B815E2">
      <w:pPr>
        <w:spacing w:after="55" w:line="220" w:lineRule="auto"/>
        <w:jc w:val="both"/>
      </w:pPr>
      <w:r w:rsidRPr="0040342D">
        <w:t>[10] E. J. Topol, "High-performance medicine: The convergence of human and artificial intelligence," Nature Medicine, vol. 25, no. 1, pp. 44–56, 2019.</w:t>
      </w:r>
      <w:r w:rsidRPr="0040342D">
        <w:br/>
        <w:t>[11] M. J. Sheller et al., "Federated learning in medicine: Facilitating multi-institutional collaborations without sharing patient data," Scientific Reports, vol. 10, Art. no. 12598, 2020.</w:t>
      </w:r>
    </w:p>
    <w:p w14:paraId="340CA269" w14:textId="67E27D8E" w:rsidR="0040342D" w:rsidRDefault="0040342D" w:rsidP="00B815E2">
      <w:pPr>
        <w:spacing w:after="55" w:line="220" w:lineRule="auto"/>
        <w:jc w:val="both"/>
      </w:pPr>
      <w:r w:rsidRPr="0040342D">
        <w:t>[12] Z. Obermeyer et al., "Dissecting racial bias in an algorithm used to manage the health of populations," Science, vol. 366, no. 6464, pp. 447–453, 2019.</w:t>
      </w:r>
      <w:r w:rsidRPr="0040342D">
        <w:br/>
        <w:t>[13] A. Rajkomar et al., "Ensuring fairness in machine learning to advance health equity," Annals of Internal Medicine, vol. 169, no. 12, pp. 866–872, 2018.</w:t>
      </w:r>
      <w:r w:rsidRPr="0040342D">
        <w:br/>
        <w:t>[14] D. P. Kingma and J. Ba, "Adam: A method for stochastic optimization," in Proceedings of ICLR, 2015.</w:t>
      </w:r>
      <w:r w:rsidRPr="0040342D">
        <w:br/>
        <w:t>[15] K. He et al., "Deep residual learning for image recognition," in Proceedings of CVPR, pp. 770–778, 2016.</w:t>
      </w:r>
    </w:p>
    <w:sectPr w:rsidR="0040342D">
      <w:headerReference w:type="even" r:id="rId14"/>
      <w:headerReference w:type="default" r:id="rId15"/>
      <w:footerReference w:type="even" r:id="rId16"/>
      <w:footerReference w:type="default" r:id="rId17"/>
      <w:headerReference w:type="first" r:id="rId18"/>
      <w:footerReference w:type="first" r:id="rId19"/>
      <w:pgSz w:w="11906" w:h="16838"/>
      <w:pgMar w:top="1080" w:right="1080" w:bottom="1080" w:left="1080" w:header="708" w:footer="708" w:gutter="0"/>
      <w:cols w:num="2"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93B521" w14:textId="77777777" w:rsidR="0088686B" w:rsidRDefault="0088686B">
      <w:r>
        <w:separator/>
      </w:r>
    </w:p>
  </w:endnote>
  <w:endnote w:type="continuationSeparator" w:id="0">
    <w:p w14:paraId="7303D958" w14:textId="77777777" w:rsidR="0088686B" w:rsidRDefault="008868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66724B" w14:textId="77777777" w:rsidR="00E30D1C" w:rsidRDefault="00E30D1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A81AB5" w14:textId="77777777" w:rsidR="004233BF" w:rsidRDefault="00000000">
    <w:pPr>
      <w:pBdr>
        <w:top w:val="single" w:sz="4" w:space="4" w:color="000000"/>
      </w:pBdr>
      <w:spacing w:before="60"/>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E30D1C">
      <w:rPr>
        <w:noProof/>
        <w:sz w:val="18"/>
        <w:szCs w:val="18"/>
      </w:rPr>
      <w:t>1</w:t>
    </w:r>
    <w:r>
      <w:rPr>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026263" w14:textId="77777777" w:rsidR="00E30D1C" w:rsidRDefault="00E30D1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48BF97" w14:textId="77777777" w:rsidR="0088686B" w:rsidRDefault="0088686B">
      <w:r>
        <w:separator/>
      </w:r>
    </w:p>
  </w:footnote>
  <w:footnote w:type="continuationSeparator" w:id="0">
    <w:p w14:paraId="12AC8E53" w14:textId="77777777" w:rsidR="0088686B" w:rsidRDefault="0088686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D7B42D" w14:textId="77777777" w:rsidR="00E30D1C" w:rsidRDefault="00E30D1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6F9EB0" w14:textId="1317F203" w:rsidR="004233BF" w:rsidRDefault="004233BF">
    <w:pPr>
      <w:pBdr>
        <w:bottom w:val="single" w:sz="4" w:space="4" w:color="000000"/>
      </w:pBdr>
      <w:spacing w:after="60"/>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4FDCB" w14:textId="77777777" w:rsidR="00E30D1C" w:rsidRDefault="00E30D1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34215E"/>
    <w:multiLevelType w:val="multilevel"/>
    <w:tmpl w:val="7632C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E12E2E"/>
    <w:multiLevelType w:val="hybridMultilevel"/>
    <w:tmpl w:val="5CE8914A"/>
    <w:lvl w:ilvl="0" w:tplc="04090001">
      <w:start w:val="1"/>
      <w:numFmt w:val="bullet"/>
      <w:lvlText w:val=""/>
      <w:lvlJc w:val="left"/>
      <w:pPr>
        <w:ind w:left="880" w:hanging="360"/>
      </w:pPr>
      <w:rPr>
        <w:rFonts w:ascii="Symbol" w:hAnsi="Symbol" w:hint="default"/>
      </w:rPr>
    </w:lvl>
    <w:lvl w:ilvl="1" w:tplc="04090003" w:tentative="1">
      <w:start w:val="1"/>
      <w:numFmt w:val="bullet"/>
      <w:lvlText w:val="o"/>
      <w:lvlJc w:val="left"/>
      <w:pPr>
        <w:ind w:left="1600" w:hanging="360"/>
      </w:pPr>
      <w:rPr>
        <w:rFonts w:ascii="Courier New" w:hAnsi="Courier New" w:cs="Courier New" w:hint="default"/>
      </w:rPr>
    </w:lvl>
    <w:lvl w:ilvl="2" w:tplc="04090005" w:tentative="1">
      <w:start w:val="1"/>
      <w:numFmt w:val="bullet"/>
      <w:lvlText w:val=""/>
      <w:lvlJc w:val="left"/>
      <w:pPr>
        <w:ind w:left="2320" w:hanging="360"/>
      </w:pPr>
      <w:rPr>
        <w:rFonts w:ascii="Wingdings" w:hAnsi="Wingdings" w:hint="default"/>
      </w:rPr>
    </w:lvl>
    <w:lvl w:ilvl="3" w:tplc="04090001" w:tentative="1">
      <w:start w:val="1"/>
      <w:numFmt w:val="bullet"/>
      <w:lvlText w:val=""/>
      <w:lvlJc w:val="left"/>
      <w:pPr>
        <w:ind w:left="3040" w:hanging="360"/>
      </w:pPr>
      <w:rPr>
        <w:rFonts w:ascii="Symbol" w:hAnsi="Symbol" w:hint="default"/>
      </w:rPr>
    </w:lvl>
    <w:lvl w:ilvl="4" w:tplc="04090003" w:tentative="1">
      <w:start w:val="1"/>
      <w:numFmt w:val="bullet"/>
      <w:lvlText w:val="o"/>
      <w:lvlJc w:val="left"/>
      <w:pPr>
        <w:ind w:left="3760" w:hanging="360"/>
      </w:pPr>
      <w:rPr>
        <w:rFonts w:ascii="Courier New" w:hAnsi="Courier New" w:cs="Courier New" w:hint="default"/>
      </w:rPr>
    </w:lvl>
    <w:lvl w:ilvl="5" w:tplc="04090005" w:tentative="1">
      <w:start w:val="1"/>
      <w:numFmt w:val="bullet"/>
      <w:lvlText w:val=""/>
      <w:lvlJc w:val="left"/>
      <w:pPr>
        <w:ind w:left="4480" w:hanging="360"/>
      </w:pPr>
      <w:rPr>
        <w:rFonts w:ascii="Wingdings" w:hAnsi="Wingdings" w:hint="default"/>
      </w:rPr>
    </w:lvl>
    <w:lvl w:ilvl="6" w:tplc="04090001" w:tentative="1">
      <w:start w:val="1"/>
      <w:numFmt w:val="bullet"/>
      <w:lvlText w:val=""/>
      <w:lvlJc w:val="left"/>
      <w:pPr>
        <w:ind w:left="5200" w:hanging="360"/>
      </w:pPr>
      <w:rPr>
        <w:rFonts w:ascii="Symbol" w:hAnsi="Symbol" w:hint="default"/>
      </w:rPr>
    </w:lvl>
    <w:lvl w:ilvl="7" w:tplc="04090003" w:tentative="1">
      <w:start w:val="1"/>
      <w:numFmt w:val="bullet"/>
      <w:lvlText w:val="o"/>
      <w:lvlJc w:val="left"/>
      <w:pPr>
        <w:ind w:left="5920" w:hanging="360"/>
      </w:pPr>
      <w:rPr>
        <w:rFonts w:ascii="Courier New" w:hAnsi="Courier New" w:cs="Courier New" w:hint="default"/>
      </w:rPr>
    </w:lvl>
    <w:lvl w:ilvl="8" w:tplc="04090005" w:tentative="1">
      <w:start w:val="1"/>
      <w:numFmt w:val="bullet"/>
      <w:lvlText w:val=""/>
      <w:lvlJc w:val="left"/>
      <w:pPr>
        <w:ind w:left="6640" w:hanging="360"/>
      </w:pPr>
      <w:rPr>
        <w:rFonts w:ascii="Wingdings" w:hAnsi="Wingdings" w:hint="default"/>
      </w:rPr>
    </w:lvl>
  </w:abstractNum>
  <w:abstractNum w:abstractNumId="2" w15:restartNumberingAfterBreak="0">
    <w:nsid w:val="2EED66BB"/>
    <w:multiLevelType w:val="hybridMultilevel"/>
    <w:tmpl w:val="5784C50E"/>
    <w:lvl w:ilvl="0" w:tplc="46045B96">
      <w:start w:val="1"/>
      <w:numFmt w:val="bullet"/>
      <w:lvlText w:val="●"/>
      <w:lvlJc w:val="left"/>
      <w:pPr>
        <w:ind w:left="720" w:hanging="360"/>
      </w:pPr>
    </w:lvl>
    <w:lvl w:ilvl="1" w:tplc="246C8C06">
      <w:start w:val="1"/>
      <w:numFmt w:val="bullet"/>
      <w:lvlText w:val="○"/>
      <w:lvlJc w:val="left"/>
      <w:pPr>
        <w:ind w:left="1440" w:hanging="360"/>
      </w:pPr>
    </w:lvl>
    <w:lvl w:ilvl="2" w:tplc="57EEDBDC">
      <w:start w:val="1"/>
      <w:numFmt w:val="bullet"/>
      <w:lvlText w:val="■"/>
      <w:lvlJc w:val="left"/>
      <w:pPr>
        <w:ind w:left="2160" w:hanging="360"/>
      </w:pPr>
    </w:lvl>
    <w:lvl w:ilvl="3" w:tplc="36B05164">
      <w:start w:val="1"/>
      <w:numFmt w:val="bullet"/>
      <w:lvlText w:val="●"/>
      <w:lvlJc w:val="left"/>
      <w:pPr>
        <w:ind w:left="2880" w:hanging="360"/>
      </w:pPr>
    </w:lvl>
    <w:lvl w:ilvl="4" w:tplc="017422C2">
      <w:start w:val="1"/>
      <w:numFmt w:val="bullet"/>
      <w:lvlText w:val="○"/>
      <w:lvlJc w:val="left"/>
      <w:pPr>
        <w:ind w:left="3600" w:hanging="360"/>
      </w:pPr>
    </w:lvl>
    <w:lvl w:ilvl="5" w:tplc="E7AC2D62">
      <w:start w:val="1"/>
      <w:numFmt w:val="bullet"/>
      <w:lvlText w:val="■"/>
      <w:lvlJc w:val="left"/>
      <w:pPr>
        <w:ind w:left="4320" w:hanging="360"/>
      </w:pPr>
    </w:lvl>
    <w:lvl w:ilvl="6" w:tplc="65D40C46">
      <w:start w:val="1"/>
      <w:numFmt w:val="bullet"/>
      <w:lvlText w:val="●"/>
      <w:lvlJc w:val="left"/>
      <w:pPr>
        <w:ind w:left="5040" w:hanging="360"/>
      </w:pPr>
    </w:lvl>
    <w:lvl w:ilvl="7" w:tplc="55BEAB96">
      <w:start w:val="1"/>
      <w:numFmt w:val="bullet"/>
      <w:lvlText w:val="●"/>
      <w:lvlJc w:val="left"/>
      <w:pPr>
        <w:ind w:left="5760" w:hanging="360"/>
      </w:pPr>
    </w:lvl>
    <w:lvl w:ilvl="8" w:tplc="40C2C760">
      <w:start w:val="1"/>
      <w:numFmt w:val="bullet"/>
      <w:lvlText w:val="●"/>
      <w:lvlJc w:val="left"/>
      <w:pPr>
        <w:ind w:left="6480" w:hanging="360"/>
      </w:pPr>
    </w:lvl>
  </w:abstractNum>
  <w:abstractNum w:abstractNumId="3" w15:restartNumberingAfterBreak="0">
    <w:nsid w:val="51817D45"/>
    <w:multiLevelType w:val="multilevel"/>
    <w:tmpl w:val="1FA44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A022E4E"/>
    <w:multiLevelType w:val="multilevel"/>
    <w:tmpl w:val="62BE9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53247CA"/>
    <w:multiLevelType w:val="multilevel"/>
    <w:tmpl w:val="B450D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28948803">
    <w:abstractNumId w:val="2"/>
    <w:lvlOverride w:ilvl="0">
      <w:startOverride w:val="1"/>
    </w:lvlOverride>
  </w:num>
  <w:num w:numId="2" w16cid:durableId="468596581">
    <w:abstractNumId w:val="0"/>
  </w:num>
  <w:num w:numId="3" w16cid:durableId="732461190">
    <w:abstractNumId w:val="5"/>
  </w:num>
  <w:num w:numId="4" w16cid:durableId="721292128">
    <w:abstractNumId w:val="3"/>
  </w:num>
  <w:num w:numId="5" w16cid:durableId="756051157">
    <w:abstractNumId w:val="4"/>
  </w:num>
  <w:num w:numId="6" w16cid:durableId="132528464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33BF"/>
    <w:rsid w:val="00153FC0"/>
    <w:rsid w:val="0019771D"/>
    <w:rsid w:val="001C5A20"/>
    <w:rsid w:val="00257EF2"/>
    <w:rsid w:val="002A4F5A"/>
    <w:rsid w:val="002D0AE8"/>
    <w:rsid w:val="0040342D"/>
    <w:rsid w:val="004233BF"/>
    <w:rsid w:val="0058259B"/>
    <w:rsid w:val="006126F4"/>
    <w:rsid w:val="00713A29"/>
    <w:rsid w:val="007E4129"/>
    <w:rsid w:val="007F0FF5"/>
    <w:rsid w:val="0088686B"/>
    <w:rsid w:val="008E386A"/>
    <w:rsid w:val="00905581"/>
    <w:rsid w:val="009A0564"/>
    <w:rsid w:val="00AC7898"/>
    <w:rsid w:val="00B157D8"/>
    <w:rsid w:val="00B815E2"/>
    <w:rsid w:val="00C110D4"/>
    <w:rsid w:val="00D5550C"/>
    <w:rsid w:val="00E30D1C"/>
    <w:rsid w:val="00EF6350"/>
    <w:rsid w:val="00FC13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B449EE"/>
  <w15:docId w15:val="{9EDDCEBE-7F50-4C69-A6CB-2D53EB6CB3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E30D1C"/>
    <w:pPr>
      <w:tabs>
        <w:tab w:val="center" w:pos="4680"/>
        <w:tab w:val="right" w:pos="9360"/>
      </w:tabs>
    </w:pPr>
  </w:style>
  <w:style w:type="character" w:customStyle="1" w:styleId="HeaderChar">
    <w:name w:val="Header Char"/>
    <w:basedOn w:val="DefaultParagraphFont"/>
    <w:link w:val="Header"/>
    <w:uiPriority w:val="99"/>
    <w:rsid w:val="00E30D1C"/>
  </w:style>
  <w:style w:type="paragraph" w:styleId="Footer">
    <w:name w:val="footer"/>
    <w:basedOn w:val="Normal"/>
    <w:link w:val="FooterChar"/>
    <w:uiPriority w:val="99"/>
    <w:unhideWhenUsed/>
    <w:rsid w:val="00E30D1C"/>
    <w:pPr>
      <w:tabs>
        <w:tab w:val="center" w:pos="4680"/>
        <w:tab w:val="right" w:pos="9360"/>
      </w:tabs>
    </w:pPr>
  </w:style>
  <w:style w:type="character" w:customStyle="1" w:styleId="FooterChar">
    <w:name w:val="Footer Char"/>
    <w:basedOn w:val="DefaultParagraphFont"/>
    <w:link w:val="Footer"/>
    <w:uiPriority w:val="99"/>
    <w:rsid w:val="00E30D1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jpg"/><Relationship Id="rId18" Type="http://schemas.openxmlformats.org/officeDocument/2006/relationships/header" Target="header3.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3.jpg"/><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4BE1473-0392-42BF-8DCF-B34C04549F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903</TotalTime>
  <Pages>7</Pages>
  <Words>4671</Words>
  <Characters>26625</Characters>
  <Application>Microsoft Office Word</Application>
  <DocSecurity>0</DocSecurity>
  <Lines>221</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vishwajeet singh</cp:lastModifiedBy>
  <cp:revision>6</cp:revision>
  <dcterms:created xsi:type="dcterms:W3CDTF">2026-03-13T01:45:00Z</dcterms:created>
  <dcterms:modified xsi:type="dcterms:W3CDTF">2026-03-22T18:58:00Z</dcterms:modified>
</cp:coreProperties>
</file>