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43"/>
        <w:gridCol w:w="1323"/>
        <w:gridCol w:w="705"/>
        <w:gridCol w:w="1213"/>
        <w:gridCol w:w="994"/>
        <w:gridCol w:w="1135"/>
        <w:gridCol w:w="1265"/>
        <w:gridCol w:w="1238"/>
      </w:tblGrid>
      <w:tr w:rsidR="0046552A" w14:paraId="63BB814F" w14:textId="77777777" w:rsidTr="0046552A">
        <w:tc>
          <w:tcPr>
            <w:tcW w:w="1128" w:type="dxa"/>
          </w:tcPr>
          <w:p w14:paraId="12E615F0" w14:textId="3914D67F" w:rsidR="00901FB5" w:rsidRDefault="00901FB5" w:rsidP="00901FB5">
            <w:r>
              <w:t>Type</w:t>
            </w:r>
          </w:p>
        </w:tc>
        <w:tc>
          <w:tcPr>
            <w:tcW w:w="1307" w:type="dxa"/>
          </w:tcPr>
          <w:p w14:paraId="1FE444FF" w14:textId="53B0CCA2" w:rsidR="00901FB5" w:rsidRDefault="00901FB5" w:rsidP="00901FB5">
            <w:r>
              <w:t>Environment</w:t>
            </w:r>
          </w:p>
        </w:tc>
        <w:tc>
          <w:tcPr>
            <w:tcW w:w="698" w:type="dxa"/>
          </w:tcPr>
          <w:p w14:paraId="1337B5F1" w14:textId="52B62800" w:rsidR="00901FB5" w:rsidRDefault="00901FB5" w:rsidP="00901FB5">
            <w:r>
              <w:t>G.A</w:t>
            </w:r>
          </w:p>
        </w:tc>
        <w:tc>
          <w:tcPr>
            <w:tcW w:w="1198" w:type="dxa"/>
          </w:tcPr>
          <w:p w14:paraId="5B4BA714" w14:textId="5921CDA1" w:rsidR="00901FB5" w:rsidRDefault="00901FB5" w:rsidP="00901FB5">
            <w:r>
              <w:t>Cry Recordings</w:t>
            </w:r>
          </w:p>
        </w:tc>
        <w:tc>
          <w:tcPr>
            <w:tcW w:w="982" w:type="dxa"/>
          </w:tcPr>
          <w:p w14:paraId="0055A3E1" w14:textId="0A892DC0" w:rsidR="00901FB5" w:rsidRDefault="00901FB5" w:rsidP="00901FB5">
            <w:r>
              <w:t>Duration</w:t>
            </w:r>
          </w:p>
        </w:tc>
        <w:tc>
          <w:tcPr>
            <w:tcW w:w="1121" w:type="dxa"/>
          </w:tcPr>
          <w:p w14:paraId="707C9AA5" w14:textId="633B0726" w:rsidR="00901FB5" w:rsidRDefault="00901FB5" w:rsidP="00901FB5">
            <w:r>
              <w:t>Database host location</w:t>
            </w:r>
          </w:p>
        </w:tc>
        <w:tc>
          <w:tcPr>
            <w:tcW w:w="1360" w:type="dxa"/>
          </w:tcPr>
          <w:p w14:paraId="6D6D35B7" w14:textId="77777777" w:rsidR="00901FB5" w:rsidRDefault="00901FB5" w:rsidP="00901FB5"/>
          <w:p w14:paraId="774596B6" w14:textId="11B29BA1" w:rsidR="00901FB5" w:rsidRPr="00901FB5" w:rsidRDefault="00901FB5" w:rsidP="00901FB5">
            <w:r>
              <w:t>Remarks</w:t>
            </w:r>
          </w:p>
        </w:tc>
        <w:tc>
          <w:tcPr>
            <w:tcW w:w="1222" w:type="dxa"/>
          </w:tcPr>
          <w:p w14:paraId="43B3CC90" w14:textId="09133805" w:rsidR="00901FB5" w:rsidRDefault="00901FB5" w:rsidP="00901FB5">
            <w:r>
              <w:t>Authors Information</w:t>
            </w:r>
          </w:p>
        </w:tc>
      </w:tr>
      <w:tr w:rsidR="0046552A" w14:paraId="7941D930" w14:textId="77777777" w:rsidTr="0046552A">
        <w:tc>
          <w:tcPr>
            <w:tcW w:w="1128" w:type="dxa"/>
          </w:tcPr>
          <w:p w14:paraId="578A08DF" w14:textId="77777777" w:rsidR="00901FB5" w:rsidRDefault="00901FB5" w:rsidP="00901FB5">
            <w:r>
              <w:t>Infant (healthy and unhealthy)</w:t>
            </w:r>
          </w:p>
          <w:p w14:paraId="2B5C9B1A" w14:textId="14B70529" w:rsidR="00097327" w:rsidRDefault="00097327" w:rsidP="00901FB5">
            <w:r>
              <w:t>[9]</w:t>
            </w:r>
          </w:p>
        </w:tc>
        <w:tc>
          <w:tcPr>
            <w:tcW w:w="1307" w:type="dxa"/>
          </w:tcPr>
          <w:p w14:paraId="1AB70166" w14:textId="065A97F5" w:rsidR="00901FB5" w:rsidRDefault="0046552A" w:rsidP="00901FB5">
            <w:r>
              <w:t>neonatology departments</w:t>
            </w:r>
          </w:p>
        </w:tc>
        <w:tc>
          <w:tcPr>
            <w:tcW w:w="698" w:type="dxa"/>
          </w:tcPr>
          <w:p w14:paraId="79BD6E6F" w14:textId="628F23E9" w:rsidR="00901FB5" w:rsidRDefault="00901FB5" w:rsidP="00901FB5">
            <w:r>
              <w:t>-</w:t>
            </w:r>
          </w:p>
        </w:tc>
        <w:tc>
          <w:tcPr>
            <w:tcW w:w="1198" w:type="dxa"/>
          </w:tcPr>
          <w:p w14:paraId="734283FE" w14:textId="716DD923" w:rsidR="00901FB5" w:rsidRDefault="00901FB5" w:rsidP="00901FB5">
            <w:r w:rsidRPr="00901FB5">
              <w:t>The database is composed of expiration (EXP) set with 2638 cry signals (1319 healthy signals and 1319 unhealthy signals) and inspiration set (INS) with 1860 cry signals (930 healthy signals and 930 unhealthy</w:t>
            </w:r>
          </w:p>
        </w:tc>
        <w:tc>
          <w:tcPr>
            <w:tcW w:w="982" w:type="dxa"/>
          </w:tcPr>
          <w:p w14:paraId="59CEA839" w14:textId="28618EBE" w:rsidR="00901FB5" w:rsidRDefault="00901FB5" w:rsidP="00901FB5">
            <w:r>
              <w:t>-</w:t>
            </w:r>
          </w:p>
        </w:tc>
        <w:tc>
          <w:tcPr>
            <w:tcW w:w="1121" w:type="dxa"/>
          </w:tcPr>
          <w:p w14:paraId="681883C6" w14:textId="177C8ABD" w:rsidR="00901FB5" w:rsidRDefault="00901FB5" w:rsidP="00901FB5">
            <w:r w:rsidRPr="00901FB5">
              <w:t> Cry signals were recorded in Sainte-Justine hospital (Montreal, Canada), Al-Sahel hospital (Lebanon) and Al-Raee hospital (Lebanon).</w:t>
            </w:r>
          </w:p>
        </w:tc>
        <w:tc>
          <w:tcPr>
            <w:tcW w:w="1360" w:type="dxa"/>
          </w:tcPr>
          <w:p w14:paraId="4EF4622E" w14:textId="1BB8A36F" w:rsidR="00901FB5" w:rsidRDefault="00901FB5" w:rsidP="00901FB5">
            <w:r w:rsidRPr="00901FB5">
              <w:t xml:space="preserve">deep learning systems trained with cepstrum analysis-based </w:t>
            </w:r>
            <w:r w:rsidR="0063002B">
              <w:t>coefficients</w:t>
            </w:r>
          </w:p>
          <w:p w14:paraId="3E17377E" w14:textId="77777777" w:rsidR="0063002B" w:rsidRDefault="0063002B" w:rsidP="00901FB5"/>
          <w:p w14:paraId="0F842072" w14:textId="13A40B40" w:rsidR="0063002B" w:rsidRDefault="0063002B" w:rsidP="00901FB5">
            <w:r w:rsidRPr="0063002B">
              <w:t>healthy and pathological infant cry signals</w:t>
            </w:r>
          </w:p>
        </w:tc>
        <w:bookmarkStart w:id="0" w:name="bau0001"/>
        <w:tc>
          <w:tcPr>
            <w:tcW w:w="1222" w:type="dxa"/>
          </w:tcPr>
          <w:p w14:paraId="5ADD5CE6" w14:textId="3A95A9F7" w:rsidR="00901FB5" w:rsidRDefault="00901FB5" w:rsidP="00901FB5">
            <w:r w:rsidRPr="00901FB5">
              <w:fldChar w:fldCharType="begin"/>
            </w:r>
            <w:r w:rsidRPr="00901FB5">
              <w:instrText xml:space="preserve"> HYPERLINK "https://www.sciencedirect.com/science/article/abs/pii/S0960077921010547?via%3Dihub" \l "!" </w:instrText>
            </w:r>
            <w:r w:rsidRPr="00901FB5">
              <w:fldChar w:fldCharType="separate"/>
            </w:r>
            <w:r w:rsidRPr="00901FB5">
              <w:rPr>
                <w:rStyle w:val="Hyperlink"/>
              </w:rPr>
              <w:t>Salim</w:t>
            </w:r>
            <w:r>
              <w:rPr>
                <w:rStyle w:val="Hyperlink"/>
              </w:rPr>
              <w:t xml:space="preserve"> </w:t>
            </w:r>
            <w:r w:rsidRPr="00901FB5">
              <w:rPr>
                <w:rStyle w:val="Hyperlink"/>
              </w:rPr>
              <w:t>Lahmiri</w:t>
            </w:r>
            <w:r w:rsidRPr="00901FB5">
              <w:fldChar w:fldCharType="end"/>
            </w:r>
            <w:bookmarkEnd w:id="0"/>
            <w:r w:rsidR="0063002B">
              <w:t xml:space="preserve"> ep al</w:t>
            </w:r>
          </w:p>
        </w:tc>
      </w:tr>
      <w:tr w:rsidR="0046552A" w14:paraId="58BCD8A6" w14:textId="77777777" w:rsidTr="0046552A">
        <w:tc>
          <w:tcPr>
            <w:tcW w:w="1128" w:type="dxa"/>
          </w:tcPr>
          <w:p w14:paraId="688A0AB5" w14:textId="77777777" w:rsidR="00097327" w:rsidRDefault="00097327" w:rsidP="00097327">
            <w:r>
              <w:t>preterm and full term</w:t>
            </w:r>
          </w:p>
          <w:p w14:paraId="6E360D62" w14:textId="0BEFBCB0" w:rsidR="00097327" w:rsidRDefault="00097327" w:rsidP="00097327">
            <w:r>
              <w:t>[13]</w:t>
            </w:r>
          </w:p>
        </w:tc>
        <w:tc>
          <w:tcPr>
            <w:tcW w:w="1307" w:type="dxa"/>
          </w:tcPr>
          <w:p w14:paraId="2AAC47B0" w14:textId="30671130" w:rsidR="00097327" w:rsidRDefault="0046552A" w:rsidP="00097327">
            <w:r>
              <w:t>neonatology departments</w:t>
            </w:r>
          </w:p>
        </w:tc>
        <w:tc>
          <w:tcPr>
            <w:tcW w:w="698" w:type="dxa"/>
          </w:tcPr>
          <w:p w14:paraId="2E46F1BF" w14:textId="54AFA7D9" w:rsidR="00097327" w:rsidRDefault="00097327" w:rsidP="00097327">
            <w:r>
              <w:t>ages range from one to 53 days.</w:t>
            </w:r>
          </w:p>
        </w:tc>
        <w:tc>
          <w:tcPr>
            <w:tcW w:w="1198" w:type="dxa"/>
          </w:tcPr>
          <w:p w14:paraId="1CD1ED40" w14:textId="77777777" w:rsidR="00097327" w:rsidRDefault="0046552A" w:rsidP="00097327">
            <w:r>
              <w:t xml:space="preserve">two sets: expiration (EXP) set and inspiration (INS) set. The EXP set has 2638 cry signals and INS set has 1860 cry signals. Specifically, there are 1319 healthy signals and 1319 unhealthy signals in the EXP set. </w:t>
            </w:r>
            <w:r>
              <w:lastRenderedPageBreak/>
              <w:t>Moreover, there are 930 healthy signals and 930 unhealthy signals in the INS set</w:t>
            </w:r>
          </w:p>
          <w:p w14:paraId="72B4F8D0" w14:textId="34EFE16B" w:rsidR="0046552A" w:rsidRDefault="0046552A" w:rsidP="00097327">
            <w:r>
              <w:t>(</w:t>
            </w:r>
            <w:r w:rsidRPr="00097327">
              <w:t>a two-channel sound recorder with a sampling frequency of 44.1 kHz and a resolution of 16 bits was placed at 10 cm to 30 cm from the infant.</w:t>
            </w:r>
            <w:r>
              <w:t>)</w:t>
            </w:r>
          </w:p>
        </w:tc>
        <w:tc>
          <w:tcPr>
            <w:tcW w:w="982" w:type="dxa"/>
          </w:tcPr>
          <w:p w14:paraId="23BA27E5" w14:textId="4608B7D6" w:rsidR="00097327" w:rsidRDefault="00097327" w:rsidP="00097327">
            <w:r>
              <w:lastRenderedPageBreak/>
              <w:t>The time duration of each recorded signal is within 2 to 3 minutes.</w:t>
            </w:r>
          </w:p>
        </w:tc>
        <w:tc>
          <w:tcPr>
            <w:tcW w:w="1121" w:type="dxa"/>
          </w:tcPr>
          <w:p w14:paraId="3799380F" w14:textId="0AFA1CE9" w:rsidR="00097327" w:rsidRDefault="0046552A" w:rsidP="00097327">
            <w:r>
              <w:t>Sainte-Justine hospital (Montreal, Canada), Al-Sahel hospital (Beirut, Lebanon), and Al-Raee hospital (Saida, Lebanon)</w:t>
            </w:r>
          </w:p>
        </w:tc>
        <w:tc>
          <w:tcPr>
            <w:tcW w:w="1360" w:type="dxa"/>
          </w:tcPr>
          <w:p w14:paraId="3193316A" w14:textId="77777777" w:rsidR="0046552A" w:rsidRDefault="0063002B" w:rsidP="00097327">
            <w:r>
              <w:t>Cry, no cry,</w:t>
            </w:r>
          </w:p>
          <w:p w14:paraId="0C087650" w14:textId="22D75321" w:rsidR="0063002B" w:rsidRDefault="0063002B" w:rsidP="00097327">
            <w:r>
              <w:t>Healthy cry, unhealthy cry</w:t>
            </w:r>
          </w:p>
        </w:tc>
        <w:tc>
          <w:tcPr>
            <w:tcW w:w="1222" w:type="dxa"/>
          </w:tcPr>
          <w:p w14:paraId="3BAF8CE4" w14:textId="43917D08" w:rsidR="00097327" w:rsidRDefault="00097327" w:rsidP="00097327">
            <w:r w:rsidRPr="00097327">
              <w:t>Salim Lahmiri</w:t>
            </w:r>
            <w:r w:rsidR="0063002B">
              <w:t xml:space="preserve"> ep al</w:t>
            </w:r>
          </w:p>
        </w:tc>
      </w:tr>
      <w:tr w:rsidR="0046552A" w14:paraId="6578194D" w14:textId="77777777" w:rsidTr="0046552A">
        <w:tc>
          <w:tcPr>
            <w:tcW w:w="1128" w:type="dxa"/>
          </w:tcPr>
          <w:p w14:paraId="5FD03FA1" w14:textId="77777777" w:rsidR="00097327" w:rsidRDefault="00097327" w:rsidP="00097327"/>
        </w:tc>
        <w:tc>
          <w:tcPr>
            <w:tcW w:w="1307" w:type="dxa"/>
          </w:tcPr>
          <w:p w14:paraId="5325EFD5" w14:textId="77777777" w:rsidR="00097327" w:rsidRDefault="00097327" w:rsidP="00097327"/>
        </w:tc>
        <w:tc>
          <w:tcPr>
            <w:tcW w:w="698" w:type="dxa"/>
          </w:tcPr>
          <w:p w14:paraId="716EB13E" w14:textId="77777777" w:rsidR="00097327" w:rsidRDefault="00097327" w:rsidP="00097327"/>
        </w:tc>
        <w:tc>
          <w:tcPr>
            <w:tcW w:w="1198" w:type="dxa"/>
          </w:tcPr>
          <w:p w14:paraId="3E9282D2" w14:textId="77777777" w:rsidR="00097327" w:rsidRDefault="00097327" w:rsidP="00097327"/>
        </w:tc>
        <w:tc>
          <w:tcPr>
            <w:tcW w:w="982" w:type="dxa"/>
          </w:tcPr>
          <w:p w14:paraId="15B19054" w14:textId="77777777" w:rsidR="00097327" w:rsidRDefault="00097327" w:rsidP="00097327"/>
        </w:tc>
        <w:tc>
          <w:tcPr>
            <w:tcW w:w="1121" w:type="dxa"/>
          </w:tcPr>
          <w:p w14:paraId="57FA986B" w14:textId="77777777" w:rsidR="00097327" w:rsidRDefault="00097327" w:rsidP="00097327"/>
        </w:tc>
        <w:tc>
          <w:tcPr>
            <w:tcW w:w="1360" w:type="dxa"/>
          </w:tcPr>
          <w:p w14:paraId="43B619A9" w14:textId="77777777" w:rsidR="00097327" w:rsidRDefault="00097327" w:rsidP="00097327"/>
        </w:tc>
        <w:tc>
          <w:tcPr>
            <w:tcW w:w="1222" w:type="dxa"/>
          </w:tcPr>
          <w:p w14:paraId="3C034B9A" w14:textId="77777777" w:rsidR="00097327" w:rsidRDefault="00097327" w:rsidP="00097327"/>
        </w:tc>
      </w:tr>
      <w:tr w:rsidR="0046552A" w14:paraId="764B66C9" w14:textId="77777777" w:rsidTr="0046552A">
        <w:tc>
          <w:tcPr>
            <w:tcW w:w="1128" w:type="dxa"/>
          </w:tcPr>
          <w:p w14:paraId="4B6F8E51" w14:textId="77777777" w:rsidR="00097327" w:rsidRDefault="00097327" w:rsidP="00097327"/>
        </w:tc>
        <w:tc>
          <w:tcPr>
            <w:tcW w:w="1307" w:type="dxa"/>
          </w:tcPr>
          <w:p w14:paraId="11B3901F" w14:textId="77777777" w:rsidR="00097327" w:rsidRDefault="00097327" w:rsidP="00097327"/>
        </w:tc>
        <w:tc>
          <w:tcPr>
            <w:tcW w:w="698" w:type="dxa"/>
          </w:tcPr>
          <w:p w14:paraId="30ACAECF" w14:textId="77777777" w:rsidR="00097327" w:rsidRDefault="00097327" w:rsidP="00097327"/>
        </w:tc>
        <w:tc>
          <w:tcPr>
            <w:tcW w:w="1198" w:type="dxa"/>
          </w:tcPr>
          <w:p w14:paraId="6BBB01DB" w14:textId="77777777" w:rsidR="00097327" w:rsidRDefault="00097327" w:rsidP="00097327"/>
        </w:tc>
        <w:tc>
          <w:tcPr>
            <w:tcW w:w="982" w:type="dxa"/>
          </w:tcPr>
          <w:p w14:paraId="0043136B" w14:textId="77777777" w:rsidR="00097327" w:rsidRDefault="00097327" w:rsidP="00097327"/>
        </w:tc>
        <w:tc>
          <w:tcPr>
            <w:tcW w:w="1121" w:type="dxa"/>
          </w:tcPr>
          <w:p w14:paraId="284C8FDE" w14:textId="77777777" w:rsidR="00097327" w:rsidRDefault="00097327" w:rsidP="00097327"/>
        </w:tc>
        <w:tc>
          <w:tcPr>
            <w:tcW w:w="1360" w:type="dxa"/>
          </w:tcPr>
          <w:p w14:paraId="1C3800A2" w14:textId="77777777" w:rsidR="00097327" w:rsidRDefault="00097327" w:rsidP="00097327"/>
        </w:tc>
        <w:tc>
          <w:tcPr>
            <w:tcW w:w="1222" w:type="dxa"/>
          </w:tcPr>
          <w:p w14:paraId="2B7D0591" w14:textId="77777777" w:rsidR="00097327" w:rsidRDefault="00097327" w:rsidP="00097327"/>
        </w:tc>
      </w:tr>
    </w:tbl>
    <w:p w14:paraId="47F901F5" w14:textId="77777777" w:rsidR="00F8003E" w:rsidRDefault="00F8003E"/>
    <w:sectPr w:rsidR="00F80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11"/>
    <w:rsid w:val="00097327"/>
    <w:rsid w:val="0046552A"/>
    <w:rsid w:val="0063002B"/>
    <w:rsid w:val="00901FB5"/>
    <w:rsid w:val="00CC7011"/>
    <w:rsid w:val="00F80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347C"/>
  <w15:chartTrackingRefBased/>
  <w15:docId w15:val="{251C0375-F533-4F4C-B0F0-BA6BC1D3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1FB5"/>
    <w:rPr>
      <w:color w:val="0563C1" w:themeColor="hyperlink"/>
      <w:u w:val="single"/>
    </w:rPr>
  </w:style>
  <w:style w:type="character" w:styleId="UnresolvedMention">
    <w:name w:val="Unresolved Mention"/>
    <w:basedOn w:val="DefaultParagraphFont"/>
    <w:uiPriority w:val="99"/>
    <w:semiHidden/>
    <w:unhideWhenUsed/>
    <w:rsid w:val="00901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2</cp:revision>
  <dcterms:created xsi:type="dcterms:W3CDTF">2022-10-09T14:08:00Z</dcterms:created>
  <dcterms:modified xsi:type="dcterms:W3CDTF">2022-10-09T14:52:00Z</dcterms:modified>
</cp:coreProperties>
</file>