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E07B39"/>
          <w:sz w:val="40"/>
          <w:szCs w:val="40"/>
        </w:rPr>
        <w:t xml:space="preserve">Technical Memo</w:t>
      </w:r>
    </w:p>
    <w:p>
      <w:pPr>
        <w:spacing w:before="0" w:after="80"/>
      </w:pPr>
      <w:r>
        <w:rPr>
          <w:rFonts w:ascii="Arial" w:cs="Arial" w:eastAsia="Arial" w:hAnsi="Arial"/>
          <w:b/>
          <w:bCs/>
          <w:color w:val="2D2D2D"/>
          <w:sz w:val="26"/>
          <w:szCs w:val="26"/>
        </w:rPr>
        <w:t xml:space="preserve">PtP Knowledge Graph — Ecosystem Stakeholder Mapping with Provider Matching Agent</w:t>
      </w:r>
    </w:p>
    <w:p>
      <w:pPr>
        <w:spacing w:before="80" w:after="40"/>
      </w:pPr>
      <w:r>
        <w:rPr>
          <w:rFonts w:ascii="Arial" w:cs="Arial" w:eastAsia="Arial" w:hAnsi="Arial"/>
          <w:color w:val="888888"/>
          <w:sz w:val="20"/>
          <w:szCs w:val="20"/>
        </w:rPr>
        <w:t xml:space="preserve">Vishwa Pujara  |  MS Computer Science, Northeastern University  |  Assignment: Options 6 + 3</w:t>
      </w:r>
    </w:p>
    <w:p>
      <w:pPr>
        <w:spacing w:before="40" w:after="480"/>
      </w:pPr>
      <w:r>
        <w:rPr>
          <w:rFonts w:ascii="Arial" w:cs="Arial" w:eastAsia="Arial" w:hAnsi="Arial"/>
          <w:color w:val="888888"/>
          <w:sz w:val="20"/>
          <w:szCs w:val="20"/>
        </w:rPr>
        <w:t xml:space="preserve">Submitted to: Partners to Parenthood (PtP)  |  March 2026</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1. Executive Summary</w:t>
      </w:r>
    </w:p>
    <w:p>
      <w:pPr>
        <w:spacing w:before="80" w:after="80"/>
      </w:pPr>
      <w:r>
        <w:rPr>
          <w:rFonts w:ascii="Arial" w:cs="Arial" w:eastAsia="Arial" w:hAnsi="Arial"/>
          <w:sz w:val="22"/>
          <w:szCs w:val="22"/>
        </w:rPr>
        <w:t xml:space="preserve">This memo documents the design and implementation of an interactive knowledge graph that connects PtP's ecosystem stakeholders to personalized patient fertility journeys. The system also demonstrates a provider matching agent that ranks ecosystem providers for each patient based on a weighted scoring model, with AI-generated explanations powered by the Claude API.</w:t>
      </w:r>
    </w:p>
    <w:p>
      <w:pPr>
        <w:spacing w:before="80" w:after="80"/>
      </w:pPr>
      <w:r>
        <w:t xml:space="preserve"/>
      </w:r>
    </w:p>
    <w:p>
      <w:pPr>
        <w:spacing w:before="80" w:after="80"/>
      </w:pPr>
      <w:r>
        <w:rPr>
          <w:rFonts w:ascii="Arial" w:cs="Arial" w:eastAsia="Arial" w:hAnsi="Arial"/>
          <w:sz w:val="22"/>
          <w:szCs w:val="22"/>
        </w:rPr>
        <w:t xml:space="preserve">The submission covers two assignment options:</w:t>
      </w:r>
    </w:p>
    <w:p>
      <w:pPr>
        <w:pStyle w:val="ListParagraph"/>
        <w:numPr>
          <w:ilvl w:val="0"/>
          <w:numId w:val="2"/>
        </w:numPr>
        <w:spacing w:before="40" w:after="40"/>
      </w:pPr>
      <w:r>
        <w:rPr>
          <w:rFonts w:ascii="Arial" w:cs="Arial" w:eastAsia="Arial" w:hAnsi="Arial"/>
          <w:sz w:val="22"/>
          <w:szCs w:val="22"/>
        </w:rPr>
        <w:t xml:space="preserve">Option 6 — Knowledge graph connecting ecosystem stakeholders to patient journeys</w:t>
      </w:r>
    </w:p>
    <w:p>
      <w:pPr>
        <w:pStyle w:val="ListParagraph"/>
        <w:numPr>
          <w:ilvl w:val="0"/>
          <w:numId w:val="2"/>
        </w:numPr>
        <w:spacing w:before="40" w:after="40"/>
      </w:pPr>
      <w:r>
        <w:rPr>
          <w:rFonts w:ascii="Arial" w:cs="Arial" w:eastAsia="Arial" w:hAnsi="Arial"/>
          <w:sz w:val="22"/>
          <w:szCs w:val="22"/>
        </w:rPr>
        <w:t xml:space="preserve">Option 3 — Provider matching agent with matching logic, ranking model, and AI-explained output</w:t>
      </w:r>
    </w:p>
    <w:p>
      <w:pPr>
        <w:spacing w:before="80" w:after="80"/>
      </w:pPr>
      <w:r>
        <w:t xml:space="preserve"/>
      </w:r>
    </w:p>
    <w:p>
      <w:pPr>
        <w:spacing w:before="80" w:after="80"/>
      </w:pPr>
      <w:r>
        <w:rPr>
          <w:rFonts w:ascii="Arial" w:cs="Arial" w:eastAsia="Arial" w:hAnsi="Arial"/>
          <w:sz w:val="22"/>
          <w:szCs w:val="22"/>
        </w:rPr>
        <w:t xml:space="preserve">The application is built using the exact same technology stack as PtP's production codebase — Next.js 14, TypeScript, Tailwind CSS, Framer Motion, and React Context API — enabling direct integration into the existing platform.</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2. Problem Statement</w:t>
      </w:r>
    </w:p>
    <w:p>
      <w:pPr>
        <w:spacing w:before="80" w:after="80"/>
      </w:pPr>
      <w:r>
        <w:rPr>
          <w:rFonts w:ascii="Arial" w:cs="Arial" w:eastAsia="Arial" w:hAnsi="Arial"/>
          <w:sz w:val="22"/>
          <w:szCs w:val="22"/>
        </w:rPr>
        <w:t xml:space="preserve">PtP currently operates two disconnected systems: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The ecosystem map (pathwaystoparenthood.lovable.app) — shows 500+ providers as interactive dots, organized by category, searchable by state. It is an internal-facing tool that patients cannot directly use to navigate their journey.</w:t>
      </w:r>
    </w:p>
    <w:p>
      <w:pPr>
        <w:pStyle w:val="ListParagraph"/>
        <w:numPr>
          <w:ilvl w:val="0"/>
          <w:numId w:val="2"/>
        </w:numPr>
        <w:spacing w:before="40" w:after="40"/>
      </w:pPr>
      <w:r>
        <w:rPr>
          <w:rFonts w:ascii="Arial" w:cs="Arial" w:eastAsia="Arial" w:hAnsi="Arial"/>
          <w:sz w:val="22"/>
          <w:szCs w:val="22"/>
        </w:rPr>
        <w:t xml:space="preserve">The journey engine (california-surrogacy-path-engine.lovable.app) — generates step-by-step journey plans for specific patient profiles. It shows tasks, costs, and timelines but does not surface which specific providers from the ecosystem a patient should contact at each step.</w:t>
      </w:r>
    </w:p>
    <w:p>
      <w:pPr>
        <w:spacing w:before="80" w:after="80"/>
      </w:pPr>
      <w:r>
        <w:t xml:space="preserve"/>
      </w:r>
    </w:p>
    <w:p>
      <w:pPr>
        <w:spacing w:before="80" w:after="80"/>
      </w:pPr>
      <w:r>
        <w:rPr>
          <w:rFonts w:ascii="Arial" w:cs="Arial" w:eastAsia="Arial" w:hAnsi="Arial"/>
          <w:sz w:val="22"/>
          <w:szCs w:val="22"/>
        </w:rPr>
        <w:t xml:space="preserve">The core gap: a patient on Step 3 of their IUI journey (ovulation tracking) has no way to know which fertility clinic, pharmacy, or imaging center from the ecosystem is the right choice for their specific insurance plan, budget, location, and diagnosis.</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3. Solution Overview</w:t>
      </w:r>
    </w:p>
    <w:p>
      <w:pPr>
        <w:spacing w:before="80" w:after="80"/>
      </w:pPr>
      <w:r>
        <w:rPr>
          <w:rFonts w:ascii="Arial" w:cs="Arial" w:eastAsia="Arial" w:hAnsi="Arial"/>
          <w:sz w:val="22"/>
          <w:szCs w:val="22"/>
        </w:rPr>
        <w:t xml:space="preserve">The proposed solution is a three-screen interactive application that bridges the ecosystem map and journey engine through a knowledge graph data model and a provider matching agent.</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3.1 Screen 1 — Patient Intake Form</w:t>
      </w:r>
    </w:p>
    <w:p>
      <w:pPr>
        <w:spacing w:before="80" w:after="80"/>
      </w:pPr>
      <w:r>
        <w:rPr>
          <w:rFonts w:ascii="Arial" w:cs="Arial" w:eastAsia="Arial" w:hAnsi="Arial"/>
          <w:sz w:val="22"/>
          <w:szCs w:val="22"/>
        </w:rPr>
        <w:t xml:space="preserve">A dynamic form that collects the patient profile: fertility goal, age, relationship status, US state, insurance provider, budget, and health condition. The form includes real-time validation, state-specific insurance mandate detection for all 21 mandate states, budget feedback logic, and a live journey preview that updates as the patient types.</w:t>
      </w:r>
    </w:p>
    <w:p>
      <w:pPr>
        <w:spacing w:before="80" w:after="80"/>
      </w:pPr>
      <w:r>
        <w:t xml:space="preserve"/>
      </w:r>
    </w:p>
    <w:p>
      <w:pPr>
        <w:spacing w:before="80" w:after="80"/>
      </w:pPr>
      <w:r>
        <w:rPr>
          <w:rFonts w:ascii="Arial" w:cs="Arial" w:eastAsia="Arial" w:hAnsi="Arial"/>
          <w:sz w:val="22"/>
          <w:szCs w:val="22"/>
        </w:rPr>
        <w:t xml:space="preserve">In production PtP, this screen is replaced by the logged-in user's profile from MongoDB Atlas. The form exists in the demo to simulate the profile data PtP already collects during onboarding.</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3.2 Screen 2 — Enhanced Journey Map</w:t>
      </w:r>
    </w:p>
    <w:p>
      <w:pPr>
        <w:spacing w:before="80" w:after="80"/>
      </w:pPr>
      <w:r>
        <w:rPr>
          <w:rFonts w:ascii="Arial" w:cs="Arial" w:eastAsia="Arial" w:hAnsi="Arial"/>
          <w:sz w:val="22"/>
          <w:szCs w:val="22"/>
        </w:rPr>
        <w:t xml:space="preserve">An animated journey map showing all steps for the patient's selected journey type (IUI, IVF, IVF with donor egg/sperm, or Exploring all pathways). Each step displays cost breakdown (total, insurance coverage, patient cost), timeline, requirements, and key tasks.</w:t>
      </w:r>
    </w:p>
    <w:p>
      <w:pPr>
        <w:spacing w:before="80" w:after="80"/>
      </w:pPr>
      <w:r>
        <w:t xml:space="preserve"/>
      </w:r>
    </w:p>
    <w:p>
      <w:pPr>
        <w:spacing w:before="80" w:after="80"/>
      </w:pPr>
      <w:r>
        <w:rPr>
          <w:rFonts w:ascii="Arial" w:cs="Arial" w:eastAsia="Arial" w:hAnsi="Arial"/>
          <w:sz w:val="22"/>
          <w:szCs w:val="22"/>
        </w:rPr>
        <w:t xml:space="preserve">Clicking any step opens a provider panel that shows all relevant ecosystem providers for that step, organized by type (medical, financial, emotional, legal). At the bottom of each panel, the Provider Matching Agent section shows providers ranked specifically for the current patient profile with match percentages and score breakdowns. A Claude API button generates a personalized explanation of the top matches.</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3.3 Screen 3 — Knowledge Graph Visualization</w:t>
      </w:r>
    </w:p>
    <w:p>
      <w:pPr>
        <w:spacing w:before="80" w:after="80"/>
      </w:pPr>
      <w:r>
        <w:rPr>
          <w:rFonts w:ascii="Arial" w:cs="Arial" w:eastAsia="Arial" w:hAnsi="Arial"/>
          <w:sz w:val="22"/>
          <w:szCs w:val="22"/>
        </w:rPr>
        <w:t xml:space="preserve">An interactive SVG knowledge graph computed without any external graph library. All nodes are positioned using trigonometric calculations. The patient node sits at center, journey node above it, step nodes arranged in a circle, and provider nodes fanned out from each step — all visible by default. Clicking a step node deactivates it and collapses its provider nodes. The same Provider Matching Agent from Screen 2 appears in the detail panel when a step node is clicked.</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4. Technical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Technology and 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App Router — hybrid SSR/SSG, same as PtP production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TypeScript strict mode — typed across all data models and components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 — PtP color tokens (cream #FAF7F4, orange #E07B39, green #4A7C59)</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Animations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Framer Motion — page transitions, graph node entry, panel slide-in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Context API — selectedProfile, completedSteps, screen, activeStep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Icons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Lucide React — same as PtP production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Fonts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 Sans + Playfair Display — matches PtP brand exactly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Sonnet API — provider match explanation generation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Mock TypeScript data — simulates MongoDB in production</w:t>
            </w:r>
          </w:p>
        </w:tc>
      </w:tr>
    </w:tbl>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5. Knowledge Graph Data Model</w:t>
      </w:r>
    </w:p>
    <w:p>
      <w:pPr>
        <w:spacing w:before="80" w:after="80"/>
      </w:pPr>
      <w:r>
        <w:rPr>
          <w:rFonts w:ascii="Arial" w:cs="Arial" w:eastAsia="Arial" w:hAnsi="Arial"/>
          <w:sz w:val="22"/>
          <w:szCs w:val="22"/>
        </w:rPr>
        <w:t xml:space="preserve">The knowledge graph is defined as a set of TypeScript interfaces in knowledgeGraph.ts. Every node and edge is fully typed, making the graph type-safe end to end.</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5.1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Node type</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PatientProfile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age, goal (JourneyType), state, insurance, budget, healthNotes, statelaw</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Journey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title, subtitle, totalDuration, totalCostRange, steps array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JourneyStep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stepNumber, title, duration, totalCost, insuranceCoverage, yourCost, requirements, keyTasks, providers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type (ProviderType), subcategory, description, relevance, sartAttested, budgetTier, locationStates</w:t>
            </w:r>
          </w:p>
        </w:tc>
      </w:tr>
    </w:tbl>
    <w:p>
      <w:pPr>
        <w:spacing w:before="80" w:after="80"/>
      </w:pPr>
      <w:r>
        <w:t xml:space="preserve"/>
      </w:r>
    </w:p>
    <w:p>
      <w:pPr>
        <w:pStyle w:val="Heading2"/>
        <w:spacing w:before="240" w:after="80"/>
      </w:pPr>
      <w:r>
        <w:rPr>
          <w:rFonts w:ascii="Arial" w:cs="Arial" w:eastAsia="Arial" w:hAnsi="Arial"/>
          <w:b/>
          <w:bCs/>
          <w:color w:val="E07B39"/>
          <w:sz w:val="24"/>
          <w:szCs w:val="24"/>
        </w:rPr>
        <w:t xml:space="preserve">5.2 Journey types</w:t>
      </w:r>
    </w:p>
    <w:p>
      <w:pPr>
        <w:spacing w:before="80" w:after="80"/>
      </w:pPr>
      <w:r>
        <w:rPr>
          <w:rFonts w:ascii="Arial" w:cs="Arial" w:eastAsia="Arial" w:hAnsi="Arial"/>
          <w:sz w:val="22"/>
          <w:szCs w:val="22"/>
        </w:rPr>
        <w:t xml:space="preserve">Four journey types reflect what PtP actually does — navigation and coordination, not clinical delivery:</w:t>
      </w:r>
    </w:p>
    <w:p>
      <w:pPr>
        <w:pStyle w:val="ListParagraph"/>
        <w:numPr>
          <w:ilvl w:val="0"/>
          <w:numId w:val="2"/>
        </w:numPr>
        <w:spacing w:before="40" w:after="40"/>
      </w:pPr>
      <w:r>
        <w:rPr>
          <w:rFonts w:ascii="Arial" w:cs="Arial" w:eastAsia="Arial" w:hAnsi="Arial"/>
          <w:sz w:val="22"/>
          <w:szCs w:val="22"/>
        </w:rPr>
        <w:t xml:space="preserve">IUI — 8-step intrauterine insemination pathway</w:t>
      </w:r>
    </w:p>
    <w:p>
      <w:pPr>
        <w:pStyle w:val="ListParagraph"/>
        <w:numPr>
          <w:ilvl w:val="0"/>
          <w:numId w:val="2"/>
        </w:numPr>
        <w:spacing w:before="40" w:after="40"/>
      </w:pPr>
      <w:r>
        <w:rPr>
          <w:rFonts w:ascii="Arial" w:cs="Arial" w:eastAsia="Arial" w:hAnsi="Arial"/>
          <w:sz w:val="22"/>
          <w:szCs w:val="22"/>
        </w:rPr>
        <w:t xml:space="preserve">IVF — 6-step in vitro fertilization pathway</w:t>
      </w:r>
    </w:p>
    <w:p>
      <w:pPr>
        <w:pStyle w:val="ListParagraph"/>
        <w:numPr>
          <w:ilvl w:val="0"/>
          <w:numId w:val="2"/>
        </w:numPr>
        <w:spacing w:before="40" w:after="40"/>
      </w:pPr>
      <w:r>
        <w:rPr>
          <w:rFonts w:ascii="Arial" w:cs="Arial" w:eastAsia="Arial" w:hAnsi="Arial"/>
          <w:sz w:val="22"/>
          <w:szCs w:val="22"/>
        </w:rPr>
        <w:t xml:space="preserve">IVF_donor — 5-step IVF with donor egg or sperm, including legal agreements</w:t>
      </w:r>
    </w:p>
    <w:p>
      <w:pPr>
        <w:pStyle w:val="ListParagraph"/>
        <w:numPr>
          <w:ilvl w:val="0"/>
          <w:numId w:val="2"/>
        </w:numPr>
        <w:spacing w:before="40" w:after="40"/>
      </w:pPr>
      <w:r>
        <w:rPr>
          <w:rFonts w:ascii="Arial" w:cs="Arial" w:eastAsia="Arial" w:hAnsi="Arial"/>
          <w:sz w:val="22"/>
          <w:szCs w:val="22"/>
        </w:rPr>
        <w:t xml:space="preserve">exploring — 6-step pathway for patients who have exhausted standard options, navigating toward donor egg programs, gestational carrier agencies (not surrogacy services — PtP refers patients to licensed agencies), adoption attorneys, and international clinics</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5.3 Provider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Provider type</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Examples in ecosystem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Fertility clinic (SART), OB/GYN, diagnostic lab, imaging center, andrology lab, sperm bank, urologist, pharmacy, genetic counselor, IVF specialist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Insurance coordinator, fertility financial counselor, employer benefits / HR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Emotional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Fertility counselor, fertility support group, grief and loss counselor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 admin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Reproductive attorney, state law navigator</w:t>
            </w:r>
          </w:p>
        </w:tc>
      </w:tr>
    </w:tbl>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6. Provider Matching Agent</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6.1 Architecture</w:t>
      </w:r>
    </w:p>
    <w:p>
      <w:pPr>
        <w:spacing w:before="80" w:after="80"/>
      </w:pPr>
      <w:r>
        <w:rPr>
          <w:rFonts w:ascii="Arial" w:cs="Arial" w:eastAsia="Arial" w:hAnsi="Arial"/>
          <w:sz w:val="22"/>
          <w:szCs w:val="22"/>
        </w:rPr>
        <w:t xml:space="preserve">The matching agent runs in three stages per provider:</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Stage A: Hard filter — eliminates providers that cannot serve this patient regardless of score. Example: high-budget-tier providers are excluded for patients with budgets under $5,000. Legal providers are excluded for IUI journeys. Surrogate agencies are excluded for all journeys except Exploring.</w:t>
      </w:r>
    </w:p>
    <w:p>
      <w:pPr>
        <w:pStyle w:val="ListParagraph"/>
        <w:numPr>
          <w:ilvl w:val="0"/>
          <w:numId w:val="2"/>
        </w:numPr>
        <w:spacing w:before="40" w:after="40"/>
      </w:pPr>
      <w:r>
        <w:rPr>
          <w:rFonts w:ascii="Arial" w:cs="Arial" w:eastAsia="Arial" w:hAnsi="Arial"/>
          <w:sz w:val="22"/>
          <w:szCs w:val="22"/>
        </w:rPr>
        <w:t xml:space="preserve">Stage B: Weighted scoring — each provider that passes the hard filter receives a score from five functions, weighted by importance.</w:t>
      </w:r>
    </w:p>
    <w:p>
      <w:pPr>
        <w:pStyle w:val="ListParagraph"/>
        <w:numPr>
          <w:ilvl w:val="0"/>
          <w:numId w:val="2"/>
        </w:numPr>
        <w:spacing w:before="40" w:after="40"/>
      </w:pPr>
      <w:r>
        <w:rPr>
          <w:rFonts w:ascii="Arial" w:cs="Arial" w:eastAsia="Arial" w:hAnsi="Arial"/>
          <w:sz w:val="22"/>
          <w:szCs w:val="22"/>
        </w:rPr>
        <w:t xml:space="preserve">Stage C: Condition boost — an additive bonus applied on top of the weighted score for providers specifically relevant to the patient's diagnosed condition.</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6.2 Scoring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Scoring dimension</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Weight and rationale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Specialty fit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 Does the provider's subcategory match the patient's diagnosis and goal? Highest weight because wrong specialty is an absolute blocker.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Insurance match</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 Is the provider likely in the patient's network? Includes mandate state detection for 21 US states.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Budget fit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 Does the provider's cost tier align with the patient's stated budget? Providers in high-cost tiers are penalized for low-budget patients.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 score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 Is the provider licensed or operating in the patient's state? Simulates geographic proximity.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SART quality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Is the provider SART-attested? Applies primarily to fertility clinics as a quality signal.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 boost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Additive — PCOS +10%, male factor +15%, failed cycles +12%, advanced age +10%. Applied after weighted score, capped at 1.0 total.</w:t>
            </w:r>
          </w:p>
        </w:tc>
      </w:tr>
    </w:tbl>
    <w:p>
      <w:pPr>
        <w:spacing w:before="80" w:after="80"/>
      </w:pPr>
      <w:r>
        <w:t xml:space="preserve"/>
      </w:r>
    </w:p>
    <w:p>
      <w:pPr>
        <w:pStyle w:val="Heading2"/>
        <w:spacing w:before="240" w:after="80"/>
      </w:pPr>
      <w:r>
        <w:rPr>
          <w:rFonts w:ascii="Arial" w:cs="Arial" w:eastAsia="Arial" w:hAnsi="Arial"/>
          <w:b/>
          <w:bCs/>
          <w:color w:val="E07B39"/>
          <w:sz w:val="24"/>
          <w:szCs w:val="24"/>
        </w:rPr>
        <w:t xml:space="preserve">6.3 Output</w:t>
      </w:r>
    </w:p>
    <w:p>
      <w:pPr>
        <w:spacing w:before="80" w:after="80"/>
      </w:pPr>
      <w:r>
        <w:rPr>
          <w:rFonts w:ascii="Arial" w:cs="Arial" w:eastAsia="Arial" w:hAnsi="Arial"/>
          <w:sz w:val="22"/>
          <w:szCs w:val="22"/>
        </w:rPr>
        <w:t xml:space="preserve">Each provider receives a matchPercent (0-100), a matchTier (excellent / good / fair / limited), and a full breakdown showing each dimension score. The ranked list is passed to the Claude API with the patient profile to generate a personalized explanation in natural language.</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6.4 Why weighted scoring for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Why not used in demo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Collaborative filtering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1,000+ patient-provider interaction records. PtP is pre-launch — no historical data exists.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 / vector similarity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a populated vector store. MongoDB Vector Search is in PtP's stack but no provider embeddings exist yet.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model (XGBoost)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labeled outcome data — treatment success per patient-provider pair. Needs 12-18 months of operations to collect.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Weighted scoring (chosen)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zero historical data. Fully explainable to patients. Weights are manually designed but can be tuned. Cold-start safe.</w:t>
            </w:r>
          </w:p>
        </w:tc>
      </w:tr>
    </w:tbl>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7. Production AI Roadmap</w:t>
      </w:r>
    </w:p>
    <w:p>
      <w:pPr>
        <w:spacing w:before="80" w:after="80"/>
      </w:pPr>
      <w:r>
        <w:rPr>
          <w:rFonts w:ascii="Arial" w:cs="Arial" w:eastAsia="Arial" w:hAnsi="Arial"/>
          <w:sz w:val="22"/>
          <w:szCs w:val="22"/>
        </w:rPr>
        <w:t xml:space="preserve">The weighted scoring model is Stage 1 of a four-stage AI maturity roadmap. Each stage replaces the scoring layer while keeping the hard filter and output format identical.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12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12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Requirements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1 (now)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Weighted scoring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 profile + provider attributes. No data needed.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2 (6 months)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 + MongoDB Vector Search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text embeddings in MongoDB Atlas Vector Search. OpenAI text-embedding-3 or equivalent. ~50-100 providers minimum.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3 (12 months)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Collaborative filtering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patient-provider interaction logs. Rating collection system. Matrix factorization (SVD or ALS).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4 (18 months)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 / neural network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Labeled outcome data (treatment success per pair). Feature engineering pipeline. MLOps infrastructure (MLflow, SageMaker).</w:t>
            </w:r>
          </w:p>
        </w:tc>
      </w:tr>
    </w:tbl>
    <w:p>
      <w:pPr>
        <w:spacing w:before="80" w:after="80"/>
      </w:pPr>
      <w:r>
        <w:t xml:space="preserve"/>
      </w:r>
    </w:p>
    <w:p>
      <w:pPr>
        <w:spacing w:before="80" w:after="80"/>
      </w:pPr>
      <w:r>
        <w:rPr>
          <w:rFonts w:ascii="Arial" w:cs="Arial" w:eastAsia="Arial" w:hAnsi="Arial"/>
          <w:sz w:val="22"/>
          <w:szCs w:val="22"/>
        </w:rPr>
        <w:t xml:space="preserve">Stage 2 is the natural next step because MongoDB Vector Search is already in PtP's technology stack and would allow semantic matching — understanding that 'trauma-informed care' matches 'gentle approach specialist' without explicit keyword rules.</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8. Data Sources</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8.1 Current demo data</w:t>
      </w:r>
    </w:p>
    <w:p>
      <w:pPr>
        <w:spacing w:before="80" w:after="80"/>
      </w:pPr>
      <w:r>
        <w:rPr>
          <w:rFonts w:ascii="Arial" w:cs="Arial" w:eastAsia="Arial" w:hAnsi="Arial"/>
          <w:sz w:val="22"/>
          <w:szCs w:val="22"/>
        </w:rPr>
        <w:t xml:space="preserve">All provider data in the demo is synthetic — generic category nodes representing types of providers rather than specific organizations. Journey steps are based on real clinical protocols with realistic cost ranges drawn from publicly available US fertility treatment cost data.</w:t>
      </w:r>
    </w:p>
    <w:p>
      <w:pPr>
        <w:spacing w:before="80" w:after="80"/>
      </w:pPr>
      <w:r>
        <w:t xml:space="preserve"/>
      </w:r>
    </w:p>
    <w:p>
      <w:pPr>
        <w:pStyle w:val="Heading2"/>
        <w:spacing w:before="240" w:after="80"/>
      </w:pPr>
      <w:r>
        <w:rPr>
          <w:rFonts w:ascii="Arial" w:cs="Arial" w:eastAsia="Arial" w:hAnsi="Arial"/>
          <w:b/>
          <w:bCs/>
          <w:color w:val="E07B39"/>
          <w:sz w:val="24"/>
          <w:szCs w:val="24"/>
        </w:rPr>
        <w:t xml:space="preserve">8.2 Production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Real source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Fertility clinic names + SART success rates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SART.com — public database, scrapable, updated annually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specialties + NPI numbers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NPI Registry — free government API (nppes.cms.hhs.gov)</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Insurance network membership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Aetna, BCBS, United Healthcare APIs — requires partnership agreements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Laboratory networks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 Diagnostics API, LabCorp API</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Cost estimates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Insurance claims data — difficult to access; typically estimated from published fee schedules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PtP existing provider data</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pathwaystoparenthood.lovable.app ecosystem map — already contains real provider data that the matching engine would query directly</w:t>
            </w:r>
          </w:p>
        </w:tc>
      </w:tr>
    </w:tbl>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9. Privacy and Compliance Considerations</w:t>
      </w:r>
    </w:p>
    <w:p>
      <w:pPr>
        <w:pStyle w:val="ListParagraph"/>
        <w:numPr>
          <w:ilvl w:val="0"/>
          <w:numId w:val="2"/>
        </w:numPr>
        <w:spacing w:before="40" w:after="40"/>
      </w:pPr>
      <w:r>
        <w:rPr>
          <w:rFonts w:ascii="Arial" w:cs="Arial" w:eastAsia="Arial" w:hAnsi="Arial"/>
          <w:sz w:val="22"/>
          <w:szCs w:val="22"/>
        </w:rPr>
        <w:t xml:space="preserve">Patient profiles in the demo contain no real personal health information. All data is synthetic or user-generated within the demo session.</w:t>
      </w:r>
    </w:p>
    <w:p>
      <w:pPr>
        <w:pStyle w:val="ListParagraph"/>
        <w:numPr>
          <w:ilvl w:val="0"/>
          <w:numId w:val="2"/>
        </w:numPr>
        <w:spacing w:before="40" w:after="40"/>
      </w:pPr>
      <w:r>
        <w:rPr>
          <w:rFonts w:ascii="Arial" w:cs="Arial" w:eastAsia="Arial" w:hAnsi="Arial"/>
          <w:sz w:val="22"/>
          <w:szCs w:val="22"/>
        </w:rPr>
        <w:t xml:space="preserve">In production, patient profile data is protected under HIPAA. PtP uses IRIS for Health (InterSystems) as the FHIR R4 data store with RBAC, row-level security, audit logging, and TLS endpoints.</w:t>
      </w:r>
    </w:p>
    <w:p>
      <w:pPr>
        <w:pStyle w:val="ListParagraph"/>
        <w:numPr>
          <w:ilvl w:val="0"/>
          <w:numId w:val="2"/>
        </w:numPr>
        <w:spacing w:before="40" w:after="40"/>
      </w:pPr>
      <w:r>
        <w:rPr>
          <w:rFonts w:ascii="Arial" w:cs="Arial" w:eastAsia="Arial" w:hAnsi="Arial"/>
          <w:sz w:val="22"/>
          <w:szCs w:val="22"/>
        </w:rPr>
        <w:t xml:space="preserve">The Claude API call in the demo sends patient profile fields (age, goal, state, insurance, budget, health condition) as text. In production, PHI would be de-identified or scoped using FHIR Consent resources before any LLM call.</w:t>
      </w:r>
    </w:p>
    <w:p>
      <w:pPr>
        <w:pStyle w:val="ListParagraph"/>
        <w:numPr>
          <w:ilvl w:val="0"/>
          <w:numId w:val="2"/>
        </w:numPr>
        <w:spacing w:before="40" w:after="40"/>
      </w:pPr>
      <w:r>
        <w:rPr>
          <w:rFonts w:ascii="Arial" w:cs="Arial" w:eastAsia="Arial" w:hAnsi="Arial"/>
          <w:sz w:val="22"/>
          <w:szCs w:val="22"/>
        </w:rPr>
        <w:t xml:space="preserve">Provider data (clinic names, specialties, locations) is non-PHI and can be queried without consent restrictions.</w:t>
      </w:r>
    </w:p>
    <w:p>
      <w:pPr>
        <w:pStyle w:val="ListParagraph"/>
        <w:numPr>
          <w:ilvl w:val="0"/>
          <w:numId w:val="2"/>
        </w:numPr>
        <w:spacing w:before="40" w:after="40"/>
      </w:pPr>
      <w:r>
        <w:rPr>
          <w:rFonts w:ascii="Arial" w:cs="Arial" w:eastAsia="Arial" w:hAnsi="Arial"/>
          <w:sz w:val="22"/>
          <w:szCs w:val="22"/>
        </w:rPr>
        <w:t xml:space="preserve">All data extraction in production would be patient-consented, HIPAA-compliant, and scoped to fertility-relevant FHIR resources only, consistent with PtP's stated SMART-on-FHIR approach.</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10. Design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Pure SVG graph (no D3 or Cytoscape)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Keeps the dependency tree clean, matches the Next.js/React architecture, and demonstrates trigonometric layout computation as a technical skill. D3 would conflict with React's virtual DOM.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Mock data over real API calls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SART and NPI APIs require registration. Insurance network APIs require partnership agreements. Mock data demonstrates the same architecture without blocking on external access.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Weighted scoring over RAG for demo</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Cold-start problem — no provider embeddings exist. Weighted scoring is fully functional without infrastructure setup.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Context over Zustand/Redux</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Matches PtP's existing AuthContext/VoiceContext pattern. Keeps the codebase consistent for integration.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API over Gemini/GPT-4o</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Assignment demo context. In production PtP would use their existing Gemini 1.5 Flash (Google Genkit) for fast inference.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journey types (removed surrogacy/adoption as journeys)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PtP is a navigation platform, not a surrogacy agency or adoption agency. Surrogacy and adoption appear as provider referrals within the Exploring journey, accurately reflecting PtP's actual service boundaries.</w:t>
            </w:r>
          </w:p>
        </w:tc>
      </w:tr>
    </w:tbl>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11. Integration Path into Production PtP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Demo component</w:t>
            </w:r>
          </w:p>
        </w:tc>
        <w:tc>
          <w:tcPr>
            <w:tcW w:type="dxa" w:w="5860"/>
            <w:tcBorders>
              <w:top w:val="single" w:color="AAAAAA" w:sz="1"/>
              <w:left w:val="single" w:color="AAAAAA" w:sz="1"/>
              <w:bottom w:val="single" w:color="AAAAAA" w:sz="1"/>
              <w:right w:val="single" w:color="AAAAAA" w:sz="1"/>
            </w:tcBorders>
            <w:shd w:fill="F0E9DF" w:val="clear"/>
            <w:tcMar>
              <w:top w:type="dxa" w:w="80"/>
              <w:left w:type="dxa" w:w="120"/>
              <w:bottom w:type="dxa" w:w="80"/>
              <w:right w:type="dxa" w:w="120"/>
            </w:tcMar>
          </w:tcPr>
          <w:p>
            <w:r>
              <w:rPr>
                <w:rFonts w:ascii="Arial" w:cs="Arial" w:eastAsia="Arial" w:hAnsi="Arial"/>
                <w:b/>
                <w:bCs/>
                <w:sz w:val="20"/>
                <w:szCs w:val="20"/>
              </w:rPr>
              <w:t xml:space="preserve">Production replacement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 1 intake form</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NextAuth.js session + MongoDB Atlas patient document from onboarding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Mock JSON data (knowledgeGraph.ts)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Atlas collections — journey steps from Agent 4 (Journey Generator), providers from PtP ecosystem database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Hardcoded provider categories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provider data from SART API, NPI Registry, and PtP's existing ecosystem map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Weighted scoring (providerMatching.ts)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2: MongoDB Vector Search embeddings; Stage 3: collaborative filtering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API explanation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Genkit + Gemini 1.5 Flash for fast inference (matches PtP's existing AI stack)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React state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 persisted journey progress, step completion, provider selection history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state law text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lookup against PtP's policy engine (IRIS-backed compliance rules)</w:t>
            </w:r>
          </w:p>
        </w:tc>
      </w:tr>
    </w:tbl>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12. Assumptions</w:t>
      </w:r>
    </w:p>
    <w:p>
      <w:pPr>
        <w:pStyle w:val="ListParagraph"/>
        <w:numPr>
          <w:ilvl w:val="0"/>
          <w:numId w:val="2"/>
        </w:numPr>
        <w:spacing w:before="40" w:after="40"/>
      </w:pPr>
      <w:r>
        <w:rPr>
          <w:rFonts w:ascii="Arial" w:cs="Arial" w:eastAsia="Arial" w:hAnsi="Arial"/>
          <w:sz w:val="22"/>
          <w:szCs w:val="22"/>
        </w:rPr>
        <w:t xml:space="preserve">Provider scoring weights (specialty 30%, insurance 25%, budget 20%, location 15%, SART 10%) are initial estimates. In production these would be calibrated using A/B testing and outcome data.</w:t>
      </w:r>
    </w:p>
    <w:p>
      <w:pPr>
        <w:pStyle w:val="ListParagraph"/>
        <w:numPr>
          <w:ilvl w:val="0"/>
          <w:numId w:val="2"/>
        </w:numPr>
        <w:spacing w:before="40" w:after="40"/>
      </w:pPr>
      <w:r>
        <w:rPr>
          <w:rFonts w:ascii="Arial" w:cs="Arial" w:eastAsia="Arial" w:hAnsi="Arial"/>
          <w:sz w:val="22"/>
          <w:szCs w:val="22"/>
        </w:rPr>
        <w:t xml:space="preserve">Insurance mandate detection covers the 21 states with known fertility coverage mandates as of January 2026. This list requires ongoing updates as state legislation changes.</w:t>
      </w:r>
    </w:p>
    <w:p>
      <w:pPr>
        <w:pStyle w:val="ListParagraph"/>
        <w:numPr>
          <w:ilvl w:val="0"/>
          <w:numId w:val="2"/>
        </w:numPr>
        <w:spacing w:before="40" w:after="40"/>
      </w:pPr>
      <w:r>
        <w:rPr>
          <w:rFonts w:ascii="Arial" w:cs="Arial" w:eastAsia="Arial" w:hAnsi="Arial"/>
          <w:sz w:val="22"/>
          <w:szCs w:val="22"/>
        </w:rPr>
        <w:t xml:space="preserve">The condition boost values (+10% for PCOS, +15% for male factor, etc.) are heuristic estimates. Production values would be derived from clinical literature and outcome data.</w:t>
      </w:r>
    </w:p>
    <w:p>
      <w:pPr>
        <w:pStyle w:val="ListParagraph"/>
        <w:numPr>
          <w:ilvl w:val="0"/>
          <w:numId w:val="2"/>
        </w:numPr>
        <w:spacing w:before="40" w:after="40"/>
      </w:pPr>
      <w:r>
        <w:rPr>
          <w:rFonts w:ascii="Arial" w:cs="Arial" w:eastAsia="Arial" w:hAnsi="Arial"/>
          <w:sz w:val="22"/>
          <w:szCs w:val="22"/>
        </w:rPr>
        <w:t xml:space="preserve">Journey step costs are based on publicly available US fertility treatment cost ranges and are presented as estimates, not guarantees. Actual costs vary by clinic, location, and insurance plan.</w:t>
      </w:r>
    </w:p>
    <w:p>
      <w:pPr>
        <w:pStyle w:val="ListParagraph"/>
        <w:numPr>
          <w:ilvl w:val="0"/>
          <w:numId w:val="2"/>
        </w:numPr>
        <w:spacing w:before="40" w:after="40"/>
      </w:pPr>
      <w:r>
        <w:rPr>
          <w:rFonts w:ascii="Arial" w:cs="Arial" w:eastAsia="Arial" w:hAnsi="Arial"/>
          <w:sz w:val="22"/>
          <w:szCs w:val="22"/>
        </w:rPr>
        <w:t xml:space="preserve">The demo assumes the patient provides accurate self-reported health information. In production, health conditions would be drawn from FHIR clinical records via SMART-on-FHIR.</w:t>
      </w:r>
    </w:p>
    <w:p>
      <w:pPr>
        <w:pBdr>
          <w:bottom w:val="single" w:color="E8DDD4" w:sz="1"/>
        </w:pBdr>
        <w:spacing w:before="160" w:after="160"/>
      </w:pPr>
      <w:r>
        <w:t xml:space="preserve"/>
      </w:r>
    </w:p>
    <w:p>
      <w:pPr>
        <w:pStyle w:val="Heading1"/>
        <w:spacing w:before="320" w:after="120"/>
      </w:pPr>
      <w:r>
        <w:rPr>
          <w:rFonts w:ascii="Arial" w:cs="Arial" w:eastAsia="Arial" w:hAnsi="Arial"/>
          <w:b/>
          <w:bCs/>
          <w:color w:val="2D2D2D"/>
          <w:sz w:val="28"/>
          <w:szCs w:val="28"/>
        </w:rPr>
        <w:t xml:space="preserve">13. Repository and Demo</w:t>
      </w:r>
    </w:p>
    <w:p>
      <w:pPr>
        <w:spacing w:before="80" w:after="80"/>
      </w:pPr>
      <w:r>
        <w:rPr>
          <w:rFonts w:ascii="Arial" w:cs="Arial" w:eastAsia="Arial" w:hAnsi="Arial"/>
          <w:sz w:val="22"/>
          <w:szCs w:val="22"/>
        </w:rPr>
        <w:t xml:space="preserve">GitHub repository contains the complete Next.js 14 application with all source files, TypeScript data models, and this technical memo.</w:t>
      </w:r>
    </w:p>
    <w:p>
      <w:pPr>
        <w:spacing w:before="80" w:after="80"/>
      </w:pPr>
      <w:r>
        <w:t xml:space="preserve"/>
      </w:r>
    </w:p>
    <w:p>
      <w:pPr>
        <w:spacing w:before="80" w:after="80"/>
      </w:pPr>
      <w:r>
        <w:rPr>
          <w:rFonts w:ascii="Arial" w:cs="Arial" w:eastAsia="Arial" w:hAnsi="Arial"/>
          <w:sz w:val="22"/>
          <w:szCs w:val="22"/>
        </w:rPr>
        <w:t xml:space="preserve">To run the demo locally:</w:t>
      </w:r>
    </w:p>
    <w:p>
      <w:pPr>
        <w:pStyle w:val="ListParagraph"/>
        <w:numPr>
          <w:ilvl w:val="0"/>
          <w:numId w:val="2"/>
        </w:numPr>
        <w:spacing w:before="40" w:after="40"/>
      </w:pPr>
      <w:r>
        <w:rPr>
          <w:rFonts w:ascii="Arial" w:cs="Arial" w:eastAsia="Arial" w:hAnsi="Arial"/>
          <w:sz w:val="22"/>
          <w:szCs w:val="22"/>
        </w:rPr>
        <w:t xml:space="preserve">cd ptp-knowledge-graph</w:t>
      </w:r>
    </w:p>
    <w:p>
      <w:pPr>
        <w:pStyle w:val="ListParagraph"/>
        <w:numPr>
          <w:ilvl w:val="0"/>
          <w:numId w:val="2"/>
        </w:numPr>
        <w:spacing w:before="40" w:after="40"/>
      </w:pPr>
      <w:r>
        <w:rPr>
          <w:rFonts w:ascii="Arial" w:cs="Arial" w:eastAsia="Arial" w:hAnsi="Arial"/>
          <w:sz w:val="22"/>
          <w:szCs w:val="22"/>
        </w:rPr>
        <w:t xml:space="preserve">npm install</w:t>
      </w:r>
    </w:p>
    <w:p>
      <w:pPr>
        <w:pStyle w:val="ListParagraph"/>
        <w:numPr>
          <w:ilvl w:val="0"/>
          <w:numId w:val="2"/>
        </w:numPr>
        <w:spacing w:before="40" w:after="40"/>
      </w:pPr>
      <w:r>
        <w:rPr>
          <w:rFonts w:ascii="Arial" w:cs="Arial" w:eastAsia="Arial" w:hAnsi="Arial"/>
          <w:sz w:val="22"/>
          <w:szCs w:val="22"/>
        </w:rPr>
        <w:t xml:space="preserve">npm run dev</w:t>
      </w:r>
    </w:p>
    <w:p>
      <w:pPr>
        <w:pStyle w:val="ListParagraph"/>
        <w:numPr>
          <w:ilvl w:val="0"/>
          <w:numId w:val="2"/>
        </w:numPr>
        <w:spacing w:before="40" w:after="40"/>
      </w:pPr>
      <w:r>
        <w:rPr>
          <w:rFonts w:ascii="Arial" w:cs="Arial" w:eastAsia="Arial" w:hAnsi="Arial"/>
          <w:sz w:val="22"/>
          <w:szCs w:val="22"/>
        </w:rPr>
        <w:t xml:space="preserve">Open http://localhost:3000</w:t>
      </w:r>
    </w:p>
    <w:p>
      <w:pPr>
        <w:spacing w:before="80" w:after="80"/>
      </w:pPr>
      <w:r>
        <w:t xml:space="preserve"/>
      </w:r>
    </w:p>
    <w:p>
      <w:pPr>
        <w:spacing w:before="80" w:after="80"/>
      </w:pPr>
      <w:r>
        <w:rPr>
          <w:rFonts w:ascii="Arial" w:cs="Arial" w:eastAsia="Arial" w:hAnsi="Arial"/>
          <w:sz w:val="22"/>
          <w:szCs w:val="22"/>
        </w:rPr>
        <w:t xml:space="preserve">All 3 screens are functional. The Claude API explanation requires an Anthropic API key; the weighted scoring and knowledge graph visualization work without any API keys.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PtP Knowledge Graph — Technical Memo  |  Vishwa Pujara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2026-03-29T21:48:53.206Z</dcterms:created>
  <dcterms:modified xsi:type="dcterms:W3CDTF">2026-03-29T21:48:53.207Z</dcterms:modified>
</cp:coreProperties>
</file>

<file path=docProps/custom.xml><?xml version="1.0" encoding="utf-8"?>
<Properties xmlns="http://schemas.openxmlformats.org/officeDocument/2006/custom-properties" xmlns:vt="http://schemas.openxmlformats.org/officeDocument/2006/docPropsVTypes"/>
</file>