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940A" w14:textId="502D1FFA" w:rsidR="00C23ECA" w:rsidRDefault="00B750F9" w:rsidP="00B750F9">
      <w:pPr>
        <w:pStyle w:val="Heading1"/>
        <w:spacing w:line="240" w:lineRule="auto"/>
        <w:rPr>
          <w:lang w:val="en-US"/>
        </w:rPr>
      </w:pPr>
      <w:r>
        <w:rPr>
          <w:lang w:val="en-US"/>
        </w:rPr>
        <w:t>Section 1 - Seal the chip case with UV light.</w:t>
      </w:r>
    </w:p>
    <w:p w14:paraId="464DDEB6" w14:textId="15E87E55" w:rsidR="00B750F9" w:rsidRPr="00A93CF0" w:rsidRDefault="00064C39" w:rsidP="00B750F9">
      <w:pPr>
        <w:spacing w:line="240" w:lineRule="auto"/>
        <w:rPr>
          <w:rFonts w:ascii="Arial" w:hAnsi="Arial" w:cs="Arial"/>
          <w:sz w:val="24"/>
          <w:szCs w:val="24"/>
          <w:lang w:val="en-US"/>
        </w:rPr>
      </w:pPr>
      <w:r w:rsidRPr="00064C39">
        <w:rPr>
          <w:rFonts w:ascii="Arial" w:hAnsi="Arial" w:cs="Arial"/>
          <w:sz w:val="24"/>
          <w:szCs w:val="24"/>
          <w:lang w:val="en-US"/>
        </w:rPr>
        <w:t>The following procedure is u</w:t>
      </w:r>
      <w:r>
        <w:rPr>
          <w:rFonts w:ascii="Arial" w:hAnsi="Arial" w:cs="Arial"/>
          <w:sz w:val="24"/>
          <w:szCs w:val="24"/>
          <w:lang w:val="en-US"/>
        </w:rPr>
        <w:t>tilized</w:t>
      </w:r>
      <w:r w:rsidRPr="00064C39">
        <w:rPr>
          <w:rFonts w:ascii="Arial" w:hAnsi="Arial" w:cs="Arial"/>
          <w:sz w:val="24"/>
          <w:szCs w:val="24"/>
          <w:lang w:val="en-US"/>
        </w:rPr>
        <w:t xml:space="preserve"> to seal the chip case using UV light-curable sealant</w:t>
      </w:r>
      <w:r>
        <w:rPr>
          <w:rFonts w:ascii="Arial" w:hAnsi="Arial" w:cs="Arial"/>
          <w:sz w:val="24"/>
          <w:szCs w:val="24"/>
          <w:lang w:val="en-US"/>
        </w:rPr>
        <w:t>:</w:t>
      </w:r>
    </w:p>
    <w:p w14:paraId="13330220" w14:textId="77777777" w:rsidR="00064C39" w:rsidRDefault="00A93CF0" w:rsidP="00064C39">
      <w:pPr>
        <w:pStyle w:val="ListParagraph"/>
        <w:numPr>
          <w:ilvl w:val="0"/>
          <w:numId w:val="1"/>
        </w:numPr>
        <w:rPr>
          <w:rFonts w:ascii="Arial" w:hAnsi="Arial" w:cs="Arial"/>
          <w:sz w:val="24"/>
          <w:szCs w:val="24"/>
          <w:lang w:val="en-US"/>
        </w:rPr>
      </w:pPr>
      <w:r w:rsidRPr="00064C39">
        <w:rPr>
          <w:rFonts w:ascii="Arial" w:hAnsi="Arial" w:cs="Arial"/>
          <w:sz w:val="24"/>
          <w:szCs w:val="24"/>
          <w:highlight w:val="yellow"/>
          <w:lang w:val="en-US"/>
        </w:rPr>
        <w:t>Hold the</w:t>
      </w:r>
      <w:r w:rsidRPr="00064C39">
        <w:rPr>
          <w:rFonts w:ascii="Arial" w:hAnsi="Arial" w:cs="Arial"/>
          <w:sz w:val="24"/>
          <w:szCs w:val="24"/>
          <w:lang w:val="en-US"/>
        </w:rPr>
        <w:t xml:space="preserve"> fill port of the sealed chip case just above (or in mild contact with) the chip sealant syringe tip. </w:t>
      </w:r>
      <w:r w:rsidRPr="00064C39">
        <w:rPr>
          <w:rFonts w:ascii="Arial" w:hAnsi="Arial" w:cs="Arial"/>
          <w:sz w:val="24"/>
          <w:szCs w:val="24"/>
          <w:highlight w:val="green"/>
          <w:lang w:val="en-US"/>
        </w:rPr>
        <w:t xml:space="preserve">Make sure </w:t>
      </w:r>
      <w:r w:rsidRPr="00064C39">
        <w:rPr>
          <w:rFonts w:ascii="Arial" w:hAnsi="Arial" w:cs="Arial"/>
          <w:sz w:val="24"/>
          <w:szCs w:val="24"/>
          <w:lang w:val="en-US"/>
        </w:rPr>
        <w:t xml:space="preserve">the sealant hits the port's walls as you slowly fill it into the port. </w:t>
      </w:r>
    </w:p>
    <w:p w14:paraId="7049F141" w14:textId="77777777" w:rsidR="006C7DD2" w:rsidRDefault="00A93CF0" w:rsidP="00064C39">
      <w:pPr>
        <w:pStyle w:val="ListParagraph"/>
        <w:numPr>
          <w:ilvl w:val="0"/>
          <w:numId w:val="1"/>
        </w:numPr>
        <w:rPr>
          <w:rFonts w:ascii="Arial" w:hAnsi="Arial" w:cs="Arial"/>
          <w:sz w:val="24"/>
          <w:szCs w:val="24"/>
          <w:lang w:val="en-US"/>
        </w:rPr>
      </w:pPr>
      <w:r w:rsidRPr="00064C39">
        <w:rPr>
          <w:rFonts w:ascii="Arial" w:hAnsi="Arial" w:cs="Arial"/>
          <w:sz w:val="24"/>
          <w:szCs w:val="24"/>
          <w:highlight w:val="yellow"/>
          <w:lang w:val="en-US"/>
        </w:rPr>
        <w:t xml:space="preserve">Make a </w:t>
      </w:r>
      <w:r w:rsidRPr="00064C39">
        <w:rPr>
          <w:rFonts w:ascii="Arial" w:hAnsi="Arial" w:cs="Arial"/>
          <w:sz w:val="24"/>
          <w:szCs w:val="24"/>
          <w:lang w:val="en-US"/>
        </w:rPr>
        <w:t xml:space="preserve">sealant dome to cover the port's top to complete the seal. </w:t>
      </w:r>
      <w:r w:rsidRPr="00064C39">
        <w:rPr>
          <w:rFonts w:ascii="Arial" w:hAnsi="Arial" w:cs="Arial"/>
          <w:sz w:val="24"/>
          <w:szCs w:val="24"/>
          <w:highlight w:val="yellow"/>
          <w:lang w:val="en-US"/>
        </w:rPr>
        <w:t xml:space="preserve">Only the </w:t>
      </w:r>
      <w:r w:rsidRPr="00064C39">
        <w:rPr>
          <w:rFonts w:ascii="Arial" w:hAnsi="Arial" w:cs="Arial"/>
          <w:sz w:val="24"/>
          <w:szCs w:val="24"/>
          <w:lang w:val="en-US"/>
        </w:rPr>
        <w:t>fill port should receive the sealant.</w:t>
      </w:r>
    </w:p>
    <w:p w14:paraId="72995BC4" w14:textId="5FB931DD" w:rsidR="00B750F9" w:rsidRDefault="00A93CF0" w:rsidP="00064C39">
      <w:pPr>
        <w:pStyle w:val="ListParagraph"/>
        <w:numPr>
          <w:ilvl w:val="0"/>
          <w:numId w:val="1"/>
        </w:numPr>
        <w:rPr>
          <w:rFonts w:ascii="Arial" w:hAnsi="Arial" w:cs="Arial"/>
          <w:sz w:val="24"/>
          <w:szCs w:val="24"/>
          <w:lang w:val="en-US"/>
        </w:rPr>
      </w:pPr>
      <w:r w:rsidRPr="00064C39">
        <w:rPr>
          <w:rFonts w:ascii="Arial" w:hAnsi="Arial" w:cs="Arial"/>
          <w:sz w:val="24"/>
          <w:szCs w:val="24"/>
          <w:highlight w:val="green"/>
          <w:lang w:val="en-US"/>
        </w:rPr>
        <w:t>The lid</w:t>
      </w:r>
      <w:r w:rsidRPr="00064C39">
        <w:rPr>
          <w:rFonts w:ascii="Arial" w:hAnsi="Arial" w:cs="Arial"/>
          <w:sz w:val="24"/>
          <w:szCs w:val="24"/>
          <w:lang w:val="en-US"/>
        </w:rPr>
        <w:t xml:space="preserve"> window or the chip case barcode should not be sealed with sealant. </w:t>
      </w:r>
      <w:r w:rsidRPr="00064C39">
        <w:rPr>
          <w:rFonts w:ascii="Arial" w:hAnsi="Arial" w:cs="Arial"/>
          <w:sz w:val="24"/>
          <w:szCs w:val="24"/>
          <w:highlight w:val="cyan"/>
          <w:lang w:val="en-US"/>
        </w:rPr>
        <w:t>To avoid</w:t>
      </w:r>
      <w:r w:rsidRPr="00064C39">
        <w:rPr>
          <w:rFonts w:ascii="Arial" w:hAnsi="Arial" w:cs="Arial"/>
          <w:sz w:val="24"/>
          <w:szCs w:val="24"/>
          <w:lang w:val="en-US"/>
        </w:rPr>
        <w:t xml:space="preserve"> the sealant hardening, place the syringe tip first inside the brown plastic bag while not in use.</w:t>
      </w:r>
    </w:p>
    <w:p w14:paraId="3824B876" w14:textId="77777777" w:rsidR="00064C39" w:rsidRPr="00064C39" w:rsidRDefault="00064C39" w:rsidP="00064C39">
      <w:pPr>
        <w:pStyle w:val="ListParagraph"/>
        <w:rPr>
          <w:rFonts w:ascii="Arial" w:hAnsi="Arial" w:cs="Arial"/>
          <w:sz w:val="24"/>
          <w:szCs w:val="24"/>
          <w:lang w:val="en-US"/>
        </w:rPr>
      </w:pPr>
    </w:p>
    <w:p w14:paraId="7B508A55" w14:textId="034EC484" w:rsidR="006C7DD2" w:rsidRDefault="00064C39" w:rsidP="0073670E">
      <w:pPr>
        <w:pStyle w:val="ListParagraph"/>
        <w:numPr>
          <w:ilvl w:val="0"/>
          <w:numId w:val="1"/>
        </w:numPr>
        <w:rPr>
          <w:rFonts w:ascii="Arial" w:hAnsi="Arial" w:cs="Arial"/>
          <w:sz w:val="24"/>
          <w:szCs w:val="24"/>
          <w:lang w:val="en-US"/>
        </w:rPr>
      </w:pPr>
      <w:r w:rsidRPr="006C7DD2">
        <w:rPr>
          <w:rFonts w:ascii="Arial" w:hAnsi="Arial" w:cs="Arial"/>
          <w:sz w:val="24"/>
          <w:szCs w:val="24"/>
          <w:highlight w:val="yellow"/>
          <w:lang w:val="en-US"/>
        </w:rPr>
        <w:t>Turn on</w:t>
      </w:r>
      <w:r w:rsidRPr="00064C39">
        <w:rPr>
          <w:rFonts w:ascii="Arial" w:hAnsi="Arial" w:cs="Arial"/>
          <w:sz w:val="24"/>
          <w:szCs w:val="24"/>
          <w:lang w:val="en-US"/>
        </w:rPr>
        <w:t xml:space="preserve"> the UV light pen in the UV pen stand by turning the cap near the power button</w:t>
      </w:r>
      <w:r>
        <w:rPr>
          <w:rFonts w:ascii="Arial" w:hAnsi="Arial" w:cs="Arial"/>
          <w:sz w:val="24"/>
          <w:szCs w:val="24"/>
          <w:lang w:val="en-US"/>
        </w:rPr>
        <w:t xml:space="preserve">. </w:t>
      </w:r>
      <w:r w:rsidR="006C7DD2" w:rsidRPr="006C7DD2">
        <w:rPr>
          <w:rFonts w:ascii="Arial" w:hAnsi="Arial" w:cs="Arial"/>
          <w:sz w:val="24"/>
          <w:szCs w:val="24"/>
          <w:highlight w:val="green"/>
          <w:lang w:val="en-US"/>
        </w:rPr>
        <w:t>Until each</w:t>
      </w:r>
      <w:r w:rsidR="006C7DD2" w:rsidRPr="006C7DD2">
        <w:rPr>
          <w:rFonts w:ascii="Arial" w:hAnsi="Arial" w:cs="Arial"/>
          <w:sz w:val="24"/>
          <w:szCs w:val="24"/>
          <w:lang w:val="en-US"/>
        </w:rPr>
        <w:t xml:space="preserve"> chip is fully loaded, the UV light pen may remain on.</w:t>
      </w:r>
      <w:r w:rsidR="006C7DD2">
        <w:rPr>
          <w:rFonts w:ascii="Arial" w:hAnsi="Arial" w:cs="Arial"/>
          <w:sz w:val="24"/>
          <w:szCs w:val="24"/>
          <w:lang w:val="en-US"/>
        </w:rPr>
        <w:t xml:space="preserve"> </w:t>
      </w:r>
      <w:r w:rsidR="006C7DD2" w:rsidRPr="006C7DD2">
        <w:rPr>
          <w:rFonts w:ascii="Arial" w:hAnsi="Arial" w:cs="Arial"/>
          <w:sz w:val="24"/>
          <w:szCs w:val="24"/>
          <w:highlight w:val="cyan"/>
          <w:lang w:val="en-US"/>
        </w:rPr>
        <w:t xml:space="preserve">After the </w:t>
      </w:r>
      <w:r w:rsidR="006C7DD2" w:rsidRPr="006C7DD2">
        <w:rPr>
          <w:rFonts w:ascii="Arial" w:hAnsi="Arial" w:cs="Arial"/>
          <w:sz w:val="24"/>
          <w:szCs w:val="24"/>
          <w:lang w:val="en-US"/>
        </w:rPr>
        <w:t>last chip has been sealed, please be sure to turn off the UV light pen to prolong battery life</w:t>
      </w:r>
      <w:r w:rsidR="0073670E">
        <w:rPr>
          <w:rFonts w:ascii="Arial" w:hAnsi="Arial" w:cs="Arial"/>
          <w:sz w:val="24"/>
          <w:szCs w:val="24"/>
          <w:lang w:val="en-US"/>
        </w:rPr>
        <w:t>.</w:t>
      </w:r>
    </w:p>
    <w:p w14:paraId="006FD189" w14:textId="77777777" w:rsidR="0073670E" w:rsidRPr="0073670E" w:rsidRDefault="0073670E" w:rsidP="0073670E">
      <w:pPr>
        <w:pStyle w:val="ListParagraph"/>
        <w:rPr>
          <w:rFonts w:ascii="Arial" w:hAnsi="Arial" w:cs="Arial"/>
          <w:sz w:val="24"/>
          <w:szCs w:val="24"/>
          <w:lang w:val="en-US"/>
        </w:rPr>
      </w:pPr>
    </w:p>
    <w:p w14:paraId="7C8C0C69" w14:textId="77777777" w:rsidR="0073670E" w:rsidRDefault="0073670E" w:rsidP="0073670E">
      <w:pPr>
        <w:pStyle w:val="ListParagraph"/>
        <w:numPr>
          <w:ilvl w:val="0"/>
          <w:numId w:val="1"/>
        </w:numPr>
        <w:rPr>
          <w:rFonts w:ascii="Arial" w:hAnsi="Arial" w:cs="Arial"/>
          <w:sz w:val="24"/>
          <w:szCs w:val="24"/>
          <w:lang w:val="en-US"/>
        </w:rPr>
      </w:pPr>
      <w:r w:rsidRPr="0073670E">
        <w:rPr>
          <w:rFonts w:ascii="Arial" w:hAnsi="Arial" w:cs="Arial"/>
          <w:sz w:val="24"/>
          <w:szCs w:val="24"/>
          <w:highlight w:val="yellow"/>
          <w:lang w:val="en-US"/>
        </w:rPr>
        <w:t>Place the</w:t>
      </w:r>
      <w:r w:rsidRPr="0073670E">
        <w:rPr>
          <w:rFonts w:ascii="Arial" w:hAnsi="Arial" w:cs="Arial"/>
          <w:sz w:val="24"/>
          <w:szCs w:val="24"/>
          <w:lang w:val="en-US"/>
        </w:rPr>
        <w:t xml:space="preserve"> chip assembly into the UV pen stand and give the chip sealant 0.5 to 3 minutes to dry.</w:t>
      </w:r>
    </w:p>
    <w:p w14:paraId="42423173" w14:textId="6D137CB9" w:rsidR="0073670E" w:rsidRDefault="0073670E" w:rsidP="0073670E">
      <w:pPr>
        <w:pStyle w:val="ListParagraph"/>
        <w:numPr>
          <w:ilvl w:val="0"/>
          <w:numId w:val="1"/>
        </w:numPr>
        <w:rPr>
          <w:rFonts w:ascii="Arial" w:hAnsi="Arial" w:cs="Arial"/>
          <w:sz w:val="24"/>
          <w:szCs w:val="24"/>
          <w:lang w:val="en-US"/>
        </w:rPr>
      </w:pPr>
      <w:r w:rsidRPr="0073670E">
        <w:rPr>
          <w:rFonts w:ascii="Arial" w:hAnsi="Arial" w:cs="Arial"/>
          <w:sz w:val="24"/>
          <w:szCs w:val="24"/>
          <w:highlight w:val="green"/>
          <w:lang w:val="en-US"/>
        </w:rPr>
        <w:t>A longer</w:t>
      </w:r>
      <w:r w:rsidRPr="0073670E">
        <w:rPr>
          <w:rFonts w:ascii="Arial" w:hAnsi="Arial" w:cs="Arial"/>
          <w:sz w:val="24"/>
          <w:szCs w:val="24"/>
          <w:lang w:val="en-US"/>
        </w:rPr>
        <w:t xml:space="preserve"> exposure—no more than 3 minutes—makes sure the seal is complete.</w:t>
      </w:r>
      <w:r>
        <w:rPr>
          <w:rFonts w:ascii="Arial" w:hAnsi="Arial" w:cs="Arial"/>
          <w:sz w:val="24"/>
          <w:szCs w:val="24"/>
          <w:lang w:val="en-US"/>
        </w:rPr>
        <w:t xml:space="preserve"> </w:t>
      </w:r>
      <w:r w:rsidRPr="0073670E">
        <w:rPr>
          <w:rFonts w:ascii="Arial" w:hAnsi="Arial" w:cs="Arial"/>
          <w:sz w:val="24"/>
          <w:szCs w:val="24"/>
          <w:highlight w:val="cyan"/>
          <w:lang w:val="en-US"/>
        </w:rPr>
        <w:t>The fill</w:t>
      </w:r>
      <w:r w:rsidRPr="0073670E">
        <w:rPr>
          <w:rFonts w:ascii="Arial" w:hAnsi="Arial" w:cs="Arial"/>
          <w:sz w:val="24"/>
          <w:szCs w:val="24"/>
          <w:lang w:val="en-US"/>
        </w:rPr>
        <w:t xml:space="preserve"> port must be placed immediately beneath the UV light's beam.</w:t>
      </w:r>
      <w:r>
        <w:rPr>
          <w:rFonts w:ascii="Arial" w:hAnsi="Arial" w:cs="Arial"/>
          <w:sz w:val="24"/>
          <w:szCs w:val="24"/>
          <w:lang w:val="en-US"/>
        </w:rPr>
        <w:t xml:space="preserve"> </w:t>
      </w:r>
      <w:r w:rsidRPr="0073670E">
        <w:rPr>
          <w:rFonts w:ascii="Arial" w:hAnsi="Arial" w:cs="Arial"/>
          <w:sz w:val="24"/>
          <w:szCs w:val="24"/>
          <w:highlight w:val="cyan"/>
          <w:lang w:val="en-US"/>
        </w:rPr>
        <w:t>Avoid</w:t>
      </w:r>
      <w:r w:rsidRPr="0073670E">
        <w:rPr>
          <w:rFonts w:ascii="Arial" w:hAnsi="Arial" w:cs="Arial"/>
          <w:sz w:val="24"/>
          <w:szCs w:val="24"/>
          <w:lang w:val="en-US"/>
        </w:rPr>
        <w:t xml:space="preserve"> pressing on encapsulated chip</w:t>
      </w:r>
      <w:r>
        <w:rPr>
          <w:rFonts w:ascii="Arial" w:hAnsi="Arial" w:cs="Arial"/>
          <w:sz w:val="24"/>
          <w:szCs w:val="24"/>
          <w:lang w:val="en-US"/>
        </w:rPr>
        <w:t>.</w:t>
      </w:r>
    </w:p>
    <w:p w14:paraId="52E15BE5" w14:textId="77777777" w:rsidR="0083064B" w:rsidRDefault="0083064B" w:rsidP="0073670E">
      <w:pPr>
        <w:pStyle w:val="ListParagraph"/>
        <w:numPr>
          <w:ilvl w:val="0"/>
          <w:numId w:val="1"/>
        </w:numPr>
        <w:rPr>
          <w:rFonts w:ascii="Arial" w:hAnsi="Arial" w:cs="Arial"/>
          <w:sz w:val="24"/>
          <w:szCs w:val="24"/>
          <w:lang w:val="en-US"/>
        </w:rPr>
      </w:pPr>
      <w:r w:rsidRPr="0083064B">
        <w:rPr>
          <w:rFonts w:ascii="Arial" w:hAnsi="Arial" w:cs="Arial"/>
          <w:sz w:val="24"/>
          <w:szCs w:val="24"/>
          <w:highlight w:val="red"/>
          <w:lang w:val="en-US"/>
        </w:rPr>
        <w:t>The reactions</w:t>
      </w:r>
      <w:r w:rsidRPr="0083064B">
        <w:rPr>
          <w:rFonts w:ascii="Arial" w:hAnsi="Arial" w:cs="Arial"/>
          <w:sz w:val="24"/>
          <w:szCs w:val="24"/>
          <w:lang w:val="en-US"/>
        </w:rPr>
        <w:t xml:space="preserve"> stored inside the chip wells can be released by applying pressure to the chip lid's surface after the sealant has dried.</w:t>
      </w:r>
      <w:r>
        <w:rPr>
          <w:rFonts w:ascii="Arial" w:hAnsi="Arial" w:cs="Arial"/>
          <w:sz w:val="24"/>
          <w:szCs w:val="24"/>
          <w:lang w:val="en-US"/>
        </w:rPr>
        <w:t xml:space="preserve"> </w:t>
      </w:r>
    </w:p>
    <w:p w14:paraId="1034B68C" w14:textId="649936EA" w:rsidR="00486A0E" w:rsidRDefault="0083064B" w:rsidP="0083064B">
      <w:pPr>
        <w:ind w:left="360"/>
        <w:rPr>
          <w:rFonts w:ascii="Times New Roman" w:hAnsi="Times New Roman" w:cs="Times New Roman"/>
          <w:sz w:val="24"/>
          <w:szCs w:val="24"/>
          <w:lang w:val="en-US"/>
        </w:rPr>
      </w:pPr>
      <w:r w:rsidRPr="0083064B">
        <w:rPr>
          <w:rFonts w:ascii="Times New Roman" w:hAnsi="Times New Roman" w:cs="Times New Roman"/>
          <w:sz w:val="24"/>
          <w:szCs w:val="24"/>
          <w:lang w:val="en-US"/>
        </w:rPr>
        <w:t>Note:</w:t>
      </w:r>
      <w:r>
        <w:rPr>
          <w:rFonts w:ascii="Arial" w:hAnsi="Arial" w:cs="Arial"/>
          <w:sz w:val="24"/>
          <w:szCs w:val="24"/>
          <w:lang w:val="en-US"/>
        </w:rPr>
        <w:t xml:space="preserve"> </w:t>
      </w:r>
      <w:r w:rsidRPr="0083064B">
        <w:rPr>
          <w:rFonts w:ascii="Times New Roman" w:hAnsi="Times New Roman" w:cs="Times New Roman"/>
          <w:sz w:val="24"/>
          <w:szCs w:val="24"/>
          <w:highlight w:val="lightGray"/>
          <w:lang w:val="en-US"/>
        </w:rPr>
        <w:t>To ensure</w:t>
      </w:r>
      <w:r w:rsidRPr="0083064B">
        <w:rPr>
          <w:rFonts w:ascii="Times New Roman" w:hAnsi="Times New Roman" w:cs="Times New Roman"/>
          <w:sz w:val="24"/>
          <w:szCs w:val="24"/>
          <w:lang w:val="en-US"/>
        </w:rPr>
        <w:t xml:space="preserve"> that the chip sealant has completely cured, you can illuminate the fill port for up to three minutes if necessary.</w:t>
      </w:r>
    </w:p>
    <w:p w14:paraId="06A1660F" w14:textId="44D9BA48" w:rsidR="0083064B" w:rsidRDefault="0083064B" w:rsidP="0083064B">
      <w:pPr>
        <w:pStyle w:val="ListParagraph"/>
        <w:numPr>
          <w:ilvl w:val="0"/>
          <w:numId w:val="1"/>
        </w:numPr>
        <w:rPr>
          <w:rFonts w:ascii="Arial" w:hAnsi="Arial" w:cs="Arial"/>
          <w:sz w:val="24"/>
          <w:szCs w:val="24"/>
          <w:lang w:val="en-US"/>
        </w:rPr>
      </w:pPr>
      <w:r w:rsidRPr="0083064B">
        <w:rPr>
          <w:rFonts w:ascii="Arial" w:hAnsi="Arial" w:cs="Arial"/>
          <w:sz w:val="24"/>
          <w:szCs w:val="24"/>
          <w:highlight w:val="red"/>
          <w:lang w:val="en-US"/>
        </w:rPr>
        <w:t>Visually check</w:t>
      </w:r>
      <w:r w:rsidRPr="0083064B">
        <w:rPr>
          <w:rFonts w:ascii="Arial" w:hAnsi="Arial" w:cs="Arial"/>
          <w:sz w:val="24"/>
          <w:szCs w:val="24"/>
          <w:lang w:val="en-US"/>
        </w:rPr>
        <w:t xml:space="preserve"> the sealed chip case for any potential issues, such as leaks (make sure no liquid is dripping from the fill port or the seal between the chip and lid) and bubbles (see within the chip case for any sizable or many bubbles).</w:t>
      </w:r>
      <w:r w:rsidR="00C12FFD">
        <w:rPr>
          <w:rFonts w:ascii="Arial" w:hAnsi="Arial" w:cs="Arial"/>
          <w:sz w:val="24"/>
          <w:szCs w:val="24"/>
          <w:lang w:val="en-US"/>
        </w:rPr>
        <w:t xml:space="preserve"> </w:t>
      </w:r>
    </w:p>
    <w:p w14:paraId="07A2306D" w14:textId="44BC5EC7" w:rsidR="00C12FFD" w:rsidRDefault="00C12FFD" w:rsidP="0083064B">
      <w:pPr>
        <w:pStyle w:val="ListParagraph"/>
        <w:numPr>
          <w:ilvl w:val="0"/>
          <w:numId w:val="1"/>
        </w:numPr>
        <w:rPr>
          <w:rFonts w:ascii="Arial" w:hAnsi="Arial" w:cs="Arial"/>
          <w:sz w:val="24"/>
          <w:szCs w:val="24"/>
          <w:lang w:val="en-US"/>
        </w:rPr>
      </w:pPr>
      <w:r w:rsidRPr="00C12FFD">
        <w:rPr>
          <w:rFonts w:ascii="Arial" w:hAnsi="Arial" w:cs="Arial"/>
          <w:sz w:val="24"/>
          <w:szCs w:val="24"/>
          <w:highlight w:val="yellow"/>
          <w:lang w:val="en-US"/>
        </w:rPr>
        <w:t>Correct lid</w:t>
      </w:r>
      <w:r w:rsidRPr="00C12FFD">
        <w:rPr>
          <w:rFonts w:ascii="Arial" w:hAnsi="Arial" w:cs="Arial"/>
          <w:sz w:val="24"/>
          <w:szCs w:val="24"/>
          <w:lang w:val="en-US"/>
        </w:rPr>
        <w:t xml:space="preserve"> orientation (check that the lid is correctly oriented on the chip; one very small air bubble is fine).</w:t>
      </w:r>
      <w:r>
        <w:rPr>
          <w:rFonts w:ascii="Arial" w:hAnsi="Arial" w:cs="Arial"/>
          <w:sz w:val="24"/>
          <w:szCs w:val="24"/>
          <w:lang w:val="en-US"/>
        </w:rPr>
        <w:t xml:space="preserve"> </w:t>
      </w:r>
    </w:p>
    <w:p w14:paraId="75444107" w14:textId="1510C15A" w:rsidR="00C12FFD" w:rsidRDefault="00C12FFD" w:rsidP="00C12FFD">
      <w:pPr>
        <w:ind w:left="360"/>
        <w:rPr>
          <w:rFonts w:ascii="Times New Roman" w:hAnsi="Times New Roman" w:cs="Times New Roman"/>
          <w:sz w:val="24"/>
          <w:szCs w:val="24"/>
          <w:lang w:val="en-US"/>
        </w:rPr>
      </w:pPr>
      <w:r w:rsidRPr="00C12FFD">
        <w:rPr>
          <w:rFonts w:ascii="Times New Roman" w:hAnsi="Times New Roman" w:cs="Times New Roman"/>
          <w:sz w:val="24"/>
          <w:szCs w:val="24"/>
          <w:highlight w:val="cyan"/>
          <w:lang w:val="en-US"/>
        </w:rPr>
        <w:t>Note:</w:t>
      </w:r>
      <w:r w:rsidRPr="00C12FFD">
        <w:rPr>
          <w:rFonts w:ascii="Times New Roman" w:hAnsi="Times New Roman" w:cs="Times New Roman"/>
          <w:sz w:val="24"/>
          <w:szCs w:val="24"/>
          <w:lang w:val="en-US"/>
        </w:rPr>
        <w:t xml:space="preserve"> If the sealed chip doesn't meet any of the </w:t>
      </w:r>
      <w:r>
        <w:rPr>
          <w:rFonts w:ascii="Times New Roman" w:hAnsi="Times New Roman" w:cs="Times New Roman"/>
          <w:sz w:val="24"/>
          <w:szCs w:val="24"/>
          <w:lang w:val="en-US"/>
        </w:rPr>
        <w:t xml:space="preserve">previous </w:t>
      </w:r>
      <w:r w:rsidRPr="00C12FFD">
        <w:rPr>
          <w:rFonts w:ascii="Times New Roman" w:hAnsi="Times New Roman" w:cs="Times New Roman"/>
          <w:sz w:val="24"/>
          <w:szCs w:val="24"/>
          <w:lang w:val="en-US"/>
        </w:rPr>
        <w:t>requirements, throw it away and make a new one.</w:t>
      </w:r>
      <w:r>
        <w:rPr>
          <w:rFonts w:ascii="Times New Roman" w:hAnsi="Times New Roman" w:cs="Times New Roman"/>
          <w:sz w:val="24"/>
          <w:szCs w:val="24"/>
          <w:lang w:val="en-US"/>
        </w:rPr>
        <w:t xml:space="preserve"> </w:t>
      </w:r>
      <w:r w:rsidRPr="00C12FFD">
        <w:rPr>
          <w:rFonts w:ascii="Times New Roman" w:hAnsi="Times New Roman" w:cs="Times New Roman"/>
          <w:sz w:val="24"/>
          <w:szCs w:val="24"/>
          <w:highlight w:val="cyan"/>
          <w:lang w:val="en-US"/>
        </w:rPr>
        <w:t>It is</w:t>
      </w:r>
      <w:r w:rsidRPr="00C12FFD">
        <w:rPr>
          <w:rFonts w:ascii="Times New Roman" w:hAnsi="Times New Roman" w:cs="Times New Roman"/>
          <w:sz w:val="24"/>
          <w:szCs w:val="24"/>
          <w:lang w:val="en-US"/>
        </w:rPr>
        <w:t xml:space="preserve"> impossible to open and reseal the sealed chip. </w:t>
      </w:r>
      <w:r w:rsidRPr="00C12FFD">
        <w:rPr>
          <w:rFonts w:ascii="Times New Roman" w:hAnsi="Times New Roman" w:cs="Times New Roman"/>
          <w:sz w:val="24"/>
          <w:szCs w:val="24"/>
          <w:highlight w:val="green"/>
          <w:lang w:val="en-US"/>
        </w:rPr>
        <w:t>Check the</w:t>
      </w:r>
      <w:r w:rsidRPr="00C12FFD">
        <w:rPr>
          <w:rFonts w:ascii="Times New Roman" w:hAnsi="Times New Roman" w:cs="Times New Roman"/>
          <w:sz w:val="24"/>
          <w:szCs w:val="24"/>
          <w:lang w:val="en-US"/>
        </w:rPr>
        <w:t xml:space="preserve"> sealed chip visually for leaks and bubbles with the proper lid orientation.</w:t>
      </w:r>
    </w:p>
    <w:p w14:paraId="4DCDE5BA" w14:textId="756DB757" w:rsidR="00C12FFD" w:rsidRDefault="00C12FFD" w:rsidP="00C12FFD">
      <w:pPr>
        <w:pStyle w:val="ListParagraph"/>
        <w:numPr>
          <w:ilvl w:val="0"/>
          <w:numId w:val="1"/>
        </w:numPr>
        <w:rPr>
          <w:rFonts w:ascii="Arial" w:hAnsi="Arial" w:cs="Arial"/>
          <w:sz w:val="24"/>
          <w:szCs w:val="24"/>
          <w:lang w:val="en-US"/>
        </w:rPr>
      </w:pPr>
      <w:r w:rsidRPr="00C12FFD">
        <w:rPr>
          <w:rFonts w:ascii="Arial" w:hAnsi="Arial" w:cs="Arial"/>
          <w:sz w:val="24"/>
          <w:szCs w:val="24"/>
          <w:lang w:val="en-US"/>
        </w:rPr>
        <w:t xml:space="preserve"> </w:t>
      </w:r>
      <w:r w:rsidRPr="00C12FFD">
        <w:rPr>
          <w:rFonts w:ascii="Arial" w:hAnsi="Arial" w:cs="Arial"/>
          <w:sz w:val="24"/>
          <w:szCs w:val="24"/>
          <w:highlight w:val="yellow"/>
          <w:lang w:val="en-US"/>
        </w:rPr>
        <w:t>Until you're</w:t>
      </w:r>
      <w:r w:rsidRPr="00C12FFD">
        <w:rPr>
          <w:rFonts w:ascii="Arial" w:hAnsi="Arial" w:cs="Arial"/>
          <w:sz w:val="24"/>
          <w:szCs w:val="24"/>
          <w:lang w:val="en-US"/>
        </w:rPr>
        <w:t xml:space="preserve"> ready to load it into the instrument, keep the prepared chip in a spot that's clean, dry, and dark.</w:t>
      </w:r>
    </w:p>
    <w:p w14:paraId="48B1FE20" w14:textId="20A091A8" w:rsidR="00C12FFD" w:rsidRDefault="00C12FFD" w:rsidP="00C12FFD">
      <w:pPr>
        <w:pStyle w:val="ListParagraph"/>
        <w:numPr>
          <w:ilvl w:val="0"/>
          <w:numId w:val="1"/>
        </w:numPr>
        <w:rPr>
          <w:rFonts w:ascii="Arial" w:hAnsi="Arial" w:cs="Arial"/>
          <w:sz w:val="24"/>
          <w:szCs w:val="24"/>
          <w:lang w:val="en-US"/>
        </w:rPr>
      </w:pPr>
      <w:r w:rsidRPr="00212364">
        <w:rPr>
          <w:rFonts w:ascii="Arial" w:hAnsi="Arial" w:cs="Arial"/>
          <w:sz w:val="24"/>
          <w:szCs w:val="24"/>
          <w:lang w:val="en-US"/>
        </w:rPr>
        <w:t>2 hours</w:t>
      </w:r>
      <w:r w:rsidRPr="00C12FFD">
        <w:rPr>
          <w:rFonts w:ascii="Arial" w:hAnsi="Arial" w:cs="Arial"/>
          <w:sz w:val="24"/>
          <w:szCs w:val="24"/>
          <w:lang w:val="en-US"/>
        </w:rPr>
        <w:t xml:space="preserve"> after loading the prepared chips, run them. </w:t>
      </w:r>
      <w:r w:rsidRPr="00C12FFD">
        <w:rPr>
          <w:rFonts w:ascii="Arial" w:hAnsi="Arial" w:cs="Arial"/>
          <w:sz w:val="24"/>
          <w:szCs w:val="24"/>
          <w:highlight w:val="yellow"/>
          <w:lang w:val="en-US"/>
        </w:rPr>
        <w:t>Use a</w:t>
      </w:r>
      <w:r w:rsidRPr="00C12FFD">
        <w:rPr>
          <w:rFonts w:ascii="Arial" w:hAnsi="Arial" w:cs="Arial"/>
          <w:sz w:val="24"/>
          <w:szCs w:val="24"/>
          <w:lang w:val="en-US"/>
        </w:rPr>
        <w:t xml:space="preserve"> permanent marker to write on the chip's back. </w:t>
      </w:r>
      <w:r w:rsidRPr="00C12FFD">
        <w:rPr>
          <w:rFonts w:ascii="Arial" w:hAnsi="Arial" w:cs="Arial"/>
          <w:sz w:val="24"/>
          <w:szCs w:val="24"/>
          <w:highlight w:val="red"/>
          <w:lang w:val="en-US"/>
        </w:rPr>
        <w:t>The imaging</w:t>
      </w:r>
      <w:r w:rsidRPr="00C12FFD">
        <w:rPr>
          <w:rFonts w:ascii="Arial" w:hAnsi="Arial" w:cs="Arial"/>
          <w:sz w:val="24"/>
          <w:szCs w:val="24"/>
          <w:lang w:val="en-US"/>
        </w:rPr>
        <w:t xml:space="preserve"> data won't be impacted by </w:t>
      </w:r>
      <w:commentRangeStart w:id="0"/>
      <w:r w:rsidRPr="00C12FFD">
        <w:rPr>
          <w:rFonts w:ascii="Arial" w:hAnsi="Arial" w:cs="Arial"/>
          <w:sz w:val="24"/>
          <w:szCs w:val="24"/>
          <w:lang w:val="en-US"/>
        </w:rPr>
        <w:t>this</w:t>
      </w:r>
      <w:commentRangeEnd w:id="0"/>
      <w:r w:rsidR="00CA6DF1">
        <w:rPr>
          <w:rStyle w:val="CommentReference"/>
        </w:rPr>
        <w:commentReference w:id="0"/>
      </w:r>
      <w:r w:rsidRPr="00C12FFD">
        <w:rPr>
          <w:rFonts w:ascii="Arial" w:hAnsi="Arial" w:cs="Arial"/>
          <w:sz w:val="24"/>
          <w:szCs w:val="24"/>
          <w:lang w:val="en-US"/>
        </w:rPr>
        <w:t>.</w:t>
      </w:r>
    </w:p>
    <w:p w14:paraId="346ABA79" w14:textId="62C0E685" w:rsidR="008A415E" w:rsidRDefault="008A415E" w:rsidP="008A415E">
      <w:pPr>
        <w:rPr>
          <w:rFonts w:ascii="Arial" w:hAnsi="Arial" w:cs="Arial"/>
          <w:sz w:val="24"/>
          <w:szCs w:val="24"/>
          <w:lang w:val="en-US"/>
        </w:rPr>
      </w:pPr>
    </w:p>
    <w:p w14:paraId="29936DCD" w14:textId="5FA12E65" w:rsidR="008A415E" w:rsidRDefault="008A415E" w:rsidP="008A415E">
      <w:pPr>
        <w:pStyle w:val="Heading1"/>
        <w:rPr>
          <w:lang w:val="en-US"/>
        </w:rPr>
      </w:pPr>
      <w:r>
        <w:rPr>
          <w:lang w:val="en-US"/>
        </w:rPr>
        <w:lastRenderedPageBreak/>
        <w:t xml:space="preserve">Section 2 </w:t>
      </w:r>
      <w:r w:rsidRPr="008A415E">
        <w:rPr>
          <w:lang w:val="en-US"/>
        </w:rPr>
        <w:t>H</w:t>
      </w:r>
      <w:r>
        <w:rPr>
          <w:lang w:val="en-US"/>
        </w:rPr>
        <w:t>omogenization with RNA Reagent</w:t>
      </w:r>
      <w:r w:rsidRPr="008A415E">
        <w:rPr>
          <w:lang w:val="en-US"/>
        </w:rPr>
        <w:t>™</w:t>
      </w:r>
    </w:p>
    <w:p w14:paraId="04D77ED2" w14:textId="6D6A0325" w:rsidR="008A415E" w:rsidRPr="00CA6DF1" w:rsidRDefault="00CA6DF1" w:rsidP="008A415E">
      <w:pPr>
        <w:rPr>
          <w:rFonts w:ascii="Arial" w:hAnsi="Arial" w:cs="Arial"/>
          <w:sz w:val="24"/>
          <w:szCs w:val="24"/>
          <w:lang w:val="en-US"/>
        </w:rPr>
      </w:pPr>
      <w:r w:rsidRPr="00CA6DF1">
        <w:rPr>
          <w:rFonts w:ascii="Arial" w:hAnsi="Arial" w:cs="Arial"/>
          <w:sz w:val="24"/>
          <w:szCs w:val="24"/>
          <w:lang w:val="en-US"/>
        </w:rPr>
        <w:t>Several homogenization methods are detailed below:</w:t>
      </w:r>
    </w:p>
    <w:p w14:paraId="7F14E42F" w14:textId="34674002" w:rsidR="00CA6DF1" w:rsidRDefault="00CA6DF1" w:rsidP="008A415E">
      <w:pPr>
        <w:rPr>
          <w:rFonts w:ascii="Arial" w:hAnsi="Arial" w:cs="Arial"/>
          <w:sz w:val="24"/>
          <w:szCs w:val="24"/>
          <w:lang w:val="en-US"/>
        </w:rPr>
      </w:pPr>
      <w:r w:rsidRPr="00CA6DF1">
        <w:rPr>
          <w:rFonts w:ascii="Arial" w:hAnsi="Arial" w:cs="Arial"/>
          <w:sz w:val="24"/>
          <w:szCs w:val="24"/>
          <w:lang w:val="en-US"/>
        </w:rPr>
        <w:t>Tissues</w:t>
      </w:r>
      <w:r>
        <w:rPr>
          <w:rFonts w:ascii="Arial" w:hAnsi="Arial" w:cs="Arial"/>
          <w:sz w:val="24"/>
          <w:szCs w:val="24"/>
          <w:lang w:val="en-US"/>
        </w:rPr>
        <w:t>:</w:t>
      </w:r>
    </w:p>
    <w:p w14:paraId="3F09FFAB" w14:textId="6FB015C1" w:rsidR="00CA6DF1" w:rsidRDefault="00CA6DF1" w:rsidP="008A415E">
      <w:pPr>
        <w:rPr>
          <w:rFonts w:ascii="Arial" w:hAnsi="Arial" w:cs="Arial"/>
          <w:sz w:val="24"/>
          <w:szCs w:val="24"/>
          <w:lang w:val="en-US"/>
        </w:rPr>
      </w:pPr>
      <w:r w:rsidRPr="00CA6DF1">
        <w:rPr>
          <w:rFonts w:ascii="Arial" w:hAnsi="Arial" w:cs="Arial"/>
          <w:sz w:val="24"/>
          <w:szCs w:val="24"/>
          <w:lang w:val="en-US"/>
        </w:rPr>
        <w:t>Utilize a glass-Teflon® or power homogenizer to homogenize tissue samples in 1 ml of RNA Reagent</w:t>
      </w:r>
      <w:r w:rsidR="00400DF5" w:rsidRPr="00400DF5">
        <w:rPr>
          <w:rFonts w:ascii="Arial" w:hAnsi="Arial" w:cs="Arial"/>
          <w:sz w:val="24"/>
          <w:szCs w:val="24"/>
          <w:lang w:val="en-US"/>
        </w:rPr>
        <w:t>™</w:t>
      </w:r>
      <w:r w:rsidRPr="00CA6DF1">
        <w:rPr>
          <w:rFonts w:ascii="Arial" w:hAnsi="Arial" w:cs="Arial"/>
          <w:sz w:val="24"/>
          <w:szCs w:val="24"/>
          <w:lang w:val="en-US"/>
        </w:rPr>
        <w:t xml:space="preserve"> per 50–100 mg of tissue. 10% of the volume of the RNA Reagent</w:t>
      </w:r>
      <w:r w:rsidR="00400DF5" w:rsidRPr="00400DF5">
        <w:rPr>
          <w:rFonts w:ascii="Arial" w:hAnsi="Arial" w:cs="Arial"/>
          <w:sz w:val="24"/>
          <w:szCs w:val="24"/>
          <w:lang w:val="en-US"/>
        </w:rPr>
        <w:t>™</w:t>
      </w:r>
      <w:r w:rsidRPr="00CA6DF1">
        <w:rPr>
          <w:rFonts w:ascii="Arial" w:hAnsi="Arial" w:cs="Arial"/>
          <w:sz w:val="24"/>
          <w:szCs w:val="24"/>
          <w:lang w:val="en-US"/>
        </w:rPr>
        <w:t xml:space="preserve"> used for homogenization should not be included in the sample </w:t>
      </w:r>
      <w:commentRangeStart w:id="1"/>
      <w:r w:rsidRPr="00CA6DF1">
        <w:rPr>
          <w:rFonts w:ascii="Arial" w:hAnsi="Arial" w:cs="Arial"/>
          <w:sz w:val="24"/>
          <w:szCs w:val="24"/>
          <w:lang w:val="en-US"/>
        </w:rPr>
        <w:t>volume</w:t>
      </w:r>
      <w:commentRangeEnd w:id="1"/>
      <w:r w:rsidR="00DA2F55">
        <w:rPr>
          <w:rStyle w:val="CommentReference"/>
        </w:rPr>
        <w:commentReference w:id="1"/>
      </w:r>
      <w:r w:rsidRPr="00CA6DF1">
        <w:rPr>
          <w:rFonts w:ascii="Arial" w:hAnsi="Arial" w:cs="Arial"/>
          <w:sz w:val="24"/>
          <w:szCs w:val="24"/>
          <w:lang w:val="en-US"/>
        </w:rPr>
        <w:t>.</w:t>
      </w:r>
    </w:p>
    <w:p w14:paraId="610D937C" w14:textId="4E498608" w:rsidR="00CA6DF1" w:rsidRDefault="00CA6DF1" w:rsidP="008A415E">
      <w:pPr>
        <w:rPr>
          <w:rFonts w:ascii="Arial" w:hAnsi="Arial" w:cs="Arial"/>
          <w:sz w:val="24"/>
          <w:szCs w:val="24"/>
          <w:lang w:val="en-US"/>
        </w:rPr>
      </w:pPr>
      <w:r w:rsidRPr="00CA6DF1">
        <w:rPr>
          <w:rFonts w:ascii="Arial" w:hAnsi="Arial" w:cs="Arial"/>
          <w:sz w:val="24"/>
          <w:szCs w:val="24"/>
          <w:lang w:val="en-US"/>
        </w:rPr>
        <w:t>Cells Grown in Suspension</w:t>
      </w:r>
      <w:r>
        <w:rPr>
          <w:rFonts w:ascii="Arial" w:hAnsi="Arial" w:cs="Arial"/>
          <w:sz w:val="24"/>
          <w:szCs w:val="24"/>
          <w:lang w:val="en-US"/>
        </w:rPr>
        <w:t>:</w:t>
      </w:r>
    </w:p>
    <w:p w14:paraId="2F1C78A7" w14:textId="4B4DF635" w:rsidR="00CA6DF1" w:rsidRDefault="00D86D80" w:rsidP="00CA6DF1">
      <w:pPr>
        <w:rPr>
          <w:rFonts w:ascii="Arial" w:hAnsi="Arial" w:cs="Arial"/>
          <w:sz w:val="24"/>
          <w:szCs w:val="24"/>
          <w:lang w:val="en-US"/>
        </w:rPr>
      </w:pPr>
      <w:r w:rsidRPr="00D86D80">
        <w:rPr>
          <w:rFonts w:ascii="Arial" w:hAnsi="Arial" w:cs="Arial"/>
          <w:sz w:val="24"/>
          <w:szCs w:val="24"/>
          <w:lang w:val="en-US"/>
        </w:rPr>
        <w:t>Pellet cells by centrifugation</w:t>
      </w:r>
      <w:r w:rsidR="00CA6DF1" w:rsidRPr="00CA6DF1">
        <w:rPr>
          <w:rFonts w:ascii="Arial" w:hAnsi="Arial" w:cs="Arial"/>
          <w:sz w:val="24"/>
          <w:szCs w:val="24"/>
          <w:lang w:val="en-US"/>
        </w:rPr>
        <w:t>.</w:t>
      </w:r>
      <w:r w:rsidR="00400DF5">
        <w:rPr>
          <w:rFonts w:ascii="Arial" w:hAnsi="Arial" w:cs="Arial"/>
          <w:sz w:val="24"/>
          <w:szCs w:val="24"/>
          <w:lang w:val="en-US"/>
        </w:rPr>
        <w:t xml:space="preserve"> </w:t>
      </w:r>
      <w:r w:rsidR="00400DF5" w:rsidRPr="00400DF5">
        <w:rPr>
          <w:rFonts w:ascii="Arial" w:hAnsi="Arial" w:cs="Arial"/>
          <w:sz w:val="24"/>
          <w:szCs w:val="24"/>
          <w:lang w:val="en-US"/>
        </w:rPr>
        <w:t>Lyse cells in RNA Reagent™ by repetitive pipetting</w:t>
      </w:r>
      <w:r w:rsidR="00400DF5">
        <w:rPr>
          <w:rFonts w:ascii="Arial" w:hAnsi="Arial" w:cs="Arial"/>
          <w:sz w:val="24"/>
          <w:szCs w:val="24"/>
          <w:lang w:val="en-US"/>
        </w:rPr>
        <w:t xml:space="preserve">. </w:t>
      </w:r>
      <w:r w:rsidR="00400DF5" w:rsidRPr="00400DF5">
        <w:rPr>
          <w:rFonts w:ascii="Arial" w:hAnsi="Arial" w:cs="Arial"/>
          <w:sz w:val="24"/>
          <w:szCs w:val="24"/>
          <w:lang w:val="en-US"/>
        </w:rPr>
        <w:t>5–10 X 106 animal, plant, or yeast cells, or 1 X 107 bacterial cells, should be treated with 1 L of the reagent.  It is best to avoid washing cells before adding RNA Reagent™ because doing so increases the likelihood that mRNA will degrade. Some yeast and bacterial cells may require disruption, which calls for the use of a homogenizer.</w:t>
      </w:r>
    </w:p>
    <w:p w14:paraId="0190A23C" w14:textId="5BB0794D" w:rsidR="00E32E53" w:rsidRDefault="00E32E53" w:rsidP="00CA6DF1">
      <w:pPr>
        <w:rPr>
          <w:rFonts w:ascii="Arial" w:hAnsi="Arial" w:cs="Arial"/>
          <w:sz w:val="24"/>
          <w:szCs w:val="24"/>
          <w:lang w:val="en-US"/>
        </w:rPr>
      </w:pPr>
      <w:r w:rsidRPr="00E32E53">
        <w:rPr>
          <w:rFonts w:ascii="Arial" w:hAnsi="Arial" w:cs="Arial"/>
          <w:sz w:val="24"/>
          <w:szCs w:val="24"/>
          <w:lang w:val="en-US"/>
        </w:rPr>
        <w:t xml:space="preserve">Optional: For samples containing large levels of proteins, lipids, polysaccharides, or extracellular material, such as muscles, fat tissue, or tuberous plant parts, an additional isolation step may be </w:t>
      </w:r>
      <w:r>
        <w:rPr>
          <w:rFonts w:ascii="Arial" w:hAnsi="Arial" w:cs="Arial"/>
          <w:sz w:val="24"/>
          <w:szCs w:val="24"/>
          <w:lang w:val="en-US"/>
        </w:rPr>
        <w:t>essential</w:t>
      </w:r>
      <w:r w:rsidRPr="00E32E53">
        <w:rPr>
          <w:rFonts w:ascii="Arial" w:hAnsi="Arial" w:cs="Arial"/>
          <w:sz w:val="24"/>
          <w:szCs w:val="24"/>
          <w:lang w:val="en-US"/>
        </w:rPr>
        <w:t>. After homogenization, the homogenate should be centrifuged at 12,000 X g for 10 minutes at 2–8 °C to remove any insoluble material. Extracellular membranes, polysaccharides, and high-molecular-weight DNA are present in the resultant pellet, whereas RNA is present in the supernatant. A layer of extra fat that forms on top of samples of fat tissue needs to be removed. In each instance, transfer the homogenate solution that has been cleaned to a new tube and carry out the phase separation and chloroform addition as directed.</w:t>
      </w:r>
    </w:p>
    <w:p w14:paraId="0237664B" w14:textId="3EFA08DD" w:rsidR="00E32E53" w:rsidRDefault="00E32E53" w:rsidP="00CA6DF1">
      <w:pPr>
        <w:rPr>
          <w:rFonts w:ascii="Arial" w:hAnsi="Arial" w:cs="Arial"/>
          <w:sz w:val="24"/>
          <w:szCs w:val="24"/>
          <w:lang w:val="en-US"/>
        </w:rPr>
      </w:pPr>
      <w:r>
        <w:rPr>
          <w:rFonts w:ascii="Arial" w:hAnsi="Arial" w:cs="Arial"/>
          <w:sz w:val="24"/>
          <w:szCs w:val="24"/>
          <w:lang w:val="en-US"/>
        </w:rPr>
        <w:t>Phase Separation:</w:t>
      </w:r>
    </w:p>
    <w:p w14:paraId="4F62A215" w14:textId="2EB869B4" w:rsidR="00E32E53" w:rsidRDefault="00272F62" w:rsidP="00272F62">
      <w:pPr>
        <w:rPr>
          <w:rFonts w:ascii="Arial" w:hAnsi="Arial" w:cs="Arial"/>
          <w:sz w:val="24"/>
          <w:szCs w:val="24"/>
          <w:lang w:val="en-US"/>
        </w:rPr>
      </w:pPr>
      <w:r w:rsidRPr="00272F62">
        <w:rPr>
          <w:rFonts w:ascii="Arial" w:hAnsi="Arial" w:cs="Arial"/>
          <w:sz w:val="24"/>
          <w:szCs w:val="24"/>
          <w:lang w:val="en-US"/>
        </w:rPr>
        <w:t>To allow the complete dissociation of nucleoprotein complexes, incubate the homogenized samples for 5 minutes at 15 to 30°C. Add 0.2 ml of chloroform per 1 ml of RNA reagent</w:t>
      </w:r>
      <w:r w:rsidRPr="00400DF5">
        <w:rPr>
          <w:rFonts w:ascii="Arial" w:hAnsi="Arial" w:cs="Arial"/>
          <w:sz w:val="24"/>
          <w:szCs w:val="24"/>
          <w:lang w:val="en-US"/>
        </w:rPr>
        <w:t>™</w:t>
      </w:r>
      <w:r w:rsidRPr="00272F62">
        <w:rPr>
          <w:rFonts w:ascii="Arial" w:hAnsi="Arial" w:cs="Arial"/>
          <w:sz w:val="24"/>
          <w:szCs w:val="24"/>
          <w:lang w:val="en-US"/>
        </w:rPr>
        <w:t>. Secure the sample tubes caps. Tubes should be vigorously shaken by hand for 15 seconds before being incubated for 2 to 3 minutes at 15 to 30°C. The samples should be centrifuged at a maximum of 12,000 X g for 15 minutes at 2 to 8°C. After centrifugation, the mixture separates into an upper, colourless aqueous phase, an interphase, and a lower, red, phenol-chloroform phase. Only the aqueous phase is home to RNA. About 60% of the volume of the RNA Reagent</w:t>
      </w:r>
      <w:r w:rsidRPr="00400DF5">
        <w:rPr>
          <w:rFonts w:ascii="Arial" w:hAnsi="Arial" w:cs="Arial"/>
          <w:sz w:val="24"/>
          <w:szCs w:val="24"/>
          <w:lang w:val="en-US"/>
        </w:rPr>
        <w:t>™</w:t>
      </w:r>
      <w:r w:rsidRPr="00272F62">
        <w:rPr>
          <w:rFonts w:ascii="Arial" w:hAnsi="Arial" w:cs="Arial"/>
          <w:sz w:val="24"/>
          <w:szCs w:val="24"/>
          <w:lang w:val="en-US"/>
        </w:rPr>
        <w:t xml:space="preserve"> used for homogenization is made up of the aqueous phase.</w:t>
      </w:r>
    </w:p>
    <w:p w14:paraId="7F5E315F" w14:textId="77777777" w:rsidR="00272F62" w:rsidRDefault="00272F62" w:rsidP="00272F62">
      <w:pPr>
        <w:rPr>
          <w:rFonts w:ascii="Arial" w:hAnsi="Arial" w:cs="Arial"/>
          <w:sz w:val="24"/>
          <w:szCs w:val="24"/>
          <w:lang w:val="en-US"/>
        </w:rPr>
      </w:pPr>
    </w:p>
    <w:p w14:paraId="19783ED5" w14:textId="77777777" w:rsidR="00272F62" w:rsidRDefault="00272F62" w:rsidP="00272F62">
      <w:pPr>
        <w:rPr>
          <w:rFonts w:ascii="Arial" w:hAnsi="Arial" w:cs="Arial"/>
          <w:sz w:val="24"/>
          <w:szCs w:val="24"/>
          <w:lang w:val="en-US"/>
        </w:rPr>
      </w:pPr>
    </w:p>
    <w:p w14:paraId="23FF74F6" w14:textId="77777777" w:rsidR="00272F62" w:rsidRDefault="00272F62" w:rsidP="00272F62">
      <w:pPr>
        <w:rPr>
          <w:rFonts w:ascii="Arial" w:hAnsi="Arial" w:cs="Arial"/>
          <w:sz w:val="24"/>
          <w:szCs w:val="24"/>
          <w:lang w:val="en-US"/>
        </w:rPr>
      </w:pPr>
    </w:p>
    <w:p w14:paraId="42C4119C" w14:textId="77777777" w:rsidR="00272F62" w:rsidRDefault="00272F62" w:rsidP="00272F62">
      <w:pPr>
        <w:rPr>
          <w:rFonts w:ascii="Arial" w:hAnsi="Arial" w:cs="Arial"/>
          <w:sz w:val="24"/>
          <w:szCs w:val="24"/>
          <w:lang w:val="en-US"/>
        </w:rPr>
      </w:pPr>
    </w:p>
    <w:p w14:paraId="352729F5" w14:textId="77777777" w:rsidR="00272F62" w:rsidRDefault="00272F62" w:rsidP="00272F62">
      <w:pPr>
        <w:rPr>
          <w:rFonts w:ascii="Arial" w:hAnsi="Arial" w:cs="Arial"/>
          <w:sz w:val="24"/>
          <w:szCs w:val="24"/>
          <w:lang w:val="en-US"/>
        </w:rPr>
      </w:pPr>
    </w:p>
    <w:p w14:paraId="144AA8DE" w14:textId="77777777" w:rsidR="00272F62" w:rsidRDefault="00272F62" w:rsidP="00272F62">
      <w:pPr>
        <w:rPr>
          <w:rFonts w:ascii="Arial" w:hAnsi="Arial" w:cs="Arial"/>
          <w:sz w:val="24"/>
          <w:szCs w:val="24"/>
          <w:lang w:val="en-US"/>
        </w:rPr>
      </w:pPr>
    </w:p>
    <w:p w14:paraId="41191795" w14:textId="7AAA80A6" w:rsidR="00272F62" w:rsidRPr="00272F62" w:rsidRDefault="00272F62" w:rsidP="00272F62">
      <w:pPr>
        <w:pStyle w:val="Heading1"/>
        <w:rPr>
          <w:lang w:val="en-US"/>
        </w:rPr>
      </w:pPr>
      <w:r>
        <w:rPr>
          <w:lang w:val="en-US"/>
        </w:rPr>
        <w:lastRenderedPageBreak/>
        <w:t xml:space="preserve">Section 3 </w:t>
      </w:r>
      <w:r w:rsidRPr="00272F62">
        <w:rPr>
          <w:lang w:val="en-US"/>
        </w:rPr>
        <w:t>DataSeq Software workgroup shared database</w:t>
      </w:r>
      <w:r>
        <w:rPr>
          <w:lang w:val="en-US"/>
        </w:rPr>
        <w:t>:</w:t>
      </w:r>
    </w:p>
    <w:p w14:paraId="7E313D54" w14:textId="77777777" w:rsidR="00272F62" w:rsidRPr="00272F62" w:rsidRDefault="00272F62" w:rsidP="00272F62">
      <w:pPr>
        <w:pStyle w:val="NormalWeb"/>
        <w:rPr>
          <w:rFonts w:ascii="Arial" w:hAnsi="Arial" w:cs="Arial"/>
          <w:color w:val="252525"/>
        </w:rPr>
      </w:pPr>
      <w:r w:rsidRPr="00272F62">
        <w:rPr>
          <w:rFonts w:ascii="Arial" w:hAnsi="Arial" w:cs="Arial"/>
          <w:color w:val="252525"/>
        </w:rPr>
        <w:t>To share specific databases, repositories of DNA/RNA or protein molecules, enzymes, oligonucleotides, and gel markers with other DataSeq Software users on a network, you can construct unique databases. The shared workgroup database's primary function is to store common data.</w:t>
      </w:r>
    </w:p>
    <w:p w14:paraId="402884B6" w14:textId="77777777" w:rsidR="00371B87" w:rsidRDefault="00272F62" w:rsidP="00272F62">
      <w:pPr>
        <w:pStyle w:val="NormalWeb"/>
        <w:rPr>
          <w:rFonts w:ascii="Arial" w:hAnsi="Arial" w:cs="Arial"/>
          <w:color w:val="252525"/>
        </w:rPr>
      </w:pPr>
      <w:r w:rsidRPr="00272F62">
        <w:rPr>
          <w:rFonts w:ascii="Arial" w:hAnsi="Arial" w:cs="Arial"/>
          <w:color w:val="252525"/>
        </w:rPr>
        <w:t xml:space="preserve">To add users to a shared workgroup database, you must be an administrator. </w:t>
      </w:r>
    </w:p>
    <w:p w14:paraId="0A3B2A6A" w14:textId="1AD6DEA8" w:rsidR="00371B87" w:rsidRDefault="00272F62" w:rsidP="00272F62">
      <w:pPr>
        <w:pStyle w:val="NormalWeb"/>
        <w:rPr>
          <w:rFonts w:ascii="Arial" w:hAnsi="Arial" w:cs="Arial"/>
          <w:color w:val="252525"/>
        </w:rPr>
      </w:pPr>
      <w:r w:rsidRPr="00272F62">
        <w:rPr>
          <w:rFonts w:ascii="Arial" w:hAnsi="Arial" w:cs="Arial"/>
          <w:color w:val="252525"/>
        </w:rPr>
        <w:t xml:space="preserve">You can add users to a workgroup shared database by starting the server by double-clicking </w:t>
      </w:r>
      <w:r w:rsidRPr="00272F62">
        <w:rPr>
          <w:rFonts w:ascii="Arial" w:hAnsi="Arial" w:cs="Arial"/>
          <w:b/>
          <w:bCs/>
          <w:color w:val="252525"/>
        </w:rPr>
        <w:t>Shared Server</w:t>
      </w:r>
      <w:r w:rsidRPr="00272F62">
        <w:rPr>
          <w:rFonts w:ascii="Arial" w:hAnsi="Arial" w:cs="Arial"/>
          <w:color w:val="252525"/>
        </w:rPr>
        <w:t xml:space="preserve"> under C:</w:t>
      </w:r>
      <w:r>
        <w:rPr>
          <w:rFonts w:ascii="Arial" w:hAnsi="Arial" w:cs="Arial"/>
          <w:color w:val="252525"/>
        </w:rPr>
        <w:t>\</w:t>
      </w:r>
      <w:r w:rsidRPr="00272F62">
        <w:rPr>
          <w:rFonts w:ascii="Arial" w:hAnsi="Arial" w:cs="Arial"/>
          <w:color w:val="252525"/>
        </w:rPr>
        <w:t>Programme Files</w:t>
      </w:r>
      <w:r>
        <w:rPr>
          <w:rFonts w:ascii="Arial" w:hAnsi="Arial" w:cs="Arial"/>
          <w:color w:val="252525"/>
        </w:rPr>
        <w:t>\</w:t>
      </w:r>
      <w:r w:rsidRPr="00272F62">
        <w:rPr>
          <w:rFonts w:ascii="Arial" w:hAnsi="Arial" w:cs="Arial"/>
          <w:color w:val="252525"/>
        </w:rPr>
        <w:t>DataSeq Software Workgroup Shared Database Admin</w:t>
      </w:r>
      <w:r>
        <w:rPr>
          <w:rFonts w:ascii="Arial" w:hAnsi="Arial" w:cs="Arial"/>
          <w:color w:val="252525"/>
        </w:rPr>
        <w:t>\</w:t>
      </w:r>
      <w:r w:rsidRPr="00272F62">
        <w:rPr>
          <w:rFonts w:ascii="Arial" w:hAnsi="Arial" w:cs="Arial"/>
          <w:color w:val="252525"/>
        </w:rPr>
        <w:t xml:space="preserve">h2_setup, opening the login window by double-clicking the </w:t>
      </w:r>
      <w:r w:rsidRPr="00272F62">
        <w:rPr>
          <w:rFonts w:ascii="Arial" w:hAnsi="Arial" w:cs="Arial"/>
          <w:b/>
          <w:bCs/>
          <w:color w:val="252525"/>
        </w:rPr>
        <w:t>Shared Database</w:t>
      </w:r>
      <w:r w:rsidRPr="00272F62">
        <w:rPr>
          <w:rFonts w:ascii="Arial" w:hAnsi="Arial" w:cs="Arial"/>
          <w:color w:val="252525"/>
        </w:rPr>
        <w:t xml:space="preserve"> </w:t>
      </w:r>
      <w:r w:rsidRPr="00272F62">
        <w:rPr>
          <w:rFonts w:ascii="Arial" w:hAnsi="Arial" w:cs="Arial"/>
          <w:b/>
          <w:bCs/>
          <w:color w:val="252525"/>
        </w:rPr>
        <w:t>Administration</w:t>
      </w:r>
      <w:r w:rsidRPr="00272F62">
        <w:rPr>
          <w:rFonts w:ascii="Arial" w:hAnsi="Arial" w:cs="Arial"/>
          <w:color w:val="252525"/>
        </w:rPr>
        <w:t xml:space="preserve"> icon on your desktop and entering the following credentials: Database Admin is the administrator's username and password, and the hostname or IP is </w:t>
      </w:r>
      <w:r w:rsidRPr="00371B87">
        <w:rPr>
          <w:rFonts w:ascii="Arial" w:hAnsi="Arial" w:cs="Arial"/>
          <w:b/>
          <w:bCs/>
          <w:color w:val="252525"/>
        </w:rPr>
        <w:t>localhost.</w:t>
      </w:r>
      <w:r w:rsidRPr="00272F62">
        <w:rPr>
          <w:rFonts w:ascii="Arial" w:hAnsi="Arial" w:cs="Arial"/>
          <w:color w:val="252525"/>
        </w:rPr>
        <w:t xml:space="preserve"> </w:t>
      </w:r>
    </w:p>
    <w:p w14:paraId="660BE759" w14:textId="12B8E68A" w:rsidR="00371B87" w:rsidRDefault="00272F62" w:rsidP="00371B87">
      <w:pPr>
        <w:rPr>
          <w:rFonts w:ascii="Arial" w:hAnsi="Arial" w:cs="Arial"/>
          <w:sz w:val="24"/>
          <w:szCs w:val="24"/>
        </w:rPr>
      </w:pPr>
      <w:r w:rsidRPr="00371B87">
        <w:rPr>
          <w:rFonts w:ascii="Arial" w:hAnsi="Arial" w:cs="Arial"/>
          <w:color w:val="252525"/>
          <w:sz w:val="24"/>
          <w:szCs w:val="24"/>
        </w:rPr>
        <w:t xml:space="preserve">To open the Shared Database Administrator window, click </w:t>
      </w:r>
      <w:r w:rsidRPr="00371B87">
        <w:rPr>
          <w:rFonts w:ascii="Arial" w:hAnsi="Arial" w:cs="Arial"/>
          <w:b/>
          <w:bCs/>
          <w:color w:val="252525"/>
          <w:sz w:val="24"/>
          <w:szCs w:val="24"/>
        </w:rPr>
        <w:t>Login</w:t>
      </w:r>
      <w:r w:rsidRPr="00371B87">
        <w:rPr>
          <w:rFonts w:ascii="Arial" w:hAnsi="Arial" w:cs="Arial"/>
          <w:color w:val="252525"/>
          <w:sz w:val="24"/>
          <w:szCs w:val="24"/>
        </w:rPr>
        <w:t xml:space="preserve">. then fill out the Add User window by clicking </w:t>
      </w:r>
      <w:r w:rsidRPr="00371B87">
        <w:rPr>
          <w:rFonts w:ascii="Arial" w:hAnsi="Arial" w:cs="Arial"/>
          <w:b/>
          <w:bCs/>
          <w:color w:val="252525"/>
          <w:sz w:val="24"/>
          <w:szCs w:val="24"/>
        </w:rPr>
        <w:t>Add</w:t>
      </w:r>
      <w:r w:rsidRPr="00371B87">
        <w:rPr>
          <w:rFonts w:ascii="Arial" w:hAnsi="Arial" w:cs="Arial"/>
          <w:color w:val="252525"/>
          <w:sz w:val="24"/>
          <w:szCs w:val="24"/>
        </w:rPr>
        <w:t xml:space="preserve">. </w:t>
      </w:r>
      <w:r w:rsidR="00371B87" w:rsidRPr="00371B87">
        <w:rPr>
          <w:rFonts w:ascii="Arial" w:hAnsi="Arial" w:cs="Arial"/>
          <w:sz w:val="24"/>
          <w:szCs w:val="24"/>
        </w:rPr>
        <w:t>Username should be one word. Spaces unaccepted</w:t>
      </w:r>
      <w:r w:rsidR="00371B87">
        <w:rPr>
          <w:rFonts w:ascii="Arial" w:hAnsi="Arial" w:cs="Arial"/>
          <w:sz w:val="24"/>
          <w:szCs w:val="24"/>
        </w:rPr>
        <w:t>.</w:t>
      </w:r>
    </w:p>
    <w:p w14:paraId="71AB184B" w14:textId="77777777" w:rsidR="00371B87" w:rsidRDefault="00371B87" w:rsidP="00371B87">
      <w:pPr>
        <w:rPr>
          <w:rFonts w:ascii="Arial" w:hAnsi="Arial" w:cs="Arial"/>
          <w:sz w:val="24"/>
          <w:szCs w:val="24"/>
        </w:rPr>
      </w:pPr>
      <w:r w:rsidRPr="00371B87">
        <w:rPr>
          <w:rFonts w:ascii="Arial" w:hAnsi="Arial" w:cs="Arial"/>
          <w:sz w:val="24"/>
          <w:szCs w:val="24"/>
        </w:rPr>
        <w:t xml:space="preserve">Open the Workgroup Shared Database Admin application and log in as an administrator to edit users in the workgroup shared database. </w:t>
      </w:r>
    </w:p>
    <w:p w14:paraId="3D9BB7B1" w14:textId="72A9A851" w:rsidR="00371B87" w:rsidRDefault="00371B87" w:rsidP="00371B87">
      <w:pPr>
        <w:rPr>
          <w:rFonts w:ascii="Arial" w:hAnsi="Arial" w:cs="Arial"/>
          <w:sz w:val="24"/>
          <w:szCs w:val="24"/>
        </w:rPr>
      </w:pPr>
      <w:r w:rsidRPr="00371B87">
        <w:rPr>
          <w:rFonts w:ascii="Arial" w:hAnsi="Arial" w:cs="Arial"/>
          <w:sz w:val="24"/>
          <w:szCs w:val="24"/>
        </w:rPr>
        <w:t xml:space="preserve">Double-click the user to open the Edit User window in the Workgroup Shared Database Administrator window. Edit the user's information, and then click </w:t>
      </w:r>
      <w:r w:rsidRPr="00371B87">
        <w:rPr>
          <w:rFonts w:ascii="Arial" w:hAnsi="Arial" w:cs="Arial"/>
          <w:b/>
          <w:bCs/>
          <w:sz w:val="24"/>
          <w:szCs w:val="24"/>
        </w:rPr>
        <w:t>OK</w:t>
      </w:r>
      <w:r w:rsidRPr="00371B87">
        <w:rPr>
          <w:rFonts w:ascii="Arial" w:hAnsi="Arial" w:cs="Arial"/>
          <w:sz w:val="24"/>
          <w:szCs w:val="24"/>
        </w:rPr>
        <w:t xml:space="preserve"> to save the changes.</w:t>
      </w:r>
    </w:p>
    <w:p w14:paraId="34D8ED3B" w14:textId="77777777" w:rsidR="00371B87" w:rsidRPr="00371B87" w:rsidRDefault="00371B87" w:rsidP="00371B87">
      <w:pPr>
        <w:pStyle w:val="NormalWeb"/>
        <w:rPr>
          <w:rFonts w:ascii="Arial" w:hAnsi="Arial" w:cs="Arial"/>
          <w:color w:val="252525"/>
        </w:rPr>
      </w:pPr>
      <w:r w:rsidRPr="00371B87">
        <w:rPr>
          <w:rFonts w:ascii="Arial" w:hAnsi="Arial" w:cs="Arial"/>
          <w:color w:val="252525"/>
        </w:rPr>
        <w:t xml:space="preserve">Open the Workgroup Shared Database Admin application and log in as the administrator to delete users from the workgroup shared database. Select a user in the Workgroup Shared Database Administrator interface, click Delete, and then </w:t>
      </w:r>
      <w:r w:rsidRPr="00371B87">
        <w:rPr>
          <w:rFonts w:ascii="Arial" w:hAnsi="Arial" w:cs="Arial"/>
          <w:b/>
          <w:bCs/>
          <w:color w:val="252525"/>
        </w:rPr>
        <w:t>OK</w:t>
      </w:r>
      <w:r w:rsidRPr="00371B87">
        <w:rPr>
          <w:rFonts w:ascii="Arial" w:hAnsi="Arial" w:cs="Arial"/>
          <w:color w:val="252525"/>
        </w:rPr>
        <w:t>.</w:t>
      </w:r>
    </w:p>
    <w:p w14:paraId="5AC5AF96" w14:textId="593A48FF" w:rsidR="00272F62" w:rsidRDefault="00371B87" w:rsidP="00371B87">
      <w:pPr>
        <w:pStyle w:val="NormalWeb"/>
        <w:rPr>
          <w:rFonts w:ascii="Arial" w:hAnsi="Arial" w:cs="Arial"/>
        </w:rPr>
      </w:pPr>
      <w:r w:rsidRPr="00371B87">
        <w:rPr>
          <w:rFonts w:ascii="Arial" w:hAnsi="Arial" w:cs="Arial"/>
        </w:rPr>
        <w:t>Connect to the workgroup shared database to upload data from the local database there. Select a subset by clicking Local Database in the Explorer Viewer. Right-click an object in the Records Viewer and choose "Upload to workgroup shared database."</w:t>
      </w:r>
    </w:p>
    <w:p w14:paraId="00420990" w14:textId="09EFE6E1" w:rsidR="00371B87" w:rsidRPr="00371B87" w:rsidRDefault="00371B87" w:rsidP="00371B87">
      <w:pPr>
        <w:pStyle w:val="NormalWeb"/>
        <w:rPr>
          <w:rFonts w:ascii="Arial" w:hAnsi="Arial" w:cs="Arial"/>
          <w:lang w:val="en-US"/>
        </w:rPr>
      </w:pPr>
      <w:r w:rsidRPr="00371B87">
        <w:rPr>
          <w:rStyle w:val="css-0"/>
          <w:rFonts w:ascii="Arial" w:hAnsi="Arial" w:cs="Arial"/>
          <w:color w:val="252525"/>
        </w:rPr>
        <w:t>Click Tools in the main menu, </w:t>
      </w:r>
      <w:r w:rsidRPr="00371B87">
        <w:rPr>
          <w:rStyle w:val="css-rh820s"/>
          <w:rFonts w:ascii="Arial" w:hAnsi="Arial" w:cs="Arial"/>
          <w:color w:val="252525"/>
        </w:rPr>
        <w:t>followed by </w:t>
      </w:r>
      <w:r w:rsidRPr="00371B87">
        <w:rPr>
          <w:rStyle w:val="css-15iwe0d"/>
          <w:rFonts w:ascii="Arial" w:hAnsi="Arial" w:cs="Arial"/>
          <w:b/>
          <w:bCs/>
          <w:color w:val="252525"/>
        </w:rPr>
        <w:t>Connect to workgroup shared databas</w:t>
      </w:r>
      <w:r>
        <w:rPr>
          <w:rStyle w:val="css-15iwe0d"/>
          <w:rFonts w:ascii="Arial" w:hAnsi="Arial" w:cs="Arial"/>
          <w:b/>
          <w:bCs/>
          <w:color w:val="252525"/>
        </w:rPr>
        <w:t>e</w:t>
      </w:r>
      <w:r w:rsidRPr="00371B87">
        <w:rPr>
          <w:rStyle w:val="css-15iwe0d"/>
          <w:rFonts w:ascii="Arial" w:hAnsi="Arial" w:cs="Arial"/>
          <w:color w:val="252525"/>
        </w:rPr>
        <w:t>, </w:t>
      </w:r>
      <w:r w:rsidRPr="00371B87">
        <w:rPr>
          <w:rStyle w:val="css-1ber87j"/>
          <w:rFonts w:ascii="Arial" w:hAnsi="Arial" w:cs="Arial"/>
          <w:color w:val="252525"/>
        </w:rPr>
        <w:t>to disconnect from a </w:t>
      </w:r>
      <w:r w:rsidRPr="00371B87">
        <w:rPr>
          <w:rStyle w:val="css-1eh0vfs"/>
          <w:rFonts w:ascii="Arial" w:eastAsiaTheme="majorEastAsia" w:hAnsi="Arial" w:cs="Arial"/>
          <w:color w:val="252525"/>
        </w:rPr>
        <w:t>workgroup shared </w:t>
      </w:r>
      <w:r w:rsidRPr="00371B87">
        <w:rPr>
          <w:rStyle w:val="css-0"/>
          <w:rFonts w:ascii="Arial" w:hAnsi="Arial" w:cs="Arial"/>
          <w:color w:val="252525"/>
        </w:rPr>
        <w:t>database.</w:t>
      </w:r>
      <w:r w:rsidRPr="00371B87">
        <w:rPr>
          <w:rStyle w:val="css-x5hiaf"/>
          <w:rFonts w:ascii="Arial" w:hAnsi="Arial" w:cs="Arial"/>
          <w:color w:val="252525"/>
        </w:rPr>
        <w:t xml:space="preserve"> </w:t>
      </w:r>
      <w:r w:rsidRPr="00371B87">
        <w:rPr>
          <w:rStyle w:val="css-15iwe0d"/>
          <w:rFonts w:ascii="Arial" w:hAnsi="Arial" w:cs="Arial"/>
          <w:color w:val="252525"/>
        </w:rPr>
        <w:t>Click Disconnect </w:t>
      </w:r>
      <w:r w:rsidRPr="00371B87">
        <w:rPr>
          <w:rStyle w:val="css-1ber87j"/>
          <w:rFonts w:ascii="Arial" w:hAnsi="Arial" w:cs="Arial"/>
          <w:color w:val="252525"/>
        </w:rPr>
        <w:t>in the Connect to Workgroup Shared Database </w:t>
      </w:r>
      <w:r w:rsidRPr="00371B87">
        <w:rPr>
          <w:rStyle w:val="css-0"/>
          <w:rFonts w:ascii="Arial" w:hAnsi="Arial" w:cs="Arial"/>
          <w:color w:val="252525"/>
        </w:rPr>
        <w:t>window.</w:t>
      </w:r>
    </w:p>
    <w:sectPr w:rsidR="00371B87" w:rsidRPr="00371B8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shwas R [EXT]" w:date="2023-06-24T20:15:00Z" w:initials="VR[">
    <w:p w14:paraId="628BFB94" w14:textId="77777777" w:rsidR="00DA2F55" w:rsidRDefault="00CA6DF1" w:rsidP="00EE39A0">
      <w:pPr>
        <w:pStyle w:val="CommentText"/>
      </w:pPr>
      <w:r>
        <w:rPr>
          <w:rStyle w:val="CommentReference"/>
        </w:rPr>
        <w:annotationRef/>
      </w:r>
      <w:r w:rsidR="00DA2F55">
        <w:t>Procedure steps was ended here, still result and conclusion is should provide for this topic.</w:t>
      </w:r>
    </w:p>
  </w:comment>
  <w:comment w:id="1" w:author="Vishwas R" w:date="2023-06-26T18:59:00Z" w:initials="VR">
    <w:p w14:paraId="1D833F14" w14:textId="77777777" w:rsidR="00D86D80" w:rsidRDefault="00DA2F55" w:rsidP="00581012">
      <w:pPr>
        <w:pStyle w:val="CommentText"/>
      </w:pPr>
      <w:r>
        <w:rPr>
          <w:rStyle w:val="CommentReference"/>
        </w:rPr>
        <w:annotationRef/>
      </w:r>
      <w:r w:rsidR="00D86D80">
        <w:t>In this section, some information provided about topics (Tissues, Cells grown and Phase separation), but which experiment or procedure relates these topics information and  also result or conclusion is not mentioned anywhere.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8BFB94" w15:done="0"/>
  <w15:commentEx w15:paraId="1D833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1CD53" w16cex:dateUtc="2023-06-24T14:45:00Z"/>
  <w16cex:commentExtensible w16cex:durableId="28445E90" w16cex:dateUtc="2023-06-26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8BFB94" w16cid:durableId="2841CD53"/>
  <w16cid:commentId w16cid:paraId="1D833F14" w16cid:durableId="28445E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F3EC7"/>
    <w:multiLevelType w:val="hybridMultilevel"/>
    <w:tmpl w:val="988487C2"/>
    <w:lvl w:ilvl="0" w:tplc="8E2A744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68702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was R [EXT]">
    <w15:presenceInfo w15:providerId="AD" w15:userId="S::convisr@partner.waters.com::e6fa5fdc-1bd6-4f8b-af56-297793ae28ed"/>
  </w15:person>
  <w15:person w15:author="Vishwas R">
    <w15:presenceInfo w15:providerId="AD" w15:userId="S::convisr@partner.waters.com::e6fa5fdc-1bd6-4f8b-af56-297793ae2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F9"/>
    <w:rsid w:val="00064C39"/>
    <w:rsid w:val="001B69DA"/>
    <w:rsid w:val="00212364"/>
    <w:rsid w:val="00272F62"/>
    <w:rsid w:val="00371B87"/>
    <w:rsid w:val="00400DF5"/>
    <w:rsid w:val="00486A0E"/>
    <w:rsid w:val="0054779F"/>
    <w:rsid w:val="006C7DD2"/>
    <w:rsid w:val="0073670E"/>
    <w:rsid w:val="0083064B"/>
    <w:rsid w:val="008A415E"/>
    <w:rsid w:val="00A93CF0"/>
    <w:rsid w:val="00B750F9"/>
    <w:rsid w:val="00BD68C4"/>
    <w:rsid w:val="00C12FFD"/>
    <w:rsid w:val="00C23ECA"/>
    <w:rsid w:val="00CA6DF1"/>
    <w:rsid w:val="00CF759B"/>
    <w:rsid w:val="00D86D80"/>
    <w:rsid w:val="00DA2F55"/>
    <w:rsid w:val="00E32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85E3"/>
  <w15:chartTrackingRefBased/>
  <w15:docId w15:val="{2FCCB820-A73A-415A-B6AF-112CCE7E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4C39"/>
    <w:pPr>
      <w:ind w:left="720"/>
      <w:contextualSpacing/>
    </w:pPr>
  </w:style>
  <w:style w:type="character" w:styleId="CommentReference">
    <w:name w:val="annotation reference"/>
    <w:basedOn w:val="DefaultParagraphFont"/>
    <w:uiPriority w:val="99"/>
    <w:semiHidden/>
    <w:unhideWhenUsed/>
    <w:rsid w:val="00CA6DF1"/>
    <w:rPr>
      <w:sz w:val="16"/>
      <w:szCs w:val="16"/>
    </w:rPr>
  </w:style>
  <w:style w:type="paragraph" w:styleId="CommentText">
    <w:name w:val="annotation text"/>
    <w:basedOn w:val="Normal"/>
    <w:link w:val="CommentTextChar"/>
    <w:uiPriority w:val="99"/>
    <w:unhideWhenUsed/>
    <w:rsid w:val="00CA6DF1"/>
    <w:pPr>
      <w:spacing w:line="240" w:lineRule="auto"/>
    </w:pPr>
    <w:rPr>
      <w:sz w:val="20"/>
      <w:szCs w:val="20"/>
    </w:rPr>
  </w:style>
  <w:style w:type="character" w:customStyle="1" w:styleId="CommentTextChar">
    <w:name w:val="Comment Text Char"/>
    <w:basedOn w:val="DefaultParagraphFont"/>
    <w:link w:val="CommentText"/>
    <w:uiPriority w:val="99"/>
    <w:rsid w:val="00CA6DF1"/>
    <w:rPr>
      <w:sz w:val="20"/>
      <w:szCs w:val="20"/>
    </w:rPr>
  </w:style>
  <w:style w:type="paragraph" w:styleId="CommentSubject">
    <w:name w:val="annotation subject"/>
    <w:basedOn w:val="CommentText"/>
    <w:next w:val="CommentText"/>
    <w:link w:val="CommentSubjectChar"/>
    <w:uiPriority w:val="99"/>
    <w:semiHidden/>
    <w:unhideWhenUsed/>
    <w:rsid w:val="00CA6DF1"/>
    <w:rPr>
      <w:b/>
      <w:bCs/>
    </w:rPr>
  </w:style>
  <w:style w:type="character" w:customStyle="1" w:styleId="CommentSubjectChar">
    <w:name w:val="Comment Subject Char"/>
    <w:basedOn w:val="CommentTextChar"/>
    <w:link w:val="CommentSubject"/>
    <w:uiPriority w:val="99"/>
    <w:semiHidden/>
    <w:rsid w:val="00CA6DF1"/>
    <w:rPr>
      <w:b/>
      <w:bCs/>
      <w:sz w:val="20"/>
      <w:szCs w:val="20"/>
    </w:rPr>
  </w:style>
  <w:style w:type="character" w:customStyle="1" w:styleId="Heading3Char">
    <w:name w:val="Heading 3 Char"/>
    <w:basedOn w:val="DefaultParagraphFont"/>
    <w:link w:val="Heading3"/>
    <w:uiPriority w:val="9"/>
    <w:semiHidden/>
    <w:rsid w:val="00272F6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72F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s-x5hiaf">
    <w:name w:val="css-x5hiaf"/>
    <w:basedOn w:val="DefaultParagraphFont"/>
    <w:rsid w:val="00371B87"/>
  </w:style>
  <w:style w:type="character" w:customStyle="1" w:styleId="css-0">
    <w:name w:val="css-0"/>
    <w:basedOn w:val="DefaultParagraphFont"/>
    <w:rsid w:val="00371B87"/>
  </w:style>
  <w:style w:type="character" w:customStyle="1" w:styleId="css-rh820s">
    <w:name w:val="css-rh820s"/>
    <w:basedOn w:val="DefaultParagraphFont"/>
    <w:rsid w:val="00371B87"/>
  </w:style>
  <w:style w:type="character" w:customStyle="1" w:styleId="css-15iwe0d">
    <w:name w:val="css-15iwe0d"/>
    <w:basedOn w:val="DefaultParagraphFont"/>
    <w:rsid w:val="00371B87"/>
  </w:style>
  <w:style w:type="character" w:customStyle="1" w:styleId="css-1ber87j">
    <w:name w:val="css-1ber87j"/>
    <w:basedOn w:val="DefaultParagraphFont"/>
    <w:rsid w:val="00371B87"/>
  </w:style>
  <w:style w:type="character" w:customStyle="1" w:styleId="css-1eh0vfs">
    <w:name w:val="css-1eh0vfs"/>
    <w:basedOn w:val="DefaultParagraphFont"/>
    <w:rsid w:val="0037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9365">
      <w:bodyDiv w:val="1"/>
      <w:marLeft w:val="0"/>
      <w:marRight w:val="0"/>
      <w:marTop w:val="0"/>
      <w:marBottom w:val="0"/>
      <w:divBdr>
        <w:top w:val="none" w:sz="0" w:space="0" w:color="auto"/>
        <w:left w:val="none" w:sz="0" w:space="0" w:color="auto"/>
        <w:bottom w:val="none" w:sz="0" w:space="0" w:color="auto"/>
        <w:right w:val="none" w:sz="0" w:space="0" w:color="auto"/>
      </w:divBdr>
    </w:div>
    <w:div w:id="15129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D51ED-7C1C-4585-8A57-6BA231EC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R [EXT]</dc:creator>
  <cp:keywords/>
  <dc:description/>
  <cp:lastModifiedBy>Vishwas R</cp:lastModifiedBy>
  <cp:revision>8</cp:revision>
  <dcterms:created xsi:type="dcterms:W3CDTF">2023-06-24T14:07:00Z</dcterms:created>
  <dcterms:modified xsi:type="dcterms:W3CDTF">2023-06-26T13:59:00Z</dcterms:modified>
</cp:coreProperties>
</file>