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035FC" w14:textId="77777777" w:rsidR="00DE0D09" w:rsidRDefault="00000000">
      <w:pPr>
        <w:spacing w:after="40"/>
      </w:pPr>
      <w:r>
        <w:rPr>
          <w:b/>
          <w:color w:val="0F766E"/>
          <w:sz w:val="19"/>
        </w:rPr>
        <w:t>TECHNOLOGY DECISION REPORT</w:t>
      </w:r>
    </w:p>
    <w:p w14:paraId="7343F529" w14:textId="77777777" w:rsidR="00DE0D09" w:rsidRDefault="00000000">
      <w:pPr>
        <w:spacing w:after="80" w:line="240" w:lineRule="auto"/>
      </w:pPr>
      <w:r>
        <w:rPr>
          <w:b/>
          <w:color w:val="163A5F"/>
          <w:sz w:val="48"/>
        </w:rPr>
        <w:t>AI Observability, Evaluation</w:t>
      </w:r>
      <w:r>
        <w:rPr>
          <w:b/>
          <w:color w:val="163A5F"/>
          <w:sz w:val="48"/>
        </w:rPr>
        <w:br/>
        <w:t>and Traceability Platform</w:t>
      </w:r>
    </w:p>
    <w:p w14:paraId="11212653" w14:textId="77777777" w:rsidR="00DE0D09" w:rsidRDefault="00000000">
      <w:pPr>
        <w:spacing w:after="240"/>
      </w:pPr>
      <w:r>
        <w:rPr>
          <w:color w:val="5C6B78"/>
          <w:sz w:val="25"/>
        </w:rPr>
        <w:t>Top-five market assessment and long-term platform recommendation</w:t>
      </w:r>
    </w:p>
    <w:tbl>
      <w:tblPr>
        <w:tblW w:w="936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550"/>
        <w:gridCol w:w="2800"/>
        <w:gridCol w:w="1200"/>
        <w:gridCol w:w="3810"/>
      </w:tblGrid>
      <w:tr w:rsidR="00DE0D09" w14:paraId="357BED7A" w14:textId="77777777"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C7FE84" w14:textId="77777777" w:rsidR="00DE0D09" w:rsidRDefault="00000000">
            <w:pPr>
              <w:spacing w:after="0" w:line="240" w:lineRule="auto"/>
            </w:pPr>
            <w:r>
              <w:rPr>
                <w:b/>
                <w:color w:val="5C6B78"/>
                <w:sz w:val="17"/>
              </w:rPr>
              <w:t>PREPARED FOR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E8EA" w14:textId="77777777" w:rsidR="00DE0D09" w:rsidRDefault="00000000">
            <w:pPr>
              <w:spacing w:after="0" w:line="240" w:lineRule="auto"/>
            </w:pPr>
            <w:r>
              <w:rPr>
                <w:sz w:val="18"/>
              </w:rPr>
              <w:t>Management review</w:t>
            </w: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3467B" w14:textId="77777777" w:rsidR="00DE0D09" w:rsidRDefault="00000000">
            <w:pPr>
              <w:spacing w:after="0" w:line="240" w:lineRule="auto"/>
            </w:pPr>
            <w:r>
              <w:rPr>
                <w:b/>
                <w:color w:val="5C6B78"/>
                <w:sz w:val="17"/>
              </w:rPr>
              <w:t>DECISION</w:t>
            </w:r>
          </w:p>
        </w:tc>
        <w:tc>
          <w:tcPr>
            <w:tcW w:w="3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9EB2" w14:textId="77777777" w:rsidR="00DE0D09" w:rsidRDefault="00000000">
            <w:pPr>
              <w:spacing w:after="0" w:line="240" w:lineRule="auto"/>
            </w:pPr>
            <w:r>
              <w:rPr>
                <w:sz w:val="18"/>
              </w:rPr>
              <w:t>Select one company standard</w:t>
            </w:r>
          </w:p>
        </w:tc>
      </w:tr>
      <w:tr w:rsidR="00DE0D09" w14:paraId="6D30DDFE" w14:textId="77777777">
        <w:tc>
          <w:tcPr>
            <w:tcW w:w="15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240DA" w14:textId="77777777" w:rsidR="00DE0D09" w:rsidRDefault="00000000">
            <w:pPr>
              <w:spacing w:after="0" w:line="240" w:lineRule="auto"/>
            </w:pPr>
            <w:r>
              <w:rPr>
                <w:b/>
                <w:color w:val="5C6B78"/>
                <w:sz w:val="17"/>
              </w:rPr>
              <w:t>PREPARED BY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8EDBBC" w14:textId="746D5EFD" w:rsidR="00DE0D09" w:rsidRDefault="00DE0D09">
            <w:pPr>
              <w:spacing w:after="0" w:line="240" w:lineRule="auto"/>
            </w:pPr>
          </w:p>
        </w:tc>
        <w:tc>
          <w:tcPr>
            <w:tcW w:w="12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0B4E8" w14:textId="77777777" w:rsidR="00DE0D09" w:rsidRDefault="00000000">
            <w:pPr>
              <w:spacing w:after="0" w:line="240" w:lineRule="auto"/>
            </w:pPr>
            <w:r>
              <w:rPr>
                <w:b/>
                <w:color w:val="5C6B78"/>
                <w:sz w:val="17"/>
              </w:rPr>
              <w:t>DATE</w:t>
            </w:r>
          </w:p>
        </w:tc>
        <w:tc>
          <w:tcPr>
            <w:tcW w:w="38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8FA8D" w14:textId="77777777" w:rsidR="00DE0D09" w:rsidRDefault="00000000">
            <w:pPr>
              <w:spacing w:after="0" w:line="240" w:lineRule="auto"/>
            </w:pPr>
            <w:r>
              <w:rPr>
                <w:sz w:val="18"/>
              </w:rPr>
              <w:t>2 August 2026</w:t>
            </w:r>
          </w:p>
        </w:tc>
      </w:tr>
    </w:tbl>
    <w:p w14:paraId="06C15343" w14:textId="77777777" w:rsidR="00DE0D09" w:rsidRDefault="00DE0D09">
      <w:pPr>
        <w:spacing w:after="20"/>
      </w:pPr>
    </w:p>
    <w:p w14:paraId="41A3D9BA" w14:textId="77777777" w:rsidR="00DE0D09" w:rsidRDefault="00000000">
      <w:pPr>
        <w:pBdr>
          <w:left w:val="single" w:sz="18" w:space="8" w:color="0F766E"/>
        </w:pBdr>
        <w:shd w:val="clear" w:color="auto" w:fill="E7F4F2"/>
        <w:spacing w:before="60" w:after="140" w:line="259" w:lineRule="auto"/>
        <w:ind w:left="173" w:right="173"/>
      </w:pPr>
      <w:r>
        <w:rPr>
          <w:b/>
          <w:color w:val="0F766E"/>
        </w:rPr>
        <w:t xml:space="preserve">DECISION  </w:t>
      </w:r>
      <w:r>
        <w:rPr>
          <w:b/>
        </w:rPr>
        <w:t>Standardize on self-hosted Langfuse in the company Azure environment, using OpenTelemetry as the common instrumentation contract.</w:t>
      </w:r>
    </w:p>
    <w:p w14:paraId="45E48ABD" w14:textId="77777777" w:rsidR="00DE0D09" w:rsidRDefault="00000000">
      <w:pPr>
        <w:pStyle w:val="Heading1"/>
        <w:spacing w:before="200"/>
      </w:pPr>
      <w:r>
        <w:t>Executive recommendation</w:t>
      </w:r>
    </w:p>
    <w:p w14:paraId="6BAB4A27" w14:textId="77777777" w:rsidR="00DE0D09" w:rsidRDefault="00000000">
      <w:r>
        <w:rPr>
          <w:b/>
          <w:color w:val="163A5F"/>
        </w:rPr>
        <w:t xml:space="preserve">Langfuse is the strongest single long-term choice for CareTranslate and future AI products. </w:t>
      </w:r>
      <w:r>
        <w:t>It combines tracing, token/cost monitoring, prompt management, datasets, experiments, automated and human evaluation, and production dashboards without tying the company to one model provider or application framework.</w:t>
      </w:r>
    </w:p>
    <w:p w14:paraId="25489DAD" w14:textId="77777777" w:rsidR="00DE0D09" w:rsidRDefault="00000000">
      <w:pPr>
        <w:pStyle w:val="ListBullet"/>
        <w:spacing w:after="80" w:line="259" w:lineRule="auto"/>
      </w:pPr>
      <w:r>
        <w:rPr>
          <w:b/>
          <w:color w:val="163A5F"/>
          <w:sz w:val="20"/>
        </w:rPr>
        <w:t xml:space="preserve">Future-proof interoperability. </w:t>
      </w:r>
      <w:r>
        <w:rPr>
          <w:sz w:val="20"/>
        </w:rPr>
        <w:t>OpenTelemetry support allows direct Azure OpenAI integrations, agents, RAG systems, LangChain/LangGraph and custom services to use one trace model.</w:t>
      </w:r>
    </w:p>
    <w:p w14:paraId="6DD5B1B7" w14:textId="77777777" w:rsidR="00DE0D09" w:rsidRDefault="00000000">
      <w:pPr>
        <w:pStyle w:val="ListBullet"/>
        <w:spacing w:after="80" w:line="259" w:lineRule="auto"/>
      </w:pPr>
      <w:r>
        <w:rPr>
          <w:b/>
          <w:color w:val="163A5F"/>
          <w:sz w:val="20"/>
        </w:rPr>
        <w:t xml:space="preserve">Security-aligned deployment. </w:t>
      </w:r>
      <w:r>
        <w:rPr>
          <w:sz w:val="20"/>
        </w:rPr>
        <w:t>Official Azure Terraform and Kubernetes options allow telemetry to remain inside the company-controlled boundary.</w:t>
      </w:r>
    </w:p>
    <w:p w14:paraId="3A0F9857" w14:textId="77777777" w:rsidR="00DE0D09" w:rsidRDefault="00000000">
      <w:pPr>
        <w:pStyle w:val="ListBullet"/>
        <w:spacing w:after="80" w:line="259" w:lineRule="auto"/>
      </w:pPr>
      <w:r>
        <w:rPr>
          <w:b/>
          <w:color w:val="163A5F"/>
          <w:sz w:val="20"/>
        </w:rPr>
        <w:t xml:space="preserve">One platform from POC to production. </w:t>
      </w:r>
      <w:r>
        <w:rPr>
          <w:sz w:val="20"/>
        </w:rPr>
        <w:t>Start with the MIT-licensed OSS edition; add Enterprise governance only when audit, SCIM, advanced RBAC, retention automation or support SLAs are required.</w:t>
      </w:r>
    </w:p>
    <w:p w14:paraId="035419F3" w14:textId="77777777" w:rsidR="00DE0D09" w:rsidRDefault="00000000">
      <w:pPr>
        <w:pStyle w:val="ListBullet"/>
        <w:spacing w:after="80" w:line="259" w:lineRule="auto"/>
      </w:pPr>
      <w:r>
        <w:rPr>
          <w:b/>
          <w:color w:val="163A5F"/>
          <w:sz w:val="20"/>
        </w:rPr>
        <w:t xml:space="preserve">Evaluation extensibility. </w:t>
      </w:r>
      <w:r>
        <w:rPr>
          <w:sz w:val="20"/>
        </w:rPr>
        <w:t>Ragas, DeepEval and custom business evaluators can publish scores to Langfuse; they do not need to become separate systems of record.</w:t>
      </w:r>
    </w:p>
    <w:p w14:paraId="4C7438AC" w14:textId="77777777" w:rsidR="00DE0D09" w:rsidRDefault="00000000">
      <w:pPr>
        <w:pStyle w:val="Heading1"/>
        <w:spacing w:before="160"/>
      </w:pPr>
      <w:r>
        <w:t>Decision method</w:t>
      </w:r>
    </w:p>
    <w:p w14:paraId="21AEFD93" w14:textId="77777777" w:rsidR="00DE0D09" w:rsidRDefault="00000000">
      <w:pPr>
        <w:spacing w:after="80"/>
      </w:pPr>
      <w:r>
        <w:rPr>
          <w:color w:val="5C6B78"/>
          <w:sz w:val="19"/>
        </w:rPr>
        <w:t>Weighted for company-wide use: security/self-hosting 25%; capability completeness 25%; open interoperability 20%; production maturity/governance 15%; POC cost/effort 10%; portability 5%.</w:t>
      </w:r>
    </w:p>
    <w:p w14:paraId="5142A7C6" w14:textId="77777777" w:rsidR="00DE0D09" w:rsidRDefault="00000000">
      <w:pPr>
        <w:spacing w:after="0"/>
      </w:pPr>
      <w:r>
        <w:rPr>
          <w:b/>
          <w:color w:val="163A5F"/>
          <w:sz w:val="19"/>
        </w:rPr>
        <w:t xml:space="preserve">Shortlist: </w:t>
      </w:r>
      <w:r>
        <w:rPr>
          <w:sz w:val="19"/>
        </w:rPr>
        <w:t>Langfuse, Arize Phoenix, Comet Opik, LangSmith and Braintrust. Ragas was assessed as an evaluator library rather than a complete observability platform.</w:t>
      </w:r>
    </w:p>
    <w:p w14:paraId="052B39B0" w14:textId="77777777" w:rsidR="00DE0D09" w:rsidRDefault="00DE0D09">
      <w:pPr>
        <w:sectPr w:rsidR="00DE0D09">
          <w:headerReference w:type="default" r:id="rId8"/>
          <w:footerReference w:type="default" r:id="rId9"/>
          <w:pgSz w:w="12240" w:h="15840"/>
          <w:pgMar w:top="893" w:right="936" w:bottom="864" w:left="936" w:header="432" w:footer="432" w:gutter="0"/>
          <w:cols w:space="720"/>
          <w:docGrid w:linePitch="360"/>
        </w:sectPr>
      </w:pPr>
    </w:p>
    <w:p w14:paraId="6650D7D9" w14:textId="77777777" w:rsidR="00DE0D09" w:rsidRDefault="00000000">
      <w:pPr>
        <w:spacing w:after="40"/>
      </w:pPr>
      <w:r>
        <w:rPr>
          <w:b/>
          <w:color w:val="0F766E"/>
          <w:sz w:val="18"/>
        </w:rPr>
        <w:lastRenderedPageBreak/>
        <w:t>TOP-FIVE MARKET COMPARISON</w:t>
      </w:r>
    </w:p>
    <w:p w14:paraId="4675818A" w14:textId="77777777" w:rsidR="00DE0D09" w:rsidRDefault="00000000">
      <w:pPr>
        <w:spacing w:after="80"/>
      </w:pPr>
      <w:r>
        <w:rPr>
          <w:b/>
          <w:color w:val="163A5F"/>
          <w:sz w:val="34"/>
        </w:rPr>
        <w:t>Subscriptions, traffic capacity and data-boundary comparison</w:t>
      </w:r>
    </w:p>
    <w:p w14:paraId="24F75F94" w14:textId="77777777" w:rsidR="00DE0D09" w:rsidRDefault="00000000">
      <w:r>
        <w:rPr>
          <w:color w:val="5C6B78"/>
          <w:sz w:val="16"/>
        </w:rPr>
        <w:t>Prices are indicative and exclude infrastructure and model calls. UI-user estimates are planning targets, not vendor guarantees; application scale is driven by trace/span ingestion, payload size, retention and query load. 'External exposure' means data crosses the company boundary - it does not mean the vendor publishes or trains on it.</w:t>
      </w:r>
    </w:p>
    <w:tbl>
      <w:tblPr>
        <w:tblW w:w="1400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300"/>
        <w:gridCol w:w="2100"/>
        <w:gridCol w:w="1900"/>
        <w:gridCol w:w="1750"/>
        <w:gridCol w:w="2050"/>
        <w:gridCol w:w="1700"/>
        <w:gridCol w:w="2500"/>
        <w:gridCol w:w="700"/>
      </w:tblGrid>
      <w:tr w:rsidR="00DE0D09" w14:paraId="12189883" w14:textId="77777777">
        <w:trPr>
          <w:tblHeader/>
        </w:trPr>
        <w:tc>
          <w:tcPr>
            <w:tcW w:w="13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A7F71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Platform</w:t>
            </w:r>
          </w:p>
        </w:tc>
        <w:tc>
          <w:tcPr>
            <w:tcW w:w="21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7E140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Subscription &amp; Enterprise</w:t>
            </w:r>
          </w:p>
        </w:tc>
        <w:tc>
          <w:tcPr>
            <w:tcW w:w="19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92DDD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Coverage</w:t>
            </w:r>
          </w:p>
        </w:tc>
        <w:tc>
          <w:tcPr>
            <w:tcW w:w="175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15A6A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Self-host requirement</w:t>
            </w:r>
          </w:p>
        </w:tc>
        <w:tc>
          <w:tcPr>
            <w:tcW w:w="205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67A43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People &amp; traffic</w:t>
            </w:r>
          </w:p>
        </w:tc>
        <w:tc>
          <w:tcPr>
            <w:tcW w:w="1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D2998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Best use / limits</w:t>
            </w:r>
          </w:p>
        </w:tc>
        <w:tc>
          <w:tcPr>
            <w:tcW w:w="25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816A1B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Data boundary / external-exposure risk</w:t>
            </w:r>
          </w:p>
        </w:tc>
        <w:tc>
          <w:tcPr>
            <w:tcW w:w="70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D08F5C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Fit</w:t>
            </w:r>
          </w:p>
        </w:tc>
      </w:tr>
      <w:tr w:rsidR="00DE0D09" w14:paraId="409F0276" w14:textId="77777777">
        <w:tc>
          <w:tcPr>
            <w:tcW w:w="1300" w:type="dxa"/>
            <w:shd w:val="clear" w:color="auto" w:fill="E7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F9622" w14:textId="77777777" w:rsidR="00DE0D09" w:rsidRDefault="00000000">
            <w:pPr>
              <w:spacing w:after="40" w:line="240" w:lineRule="auto"/>
            </w:pPr>
            <w:r>
              <w:rPr>
                <w:b/>
                <w:color w:val="0F766E"/>
                <w:sz w:val="14"/>
              </w:rPr>
              <w:t>1  Langfuse</w:t>
            </w:r>
          </w:p>
          <w:p w14:paraId="094F6734" w14:textId="77777777" w:rsidR="00DE0D09" w:rsidRDefault="00000000">
            <w:pPr>
              <w:spacing w:after="0" w:line="240" w:lineRule="auto"/>
            </w:pPr>
            <w:r>
              <w:rPr>
                <w:color w:val="0F766E"/>
                <w:sz w:val="14"/>
              </w:rPr>
              <w:t>RECOMMENDED</w:t>
            </w:r>
          </w:p>
        </w:tc>
        <w:tc>
          <w:tcPr>
            <w:tcW w:w="2100" w:type="dxa"/>
            <w:shd w:val="clear" w:color="auto" w:fill="E7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6E8FE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OSS self-host: $0 licence</w:t>
            </w:r>
          </w:p>
          <w:p w14:paraId="43952D78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Cloud Core: $29/month; Pro: $199/month</w:t>
            </w:r>
          </w:p>
          <w:p w14:paraId="4CFE1C3A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Cloud Enterprise: $2,499/month</w:t>
            </w:r>
          </w:p>
          <w:p w14:paraId="4B8DA96C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Self-host Enterprise: custom quote; SSO, RBAC, SCIM, audit, retention and SLA</w:t>
            </w:r>
          </w:p>
        </w:tc>
        <w:tc>
          <w:tcPr>
            <w:tcW w:w="1900" w:type="dxa"/>
            <w:shd w:val="clear" w:color="auto" w:fill="E7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7199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Tracing, sessions, token/cost, prompts, datasets, experiments, online/offline evals, human review, dashboards, OTEL</w:t>
            </w:r>
          </w:p>
        </w:tc>
        <w:tc>
          <w:tcPr>
            <w:tcW w:w="1750" w:type="dxa"/>
            <w:shd w:val="clear" w:color="auto" w:fill="E7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BA7F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Official minima total about 9 vCPU / 21.5 GiB before optional MinIO/HA</w:t>
            </w:r>
          </w:p>
          <w:p w14:paraId="633A71A7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Postgres + ClickHouse + Redis/Valkey + blob</w:t>
            </w:r>
          </w:p>
        </w:tc>
        <w:tc>
          <w:tcPr>
            <w:tcW w:w="2050" w:type="dxa"/>
            <w:shd w:val="clear" w:color="auto" w:fill="E7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6F380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Self-host users/projects: unlimited</w:t>
            </w:r>
          </w:p>
          <w:p w14:paraId="75585B8D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Planning target: 25-100 named UI users; 10-25 concurrent reviewers</w:t>
            </w:r>
          </w:p>
          <w:p w14:paraId="59BD1932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Application users are not licensed; validate about 1M units/day before production</w:t>
            </w:r>
          </w:p>
        </w:tc>
        <w:tc>
          <w:tcPr>
            <w:tcW w:w="1700" w:type="dxa"/>
            <w:shd w:val="clear" w:color="auto" w:fill="E7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7C7F6F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Best overall balance; Azure Terraform; framework-neutral</w:t>
            </w:r>
          </w:p>
          <w:p w14:paraId="3131B139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Limit: multi-service operations; advanced governance is paid</w:t>
            </w:r>
          </w:p>
        </w:tc>
        <w:tc>
          <w:tcPr>
            <w:tcW w:w="2500" w:type="dxa"/>
            <w:shd w:val="clear" w:color="auto" w:fill="E7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68A0C3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Cloud: trace content leaves company boundary for Langfuse-managed storage</w:t>
            </w:r>
          </w:p>
          <w:p w14:paraId="7AEC367F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Self-host: raw traces stay local; aggregated counts and up to 30 email domains are sent as telemetry. OSS can disable; Enterprise telemetry is required</w:t>
            </w:r>
          </w:p>
          <w:p w14:paraId="52F3A849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Risk: LOW self-host only with client-side redaction and private networking</w:t>
            </w:r>
          </w:p>
        </w:tc>
        <w:tc>
          <w:tcPr>
            <w:tcW w:w="700" w:type="dxa"/>
            <w:shd w:val="clear" w:color="auto" w:fill="E7F4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E5FD" w14:textId="77777777" w:rsidR="00DE0D09" w:rsidRDefault="00000000">
            <w:pPr>
              <w:spacing w:after="40" w:line="240" w:lineRule="auto"/>
              <w:jc w:val="center"/>
            </w:pPr>
            <w:r>
              <w:rPr>
                <w:b/>
                <w:color w:val="0F766E"/>
                <w:sz w:val="20"/>
              </w:rPr>
              <w:t>9.3</w:t>
            </w:r>
          </w:p>
          <w:p w14:paraId="5A030336" w14:textId="77777777" w:rsidR="00DE0D09" w:rsidRDefault="00000000">
            <w:pPr>
              <w:spacing w:after="0" w:line="240" w:lineRule="auto"/>
              <w:jc w:val="center"/>
            </w:pPr>
            <w:r>
              <w:rPr>
                <w:color w:val="0F766E"/>
                <w:sz w:val="20"/>
              </w:rPr>
              <w:t>/10</w:t>
            </w:r>
          </w:p>
        </w:tc>
      </w:tr>
      <w:tr w:rsidR="00DE0D09" w14:paraId="52074577" w14:textId="77777777"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2E4C86" w14:textId="77777777" w:rsidR="00DE0D09" w:rsidRDefault="00000000">
            <w:pPr>
              <w:spacing w:after="40" w:line="240" w:lineRule="auto"/>
            </w:pPr>
            <w:r>
              <w:rPr>
                <w:b/>
                <w:color w:val="163A5F"/>
                <w:sz w:val="14"/>
              </w:rPr>
              <w:t>2  Arize Phoenix</w:t>
            </w:r>
          </w:p>
          <w:p w14:paraId="1E3A7A7D" w14:textId="77777777" w:rsidR="00DE0D09" w:rsidRDefault="00000000">
            <w:pPr>
              <w:spacing w:after="0" w:line="240" w:lineRule="auto"/>
            </w:pPr>
            <w:r>
              <w:rPr>
                <w:color w:val="163A5F"/>
                <w:sz w:val="14"/>
              </w:rPr>
              <w:t>PRIVACY ALTERNATIVE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79BDAA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Phoenix OSS: $0; no feature or usage limit</w:t>
            </w:r>
          </w:p>
          <w:p w14:paraId="0D6DFBB3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AX Free: 25k spans/month</w:t>
            </w:r>
          </w:p>
          <w:p w14:paraId="4F5DCCCE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AX Pro: about $50/month</w:t>
            </w:r>
          </w:p>
          <w:p w14:paraId="5C86DF50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AX Enterprise: custom; hosted or self-hosted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1F028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OTEL/OpenInference tracing, RAG and embedding analysis, datasets, experiments, prompts and evaluators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6FE2E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Docker + SQLite for POC; Postgres for production</w:t>
            </w:r>
          </w:p>
          <w:p w14:paraId="35E207C6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No fixed vendor minimum; estimate 4-8 vCPU / 8-16 GB plus DB</w:t>
            </w:r>
          </w:p>
        </w:tc>
        <w:tc>
          <w:tcPr>
            <w:tcW w:w="2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10156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No vendor-published people limit; OSS is infrastructure-defined</w:t>
            </w:r>
          </w:p>
          <w:p w14:paraId="2DAD01E1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Planning target: 25-100 named; 10-25 concurrent</w:t>
            </w:r>
          </w:p>
          <w:p w14:paraId="612DF312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Validate 1M spans/day and required retention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D2EDAE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Best fully open, low-friction private deployment</w:t>
            </w:r>
          </w:p>
          <w:p w14:paraId="48F4F484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Limit: lighter enterprise governance/alerting in OSS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550A7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Cloud/AX: captured data is vendor processed</w:t>
            </w:r>
          </w:p>
          <w:p w14:paraId="7C041BAA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Self-host Phoenix: official zero-egress position; traces/prompts stay in infrastructure and can be air-gapped</w:t>
            </w:r>
          </w:p>
          <w:p w14:paraId="44A6327B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Risk: LOWEST self-host; normal infrastructure breach risk remains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B7DEA" w14:textId="77777777" w:rsidR="00DE0D09" w:rsidRDefault="00000000">
            <w:pPr>
              <w:spacing w:after="40" w:line="240" w:lineRule="auto"/>
              <w:jc w:val="center"/>
            </w:pPr>
            <w:r>
              <w:rPr>
                <w:b/>
                <w:color w:val="163A5F"/>
                <w:sz w:val="18"/>
              </w:rPr>
              <w:t>8.8</w:t>
            </w:r>
          </w:p>
          <w:p w14:paraId="034A3CB3" w14:textId="77777777" w:rsidR="00DE0D09" w:rsidRDefault="00000000">
            <w:pPr>
              <w:spacing w:after="0" w:line="240" w:lineRule="auto"/>
              <w:jc w:val="center"/>
            </w:pPr>
            <w:r>
              <w:rPr>
                <w:color w:val="163A5F"/>
                <w:sz w:val="18"/>
              </w:rPr>
              <w:t>/10</w:t>
            </w:r>
          </w:p>
        </w:tc>
      </w:tr>
      <w:tr w:rsidR="00DE0D09" w14:paraId="532A83E4" w14:textId="77777777"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0C709" w14:textId="77777777" w:rsidR="00DE0D09" w:rsidRDefault="00000000">
            <w:pPr>
              <w:spacing w:after="40" w:line="240" w:lineRule="auto"/>
            </w:pPr>
            <w:r>
              <w:rPr>
                <w:b/>
                <w:color w:val="163A5F"/>
                <w:sz w:val="14"/>
              </w:rPr>
              <w:t>3  Comet Opik</w:t>
            </w:r>
          </w:p>
          <w:p w14:paraId="44E0AF30" w14:textId="77777777" w:rsidR="00DE0D09" w:rsidRDefault="00000000">
            <w:pPr>
              <w:spacing w:after="0" w:line="240" w:lineRule="auto"/>
            </w:pPr>
            <w:r>
              <w:rPr>
                <w:color w:val="163A5F"/>
                <w:sz w:val="14"/>
              </w:rPr>
              <w:t>EVALUATION ALTERNATIVE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D9548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OSS: $0; unlimited spans/retention</w:t>
            </w:r>
          </w:p>
          <w:p w14:paraId="7044EAFB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Cloud Free: 10 users, 25k spans/month</w:t>
            </w:r>
          </w:p>
          <w:p w14:paraId="1EF79AE4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Pro: $19/month, 50 users, 100k spans</w:t>
            </w:r>
          </w:p>
          <w:p w14:paraId="1BFDF279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Enterprise: custom; unlimited members and custom usage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BD708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Agent traces, token/cost, test suites, automated evals, judge models, experiments, prompt optimizer and annotations</w:t>
            </w:r>
          </w:p>
        </w:tc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54E43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Docker Compose for POC; Helm for production</w:t>
            </w:r>
          </w:p>
          <w:p w14:paraId="651819A8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No fixed vendor minimum; estimate 8+ vCPU / 16-32 GB for production stack</w:t>
            </w:r>
          </w:p>
        </w:tc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9D4082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Cloud limits are explicit; Enterprise members/spans are unlimited/custom</w:t>
            </w:r>
          </w:p>
          <w:p w14:paraId="73C0AC71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OSS traffic is infrastructure-defined</w:t>
            </w:r>
          </w:p>
          <w:p w14:paraId="41A45680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Planning target: 25-100 UI users after adding enterprise identity controls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973242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Excellent test suites and prompt optimization at low entry cost</w:t>
            </w:r>
          </w:p>
          <w:p w14:paraId="3B6FEBF0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Limit: OSS self-host has no user-management features; younger ecosystem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BB277C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Cloud: trace data is sent to Comet-hosted Opik</w:t>
            </w:r>
          </w:p>
          <w:p w14:paraId="59E69CF5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Self-host: SDK endpoint points to the company instance, but validate/disable outbound product telemetry</w:t>
            </w:r>
          </w:p>
          <w:p w14:paraId="7F2045D5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Risk: LOW only with private deployment; OSS identity gap raises access risk</w:t>
            </w:r>
          </w:p>
        </w:tc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3ECA0" w14:textId="77777777" w:rsidR="00DE0D09" w:rsidRDefault="00000000">
            <w:pPr>
              <w:spacing w:after="40" w:line="240" w:lineRule="auto"/>
              <w:jc w:val="center"/>
            </w:pPr>
            <w:r>
              <w:rPr>
                <w:b/>
                <w:color w:val="163A5F"/>
                <w:sz w:val="18"/>
              </w:rPr>
              <w:t>8.6</w:t>
            </w:r>
          </w:p>
          <w:p w14:paraId="41396D7F" w14:textId="77777777" w:rsidR="00DE0D09" w:rsidRDefault="00000000">
            <w:pPr>
              <w:spacing w:after="0" w:line="240" w:lineRule="auto"/>
              <w:jc w:val="center"/>
            </w:pPr>
            <w:r>
              <w:rPr>
                <w:color w:val="163A5F"/>
                <w:sz w:val="18"/>
              </w:rPr>
              <w:t>/10</w:t>
            </w:r>
          </w:p>
        </w:tc>
      </w:tr>
      <w:tr w:rsidR="00DE0D09" w14:paraId="2B7C2D52" w14:textId="77777777">
        <w:tc>
          <w:tcPr>
            <w:tcW w:w="13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2AB1B" w14:textId="77777777" w:rsidR="00DE0D09" w:rsidRDefault="00000000">
            <w:pPr>
              <w:spacing w:after="40" w:line="240" w:lineRule="auto"/>
            </w:pPr>
            <w:r>
              <w:rPr>
                <w:b/>
                <w:color w:val="163A5F"/>
                <w:sz w:val="14"/>
              </w:rPr>
              <w:t>4  LangSmith</w:t>
            </w:r>
          </w:p>
          <w:p w14:paraId="643AE626" w14:textId="77777777" w:rsidR="00DE0D09" w:rsidRDefault="00000000">
            <w:pPr>
              <w:spacing w:after="0" w:line="240" w:lineRule="auto"/>
            </w:pPr>
            <w:r>
              <w:rPr>
                <w:color w:val="163A5F"/>
                <w:sz w:val="14"/>
              </w:rPr>
              <w:t>LANGCHAIN SPECIALIST</w:t>
            </w:r>
          </w:p>
        </w:tc>
        <w:tc>
          <w:tcPr>
            <w:tcW w:w="21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C3A9D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Developer: free, about 5k traces/month</w:t>
            </w:r>
          </w:p>
          <w:p w14:paraId="7E8167B5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Plus: $39/user/month + usage</w:t>
            </w:r>
          </w:p>
          <w:p w14:paraId="45748051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Enterprise + self-host add-on: custom contract</w:t>
            </w:r>
          </w:p>
        </w:tc>
        <w:tc>
          <w:tcPr>
            <w:tcW w:w="1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B7D1E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High-quality traces, datasets, online/offline evals, annotation, prompts and LangGraph debugging</w:t>
            </w:r>
          </w:p>
        </w:tc>
        <w:tc>
          <w:tcPr>
            <w:tcW w:w="17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BABA2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Enterprise-only self-host</w:t>
            </w:r>
          </w:p>
          <w:p w14:paraId="5BE4477B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Kubernetes + Postgres + Redis + ClickHouse</w:t>
            </w:r>
          </w:p>
          <w:p w14:paraId="5F972D85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Official cluster guidance: at least 16 vCPU / 64 GB</w:t>
            </w:r>
          </w:p>
        </w:tc>
        <w:tc>
          <w:tcPr>
            <w:tcW w:w="20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BA407A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Commercial UI seats plus trace usage</w:t>
            </w:r>
          </w:p>
          <w:p w14:paraId="15485726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No public hard concurrency limit</w:t>
            </w:r>
          </w:p>
          <w:p w14:paraId="13440395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Planning target: 25-100 named; 10-25 concurrent on recommended baseline, then load-test</w:t>
            </w:r>
          </w:p>
        </w:tc>
        <w:tc>
          <w:tcPr>
            <w:tcW w:w="1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4A1624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Best when LangChain/LangGraph is the company standard</w:t>
            </w:r>
          </w:p>
          <w:p w14:paraId="3C402098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Limit: proprietary, heavier and higher lock-in</w:t>
            </w:r>
          </w:p>
        </w:tc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F45EF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Cloud: captured traces are vendor processed</w:t>
            </w:r>
          </w:p>
          <w:p w14:paraId="479A85B7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Self-host: sensitive data stays local; required Beacon egress sends licence, aggregate trace/seat counts and identifiers unless an offline licence is purchased</w:t>
            </w:r>
          </w:p>
          <w:p w14:paraId="0E08978D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Risk: LOW self-host/offline</w:t>
            </w:r>
          </w:p>
        </w:tc>
        <w:tc>
          <w:tcPr>
            <w:tcW w:w="7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AAD13" w14:textId="77777777" w:rsidR="00DE0D09" w:rsidRDefault="00000000">
            <w:pPr>
              <w:spacing w:after="40" w:line="240" w:lineRule="auto"/>
              <w:jc w:val="center"/>
            </w:pPr>
            <w:r>
              <w:rPr>
                <w:b/>
                <w:color w:val="163A5F"/>
                <w:sz w:val="18"/>
              </w:rPr>
              <w:t>8.3</w:t>
            </w:r>
          </w:p>
          <w:p w14:paraId="00BE9C3B" w14:textId="77777777" w:rsidR="00DE0D09" w:rsidRDefault="00000000">
            <w:pPr>
              <w:spacing w:after="0" w:line="240" w:lineRule="auto"/>
              <w:jc w:val="center"/>
            </w:pPr>
            <w:r>
              <w:rPr>
                <w:color w:val="163A5F"/>
                <w:sz w:val="18"/>
              </w:rPr>
              <w:t>/10</w:t>
            </w:r>
          </w:p>
        </w:tc>
      </w:tr>
      <w:tr w:rsidR="00DE0D09" w14:paraId="6159E6D7" w14:textId="77777777">
        <w:tc>
          <w:tcPr>
            <w:tcW w:w="13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36ADF" w14:textId="77777777" w:rsidR="00DE0D09" w:rsidRDefault="00000000">
            <w:pPr>
              <w:spacing w:after="40" w:line="240" w:lineRule="auto"/>
            </w:pPr>
            <w:r>
              <w:rPr>
                <w:b/>
                <w:color w:val="163A5F"/>
                <w:sz w:val="14"/>
              </w:rPr>
              <w:t>5  Braintrust</w:t>
            </w:r>
          </w:p>
          <w:p w14:paraId="1087C851" w14:textId="77777777" w:rsidR="00DE0D09" w:rsidRDefault="00000000">
            <w:pPr>
              <w:spacing w:after="0" w:line="240" w:lineRule="auto"/>
            </w:pPr>
            <w:r>
              <w:rPr>
                <w:color w:val="163A5F"/>
                <w:sz w:val="14"/>
              </w:rPr>
              <w:t>EVAL-FIRST ENTERPRISE</w:t>
            </w:r>
          </w:p>
        </w:tc>
        <w:tc>
          <w:tcPr>
            <w:tcW w:w="21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1C7862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Starter: free with allowances</w:t>
            </w:r>
          </w:p>
          <w:p w14:paraId="134320D8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Pro: about $249/month + usage</w:t>
            </w:r>
          </w:p>
          <w:p w14:paraId="114FBEC3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Enterprise/customer data plane: custom contract</w:t>
            </w:r>
          </w:p>
        </w:tc>
        <w:tc>
          <w:tcPr>
            <w:tcW w:w="19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5EC79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Datasets, experiments, scoring, release gates, prompt playground, tracing, human review and regression testing</w:t>
            </w:r>
          </w:p>
        </w:tc>
        <w:tc>
          <w:tcPr>
            <w:tcW w:w="17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DA92F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Customer-hosted data plane; vendor-managed control plane</w:t>
            </w:r>
          </w:p>
          <w:p w14:paraId="26305800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Production readers around 16 vCPU/32 GB; writer around 32 vCPU/64 GB</w:t>
            </w:r>
          </w:p>
        </w:tc>
        <w:tc>
          <w:tcPr>
            <w:tcW w:w="20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CCF5E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No public hard people limit; contract and infrastructure-defined</w:t>
            </w:r>
          </w:p>
          <w:p w14:paraId="2B9C1B0C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Multiple API replicas/readers support enterprise traffic</w:t>
            </w:r>
          </w:p>
          <w:p w14:paraId="1EC6634B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Size by spans, processed GB, scores and query concurrency</w:t>
            </w:r>
          </w:p>
        </w:tc>
        <w:tc>
          <w:tcPr>
            <w:tcW w:w="1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DBF61C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Best formal evaluation and release-gating workflow</w:t>
            </w:r>
          </w:p>
          <w:p w14:paraId="007D5D0D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Limit: costly, heavy, and not completely standalone</w:t>
            </w:r>
          </w:p>
        </w:tc>
        <w:tc>
          <w:tcPr>
            <w:tcW w:w="25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77D22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Cloud: sensitive AI data is vendor hosted</w:t>
            </w:r>
          </w:p>
          <w:p w14:paraId="71387125" w14:textId="77777777" w:rsidR="00DE0D09" w:rsidRDefault="00000000">
            <w:pPr>
              <w:spacing w:after="40" w:line="240" w:lineRule="auto"/>
            </w:pPr>
            <w:r>
              <w:rPr>
                <w:sz w:val="13"/>
              </w:rPr>
              <w:t>Customer data plane: traces/prompts stay in company cloud; Braintrust control plane stores names, org/auth metadata and receives configurable status/usage telemetry</w:t>
            </w:r>
          </w:p>
          <w:p w14:paraId="1D597E0C" w14:textId="77777777" w:rsidR="00DE0D09" w:rsidRDefault="00000000">
            <w:pPr>
              <w:spacing w:after="0" w:line="240" w:lineRule="auto"/>
            </w:pPr>
            <w:r>
              <w:rPr>
                <w:sz w:val="13"/>
              </w:rPr>
              <w:t>Risk: LOW-MEDIUM hybrid</w:t>
            </w:r>
          </w:p>
        </w:tc>
        <w:tc>
          <w:tcPr>
            <w:tcW w:w="70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55187" w14:textId="77777777" w:rsidR="00DE0D09" w:rsidRDefault="00000000">
            <w:pPr>
              <w:spacing w:after="40" w:line="240" w:lineRule="auto"/>
              <w:jc w:val="center"/>
            </w:pPr>
            <w:r>
              <w:rPr>
                <w:b/>
                <w:color w:val="163A5F"/>
                <w:sz w:val="18"/>
              </w:rPr>
              <w:t>8.0</w:t>
            </w:r>
          </w:p>
          <w:p w14:paraId="3755603D" w14:textId="77777777" w:rsidR="00DE0D09" w:rsidRDefault="00000000">
            <w:pPr>
              <w:spacing w:after="0" w:line="240" w:lineRule="auto"/>
              <w:jc w:val="center"/>
            </w:pPr>
            <w:r>
              <w:rPr>
                <w:color w:val="163A5F"/>
                <w:sz w:val="18"/>
              </w:rPr>
              <w:t>/10</w:t>
            </w:r>
          </w:p>
        </w:tc>
      </w:tr>
    </w:tbl>
    <w:p w14:paraId="50F9A869" w14:textId="77777777" w:rsidR="00DE0D09" w:rsidRDefault="00000000">
      <w:pPr>
        <w:spacing w:before="80" w:after="0"/>
      </w:pPr>
      <w:r>
        <w:rPr>
          <w:b/>
          <w:color w:val="163A5F"/>
          <w:sz w:val="17"/>
        </w:rPr>
        <w:t xml:space="preserve">Interpretation: </w:t>
      </w:r>
      <w:r>
        <w:rPr>
          <w:color w:val="5C6B78"/>
          <w:sz w:val="17"/>
        </w:rPr>
        <w:t>Phoenix is the strongest fully open privacy alternative; Opik is compelling for testing and prompt optimization; LangSmith is preferable only when LangChain/LangGraph is the strategic standard; Braintrust is strongest for formal evaluation release gates but is operationally heavy.</w:t>
      </w:r>
    </w:p>
    <w:p w14:paraId="14BEA9FA" w14:textId="77777777" w:rsidR="00DE0D09" w:rsidRDefault="00DE0D09">
      <w:pPr>
        <w:sectPr w:rsidR="00DE0D09">
          <w:headerReference w:type="default" r:id="rId10"/>
          <w:footerReference w:type="default" r:id="rId11"/>
          <w:pgSz w:w="15840" w:h="12240" w:orient="landscape"/>
          <w:pgMar w:top="720" w:right="792" w:bottom="749" w:left="792" w:header="432" w:footer="432" w:gutter="0"/>
          <w:cols w:space="720"/>
          <w:docGrid w:linePitch="360"/>
        </w:sectPr>
      </w:pPr>
    </w:p>
    <w:p w14:paraId="718B8986" w14:textId="77777777" w:rsidR="00DE0D09" w:rsidRDefault="00000000">
      <w:pPr>
        <w:spacing w:after="40"/>
      </w:pPr>
      <w:r>
        <w:rPr>
          <w:b/>
          <w:color w:val="0F766E"/>
          <w:sz w:val="18"/>
        </w:rPr>
        <w:lastRenderedPageBreak/>
        <w:t>RECOMMENDED TARGET STATE</w:t>
      </w:r>
    </w:p>
    <w:p w14:paraId="1127D23E" w14:textId="77777777" w:rsidR="00DE0D09" w:rsidRDefault="00000000">
      <w:pPr>
        <w:spacing w:after="100"/>
      </w:pPr>
      <w:r>
        <w:rPr>
          <w:b/>
          <w:color w:val="163A5F"/>
          <w:sz w:val="36"/>
        </w:rPr>
        <w:t>Azure hosting, capacity and cost plan</w:t>
      </w:r>
    </w:p>
    <w:p w14:paraId="3FB9520A" w14:textId="77777777" w:rsidR="00DE0D09" w:rsidRDefault="00000000">
      <w:r>
        <w:rPr>
          <w:sz w:val="19"/>
        </w:rPr>
        <w:t>Recommended architecture: one governed Langfuse platform, separated into projects/environments and integrated through OpenTelemetry. Highly sensitive workloads may use isolated deployments while retaining the same platform standard.</w:t>
      </w:r>
    </w:p>
    <w:tbl>
      <w:tblPr>
        <w:tblW w:w="9360" w:type="dxa"/>
        <w:tblInd w:w="120" w:type="dxa"/>
        <w:tblBorders>
          <w:top w:val="single" w:sz="4" w:space="0" w:color="D7DEE8"/>
          <w:left w:val="single" w:sz="4" w:space="0" w:color="D7DEE8"/>
          <w:bottom w:val="single" w:sz="4" w:space="0" w:color="D7DEE8"/>
          <w:right w:val="single" w:sz="4" w:space="0" w:color="D7DEE8"/>
          <w:insideH w:val="single" w:sz="4" w:space="0" w:color="D7DEE8"/>
          <w:insideV w:val="single" w:sz="4" w:space="0" w:color="D7DEE8"/>
        </w:tblBorders>
        <w:tblLayout w:type="fixed"/>
        <w:tblLook w:val="04A0" w:firstRow="1" w:lastRow="0" w:firstColumn="1" w:lastColumn="0" w:noHBand="0" w:noVBand="1"/>
      </w:tblPr>
      <w:tblGrid>
        <w:gridCol w:w="1450"/>
        <w:gridCol w:w="3350"/>
        <w:gridCol w:w="2650"/>
        <w:gridCol w:w="1910"/>
      </w:tblGrid>
      <w:tr w:rsidR="00DE0D09" w14:paraId="424AA278" w14:textId="77777777">
        <w:trPr>
          <w:tblHeader/>
        </w:trPr>
        <w:tc>
          <w:tcPr>
            <w:tcW w:w="145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2858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w="335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51823A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Recommended topology</w:t>
            </w:r>
          </w:p>
        </w:tc>
        <w:tc>
          <w:tcPr>
            <w:tcW w:w="265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D9EC5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People and telemetry traffic</w:t>
            </w:r>
          </w:p>
        </w:tc>
        <w:tc>
          <w:tcPr>
            <w:tcW w:w="1910" w:type="dxa"/>
            <w:shd w:val="clear" w:color="auto" w:fill="163A5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C0D225" w14:textId="77777777" w:rsidR="00DE0D09" w:rsidRDefault="00000000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6"/>
              </w:rPr>
              <w:t>Subscription and budget</w:t>
            </w:r>
          </w:p>
        </w:tc>
      </w:tr>
      <w:tr w:rsidR="00DE0D09" w14:paraId="23DA69A9" w14:textId="77777777">
        <w:tc>
          <w:tcPr>
            <w:tcW w:w="14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7A4F1" w14:textId="77777777" w:rsidR="00DE0D09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POC / evaluation</w:t>
            </w:r>
          </w:p>
        </w:tc>
        <w:tc>
          <w:tcPr>
            <w:tcW w:w="33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F991B" w14:textId="77777777" w:rsidR="00DE0D09" w:rsidRDefault="00000000">
            <w:pPr>
              <w:spacing w:after="0" w:line="240" w:lineRule="auto"/>
            </w:pPr>
            <w:r>
              <w:rPr>
                <w:sz w:val="15"/>
              </w:rPr>
              <w:t>Single isolated Azure VM; Docker Compose; synthetic/de-identified data; 30-day retention</w:t>
            </w:r>
          </w:p>
        </w:tc>
        <w:tc>
          <w:tcPr>
            <w:tcW w:w="265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15556" w14:textId="77777777" w:rsidR="00DE0D09" w:rsidRDefault="00000000">
            <w:pPr>
              <w:spacing w:after="0" w:line="240" w:lineRule="auto"/>
            </w:pPr>
            <w:r>
              <w:rPr>
                <w:sz w:val="15"/>
              </w:rPr>
              <w:t>10-20 named UI users; 3-5 concurrent; engineering target up to 100k Langfuse units/day; application users are not individually licensed</w:t>
            </w:r>
          </w:p>
        </w:tc>
        <w:tc>
          <w:tcPr>
            <w:tcW w:w="191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638462" w14:textId="77777777" w:rsidR="00DE0D09" w:rsidRDefault="00000000">
            <w:pPr>
              <w:spacing w:after="0" w:line="240" w:lineRule="auto"/>
            </w:pPr>
            <w:r>
              <w:rPr>
                <w:sz w:val="15"/>
              </w:rPr>
              <w:t>Langfuse OSS: $0 licence. Estimated Azure infrastructure: $250-$700/month</w:t>
            </w:r>
          </w:p>
        </w:tc>
      </w:tr>
      <w:tr w:rsidR="00DE0D09" w14:paraId="4D1A1351" w14:textId="77777777">
        <w:tc>
          <w:tcPr>
            <w:tcW w:w="14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44BDE" w14:textId="77777777" w:rsidR="00DE0D09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Initial production</w:t>
            </w:r>
          </w:p>
        </w:tc>
        <w:tc>
          <w:tcPr>
            <w:tcW w:w="33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4476" w14:textId="77777777" w:rsidR="00DE0D09" w:rsidRDefault="00000000">
            <w:pPr>
              <w:spacing w:after="0" w:line="240" w:lineRule="auto"/>
            </w:pPr>
            <w:r>
              <w:rPr>
                <w:sz w:val="15"/>
              </w:rPr>
              <w:t>Official Azure Terraform or Helm; separate web/workers; managed PostgreSQL, ClickHouse, Redis/Valkey and Blob; private networking</w:t>
            </w:r>
          </w:p>
        </w:tc>
        <w:tc>
          <w:tcPr>
            <w:tcW w:w="265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4148" w14:textId="77777777" w:rsidR="00DE0D09" w:rsidRDefault="00000000">
            <w:pPr>
              <w:spacing w:after="0" w:line="240" w:lineRule="auto"/>
            </w:pPr>
            <w:r>
              <w:rPr>
                <w:sz w:val="15"/>
              </w:rPr>
              <w:t>25-100 named UI users; 10-25 concurrent reviewers; validation target about 1M units/day. Scale application traffic independently through SDK/OTEL ingestion</w:t>
            </w:r>
          </w:p>
        </w:tc>
        <w:tc>
          <w:tcPr>
            <w:tcW w:w="1910" w:type="dxa"/>
            <w:shd w:val="clear" w:color="auto" w:fill="EAF2F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F1589" w14:textId="77777777" w:rsidR="00DE0D09" w:rsidRDefault="00000000">
            <w:pPr>
              <w:spacing w:after="0" w:line="240" w:lineRule="auto"/>
            </w:pPr>
            <w:r>
              <w:rPr>
                <w:sz w:val="15"/>
              </w:rPr>
              <w:t>Self-host Enterprise: custom quote recommended for SSO, RBAC, audit and retention. Estimated Azure infrastructure: $1,500-$4,000/month</w:t>
            </w:r>
          </w:p>
        </w:tc>
      </w:tr>
      <w:tr w:rsidR="00DE0D09" w14:paraId="3545BA15" w14:textId="77777777">
        <w:tc>
          <w:tcPr>
            <w:tcW w:w="14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3EFA7" w14:textId="77777777" w:rsidR="00DE0D09" w:rsidRDefault="00000000">
            <w:pPr>
              <w:spacing w:after="0" w:line="240" w:lineRule="auto"/>
            </w:pPr>
            <w:r>
              <w:rPr>
                <w:b/>
                <w:sz w:val="15"/>
              </w:rPr>
              <w:t>Enterprise scale</w:t>
            </w:r>
          </w:p>
        </w:tc>
        <w:tc>
          <w:tcPr>
            <w:tcW w:w="33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EDC2B8" w14:textId="77777777" w:rsidR="00DE0D09" w:rsidRDefault="00000000">
            <w:pPr>
              <w:spacing w:after="0" w:line="240" w:lineRule="auto"/>
            </w:pPr>
            <w:r>
              <w:rPr>
                <w:sz w:val="15"/>
              </w:rPr>
              <w:t>Autoscaled workers; HA data stores; backup/DR; isolated sensitive-data zones; central governance and monitoring</w:t>
            </w:r>
          </w:p>
        </w:tc>
        <w:tc>
          <w:tcPr>
            <w:tcW w:w="265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53D9CB" w14:textId="77777777" w:rsidR="00DE0D09" w:rsidRDefault="00000000">
            <w:pPr>
              <w:spacing w:after="0" w:line="240" w:lineRule="auto"/>
            </w:pPr>
            <w:r>
              <w:rPr>
                <w:sz w:val="15"/>
              </w:rPr>
              <w:t>100-500+ named UI users; 25-100 concurrent reviewers; validate 5M+ units/day. Actual capacity depends on span size, retention, evaluators and query load</w:t>
            </w:r>
          </w:p>
        </w:tc>
        <w:tc>
          <w:tcPr>
            <w:tcW w:w="1910" w:type="dxa"/>
            <w:shd w:val="clear" w:color="auto" w:fill="F2F4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2F7E" w14:textId="77777777" w:rsidR="00DE0D09" w:rsidRDefault="00000000">
            <w:pPr>
              <w:spacing w:after="0" w:line="240" w:lineRule="auto"/>
            </w:pPr>
            <w:r>
              <w:rPr>
                <w:sz w:val="15"/>
              </w:rPr>
              <w:t>Enterprise custom licence and support. Estimated infrastructure: $4,000-$12,000+/month depending on HA, volume and retention</w:t>
            </w:r>
          </w:p>
        </w:tc>
      </w:tr>
    </w:tbl>
    <w:p w14:paraId="4F009224" w14:textId="77777777" w:rsidR="00DE0D09" w:rsidRDefault="00000000">
      <w:pPr>
        <w:spacing w:before="60" w:after="100"/>
      </w:pPr>
      <w:r>
        <w:rPr>
          <w:b/>
          <w:color w:val="9A6700"/>
          <w:sz w:val="16"/>
        </w:rPr>
        <w:t xml:space="preserve">Planning note: </w:t>
      </w:r>
      <w:r>
        <w:rPr>
          <w:color w:val="5C6B78"/>
          <w:sz w:val="16"/>
        </w:rPr>
        <w:t>The people, traffic and budget ranges above are engineering planning targets, not vendor guarantees or quotations. Final sizing requires a two-week load test using expected units/day, average payload size, retention, evaluator throughput, active UI sessions and query concurrency.</w:t>
      </w:r>
    </w:p>
    <w:p w14:paraId="63F3591A" w14:textId="77777777" w:rsidR="00DE0D09" w:rsidRDefault="00000000">
      <w:pPr>
        <w:pStyle w:val="Heading2"/>
        <w:spacing w:before="120"/>
      </w:pPr>
      <w:r>
        <w:t>Production controls required</w:t>
      </w:r>
    </w:p>
    <w:p w14:paraId="09AE151D" w14:textId="77777777" w:rsidR="00DE0D09" w:rsidRDefault="00000000">
      <w:pPr>
        <w:pStyle w:val="ListBullet"/>
        <w:spacing w:after="80" w:line="259" w:lineRule="auto"/>
      </w:pPr>
      <w:r>
        <w:rPr>
          <w:b/>
          <w:color w:val="163A5F"/>
          <w:sz w:val="20"/>
        </w:rPr>
        <w:t xml:space="preserve">Data minimization. </w:t>
      </w:r>
      <w:r>
        <w:rPr>
          <w:sz w:val="20"/>
        </w:rPr>
        <w:t>Do not capture PDFs, raw Azure Document Intelligence output, confidential prompts/responses, PII or reversible token maps by default.</w:t>
      </w:r>
    </w:p>
    <w:p w14:paraId="766CA4C4" w14:textId="77777777" w:rsidR="00DE0D09" w:rsidRDefault="00000000">
      <w:pPr>
        <w:pStyle w:val="ListBullet"/>
        <w:spacing w:after="80" w:line="259" w:lineRule="auto"/>
      </w:pPr>
      <w:r>
        <w:rPr>
          <w:b/>
          <w:color w:val="163A5F"/>
          <w:sz w:val="20"/>
        </w:rPr>
        <w:t xml:space="preserve">Identity and isolation. </w:t>
      </w:r>
      <w:r>
        <w:rPr>
          <w:sz w:val="20"/>
        </w:rPr>
        <w:t>Use Entra ID, least-privilege roles, separate production/non-production projects, private networking and Key Vault-managed secrets.</w:t>
      </w:r>
    </w:p>
    <w:p w14:paraId="40F9EBFD" w14:textId="77777777" w:rsidR="00DE0D09" w:rsidRDefault="00000000">
      <w:pPr>
        <w:pStyle w:val="ListBullet"/>
        <w:spacing w:after="80" w:line="259" w:lineRule="auto"/>
      </w:pPr>
      <w:r>
        <w:rPr>
          <w:b/>
          <w:color w:val="163A5F"/>
          <w:sz w:val="20"/>
        </w:rPr>
        <w:t xml:space="preserve">Evaluation governance. </w:t>
      </w:r>
      <w:r>
        <w:rPr>
          <w:sz w:val="20"/>
        </w:rPr>
        <w:t>Deterministic checks run locally; an LLM-as-judge may receive only approved minimized content through the company Azure OpenAI route.</w:t>
      </w:r>
    </w:p>
    <w:p w14:paraId="4EDF1B41" w14:textId="77777777" w:rsidR="00DE0D09" w:rsidRDefault="00000000">
      <w:pPr>
        <w:pStyle w:val="ListBullet"/>
        <w:spacing w:after="80" w:line="259" w:lineRule="auto"/>
      </w:pPr>
      <w:r>
        <w:rPr>
          <w:b/>
          <w:color w:val="163A5F"/>
          <w:sz w:val="20"/>
        </w:rPr>
        <w:t xml:space="preserve">Lifecycle controls. </w:t>
      </w:r>
      <w:r>
        <w:rPr>
          <w:sz w:val="20"/>
        </w:rPr>
        <w:t>Define trace sampling, backup, deletion and retention before production; monitor storage growth and evaluator spend.</w:t>
      </w:r>
    </w:p>
    <w:p w14:paraId="60257E5A" w14:textId="77777777" w:rsidR="00DE0D09" w:rsidRDefault="00000000">
      <w:pPr>
        <w:pBdr>
          <w:left w:val="single" w:sz="18" w:space="8" w:color="2E74B5"/>
        </w:pBdr>
        <w:shd w:val="clear" w:color="auto" w:fill="EAF2F8"/>
        <w:spacing w:before="60" w:after="140" w:line="259" w:lineRule="auto"/>
        <w:ind w:left="173" w:right="173"/>
      </w:pPr>
      <w:r>
        <w:rPr>
          <w:b/>
          <w:color w:val="2E74B5"/>
        </w:rPr>
        <w:t xml:space="preserve">APPROVAL REQUEST  </w:t>
      </w:r>
      <w:r>
        <w:rPr>
          <w:b/>
        </w:rPr>
        <w:t>Authorize a Langfuse OSS POC on Azure, followed by a security review and measured production sizing exercise. Keep Enterprise licensing as a governance decision gate, not a POC dependency.</w:t>
      </w:r>
    </w:p>
    <w:p w14:paraId="196D388F" w14:textId="77777777" w:rsidR="00DE0D09" w:rsidRDefault="00000000">
      <w:pPr>
        <w:pStyle w:val="Heading2"/>
        <w:spacing w:before="120"/>
      </w:pPr>
      <w:r>
        <w:t>Primary vendor sources</w:t>
      </w:r>
    </w:p>
    <w:p w14:paraId="0E1F9514" w14:textId="77777777" w:rsidR="00DE0D09" w:rsidRDefault="00000000">
      <w:pPr>
        <w:spacing w:after="20" w:line="240" w:lineRule="auto"/>
      </w:pPr>
      <w:r>
        <w:rPr>
          <w:b/>
          <w:color w:val="163A5F"/>
          <w:sz w:val="15"/>
        </w:rPr>
        <w:t xml:space="preserve">Langfuse: </w:t>
      </w:r>
      <w:hyperlink r:id="rId12">
        <w:r>
          <w:rPr>
            <w:color w:val="2E74B5"/>
            <w:sz w:val="15"/>
          </w:rPr>
          <w:t>pricing</w:t>
        </w:r>
      </w:hyperlink>
      <w:r>
        <w:rPr>
          <w:color w:val="5C6B78"/>
          <w:sz w:val="15"/>
        </w:rPr>
        <w:t xml:space="preserve"> | </w:t>
      </w:r>
      <w:hyperlink r:id="rId13">
        <w:r>
          <w:rPr>
            <w:color w:val="2E74B5"/>
            <w:sz w:val="15"/>
          </w:rPr>
          <w:t>scaling</w:t>
        </w:r>
      </w:hyperlink>
      <w:r>
        <w:rPr>
          <w:color w:val="5C6B78"/>
          <w:sz w:val="15"/>
        </w:rPr>
        <w:t xml:space="preserve"> | </w:t>
      </w:r>
      <w:hyperlink r:id="rId14">
        <w:r>
          <w:rPr>
            <w:color w:val="2E74B5"/>
            <w:sz w:val="15"/>
          </w:rPr>
          <w:t>self-host telemetry</w:t>
        </w:r>
      </w:hyperlink>
    </w:p>
    <w:p w14:paraId="6CA6CC8C" w14:textId="77777777" w:rsidR="00DE0D09" w:rsidRDefault="00000000">
      <w:pPr>
        <w:spacing w:after="20" w:line="240" w:lineRule="auto"/>
      </w:pPr>
      <w:r>
        <w:rPr>
          <w:b/>
          <w:color w:val="163A5F"/>
          <w:sz w:val="15"/>
        </w:rPr>
        <w:t xml:space="preserve">Arize Phoenix: </w:t>
      </w:r>
      <w:hyperlink r:id="rId15">
        <w:r>
          <w:rPr>
            <w:color w:val="2E74B5"/>
            <w:sz w:val="15"/>
          </w:rPr>
          <w:t>pricing</w:t>
        </w:r>
      </w:hyperlink>
      <w:r>
        <w:rPr>
          <w:color w:val="5C6B78"/>
          <w:sz w:val="15"/>
        </w:rPr>
        <w:t xml:space="preserve"> | </w:t>
      </w:r>
      <w:hyperlink r:id="rId16">
        <w:r>
          <w:rPr>
            <w:color w:val="2E74B5"/>
            <w:sz w:val="15"/>
          </w:rPr>
          <w:t>self-host privacy</w:t>
        </w:r>
      </w:hyperlink>
    </w:p>
    <w:p w14:paraId="5601FE1C" w14:textId="77777777" w:rsidR="00DE0D09" w:rsidRDefault="00000000">
      <w:pPr>
        <w:spacing w:after="20" w:line="240" w:lineRule="auto"/>
      </w:pPr>
      <w:r>
        <w:rPr>
          <w:b/>
          <w:color w:val="163A5F"/>
          <w:sz w:val="15"/>
        </w:rPr>
        <w:t xml:space="preserve">Comet Opik: </w:t>
      </w:r>
      <w:hyperlink r:id="rId17">
        <w:r>
          <w:rPr>
            <w:color w:val="2E74B5"/>
            <w:sz w:val="15"/>
          </w:rPr>
          <w:t>pricing and user/span limits</w:t>
        </w:r>
      </w:hyperlink>
      <w:r>
        <w:rPr>
          <w:color w:val="5C6B78"/>
          <w:sz w:val="15"/>
        </w:rPr>
        <w:t xml:space="preserve"> | </w:t>
      </w:r>
      <w:hyperlink r:id="rId18">
        <w:r>
          <w:rPr>
            <w:color w:val="2E74B5"/>
            <w:sz w:val="15"/>
          </w:rPr>
          <w:t>self-host overview</w:t>
        </w:r>
      </w:hyperlink>
    </w:p>
    <w:p w14:paraId="257E5DB4" w14:textId="77777777" w:rsidR="00DE0D09" w:rsidRDefault="00000000">
      <w:pPr>
        <w:spacing w:after="20" w:line="240" w:lineRule="auto"/>
      </w:pPr>
      <w:r>
        <w:rPr>
          <w:b/>
          <w:color w:val="163A5F"/>
          <w:sz w:val="15"/>
        </w:rPr>
        <w:t xml:space="preserve">LangSmith: </w:t>
      </w:r>
      <w:hyperlink r:id="rId19">
        <w:r>
          <w:rPr>
            <w:color w:val="2E74B5"/>
            <w:sz w:val="15"/>
          </w:rPr>
          <w:t>pricing</w:t>
        </w:r>
      </w:hyperlink>
      <w:r>
        <w:rPr>
          <w:color w:val="5C6B78"/>
          <w:sz w:val="15"/>
        </w:rPr>
        <w:t xml:space="preserve"> | </w:t>
      </w:r>
      <w:hyperlink r:id="rId20">
        <w:r>
          <w:rPr>
            <w:color w:val="2E74B5"/>
            <w:sz w:val="15"/>
          </w:rPr>
          <w:t>self-host egress</w:t>
        </w:r>
      </w:hyperlink>
    </w:p>
    <w:p w14:paraId="7BDD7A95" w14:textId="77777777" w:rsidR="00DE0D09" w:rsidRDefault="00000000">
      <w:pPr>
        <w:spacing w:after="20" w:line="240" w:lineRule="auto"/>
      </w:pPr>
      <w:r>
        <w:rPr>
          <w:b/>
          <w:color w:val="163A5F"/>
          <w:sz w:val="15"/>
        </w:rPr>
        <w:t xml:space="preserve">Braintrust: </w:t>
      </w:r>
      <w:hyperlink r:id="rId21">
        <w:r>
          <w:rPr>
            <w:color w:val="2E74B5"/>
            <w:sz w:val="15"/>
          </w:rPr>
          <w:t>pricing</w:t>
        </w:r>
      </w:hyperlink>
      <w:r>
        <w:rPr>
          <w:color w:val="5C6B78"/>
          <w:sz w:val="15"/>
        </w:rPr>
        <w:t xml:space="preserve"> | </w:t>
      </w:r>
      <w:hyperlink r:id="rId22">
        <w:r>
          <w:rPr>
            <w:color w:val="2E74B5"/>
            <w:sz w:val="15"/>
          </w:rPr>
          <w:t>data-plane architecture</w:t>
        </w:r>
      </w:hyperlink>
    </w:p>
    <w:sectPr w:rsidR="00DE0D09" w:rsidSect="00034616">
      <w:headerReference w:type="default" r:id="rId23"/>
      <w:footerReference w:type="default" r:id="rId24"/>
      <w:pgSz w:w="12240" w:h="15840"/>
      <w:pgMar w:top="893" w:right="936" w:bottom="864" w:left="936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DD010" w14:textId="77777777" w:rsidR="007C2DFE" w:rsidRDefault="007C2DFE">
      <w:pPr>
        <w:spacing w:after="0" w:line="240" w:lineRule="auto"/>
      </w:pPr>
      <w:r>
        <w:separator/>
      </w:r>
    </w:p>
  </w:endnote>
  <w:endnote w:type="continuationSeparator" w:id="0">
    <w:p w14:paraId="45B98CD6" w14:textId="77777777" w:rsidR="007C2DFE" w:rsidRDefault="007C2D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48D53" w14:textId="77777777" w:rsidR="00DE0D09" w:rsidRDefault="00000000">
    <w:pPr>
      <w:pStyle w:val="Footer"/>
      <w:jc w:val="right"/>
    </w:pPr>
    <w:r>
      <w:rPr>
        <w:color w:val="5C6B78"/>
        <w:sz w:val="17"/>
      </w:rPr>
      <w:t xml:space="preserve">Page </w:t>
    </w:r>
    <w:r>
      <w:rPr>
        <w:color w:val="5C6B78"/>
        <w:sz w:val="17"/>
      </w:rPr>
      <w:fldChar w:fldCharType="begin"/>
    </w:r>
    <w:r>
      <w:rPr>
        <w:color w:val="5C6B78"/>
        <w:sz w:val="17"/>
      </w:rPr>
      <w:instrText xml:space="preserve"> PAGE </w:instrText>
    </w:r>
    <w:r w:rsidR="00603119">
      <w:rPr>
        <w:color w:val="5C6B78"/>
        <w:sz w:val="17"/>
      </w:rPr>
      <w:fldChar w:fldCharType="separate"/>
    </w:r>
    <w:r w:rsidR="00603119">
      <w:rPr>
        <w:noProof/>
        <w:color w:val="5C6B78"/>
        <w:sz w:val="17"/>
      </w:rPr>
      <w:t>1</w:t>
    </w:r>
    <w:r>
      <w:rPr>
        <w:color w:val="5C6B78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B25A0E" w14:textId="77777777" w:rsidR="00DE0D09" w:rsidRDefault="00000000">
    <w:pPr>
      <w:pStyle w:val="Footer"/>
      <w:jc w:val="right"/>
    </w:pPr>
    <w:r>
      <w:rPr>
        <w:color w:val="5C6B78"/>
        <w:sz w:val="17"/>
      </w:rPr>
      <w:t xml:space="preserve">Page </w:t>
    </w:r>
    <w:r>
      <w:rPr>
        <w:color w:val="5C6B78"/>
        <w:sz w:val="17"/>
      </w:rPr>
      <w:fldChar w:fldCharType="begin"/>
    </w:r>
    <w:r>
      <w:rPr>
        <w:color w:val="5C6B78"/>
        <w:sz w:val="17"/>
      </w:rPr>
      <w:instrText xml:space="preserve"> PAGE </w:instrText>
    </w:r>
    <w:r w:rsidR="00603119">
      <w:rPr>
        <w:color w:val="5C6B78"/>
        <w:sz w:val="17"/>
      </w:rPr>
      <w:fldChar w:fldCharType="separate"/>
    </w:r>
    <w:r w:rsidR="00603119">
      <w:rPr>
        <w:noProof/>
        <w:color w:val="5C6B78"/>
        <w:sz w:val="17"/>
      </w:rPr>
      <w:t>2</w:t>
    </w:r>
    <w:r>
      <w:rPr>
        <w:color w:val="5C6B78"/>
        <w:sz w:val="17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5D5F1" w14:textId="189980E8" w:rsidR="00DE0D09" w:rsidRDefault="00000000">
    <w:pPr>
      <w:pStyle w:val="Footer"/>
      <w:jc w:val="right"/>
    </w:pPr>
    <w:r>
      <w:rPr>
        <w:color w:val="5C6B78"/>
        <w:sz w:val="17"/>
      </w:rPr>
      <w:t xml:space="preserve">Page </w:t>
    </w:r>
    <w:r>
      <w:rPr>
        <w:color w:val="5C6B78"/>
        <w:sz w:val="17"/>
      </w:rPr>
      <w:fldChar w:fldCharType="begin"/>
    </w:r>
    <w:r>
      <w:rPr>
        <w:color w:val="5C6B78"/>
        <w:sz w:val="17"/>
      </w:rPr>
      <w:instrText xml:space="preserve"> PAGE </w:instrText>
    </w:r>
    <w:r w:rsidR="00603119">
      <w:rPr>
        <w:color w:val="5C6B78"/>
        <w:sz w:val="17"/>
      </w:rPr>
      <w:fldChar w:fldCharType="separate"/>
    </w:r>
    <w:r w:rsidR="00603119">
      <w:rPr>
        <w:noProof/>
        <w:color w:val="5C6B78"/>
        <w:sz w:val="17"/>
      </w:rPr>
      <w:t>3</w:t>
    </w:r>
    <w:r>
      <w:rPr>
        <w:color w:val="5C6B78"/>
        <w:sz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1B511" w14:textId="77777777" w:rsidR="007C2DFE" w:rsidRDefault="007C2DFE">
      <w:pPr>
        <w:spacing w:after="0" w:line="240" w:lineRule="auto"/>
      </w:pPr>
      <w:r>
        <w:separator/>
      </w:r>
    </w:p>
  </w:footnote>
  <w:footnote w:type="continuationSeparator" w:id="0">
    <w:p w14:paraId="5A9F89A7" w14:textId="77777777" w:rsidR="007C2DFE" w:rsidRDefault="007C2D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B60D3" w14:textId="77777777" w:rsidR="00DE0D09" w:rsidRDefault="00000000">
    <w:pPr>
      <w:pStyle w:val="Header"/>
      <w:spacing w:line="264" w:lineRule="auto"/>
    </w:pPr>
    <w:r>
      <w:rPr>
        <w:b/>
        <w:color w:val="2E74B5"/>
        <w:sz w:val="16"/>
      </w:rPr>
      <w:t>AI PLATFORM DECISION BRIEF</w:t>
    </w:r>
    <w:r>
      <w:rPr>
        <w:color w:val="5C6B78"/>
        <w:sz w:val="16"/>
      </w:rPr>
      <w:t xml:space="preserve">   |   Management review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75103" w14:textId="77777777" w:rsidR="00DE0D09" w:rsidRDefault="00000000">
    <w:pPr>
      <w:pStyle w:val="Header"/>
      <w:spacing w:line="264" w:lineRule="auto"/>
    </w:pPr>
    <w:r>
      <w:rPr>
        <w:b/>
        <w:color w:val="2E74B5"/>
        <w:sz w:val="16"/>
      </w:rPr>
      <w:t>AI PLATFORM DECISION BRIEF</w:t>
    </w:r>
    <w:r>
      <w:rPr>
        <w:color w:val="5C6B78"/>
        <w:sz w:val="16"/>
      </w:rPr>
      <w:t xml:space="preserve">   |   Management review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22F41" w14:textId="77777777" w:rsidR="00DE0D09" w:rsidRDefault="00000000">
    <w:pPr>
      <w:pStyle w:val="Header"/>
      <w:spacing w:line="264" w:lineRule="auto"/>
    </w:pPr>
    <w:r>
      <w:rPr>
        <w:b/>
        <w:color w:val="2E74B5"/>
        <w:sz w:val="16"/>
      </w:rPr>
      <w:t>AI PLATFORM DECISION BRIEF</w:t>
    </w:r>
    <w:r>
      <w:rPr>
        <w:color w:val="5C6B78"/>
        <w:sz w:val="16"/>
      </w:rPr>
      <w:t xml:space="preserve">   |   Management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61510975">
    <w:abstractNumId w:val="8"/>
  </w:num>
  <w:num w:numId="2" w16cid:durableId="353306856">
    <w:abstractNumId w:val="6"/>
  </w:num>
  <w:num w:numId="3" w16cid:durableId="839078571">
    <w:abstractNumId w:val="5"/>
  </w:num>
  <w:num w:numId="4" w16cid:durableId="2064140163">
    <w:abstractNumId w:val="4"/>
  </w:num>
  <w:num w:numId="5" w16cid:durableId="984697192">
    <w:abstractNumId w:val="7"/>
  </w:num>
  <w:num w:numId="6" w16cid:durableId="247886399">
    <w:abstractNumId w:val="3"/>
  </w:num>
  <w:num w:numId="7" w16cid:durableId="379284049">
    <w:abstractNumId w:val="2"/>
  </w:num>
  <w:num w:numId="8" w16cid:durableId="93941285">
    <w:abstractNumId w:val="1"/>
  </w:num>
  <w:num w:numId="9" w16cid:durableId="1856797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03119"/>
    <w:rsid w:val="007C2DFE"/>
    <w:rsid w:val="00AA1D8D"/>
    <w:rsid w:val="00B47730"/>
    <w:rsid w:val="00BC7F33"/>
    <w:rsid w:val="00CB0664"/>
    <w:rsid w:val="00DE0D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17D39B"/>
  <w14:defaultImageDpi w14:val="300"/>
  <w15:docId w15:val="{9C7F9615-7D14-4F99-BC5C-3B71203C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72B3A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langfuse.com/self-hosting/configuration/scaling" TargetMode="External"/><Relationship Id="rId18" Type="http://schemas.openxmlformats.org/officeDocument/2006/relationships/hyperlink" Target="https://www.comet.com/docs/opik/self-host/overview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s://www.braintrust.dev/pricing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langfuse.com/pricing" TargetMode="External"/><Relationship Id="rId17" Type="http://schemas.openxmlformats.org/officeDocument/2006/relationships/hyperlink" Target="https://www.comet.com/site/pricing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s://arize.com/docs/phoenix/self-hosting" TargetMode="External"/><Relationship Id="rId20" Type="http://schemas.openxmlformats.org/officeDocument/2006/relationships/hyperlink" Target="https://docs.langchain.com/langsmith/self-host-egress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yperlink" Target="https://arize.com/pricing/" TargetMode="External"/><Relationship Id="rId23" Type="http://schemas.openxmlformats.org/officeDocument/2006/relationships/header" Target="header3.xml"/><Relationship Id="rId10" Type="http://schemas.openxmlformats.org/officeDocument/2006/relationships/header" Target="header2.xml"/><Relationship Id="rId19" Type="http://schemas.openxmlformats.org/officeDocument/2006/relationships/hyperlink" Target="https://www.langchain.com/pricing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yperlink" Target="https://langfuse.com/self-hosting/security/telemetry" TargetMode="External"/><Relationship Id="rId22" Type="http://schemas.openxmlformats.org/officeDocument/2006/relationships/hyperlink" Target="https://www.braintrust.dev/docs/admin/self-hosting/architectur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1632</Words>
  <Characters>9309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Observability, Evaluation and Traceability Platform Decision Report</dc:title>
  <dc:subject>Top-five platform assessment and Langfuse recommendation</dc:subject>
  <dc:creator>CareTranslate Engineering</dc:creator>
  <cp:keywords>AI observability, evaluation, traceability, Langfuse, Azure, OpenTelemetry</cp:keywords>
  <dc:description>generated by python-docx</dc:description>
  <cp:lastModifiedBy>Vishwas Babasaheb Shinde</cp:lastModifiedBy>
  <cp:revision>2</cp:revision>
  <dcterms:created xsi:type="dcterms:W3CDTF">2013-12-23T23:15:00Z</dcterms:created>
  <dcterms:modified xsi:type="dcterms:W3CDTF">2026-08-02T15:31:00Z</dcterms:modified>
  <cp:category/>
</cp:coreProperties>
</file>