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Calibri" w:hAnsi="Calibri"/>
          <w:b/>
          <w:color w:val="1F3864"/>
          <w:sz w:val="32"/>
        </w:rPr>
        <w:t>CHRIST (DEEMED TO BE UNIVERSITY)</w:t>
      </w:r>
    </w:p>
    <w:p>
      <w:pPr>
        <w:spacing w:before="0" w:after="360"/>
        <w:jc w:val="center"/>
      </w:pPr>
      <w:r>
        <w:rPr>
          <w:rFonts w:ascii="Calibri" w:hAnsi="Calibri"/>
          <w:color w:val="2E74B5"/>
          <w:sz w:val="22"/>
        </w:rPr>
        <w:t>Department of Computer Science | School of Sciences</w:t>
        <w:br/>
        <w:t>Master of Computer Applications (MCA) — Machine Learning Practical (MCA521)</w:t>
        <w:br/>
        <w:t>Practical Examination &amp; Laboratory Submission</w:t>
      </w:r>
    </w:p>
    <w:p>
      <w:pPr>
        <w:spacing w:before="200" w:after="120"/>
        <w:jc w:val="center"/>
      </w:pPr>
      <w:r>
        <w:rPr>
          <w:rFonts w:ascii="Calibri" w:hAnsi="Calibri"/>
          <w:b/>
          <w:color w:val="555555"/>
          <w:sz w:val="28"/>
        </w:rPr>
        <w:t>MACHINE LEARNING PRACTICAL REPORT</w:t>
      </w:r>
    </w:p>
    <w:p>
      <w:pPr>
        <w:spacing w:before="0" w:after="400"/>
        <w:jc w:val="center"/>
      </w:pPr>
      <w:r>
        <w:rPr>
          <w:rFonts w:ascii="Calibri" w:hAnsi="Calibri"/>
          <w:b/>
          <w:color w:val="1F3864"/>
          <w:sz w:val="30"/>
        </w:rPr>
        <w:t>Part B Practical Implementation:</w:t>
        <w:br/>
        <w:t>Question 4(i) (Diabetes PCA + SVR) &amp; Question 5 (Iris MLP Architecture Comparison)</w:t>
      </w:r>
    </w:p>
    <w:tbl>
      <w:tblPr>
        <w:tblW w:type="auto" w:w="0"/>
        <w:jc w:val="center"/>
        <w:tblLook w:firstColumn="1" w:firstRow="1" w:lastColumn="0" w:lastRow="0" w:noHBand="0" w:noVBand="1" w:val="04A0"/>
      </w:tblPr>
      <w:tblGrid>
        <w:gridCol w:w="4680"/>
        <w:gridCol w:w="4680"/>
      </w:tblGrid>
      <w:tr>
        <w:tc>
          <w:tcPr>
            <w:tcW w:type="dxa" w:w="3168"/>
            <w:shd w:fill="F2F4F7"/>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b/>
                <w:sz w:val="20"/>
              </w:rPr>
              <w:t>Student Name:</w:t>
            </w:r>
          </w:p>
        </w:tc>
        <w:tc>
          <w:tcPr>
            <w:tcW w:type="dxa" w:w="6192"/>
            <w:shd w:fill="FFFFFF"/>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sz w:val="20"/>
              </w:rPr>
              <w:t>Vishwas Vashishtha</w:t>
            </w:r>
          </w:p>
        </w:tc>
      </w:tr>
      <w:tr>
        <w:tc>
          <w:tcPr>
            <w:tcW w:type="dxa" w:w="3168"/>
            <w:shd w:fill="F2F4F7"/>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b/>
                <w:sz w:val="20"/>
              </w:rPr>
              <w:t>Register Number:</w:t>
            </w:r>
          </w:p>
        </w:tc>
        <w:tc>
          <w:tcPr>
            <w:tcW w:type="dxa" w:w="6192"/>
            <w:shd w:fill="FFFFFF"/>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sz w:val="20"/>
              </w:rPr>
              <w:t>2547255</w:t>
            </w:r>
          </w:p>
        </w:tc>
      </w:tr>
      <w:tr>
        <w:tc>
          <w:tcPr>
            <w:tcW w:type="dxa" w:w="3168"/>
            <w:shd w:fill="F2F4F7"/>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b/>
                <w:sz w:val="20"/>
              </w:rPr>
              <w:t>Course / Program:</w:t>
            </w:r>
          </w:p>
        </w:tc>
        <w:tc>
          <w:tcPr>
            <w:tcW w:type="dxa" w:w="6192"/>
            <w:shd w:fill="FFFFFF"/>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sz w:val="20"/>
              </w:rPr>
              <w:t>MCA (Semester II) — Machine Learning (MCA521)</w:t>
            </w:r>
          </w:p>
        </w:tc>
      </w:tr>
      <w:tr>
        <w:tc>
          <w:tcPr>
            <w:tcW w:type="dxa" w:w="3168"/>
            <w:shd w:fill="F2F4F7"/>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b/>
                <w:sz w:val="20"/>
              </w:rPr>
              <w:t>Date of Execution:</w:t>
            </w:r>
          </w:p>
        </w:tc>
        <w:tc>
          <w:tcPr>
            <w:tcW w:type="dxa" w:w="6192"/>
            <w:shd w:fill="FFFFFF"/>
            <w:tcBorders>
              <w:top w:val="single" w:sz="4" w:space="0" w:color="CCCCCC"/>
              <w:left w:val="none" w:sz="4" w:space="0" w:color="CCCCCC"/>
              <w:bottom w:val="single" w:sz="4" w:space="0" w:color="CCCCCC"/>
              <w:right w:val="none" w:sz="4" w:space="0" w:color="CCCCCC"/>
            </w:tcBorders>
            <w:tcMar>
              <w:top w:w="40" w:type="dxa"/>
              <w:left w:w="80" w:type="dxa"/>
              <w:bottom w:w="40" w:type="dxa"/>
              <w:right w:w="80" w:type="dxa"/>
            </w:tcMar>
          </w:tcPr>
          <w:p>
            <w:pPr>
              <w:spacing w:before="0" w:after="0"/>
            </w:pPr>
            <w:r>
              <w:rPr>
                <w:sz w:val="20"/>
              </w:rPr>
              <w:t>August 2026</w:t>
            </w:r>
          </w:p>
        </w:tc>
      </w:tr>
    </w:tbl>
    <w:p>
      <w:pPr>
        <w:spacing w:after="200"/>
      </w:pPr>
    </w:p>
    <w:p>
      <w:pPr>
        <w:keepNext/>
        <w:spacing w:before="360" w:after="120"/>
      </w:pPr>
      <w:r>
        <w:rPr>
          <w:rFonts w:ascii="Calibri" w:hAnsi="Calibri"/>
          <w:b/>
          <w:color w:val="1F3864"/>
          <w:sz w:val="32"/>
        </w:rPr>
        <w:t>PART 1: QUESTION 4(i) — DIABETES DISEASE PROGRESSION PREDICTION</w:t>
      </w:r>
    </w:p>
    <w:p>
      <w:pPr>
        <w:keepNext/>
        <w:spacing w:before="240" w:after="80"/>
      </w:pPr>
      <w:r>
        <w:rPr>
          <w:rFonts w:ascii="Calibri" w:hAnsi="Calibri"/>
          <w:b/>
          <w:color w:val="2E74B5"/>
          <w:sz w:val="26"/>
        </w:rPr>
        <w:t>1.1 Aim</w:t>
      </w:r>
    </w:p>
    <w:p>
      <w:pPr>
        <w:spacing w:before="0" w:after="100" w:line="276" w:lineRule="auto"/>
      </w:pPr>
      <w:r>
        <w:rPr>
          <w:rFonts w:ascii="Calibri" w:hAnsi="Calibri"/>
          <w:color w:val="282828"/>
          <w:sz w:val="21"/>
        </w:rPr>
        <w:t>To develop and evaluate a machine-learning pipeline for predicting diabetes disease progression by combining Principal Component Analysis (PCA) dimensionality reduction with Support Vector Regression (SVR), and to rigorously analyze the effects of dimensionality reduction on model accuracy, computational cost, and clinical interpretability.</w:t>
      </w:r>
    </w:p>
    <w:p>
      <w:pPr>
        <w:keepNext/>
        <w:spacing w:before="240" w:after="80"/>
      </w:pPr>
      <w:r>
        <w:rPr>
          <w:rFonts w:ascii="Calibri" w:hAnsi="Calibri"/>
          <w:b/>
          <w:color w:val="2E74B5"/>
          <w:sz w:val="26"/>
        </w:rPr>
        <w:t>1.2 Dataset Description</w:t>
      </w:r>
    </w:p>
    <w:p>
      <w:pPr>
        <w:spacing w:before="0" w:after="100" w:line="276" w:lineRule="auto"/>
      </w:pPr>
      <w:r>
        <w:rPr>
          <w:rFonts w:ascii="Calibri" w:hAnsi="Calibri"/>
          <w:color w:val="282828"/>
          <w:sz w:val="21"/>
        </w:rPr>
        <w:t>The standard scikit-learn Diabetes dataset (load_diabetes()) consists of 442 patient records with 10 baseline clinical predictors: age, sex, body mass index (bmi), average blood pressure (bp), and six blood serum measurements (s1: total cholesterol, s2: LDL, s3: HDL, s4: total cholesterol/HDL, s5: serum triglycerides log, s6: blood glucose). The target variable is a continuous quantitative measure of diabetes disease progression recorded one year after baseline (range: 25.0 to 346.0, mean: 152.13, std: 77.09).</w:t>
      </w:r>
    </w:p>
    <w:p>
      <w:pPr>
        <w:keepNext/>
        <w:spacing w:before="240" w:after="80"/>
      </w:pPr>
      <w:r>
        <w:rPr>
          <w:rFonts w:ascii="Calibri" w:hAnsi="Calibri"/>
          <w:b/>
          <w:color w:val="2E74B5"/>
          <w:sz w:val="26"/>
        </w:rPr>
        <w:t>1.3 Execution Steps Flow &amp; Viva Quick-Reference</w:t>
      </w:r>
    </w:p>
    <w:p>
      <w:pPr>
        <w:spacing w:before="0" w:after="100" w:line="276" w:lineRule="auto"/>
      </w:pPr>
      <w:r>
        <w:rPr>
          <w:rFonts w:ascii="Calibri" w:hAnsi="Calibri"/>
          <w:b/>
          <w:color w:val="141414"/>
          <w:sz w:val="21"/>
        </w:rPr>
        <w:t xml:space="preserve">Practical Pipeline: </w:t>
      </w:r>
      <w:r>
        <w:rPr>
          <w:rFonts w:ascii="Calibri" w:hAnsi="Calibri"/>
          <w:color w:val="282828"/>
          <w:sz w:val="21"/>
        </w:rPr>
        <w:t>Execution Flow: Load → Separate → Split → Scale → Baseline → PCA → Train → Predict → Evaluate → Compare</w:t>
      </w:r>
    </w:p>
    <w:tbl>
      <w:tblPr>
        <w:tblW w:type="auto" w:w="0"/>
        <w:jc w:val="center"/>
        <w:tblLayout w:type="fixed"/>
        <w:tblLook w:firstColumn="1" w:firstRow="1" w:lastColumn="0" w:lastRow="0" w:noHBand="0" w:noVBand="1" w:val="04A0"/>
      </w:tblPr>
      <w:tblGrid>
        <w:gridCol w:w="4680"/>
        <w:gridCol w:w="4680"/>
      </w:tblGrid>
      <w:tr>
        <w:tc>
          <w:tcPr>
            <w:tcW w:type="dxa" w:w="2880"/>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Execution Step</w:t>
            </w:r>
          </w:p>
        </w:tc>
        <w:tc>
          <w:tcPr>
            <w:tcW w:type="dxa" w:w="6480"/>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One-Line Technical Explanation</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 Load Dataset</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Loads the 442-sample, 10-feature diabetes dataset via sklearn.datasets.load_diabetes().</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2. Separate X &amp; y</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Isolates the 10 clinical predictor columns into matrix X and disease progression target into vector y.</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3. Train-Test Split</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Splits data into 80% training (N=353) and 20% testing (N=89) with fixed random_state=42 for reproducibility.</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4. Feature Scaling</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Standardizes features to zero mean and unit variance (StandardScaler) fitted strictly on training data.</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5. Baseline SVR</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Trains an SVR on all 10 scaled features with 5-fold cross-validation hyperparameter tuning (C, epsilon, gamma).</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6. PCA Reduction</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Computes eigenvalues; selects k=6 principal components retaining 89.61% of total dataset variance.</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7. Reduced Model</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Trains an integrated Scaler -&gt; PCA(6) -&gt; SVR pipeline on the compressed 6-dimensional subspace.</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8. Predict &amp; Evaluate</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Evaluates predictions on the held-out test set using MAE, MSE, RMSE, and R2 goodness-of-fit metrics.</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9. Benchmark Time</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Records single-fit training time and per-sample test inference time using time.perf_counter().</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10. Comprehensive Compare</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Analyzes the trade-offs between predictive accuracy, computational runtime, and physical interpretability.</w:t>
            </w:r>
          </w:p>
        </w:tc>
      </w:tr>
    </w:tbl>
    <w:p>
      <w:pPr>
        <w:spacing w:after="80"/>
      </w:pPr>
    </w:p>
    <w:p>
      <w:pPr>
        <w:keepNext/>
        <w:spacing w:before="240" w:after="80"/>
      </w:pPr>
      <w:r>
        <w:rPr>
          <w:rFonts w:ascii="Calibri" w:hAnsi="Calibri"/>
          <w:b/>
          <w:color w:val="2E74B5"/>
          <w:sz w:val="26"/>
        </w:rPr>
        <w:t>1.4 Dimensionality Reduction Analysis (PCA)</w:t>
      </w:r>
    </w:p>
    <w:p>
      <w:pPr>
        <w:spacing w:before="0" w:after="100" w:line="276" w:lineRule="auto"/>
      </w:pPr>
      <w:r>
        <w:rPr>
          <w:rFonts w:ascii="Calibri" w:hAnsi="Calibri"/>
          <w:color w:val="282828"/>
          <w:sz w:val="21"/>
        </w:rPr>
        <w:t>PCA reduces the input dimensionality by projecting correlated features onto orthogonal axes that maximize variance. Prior to fitting SVR, PCA was fitted on the standardized training data to determine the explained variance profile.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Principal Component</w:t>
            </w:r>
          </w:p>
        </w:tc>
        <w:tc>
          <w:tcPr>
            <w:tcW w:type="dxa" w:w="2016"/>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Eigenvalue</w:t>
            </w:r>
          </w:p>
        </w:tc>
        <w:tc>
          <w:tcPr>
            <w:tcW w:type="dxa" w:w="2304"/>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Individual Variance</w:t>
            </w:r>
          </w:p>
        </w:tc>
        <w:tc>
          <w:tcPr>
            <w:tcW w:type="dxa" w:w="244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Cumulative Variance</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PC1</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3.9801</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39.69%</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39.69%</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PC2</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1.4822</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14.78%</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54.47%</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PC3</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1.2552</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12.52%</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66.98%</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PC4</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1.0137</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10.11%</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77.09%</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PC5</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0.6602</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6.58%</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83.68%</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PC6</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0.5952</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5.94%</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89.61%</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PC7</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0.5218</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5.20%</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94.81%</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PC8</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0.4349</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4.34%</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99.15%</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PC9</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0.0758</w:t>
            </w:r>
          </w:p>
        </w:tc>
        <w:tc>
          <w:tcPr>
            <w:tcW w:type="dxa" w:w="230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0.76%</w:t>
            </w:r>
          </w:p>
        </w:tc>
        <w:tc>
          <w:tcPr>
            <w:tcW w:type="dxa" w:w="244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99.91%</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PC10</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0.0093</w:t>
            </w:r>
          </w:p>
        </w:tc>
        <w:tc>
          <w:tcPr>
            <w:tcW w:type="dxa" w:w="230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0.09%</w:t>
            </w:r>
          </w:p>
        </w:tc>
        <w:tc>
          <w:tcPr>
            <w:tcW w:type="dxa" w:w="244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100.00%</w:t>
            </w:r>
          </w:p>
        </w:tc>
      </w:tr>
    </w:tbl>
    <w:p>
      <w:pPr>
        <w:spacing w:after="80"/>
      </w:pPr>
    </w:p>
    <w:p>
      <w:pPr>
        <w:spacing w:before="0" w:after="100" w:line="276" w:lineRule="auto"/>
      </w:pPr>
      <w:r>
        <w:rPr>
          <w:rFonts w:ascii="Calibri" w:hAnsi="Calibri"/>
          <w:b/>
          <w:color w:val="141414"/>
          <w:sz w:val="21"/>
        </w:rPr>
        <w:t xml:space="preserve">Dimensionality Cutoff Justification: </w:t>
      </w:r>
      <w:r>
        <w:rPr>
          <w:rFonts w:ascii="Calibri" w:hAnsi="Calibri"/>
          <w:color w:val="282828"/>
          <w:sz w:val="21"/>
        </w:rPr>
        <w:t>Dimensionality Selection Decision: A cutoff of n_components = 6 was selected. As shown in the table above, the first 6 principal components capture 89.61% of the total cumulative variance while reducing the input feature space by 40% (from 10 features down to 6).</w:t>
      </w:r>
    </w:p>
    <w:p>
      <w:pPr>
        <w:spacing w:before="16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pca_explained_variance.png"/>
                    <pic:cNvPicPr/>
                  </pic:nvPicPr>
                  <pic:blipFill>
                    <a:blip r:embed="rId9"/>
                    <a:stretch>
                      <a:fillRect/>
                    </a:stretch>
                  </pic:blipFill>
                  <pic:spPr>
                    <a:xfrm>
                      <a:off x="0" y="0"/>
                      <a:ext cx="5303520" cy="3314700"/>
                    </a:xfrm>
                    <a:prstGeom prst="rect"/>
                  </pic:spPr>
                </pic:pic>
              </a:graphicData>
            </a:graphic>
          </wp:inline>
        </w:drawing>
      </w:r>
    </w:p>
    <w:p>
      <w:pPr>
        <w:spacing w:before="40" w:after="160"/>
        <w:jc w:val="center"/>
      </w:pPr>
      <w:r>
        <w:rPr>
          <w:rFonts w:ascii="Calibri" w:hAnsi="Calibri"/>
          <w:i/>
          <w:color w:val="555555"/>
          <w:sz w:val="19"/>
        </w:rPr>
        <w:t>Figure 1: PCA Scree Plot and Cumulative Explained Variance Curve on Diabetes Dataset (n_components=6 Cutoff)</w:t>
      </w:r>
    </w:p>
    <w:p>
      <w:pPr>
        <w:keepNext/>
        <w:spacing w:before="240" w:after="80"/>
      </w:pPr>
      <w:r>
        <w:rPr>
          <w:rFonts w:ascii="Calibri" w:hAnsi="Calibri"/>
          <w:b/>
          <w:color w:val="2E74B5"/>
          <w:sz w:val="26"/>
        </w:rPr>
        <w:t>1.5 Complete Python Implementation</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pPr>
              <w:spacing w:before="0" w:after="0"/>
            </w:pPr>
            <w:r>
              <w:rPr>
                <w:rFonts w:ascii="Consolas" w:hAnsi="Consolas"/>
                <w:color w:val="1A3C1A"/>
                <w:sz w:val="17"/>
              </w:rPr>
              <w:t># Question 4(i): Diabetes Disease Progression Pipeline (PCA + SVR)</w:t>
              <w:br/>
              <w:t>import time, numpy as np, pandas as pd</w:t>
              <w:br/>
              <w:t>from sklearn.datasets import load_diabetes</w:t>
              <w:br/>
              <w:t>from sklearn.model_selection import train_test_split, GridSearchCV, KFold</w:t>
              <w:br/>
              <w:t>from sklearn.preprocessing import StandardScaler</w:t>
              <w:br/>
              <w:t>from sklearn.decomposition import PCA</w:t>
              <w:br/>
              <w:t>from sklearn.svm import SVR</w:t>
              <w:br/>
              <w:t>from sklearn.pipeline import Pipeline</w:t>
              <w:br/>
              <w:t>from sklearn.metrics import mean_absolute_error, mean_squared_error, r2_score</w:t>
              <w:br/>
              <w:br/>
              <w:t># 1. Load Dataset &amp; Train-Test Split</w:t>
              <w:br/>
              <w:t>X, y = load_diabetes(return_X_y=True, as_frame=True)</w:t>
              <w:br/>
              <w:t>X_train, X_test, y_train, y_test = train_test_split(X, y, test_size=0.2, random_state=42)</w:t>
              <w:br/>
              <w:br/>
              <w:t># 2. Hyperparameter Tuning Grids (5-Fold CV on Training Set Only)</w:t>
              <w:br/>
              <w:t>cv = KFold(n_splits=5, shuffle=True, random_state=42)</w:t>
              <w:br/>
              <w:t>param_grid = {</w:t>
              <w:br/>
              <w:t xml:space="preserve">    'svr__C': [1.0, 10.0, 50.0, 100.0, 200.0],</w:t>
              <w:br/>
              <w:t xml:space="preserve">    'svr__gamma': ['scale', 'auto', 0.01, 0.05, 0.1],</w:t>
              <w:br/>
              <w:t xml:space="preserve">    'svr__epsilon': [1.0, 5.0, 10.0, 15.0, 20.0],</w:t>
              <w:br/>
              <w:t xml:space="preserve">    'svr__kernel': ['rbf', 'linear']</w:t>
              <w:br/>
              <w:t>}</w:t>
              <w:br/>
              <w:br/>
              <w:t># 3. Model A: Baseline SVR (10 Features)</w:t>
              <w:br/>
              <w:t>pipe_base = Pipeline([('scaler', StandardScaler()), ('svr', SVR())])</w:t>
              <w:br/>
              <w:t>grid_base = GridSearchCV(pipe_base, param_grid, cv=cv, scoring='neg_root_mean_squared_error', n_jobs=1)</w:t>
              <w:br/>
              <w:t>grid_base.fit(X_train, y_train)</w:t>
              <w:br/>
              <w:t>y_pred_base = grid_base.best_estimator_.predict(X_test)</w:t>
              <w:br/>
              <w:br/>
              <w:t># 4. Model B: Reduced Model (PCA[6] + SVR)</w:t>
              <w:br/>
              <w:t>pipe_red = Pipeline([('scaler', StandardScaler()), ('pca', PCA(n_components=6, random_state=42)), ('svr', SVR())])</w:t>
              <w:br/>
              <w:t>grid_red = GridSearchCV(pipe_red, param_grid, cv=cv, scoring='neg_root_mean_squared_error', n_jobs=1)</w:t>
              <w:br/>
              <w:t>grid_red.fit(X_train, y_train)</w:t>
              <w:br/>
              <w:t>y_pred_red = grid_red.best_estimator_.predict(X_test)</w:t>
              <w:br/>
              <w:br/>
              <w:t># 5. Evaluate Metrics</w:t>
              <w:br/>
              <w:t>print("Baseline SVR R2:", r2_score(y_test, y_pred_base), "RMSE:", np.sqrt(mean_squared_error(y_test, y_pred_base)))</w:t>
              <w:br/>
              <w:t>print("PCA+SVR R2     :", r2_score(y_test, y_pred_red),  "RMSE:", np.sqrt(mean_squared_error(y_test, y_pred_red)))</w:t>
            </w:r>
          </w:p>
        </w:tc>
      </w:tr>
    </w:tbl>
    <w:p>
      <w:pPr>
        <w:spacing w:after="80"/>
      </w:pPr>
    </w:p>
    <w:p>
      <w:pPr>
        <w:keepNext/>
        <w:spacing w:before="240" w:after="80"/>
      </w:pPr>
      <w:r>
        <w:rPr>
          <w:rFonts w:ascii="Calibri" w:hAnsi="Calibri"/>
          <w:b/>
          <w:color w:val="2E74B5"/>
          <w:sz w:val="26"/>
        </w:rPr>
        <w:t>1.6 Actual Experimental Results &amp; Comparison Table</w:t>
      </w:r>
    </w:p>
    <w:p>
      <w:pPr>
        <w:spacing w:before="0" w:after="100" w:line="276" w:lineRule="auto"/>
      </w:pPr>
      <w:r>
        <w:rPr>
          <w:rFonts w:ascii="Calibri" w:hAnsi="Calibri"/>
          <w:color w:val="282828"/>
          <w:sz w:val="21"/>
        </w:rPr>
        <w:t>Both pipelines were tuned and evaluated on the identical 80/20 train/test split. All reported values represent authentic execution results.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59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Model Pipeline</w:t>
            </w:r>
          </w:p>
        </w:tc>
        <w:tc>
          <w:tcPr>
            <w:tcW w:type="dxa" w:w="2016"/>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Feature Dimension</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MAE</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MSE</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RMSE</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R² Score</w:t>
            </w:r>
          </w:p>
        </w:tc>
        <w:tc>
          <w:tcPr>
            <w:tcW w:type="dxa" w:w="1296"/>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Single Fit</w:t>
            </w:r>
          </w:p>
        </w:tc>
        <w:tc>
          <w:tcPr>
            <w:tcW w:type="dxa" w:w="1296"/>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Inference</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Model A (Baseline SVR)</w:t>
            </w:r>
          </w:p>
        </w:tc>
        <w:tc>
          <w:tcPr>
            <w:tcW w:type="dxa" w:w="201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10 Original Features</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41.583</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2726.22</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52.213</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0.4854</w:t>
            </w:r>
          </w:p>
        </w:tc>
        <w:tc>
          <w:tcPr>
            <w:tcW w:type="dxa" w:w="129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3.59 ms</w:t>
            </w:r>
          </w:p>
        </w:tc>
        <w:tc>
          <w:tcPr>
            <w:tcW w:type="dxa" w:w="1296"/>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2.807 ms</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Model B (PCA[6] + SVR)</w:t>
            </w:r>
          </w:p>
        </w:tc>
        <w:tc>
          <w:tcPr>
            <w:tcW w:type="dxa" w:w="201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6 Principal Components</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42.315</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2788.02</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52.802</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0.4738</w:t>
            </w:r>
          </w:p>
        </w:tc>
        <w:tc>
          <w:tcPr>
            <w:tcW w:type="dxa" w:w="129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4.25 ms</w:t>
            </w:r>
          </w:p>
        </w:tc>
        <w:tc>
          <w:tcPr>
            <w:tcW w:type="dxa" w:w="1296"/>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1.560 ms</w:t>
            </w:r>
          </w:p>
        </w:tc>
      </w:tr>
    </w:tbl>
    <w:p>
      <w:pPr>
        <w:spacing w:after="80"/>
      </w:pPr>
    </w:p>
    <w:p>
      <w:pPr>
        <w:spacing w:before="160" w:after="40"/>
        <w:jc w:val="center"/>
      </w:pPr>
      <w:r>
        <w:drawing>
          <wp:inline xmlns:a="http://schemas.openxmlformats.org/drawingml/2006/main" xmlns:pic="http://schemas.openxmlformats.org/drawingml/2006/picture">
            <wp:extent cx="5303520" cy="2290123"/>
            <wp:docPr id="2" name="Picture 2"/>
            <wp:cNvGraphicFramePr>
              <a:graphicFrameLocks noChangeAspect="1"/>
            </wp:cNvGraphicFramePr>
            <a:graphic>
              <a:graphicData uri="http://schemas.openxmlformats.org/drawingml/2006/picture">
                <pic:pic>
                  <pic:nvPicPr>
                    <pic:cNvPr id="0" name="02_actual_vs_predicted_svr.png"/>
                    <pic:cNvPicPr/>
                  </pic:nvPicPr>
                  <pic:blipFill>
                    <a:blip r:embed="rId10"/>
                    <a:stretch>
                      <a:fillRect/>
                    </a:stretch>
                  </pic:blipFill>
                  <pic:spPr>
                    <a:xfrm>
                      <a:off x="0" y="0"/>
                      <a:ext cx="5303520" cy="2290123"/>
                    </a:xfrm>
                    <a:prstGeom prst="rect"/>
                  </pic:spPr>
                </pic:pic>
              </a:graphicData>
            </a:graphic>
          </wp:inline>
        </w:drawing>
      </w:r>
    </w:p>
    <w:p>
      <w:pPr>
        <w:spacing w:before="40" w:after="160"/>
        <w:jc w:val="center"/>
      </w:pPr>
      <w:r>
        <w:rPr>
          <w:rFonts w:ascii="Calibri" w:hAnsi="Calibri"/>
          <w:i/>
          <w:color w:val="555555"/>
          <w:sz w:val="19"/>
        </w:rPr>
        <w:t>Figure 2: Actual vs. Predicted Disease Progression Scatter Plots on Held-Out Test Set</w:t>
      </w:r>
    </w:p>
    <w:p>
      <w:pPr>
        <w:spacing w:before="160" w:after="40"/>
        <w:jc w:val="center"/>
      </w:pPr>
      <w:r>
        <w:drawing>
          <wp:inline xmlns:a="http://schemas.openxmlformats.org/drawingml/2006/main" xmlns:pic="http://schemas.openxmlformats.org/drawingml/2006/picture">
            <wp:extent cx="5303520" cy="2479754"/>
            <wp:docPr id="3" name="Picture 3"/>
            <wp:cNvGraphicFramePr>
              <a:graphicFrameLocks noChangeAspect="1"/>
            </wp:cNvGraphicFramePr>
            <a:graphic>
              <a:graphicData uri="http://schemas.openxmlformats.org/drawingml/2006/picture">
                <pic:pic>
                  <pic:nvPicPr>
                    <pic:cNvPr id="0" name="03_model_comparison_metrics.png"/>
                    <pic:cNvPicPr/>
                  </pic:nvPicPr>
                  <pic:blipFill>
                    <a:blip r:embed="rId11"/>
                    <a:stretch>
                      <a:fillRect/>
                    </a:stretch>
                  </pic:blipFill>
                  <pic:spPr>
                    <a:xfrm>
                      <a:off x="0" y="0"/>
                      <a:ext cx="5303520" cy="2479754"/>
                    </a:xfrm>
                    <a:prstGeom prst="rect"/>
                  </pic:spPr>
                </pic:pic>
              </a:graphicData>
            </a:graphic>
          </wp:inline>
        </w:drawing>
      </w:r>
    </w:p>
    <w:p>
      <w:pPr>
        <w:spacing w:before="40" w:after="160"/>
        <w:jc w:val="center"/>
      </w:pPr>
      <w:r>
        <w:rPr>
          <w:rFonts w:ascii="Calibri" w:hAnsi="Calibri"/>
          <w:i/>
          <w:color w:val="555555"/>
          <w:sz w:val="19"/>
        </w:rPr>
        <w:t>Figure 3: Goodness-of-Fit (R²) and Error Metric (MAE, RMSE) Comparison between Baseline and PCA+SVR</w:t>
      </w:r>
    </w:p>
    <w:p>
      <w:pPr>
        <w:keepNext/>
        <w:spacing w:before="240" w:after="80"/>
      </w:pPr>
      <w:r>
        <w:rPr>
          <w:rFonts w:ascii="Calibri" w:hAnsi="Calibri"/>
          <w:b/>
          <w:color w:val="2E74B5"/>
          <w:sz w:val="26"/>
        </w:rPr>
        <w:t>1.7 In-Depth Analysis: Accuracy vs. Computational Cost vs. Interpretability</w:t>
      </w:r>
    </w:p>
    <w:p>
      <w:pPr>
        <w:keepNext/>
        <w:spacing w:before="160" w:after="40"/>
      </w:pPr>
      <w:r>
        <w:rPr>
          <w:rFonts w:ascii="Calibri" w:hAnsi="Calibri"/>
          <w:b/>
          <w:color w:val="141414"/>
          <w:sz w:val="23"/>
        </w:rPr>
        <w:t>A. Model Accuracy &amp; Predictive Performance</w:t>
      </w:r>
    </w:p>
    <w:p>
      <w:pPr>
        <w:spacing w:before="0" w:after="100" w:line="276" w:lineRule="auto"/>
      </w:pPr>
      <w:r>
        <w:rPr>
          <w:rFonts w:ascii="Calibri" w:hAnsi="Calibri"/>
          <w:color w:val="282828"/>
          <w:sz w:val="21"/>
        </w:rPr>
        <w:t>The baseline SVR model achieved an R² score of 0.4854 and an RMSE of 52.213 on the held-out test data. The PCA-reduced SVR pipeline achieved an R² score of 0.4738 and an RMSE of 52.802. Discarding 40% of the input dimensions resulted in only a minor 0.0116 drop in R² (a 2.4% relative change), demonstrating that the principal components retained the essential linear subspace containing disease progression variance.</w:t>
      </w:r>
    </w:p>
    <w:p>
      <w:pPr>
        <w:keepNext/>
        <w:spacing w:before="160" w:after="40"/>
      </w:pPr>
      <w:r>
        <w:rPr>
          <w:rFonts w:ascii="Calibri" w:hAnsi="Calibri"/>
          <w:b/>
          <w:color w:val="141414"/>
          <w:sz w:val="23"/>
        </w:rPr>
        <w:t>B. Computational Cost &amp; Runtime Efficiency</w:t>
      </w:r>
    </w:p>
    <w:p>
      <w:pPr>
        <w:spacing w:before="0" w:after="100" w:line="276" w:lineRule="auto"/>
      </w:pPr>
      <w:r>
        <w:rPr>
          <w:rFonts w:ascii="Calibri" w:hAnsi="Calibri"/>
          <w:color w:val="282828"/>
          <w:sz w:val="21"/>
        </w:rPr>
        <w:t>In Support Vector Regression, kernel evaluation computational complexity scales with the input dimensionality: O(N_sv * D) per sample, where N_sv is the number of support vectors and D is the feature dimension. By compressing the feature space from 10 to 6 dimensions, the per-sample test inference time dropped from 2.807 ms to 1.560 ms (an inference speedup of approximately 44%), making the reduced pipeline more efficient for high-throughput deployment.</w:t>
      </w:r>
    </w:p>
    <w:p>
      <w:pPr>
        <w:keepNext/>
        <w:spacing w:before="160" w:after="40"/>
      </w:pPr>
      <w:r>
        <w:rPr>
          <w:rFonts w:ascii="Calibri" w:hAnsi="Calibri"/>
          <w:b/>
          <w:color w:val="141414"/>
          <w:sz w:val="23"/>
        </w:rPr>
        <w:t>C. Clinical &amp; Domain Interpretability</w:t>
      </w:r>
    </w:p>
    <w:p>
      <w:pPr>
        <w:spacing w:before="0" w:after="100" w:line="276" w:lineRule="auto"/>
      </w:pPr>
      <w:r>
        <w:rPr>
          <w:rFonts w:ascii="Calibri" w:hAnsi="Calibri"/>
          <w:color w:val="282828"/>
          <w:sz w:val="21"/>
        </w:rPr>
        <w:t>In the baseline model, each feature corresponds to a specific biological parameter (such as BMI or serum cholesterol). Clinicians can inspect feature weights to understand individual physiological risk factors. Conversely, PCA transforms the original variables into orthogonal linear combinations (principal components), where each component is a weighted sum of multiple original features (as shown in Figure 4). Consequently, PCA reduces direct physical interpretability in exchange for dimensionality compression.</w:t>
      </w:r>
    </w:p>
    <w:p>
      <w:pPr>
        <w:spacing w:before="160" w:after="4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04_pca_feature_loadings.png"/>
                    <pic:cNvPicPr/>
                  </pic:nvPicPr>
                  <pic:blipFill>
                    <a:blip r:embed="rId12"/>
                    <a:stretch>
                      <a:fillRect/>
                    </a:stretch>
                  </pic:blipFill>
                  <pic:spPr>
                    <a:xfrm>
                      <a:off x="0" y="0"/>
                      <a:ext cx="5303520" cy="2651760"/>
                    </a:xfrm>
                    <a:prstGeom prst="rect"/>
                  </pic:spPr>
                </pic:pic>
              </a:graphicData>
            </a:graphic>
          </wp:inline>
        </w:drawing>
      </w:r>
    </w:p>
    <w:p>
      <w:pPr>
        <w:spacing w:before="40" w:after="160"/>
        <w:jc w:val="center"/>
      </w:pPr>
      <w:r>
        <w:rPr>
          <w:rFonts w:ascii="Calibri" w:hAnsi="Calibri"/>
          <w:i/>
          <w:color w:val="555555"/>
          <w:sz w:val="19"/>
        </w:rPr>
        <w:t>Figure 4: PCA Component Loadings Heatmap Showing Original Feature Contributions to Principal Components</w:t>
      </w:r>
    </w:p>
    <w:p>
      <w:pPr>
        <w:keepNext/>
        <w:spacing w:before="240" w:after="80"/>
      </w:pPr>
      <w:r>
        <w:rPr>
          <w:rFonts w:ascii="Calibri" w:hAnsi="Calibri"/>
          <w:b/>
          <w:color w:val="2E74B5"/>
          <w:sz w:val="26"/>
        </w:rPr>
        <w:t>1.8 Meaningful Self-Learning &amp; Key Concepts</w:t>
      </w:r>
    </w:p>
    <w:p>
      <w:pPr>
        <w:pStyle w:val="ListBullet"/>
        <w:spacing w:before="0" w:after="60" w:line="276" w:lineRule="auto"/>
      </w:pPr>
      <w:r>
        <w:rPr>
          <w:rFonts w:ascii="Calibri" w:hAnsi="Calibri"/>
          <w:b/>
          <w:color w:val="141414"/>
          <w:sz w:val="21"/>
        </w:rPr>
        <w:t xml:space="preserve">1. Scale Sensitivity of PCA: </w:t>
      </w:r>
      <w:r>
        <w:rPr>
          <w:rFonts w:ascii="Calibri" w:hAnsi="Calibri"/>
          <w:color w:val="282828"/>
          <w:sz w:val="21"/>
        </w:rPr>
        <w:t>PCA computes eigenvectors of the covariance matrix. Unscaled features with large numerical ranges would artificially dominate the principal components regardless of their true variance or relevance.</w:t>
      </w:r>
    </w:p>
    <w:p>
      <w:pPr>
        <w:pStyle w:val="ListBullet"/>
        <w:spacing w:before="0" w:after="60" w:line="276" w:lineRule="auto"/>
      </w:pPr>
      <w:r>
        <w:rPr>
          <w:rFonts w:ascii="Calibri" w:hAnsi="Calibri"/>
          <w:b/>
          <w:color w:val="141414"/>
          <w:sz w:val="21"/>
        </w:rPr>
        <w:t xml:space="preserve">2. Data Leakage Prevention: </w:t>
      </w:r>
      <w:r>
        <w:rPr>
          <w:rFonts w:ascii="Calibri" w:hAnsi="Calibri"/>
          <w:color w:val="282828"/>
          <w:sz w:val="21"/>
        </w:rPr>
        <w:t>StandardScaler and PCA must be fitted strictly on the training set and applied to the test set using a unified Pipeline. Fitting PCA across the entire dataset before splitting leaks test distribution information.</w:t>
      </w:r>
    </w:p>
    <w:p>
      <w:pPr>
        <w:pStyle w:val="ListBullet"/>
        <w:spacing w:before="0" w:after="60" w:line="276" w:lineRule="auto"/>
      </w:pPr>
      <w:r>
        <w:rPr>
          <w:rFonts w:ascii="Calibri" w:hAnsi="Calibri"/>
          <w:b/>
          <w:color w:val="141414"/>
          <w:sz w:val="21"/>
        </w:rPr>
        <w:t xml:space="preserve">3. Role of SVR Hyperparameters: </w:t>
      </w:r>
      <w:r>
        <w:rPr>
          <w:rFonts w:ascii="Calibri" w:hAnsi="Calibri"/>
          <w:color w:val="282828"/>
          <w:sz w:val="21"/>
        </w:rPr>
        <w:t>C regulates the penalty for errors beyond the tolerance margin; epsilon controls the width of the insensitive loss tube; gamma determines the reach of individual support vectors in the RBF kernel.</w:t>
      </w:r>
    </w:p>
    <w:p>
      <w:pPr>
        <w:pStyle w:val="ListBullet"/>
        <w:spacing w:before="0" w:after="60" w:line="276" w:lineRule="auto"/>
      </w:pPr>
      <w:r>
        <w:rPr>
          <w:rFonts w:ascii="Calibri" w:hAnsi="Calibri"/>
          <w:b/>
          <w:color w:val="141414"/>
          <w:sz w:val="21"/>
        </w:rPr>
        <w:t xml:space="preserve">4. Trade-off in Dimensionality Reduction: </w:t>
      </w:r>
      <w:r>
        <w:rPr>
          <w:rFonts w:ascii="Calibri" w:hAnsi="Calibri"/>
          <w:color w:val="282828"/>
          <w:sz w:val="21"/>
        </w:rPr>
        <w:t>Dimensionality reduction eliminates multicollinearity and speeds up matrix vector operations, but trades away direct feature interpretability.</w:t>
      </w:r>
    </w:p>
    <w:tbl>
      <w:tblPr>
        <w:tblW w:type="auto" w:w="0"/>
        <w:jc w:val="center"/>
        <w:tblLook w:firstColumn="1" w:firstRow="1" w:lastColumn="0" w:lastRow="0" w:noHBand="0" w:noVBand="1" w:val="04A0"/>
      </w:tblPr>
      <w:tblGrid>
        <w:gridCol w:w="9360"/>
      </w:tblGrid>
      <w:tr>
        <w:tc>
          <w:tcPr>
            <w:tcW w:type="dxa" w:w="9360"/>
            <w:shd w:fill="F7F9FB"/>
            <w:tcBorders>
              <w:top w:val="none" w:sz="4" w:space="0" w:color="2E74B5"/>
              <w:left w:val="single" w:sz="4" w:space="0" w:color="2E74B5"/>
              <w:bottom w:val="none" w:sz="4" w:space="0" w:color="2E74B5"/>
              <w:right w:val="none" w:sz="4" w:space="0" w:color="2E74B5"/>
            </w:tcBorders>
            <w:tcMar>
              <w:top w:w="100" w:type="dxa"/>
              <w:left w:w="150" w:type="dxa"/>
              <w:bottom w:w="100" w:type="dxa"/>
              <w:right w:w="150" w:type="dxa"/>
            </w:tcMar>
          </w:tcPr>
          <w:p>
            <w:pPr>
              <w:spacing w:before="0" w:after="40"/>
            </w:pPr>
            <w:r>
              <w:rPr>
                <w:rFonts w:ascii="Calibri" w:hAnsi="Calibri"/>
                <w:b/>
                <w:color w:val="1F3864"/>
                <w:sz w:val="21"/>
              </w:rPr>
              <w:t>KEY VIVA TAKEAWAY: DIMENSIONALITY REDUCTION IN REGRESSION</w:t>
              <w:br/>
            </w:r>
            <w:r>
              <w:rPr>
                <w:rFonts w:ascii="Calibri" w:hAnsi="Calibri"/>
                <w:color w:val="282828"/>
                <w:sz w:val="20"/>
              </w:rPr>
              <w:t>PCA reduces input dimensions by projecting correlated features onto orthogonal axes of maximum variance. When features exhibit multicollinearity (such as the serum cholesterol lipid panel s1–s4 in the diabetes dataset), PCA compresses the feature space with minimal loss in predictive power while reducing computational overhead.</w:t>
            </w:r>
          </w:p>
        </w:tc>
      </w:tr>
    </w:tbl>
    <w:p>
      <w:pPr>
        <w:spacing w:after="80"/>
      </w:pPr>
    </w:p>
    <w:p>
      <w:pPr>
        <w:keepNext/>
        <w:spacing w:before="240" w:after="80"/>
      </w:pPr>
      <w:r>
        <w:rPr>
          <w:rFonts w:ascii="Calibri" w:hAnsi="Calibri"/>
          <w:b/>
          <w:color w:val="2E74B5"/>
          <w:sz w:val="26"/>
        </w:rPr>
        <w:t>1.9 Conclusion (Question 4(i))</w:t>
      </w:r>
    </w:p>
    <w:p>
      <w:pPr>
        <w:spacing w:before="0" w:after="100" w:line="276" w:lineRule="auto"/>
      </w:pPr>
      <w:r>
        <w:rPr>
          <w:rFonts w:ascii="Calibri" w:hAnsi="Calibri"/>
          <w:color w:val="282828"/>
          <w:sz w:val="21"/>
        </w:rPr>
        <w:t>The experimental results confirm that Support Vector Regression performs effectively on the Diabetes dataset. The baseline SVR using all 10 features achieved the highest predictive fit (R² = 0.4854, RMSE = 52.213). Applying PCA to reduce the feature space to 6 principal components retained 89.61% of total variance and preserved near-identical accuracy (R² = 0.4738, RMSE = 52.802) while decreasing test inference latency by ~44%. While baseline features provide direct physiological interpretability, the PCA-reduced pipeline offers an optimal balance of compact representation, reduced computational cost, and robust regression performance.</w:t>
      </w:r>
    </w:p>
    <w:p>
      <w:pPr>
        <w:keepNext/>
        <w:spacing w:before="360" w:after="120"/>
      </w:pPr>
      <w:r>
        <w:rPr>
          <w:rFonts w:ascii="Calibri" w:hAnsi="Calibri"/>
          <w:b/>
          <w:color w:val="1F3864"/>
          <w:sz w:val="32"/>
        </w:rPr>
        <w:t>PART 2: QUESTION 5 — IRIS MLP CLASSIFIER ARCHITECTURE COMPARISON</w:t>
      </w:r>
    </w:p>
    <w:p>
      <w:pPr>
        <w:keepNext/>
        <w:spacing w:before="240" w:after="80"/>
      </w:pPr>
      <w:r>
        <w:rPr>
          <w:rFonts w:ascii="Calibri" w:hAnsi="Calibri"/>
          <w:b/>
          <w:color w:val="2E74B5"/>
          <w:sz w:val="26"/>
        </w:rPr>
        <w:t>2.1 Aim</w:t>
      </w:r>
    </w:p>
    <w:p>
      <w:pPr>
        <w:spacing w:before="0" w:after="100" w:line="276" w:lineRule="auto"/>
      </w:pPr>
      <w:r>
        <w:rPr>
          <w:rFonts w:ascii="Calibri" w:hAnsi="Calibri"/>
          <w:color w:val="282828"/>
          <w:sz w:val="21"/>
        </w:rPr>
        <w:t>To develop, train, and compare two Multi-Layer Perceptron (MLP) neural network classifiers for the Iris dataset using one hidden layer with 8 neurons versus 4 neurons, evaluate both architectures using Stratified Cross-Validation, select the superior model based on cross-validation performance, and assess its test performance using accuracy and a labeled confusion matrix.</w:t>
      </w:r>
    </w:p>
    <w:p>
      <w:pPr>
        <w:keepNext/>
        <w:spacing w:before="240" w:after="80"/>
      </w:pPr>
      <w:r>
        <w:rPr>
          <w:rFonts w:ascii="Calibri" w:hAnsi="Calibri"/>
          <w:b/>
          <w:color w:val="2E74B5"/>
          <w:sz w:val="26"/>
        </w:rPr>
        <w:t>2.2 Dataset Description</w:t>
      </w:r>
    </w:p>
    <w:p>
      <w:pPr>
        <w:spacing w:before="0" w:after="100" w:line="276" w:lineRule="auto"/>
      </w:pPr>
      <w:r>
        <w:rPr>
          <w:rFonts w:ascii="Calibri" w:hAnsi="Calibri"/>
          <w:color w:val="282828"/>
          <w:sz w:val="21"/>
        </w:rPr>
        <w:t>Fisher's Iris dataset (load_iris()) contains 150 instances of iris flowers distributed equally across 3 balanced classes (50 Setosa, 50 Versicolor, 50 Virginica). Each instance has 4 continuous morphological features: sepal length (cm), sepal width (cm), petal length (cm), and petal width (cm).</w:t>
      </w:r>
    </w:p>
    <w:p>
      <w:pPr>
        <w:keepNext/>
        <w:spacing w:before="240" w:after="80"/>
      </w:pPr>
      <w:r>
        <w:rPr>
          <w:rFonts w:ascii="Calibri" w:hAnsi="Calibri"/>
          <w:b/>
          <w:color w:val="2E74B5"/>
          <w:sz w:val="26"/>
        </w:rPr>
        <w:t>2.3 Execution Steps Flow &amp; Viva Quick-Reference</w:t>
      </w:r>
    </w:p>
    <w:p>
      <w:pPr>
        <w:spacing w:before="0" w:after="100" w:line="276" w:lineRule="auto"/>
      </w:pPr>
      <w:r>
        <w:rPr>
          <w:rFonts w:ascii="Calibri" w:hAnsi="Calibri"/>
          <w:b/>
          <w:color w:val="141414"/>
          <w:sz w:val="21"/>
        </w:rPr>
        <w:t xml:space="preserve">Practical Pipeline: </w:t>
      </w:r>
      <w:r>
        <w:rPr>
          <w:rFonts w:ascii="Calibri" w:hAnsi="Calibri"/>
          <w:color w:val="282828"/>
          <w:sz w:val="21"/>
        </w:rPr>
        <w:t>Execution Flow: Load → Split → Scale → Model 8 → Model 4 → Cross-Validate → Compare → Select → Confusion Matrix</w:t>
      </w:r>
    </w:p>
    <w:tbl>
      <w:tblPr>
        <w:tblW w:type="auto" w:w="0"/>
        <w:jc w:val="center"/>
        <w:tblLayout w:type="fixed"/>
        <w:tblLook w:firstColumn="1" w:firstRow="1" w:lastColumn="0" w:lastRow="0" w:noHBand="0" w:noVBand="1" w:val="04A0"/>
      </w:tblPr>
      <w:tblGrid>
        <w:gridCol w:w="4680"/>
        <w:gridCol w:w="4680"/>
      </w:tblGrid>
      <w:tr>
        <w:tc>
          <w:tcPr>
            <w:tcW w:type="dxa" w:w="2880"/>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Execution Step</w:t>
            </w:r>
          </w:p>
        </w:tc>
        <w:tc>
          <w:tcPr>
            <w:tcW w:type="dxa" w:w="6480"/>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One-Line Technical Explanation</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 Load Dataset</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Loads the 150-sample Iris dataset via sklearn.datasets.load_iris().</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2. Separate X &amp; y</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Extracts 4 morphological feature columns into X and integer species labels (0, 1, 2) into y.</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3. Stratified Split</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Partitions dataset into 80% train (N=120) and 20% test (N=30) preserving balanced class ratios.</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4. Feature Scaling</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Applies StandardScaler within pipeline to ensure zero mean and unit variance for stable backpropagation.</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5. Model 1 (MLP-8)</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Constructs an MLP with 4 input nodes, 1 hidden layer of 8 ReLU neurons, and 3 softmax output nodes.</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6. Model 2 (MLP-4)</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Constructs an MLP with 4 input nodes, 1 hidden layer of 4 ReLU neurons, and 3 softmax output nodes.</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7. Cross-Validation</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Executes 5-Fold Stratified K-Fold CV on training split to measure generalization accuracy and fold variance.</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8. Architecture Compare</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Compares mean CV accuracy, standard deviation, convergence epochs, and total parameter counts.</w:t>
            </w:r>
          </w:p>
        </w:tc>
      </w:tr>
      <w:tr>
        <w:tc>
          <w:tcPr>
            <w:tcW w:type="dxa" w:w="28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9. Select Better Model</w:t>
            </w:r>
          </w:p>
        </w:tc>
        <w:tc>
          <w:tcPr>
            <w:tcW w:type="dxa" w:w="6480"/>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Selects the 8-neuron model based on lower cross-validation variance (±2.64% vs ±3.73%) and faster convergence.</w:t>
            </w:r>
          </w:p>
        </w:tc>
      </w:tr>
      <w:tr>
        <w:tc>
          <w:tcPr>
            <w:tcW w:type="dxa" w:w="28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10. Test Evaluation</w:t>
            </w:r>
          </w:p>
        </w:tc>
        <w:tc>
          <w:tcPr>
            <w:tcW w:type="dxa" w:w="6480"/>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Evaluates selected model on test split, generating test accuracy (96.67%) and a labeled confusion matrix.</w:t>
            </w:r>
          </w:p>
        </w:tc>
      </w:tr>
    </w:tbl>
    <w:p>
      <w:pPr>
        <w:spacing w:after="80"/>
      </w:pPr>
    </w:p>
    <w:p>
      <w:pPr>
        <w:keepNext/>
        <w:spacing w:before="240" w:after="80"/>
      </w:pPr>
      <w:r>
        <w:rPr>
          <w:rFonts w:ascii="Calibri" w:hAnsi="Calibri"/>
          <w:b/>
          <w:color w:val="2E74B5"/>
          <w:sz w:val="26"/>
        </w:rPr>
        <w:t>2.4 Neural Network Architectures &amp; Mathematical Complexity</w:t>
      </w:r>
    </w:p>
    <w:p>
      <w:pPr>
        <w:spacing w:before="0" w:after="100" w:line="276" w:lineRule="auto"/>
      </w:pPr>
      <w:r>
        <w:rPr>
          <w:rFonts w:ascii="Calibri" w:hAnsi="Calibri"/>
          <w:color w:val="282828"/>
          <w:sz w:val="21"/>
        </w:rPr>
        <w:t>Both architectures utilize the ReLU activation function in the hidden layer and the Softmax cross-entropy objective with the Adam optimizer (learning_rate_init = 0.01):</w:t>
      </w:r>
    </w:p>
    <w:p>
      <w:pPr>
        <w:pStyle w:val="ListBullet"/>
        <w:spacing w:before="0" w:after="60" w:line="276" w:lineRule="auto"/>
      </w:pPr>
      <w:r>
        <w:rPr>
          <w:rFonts w:ascii="Calibri" w:hAnsi="Calibri"/>
          <w:b/>
          <w:color w:val="141414"/>
          <w:sz w:val="21"/>
        </w:rPr>
        <w:t xml:space="preserve">Model 1 (MLP-8): </w:t>
      </w:r>
      <w:r>
        <w:rPr>
          <w:rFonts w:ascii="Calibri" w:hAnsi="Calibri"/>
          <w:color w:val="282828"/>
          <w:sz w:val="21"/>
        </w:rPr>
        <w:t>Input Layer (4 nodes) → Hidden Layer (8 ReLU neurons) → Output Layer (3 nodes). Total trainable parameters = (4 × 8 + 8) + (8 × 3 + 3) = 40 + 27 = 67 weights &amp; biases.</w:t>
      </w:r>
    </w:p>
    <w:p>
      <w:pPr>
        <w:pStyle w:val="ListBullet"/>
        <w:spacing w:before="0" w:after="60" w:line="276" w:lineRule="auto"/>
      </w:pPr>
      <w:r>
        <w:rPr>
          <w:rFonts w:ascii="Calibri" w:hAnsi="Calibri"/>
          <w:b/>
          <w:color w:val="141414"/>
          <w:sz w:val="21"/>
        </w:rPr>
        <w:t xml:space="preserve">Model 2 (MLP-4): </w:t>
      </w:r>
      <w:r>
        <w:rPr>
          <w:rFonts w:ascii="Calibri" w:hAnsi="Calibri"/>
          <w:color w:val="282828"/>
          <w:sz w:val="21"/>
        </w:rPr>
        <w:t>Input Layer (4 nodes) → Hidden Layer (4 ReLU neurons) → Output Layer (3 nodes). Total trainable parameters = (4 × 4 + 4) + (4 × 3 + 3) = 20 + 15 = 35 weights &amp; biases.</w:t>
      </w:r>
    </w:p>
    <w:p>
      <w:pPr>
        <w:keepNext/>
        <w:spacing w:before="240" w:after="80"/>
      </w:pPr>
      <w:r>
        <w:rPr>
          <w:rFonts w:ascii="Calibri" w:hAnsi="Calibri"/>
          <w:b/>
          <w:color w:val="2E74B5"/>
          <w:sz w:val="26"/>
        </w:rPr>
        <w:t>2.5 Complete Python Implementation</w:t>
      </w:r>
    </w:p>
    <w:tbl>
      <w:tblPr>
        <w:tblW w:type="auto" w:w="0"/>
        <w:jc w:val="center"/>
        <w:tblLook w:firstColumn="1" w:firstRow="1" w:lastColumn="0" w:lastRow="0" w:noHBand="0" w:noVBand="1" w:val="04A0"/>
      </w:tblPr>
      <w:tblGrid>
        <w:gridCol w:w="9360"/>
      </w:tblGrid>
      <w:tr>
        <w:tc>
          <w:tcPr>
            <w:tcW w:type="dxa" w:w="9360"/>
            <w:shd w:fill="F4F5F7"/>
            <w:tcBorders>
              <w:top w:val="single" w:sz="4" w:space="0" w:color="D0D5DD"/>
              <w:left w:val="single" w:sz="4" w:space="0" w:color="D0D5DD"/>
              <w:bottom w:val="single" w:sz="4" w:space="0" w:color="D0D5DD"/>
              <w:right w:val="single" w:sz="4" w:space="0" w:color="D0D5DD"/>
            </w:tcBorders>
            <w:tcMar>
              <w:top w:w="80" w:type="dxa"/>
              <w:left w:w="120" w:type="dxa"/>
              <w:bottom w:w="80" w:type="dxa"/>
              <w:right w:w="120" w:type="dxa"/>
            </w:tcMar>
          </w:tcPr>
          <w:p>
            <w:pPr>
              <w:spacing w:before="0" w:after="0"/>
            </w:pPr>
            <w:r>
              <w:rPr>
                <w:rFonts w:ascii="Consolas" w:hAnsi="Consolas"/>
                <w:color w:val="1A3C1A"/>
                <w:sz w:val="17"/>
              </w:rPr>
              <w:t># Question 5: Multi-Layer Perceptron (MLP) Classifier Comparison (8 vs 4 Neurons)</w:t>
              <w:br/>
              <w:t>import numpy as np, pandas as pd</w:t>
              <w:br/>
              <w:t>from sklearn.datasets import load_iris</w:t>
              <w:br/>
              <w:t>from sklearn.model_selection import train_test_split, StratifiedKFold, cross_val_score</w:t>
              <w:br/>
              <w:t>from sklearn.preprocessing import StandardScaler</w:t>
              <w:br/>
              <w:t>from sklearn.neural_network import MLPClassifier</w:t>
              <w:br/>
              <w:t>from sklearn.pipeline import Pipeline</w:t>
              <w:br/>
              <w:t>from sklearn.metrics import accuracy_score, classification_report, confusion_matrix</w:t>
              <w:br/>
              <w:br/>
              <w:t># 1. Load Dataset &amp; Stratified Split</w:t>
              <w:br/>
              <w:t>X, y = load_iris(return_X_y=True, as_frame=True)</w:t>
              <w:br/>
              <w:t>X_train, X_test, y_train, y_test = train_test_split(X, y, test_size=0.2, random_state=42, stratify=y)</w:t>
              <w:br/>
              <w:br/>
              <w:t># 2. Define Pipelines</w:t>
              <w:br/>
              <w:t>pipe_8 = Pipeline([('scaler', StandardScaler()), ('mlp', MLPClassifier(hidden_layer_sizes=(8,), activation='relu', learning_rate_init=0.01, max_iter=1000, random_state=42))])</w:t>
              <w:br/>
              <w:t>pipe_4 = Pipeline([('scaler', StandardScaler()), ('mlp', MLPClassifier(hidden_layer_sizes=(4,), activation='relu', learning_rate_init=0.01, max_iter=1000, random_state=42))])</w:t>
              <w:br/>
              <w:br/>
              <w:t># 3. 5-Fold Stratified Cross-Validation</w:t>
              <w:br/>
              <w:t>cv = StratifiedKFold(n_splits=5, shuffle=True, random_state=42)</w:t>
              <w:br/>
              <w:t>scores_8 = cross_val_score(pipe_8, X_train, y_train, cv=cv, scoring='accuracy')</w:t>
              <w:br/>
              <w:t>scores_4 = cross_val_score(pipe_4, X_train, y_train, cv=cv, scoring='accuracy')</w:t>
              <w:br/>
              <w:br/>
              <w:t>print(f"MLP-8 Mean CV: {scores_8.mean()*100:.2f}% (±{scores_8.std()*100:.2f}%)")</w:t>
              <w:br/>
              <w:t>print(f"MLP-4 Mean CV: {scores_4.mean()*100:.2f}% (±{scores_4.std()*100:.2f}%)")</w:t>
              <w:br/>
              <w:br/>
              <w:t># 4. Train Selected Model (MLP-8) on Full Train Split &amp; Evaluate Test Set</w:t>
              <w:br/>
              <w:t>pipe_8.fit(X_train, y_train)</w:t>
              <w:br/>
              <w:t>y_pred_8 = pipe_8.predict(X_test)</w:t>
              <w:br/>
              <w:t>print("Test Accuracy:", accuracy_score(y_test, y_pred_8))</w:t>
              <w:br/>
              <w:t>print("Confusion Matrix:</w:t>
              <w:br/>
              <w:t>", confusion_matrix(y_test, y_pred_8))</w:t>
              <w:br/>
              <w:t>print("Classification Report:</w:t>
              <w:br/>
              <w:t>", classification_report(y_test, y_pred_8, target_names=load_iris().target_names))</w:t>
            </w:r>
          </w:p>
        </w:tc>
      </w:tr>
    </w:tbl>
    <w:p>
      <w:pPr>
        <w:spacing w:after="80"/>
      </w:pPr>
    </w:p>
    <w:p>
      <w:pPr>
        <w:keepNext/>
        <w:spacing w:before="240" w:after="80"/>
      </w:pPr>
      <w:r>
        <w:rPr>
          <w:rFonts w:ascii="Calibri" w:hAnsi="Calibri"/>
          <w:b/>
          <w:color w:val="2E74B5"/>
          <w:sz w:val="26"/>
        </w:rPr>
        <w:t>2.6 5-Fold Stratified Cross-Validation &amp; Architecture Comparison</w:t>
      </w:r>
    </w:p>
    <w:p>
      <w:pPr>
        <w:spacing w:before="0" w:after="100" w:line="276" w:lineRule="auto"/>
      </w:pPr>
      <w:r>
        <w:rPr>
          <w:rFonts w:ascii="Calibri" w:hAnsi="Calibri"/>
          <w:color w:val="282828"/>
          <w:sz w:val="21"/>
        </w:rPr>
        <w:t>5-Fold Stratified Cross-Validation was conducted on the 120 training samples. The results of the cross-validation and subsequent test set evaluation are summarized below:</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59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Architecture</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Neurons</w:t>
            </w:r>
          </w:p>
        </w:tc>
        <w:tc>
          <w:tcPr>
            <w:tcW w:type="dxa" w:w="864"/>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Params</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Mean CV</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CV Std Dev</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Test Acc</w:t>
            </w:r>
          </w:p>
        </w:tc>
        <w:tc>
          <w:tcPr>
            <w:tcW w:type="dxa" w:w="864"/>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Epochs</w:t>
            </w:r>
          </w:p>
        </w:tc>
        <w:tc>
          <w:tcPr>
            <w:tcW w:type="dxa" w:w="100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Final Loss</w:t>
            </w:r>
          </w:p>
        </w:tc>
        <w:tc>
          <w:tcPr>
            <w:tcW w:type="dxa" w:w="115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Fit Time</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MLP-8 (1 Hidden Layer, 8 Neurons)</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8</w:t>
            </w:r>
          </w:p>
        </w:tc>
        <w:tc>
          <w:tcPr>
            <w:tcW w:type="dxa" w:w="86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67</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95.83%</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±2.64%</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96.67%</w:t>
            </w:r>
          </w:p>
        </w:tc>
        <w:tc>
          <w:tcPr>
            <w:tcW w:type="dxa" w:w="86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291</w:t>
            </w:r>
          </w:p>
        </w:tc>
        <w:tc>
          <w:tcPr>
            <w:tcW w:type="dxa" w:w="100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0.0429</w:t>
            </w:r>
          </w:p>
        </w:tc>
        <w:tc>
          <w:tcPr>
            <w:tcW w:type="dxa" w:w="115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41.16 ms</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MLP-4 (1 Hidden Layer, 4 Neurons)</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w:t>
            </w:r>
          </w:p>
        </w:tc>
        <w:tc>
          <w:tcPr>
            <w:tcW w:type="dxa" w:w="86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35</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95.83%</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±3.73%</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96.67%</w:t>
            </w:r>
          </w:p>
        </w:tc>
        <w:tc>
          <w:tcPr>
            <w:tcW w:type="dxa" w:w="86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485</w:t>
            </w:r>
          </w:p>
        </w:tc>
        <w:tc>
          <w:tcPr>
            <w:tcW w:type="dxa" w:w="100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0.0609</w:t>
            </w:r>
          </w:p>
        </w:tc>
        <w:tc>
          <w:tcPr>
            <w:tcW w:type="dxa" w:w="115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58.94 ms</w:t>
            </w:r>
          </w:p>
        </w:tc>
      </w:tr>
    </w:tbl>
    <w:p>
      <w:pPr>
        <w:spacing w:after="80"/>
      </w:pPr>
    </w:p>
    <w:p>
      <w:pPr>
        <w:spacing w:before="0" w:after="100" w:line="276" w:lineRule="auto"/>
      </w:pPr>
      <w:r>
        <w:rPr>
          <w:rFonts w:ascii="Calibri" w:hAnsi="Calibri"/>
          <w:b/>
          <w:color w:val="141414"/>
          <w:sz w:val="21"/>
        </w:rPr>
        <w:t xml:space="preserve">Model Selection Decision &amp; Rationale: </w:t>
      </w:r>
      <w:r>
        <w:rPr>
          <w:rFonts w:ascii="Calibri" w:hAnsi="Calibri"/>
          <w:color w:val="282828"/>
          <w:sz w:val="21"/>
        </w:rPr>
        <w:t>Selected Better Model: MLP-8 (1 Hidden Layer with 8 Neurons). Rationale: While both architectures achieved an identical mean cross-validation accuracy of 95.83%, the 8-neuron model demonstrated lower fold variance (±2.64% vs ±3.73%), faster convergence (291 epochs vs 485 epochs), and achieved a lower final cross-entropy training loss (0.0429 vs 0.0609).</w:t>
      </w:r>
    </w:p>
    <w:p>
      <w:pPr>
        <w:spacing w:before="160" w:after="40"/>
        <w:jc w:val="center"/>
      </w:pPr>
      <w:r>
        <w:drawing>
          <wp:inline xmlns:a="http://schemas.openxmlformats.org/drawingml/2006/main" xmlns:pic="http://schemas.openxmlformats.org/drawingml/2006/picture">
            <wp:extent cx="5303520" cy="3409406"/>
            <wp:docPr id="5" name="Picture 5"/>
            <wp:cNvGraphicFramePr>
              <a:graphicFrameLocks noChangeAspect="1"/>
            </wp:cNvGraphicFramePr>
            <a:graphic>
              <a:graphicData uri="http://schemas.openxmlformats.org/drawingml/2006/picture">
                <pic:pic>
                  <pic:nvPicPr>
                    <pic:cNvPr id="0" name="01_cv_accuracy_comparison.png"/>
                    <pic:cNvPicPr/>
                  </pic:nvPicPr>
                  <pic:blipFill>
                    <a:blip r:embed="rId13"/>
                    <a:stretch>
                      <a:fillRect/>
                    </a:stretch>
                  </pic:blipFill>
                  <pic:spPr>
                    <a:xfrm>
                      <a:off x="0" y="0"/>
                      <a:ext cx="5303520" cy="3409406"/>
                    </a:xfrm>
                    <a:prstGeom prst="rect"/>
                  </pic:spPr>
                </pic:pic>
              </a:graphicData>
            </a:graphic>
          </wp:inline>
        </w:drawing>
      </w:r>
    </w:p>
    <w:p>
      <w:pPr>
        <w:spacing w:before="40" w:after="160"/>
        <w:jc w:val="center"/>
      </w:pPr>
      <w:r>
        <w:rPr>
          <w:rFonts w:ascii="Calibri" w:hAnsi="Calibri"/>
          <w:i/>
          <w:color w:val="555555"/>
          <w:sz w:val="19"/>
        </w:rPr>
        <w:t>Figure 5: 5-Fold Stratified Cross-Validation Accuracy Comparison with Standard Deviation Error Bars</w:t>
      </w:r>
    </w:p>
    <w:p>
      <w:pPr>
        <w:keepNext/>
        <w:spacing w:before="240" w:after="80"/>
      </w:pPr>
      <w:r>
        <w:rPr>
          <w:rFonts w:ascii="Calibri" w:hAnsi="Calibri"/>
          <w:b/>
          <w:color w:val="2E74B5"/>
          <w:sz w:val="26"/>
        </w:rPr>
        <w:t>2.7 Final Test Evaluation &amp; Confusion Matrix</w:t>
      </w:r>
    </w:p>
    <w:p>
      <w:pPr>
        <w:spacing w:before="0" w:after="100" w:line="276" w:lineRule="auto"/>
      </w:pPr>
      <w:r>
        <w:rPr>
          <w:rFonts w:ascii="Calibri" w:hAnsi="Calibri"/>
          <w:color w:val="282828"/>
          <w:sz w:val="21"/>
        </w:rPr>
        <w:t>The selected MLP-8 model was evaluated on the held-out test set (30 samples: 10 Setosa, 10 Versicolor, 10 Virginica), achieving an overall Test Accuracy of 96.67% (29 out of 30 correct predictions).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left"/>
            </w:pPr>
            <w:r>
              <w:rPr>
                <w:rFonts w:ascii="Calibri" w:hAnsi="Calibri"/>
                <w:b/>
                <w:color w:val="FFFFFF"/>
                <w:sz w:val="19"/>
              </w:rPr>
              <w:t>Actual Class</w:t>
            </w:r>
          </w:p>
        </w:tc>
        <w:tc>
          <w:tcPr>
            <w:tcW w:type="dxa" w:w="1584"/>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Pred Setosa</w:t>
            </w:r>
          </w:p>
        </w:tc>
        <w:tc>
          <w:tcPr>
            <w:tcW w:type="dxa" w:w="172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Pred Versicolor</w:t>
            </w:r>
          </w:p>
        </w:tc>
        <w:tc>
          <w:tcPr>
            <w:tcW w:type="dxa" w:w="172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Pred Virginica</w:t>
            </w:r>
          </w:p>
        </w:tc>
        <w:tc>
          <w:tcPr>
            <w:tcW w:type="dxa" w:w="1728"/>
            <w:shd w:fill="1F3864"/>
            <w:tcBorders>
              <w:top w:val="single" w:sz="4" w:space="0" w:color="CCCCCC"/>
              <w:left w:val="none" w:sz="4" w:space="0" w:color="CCCCCC"/>
              <w:bottom w:val="single" w:sz="4" w:space="0" w:color="CCCCCC"/>
              <w:right w:val="none" w:sz="4" w:space="0" w:color="CCCCCC"/>
            </w:tcBorders>
            <w:tcMar>
              <w:top w:w="60" w:type="dxa"/>
              <w:left w:w="100" w:type="dxa"/>
              <w:bottom w:w="60" w:type="dxa"/>
              <w:right w:w="100" w:type="dxa"/>
            </w:tcMar>
          </w:tcPr>
          <w:p>
            <w:pPr>
              <w:spacing w:before="0" w:after="0"/>
              <w:jc w:val="right"/>
            </w:pPr>
            <w:r>
              <w:rPr>
                <w:rFonts w:ascii="Calibri" w:hAnsi="Calibri"/>
                <w:b/>
                <w:color w:val="FFFFFF"/>
                <w:sz w:val="19"/>
              </w:rPr>
              <w:t>Class Recall</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Actual Setosa</w:t>
            </w:r>
          </w:p>
        </w:tc>
        <w:tc>
          <w:tcPr>
            <w:tcW w:type="dxa" w:w="158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Actual Versicolor</w:t>
            </w:r>
          </w:p>
        </w:tc>
        <w:tc>
          <w:tcPr>
            <w:tcW w:type="dxa" w:w="158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90.0%</w:t>
            </w:r>
          </w:p>
        </w:tc>
      </w:tr>
      <w:tr>
        <w:tc>
          <w:tcPr>
            <w:tcW w:type="dxa" w:w="2592"/>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Actual Virginica</w:t>
            </w:r>
          </w:p>
        </w:tc>
        <w:tc>
          <w:tcPr>
            <w:tcW w:type="dxa" w:w="1584"/>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w:t>
            </w:r>
          </w:p>
        </w:tc>
        <w:tc>
          <w:tcPr>
            <w:tcW w:type="dxa" w:w="1728"/>
            <w:shd w:fill="FFFFFF"/>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w:t>
            </w:r>
          </w:p>
        </w:tc>
      </w:tr>
      <w:tr>
        <w:tc>
          <w:tcPr>
            <w:tcW w:type="dxa" w:w="2592"/>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left"/>
            </w:pPr>
            <w:r>
              <w:rPr>
                <w:rFonts w:ascii="Calibri" w:hAnsi="Calibri"/>
                <w:color w:val="282828"/>
                <w:sz w:val="18"/>
              </w:rPr>
              <w:t>Class Precision</w:t>
            </w:r>
          </w:p>
        </w:tc>
        <w:tc>
          <w:tcPr>
            <w:tcW w:type="dxa" w:w="1584"/>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100.0%</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90.9%</w:t>
            </w:r>
          </w:p>
        </w:tc>
        <w:tc>
          <w:tcPr>
            <w:tcW w:type="dxa" w:w="1728"/>
            <w:shd w:fill="F2F4F7"/>
            <w:tcBorders>
              <w:top w:val="single" w:sz="4" w:space="0" w:color="CCCCCC"/>
              <w:left w:val="none" w:sz="4" w:space="0" w:color="CCCCCC"/>
              <w:bottom w:val="single" w:sz="4" w:space="0" w:color="CCCCCC"/>
              <w:right w:val="none" w:sz="4" w:space="0" w:color="CCCCCC"/>
            </w:tcBorders>
            <w:tcMar>
              <w:top w:w="50" w:type="dxa"/>
              <w:left w:w="100" w:type="dxa"/>
              <w:bottom w:w="50" w:type="dxa"/>
              <w:right w:w="100" w:type="dxa"/>
            </w:tcMar>
          </w:tcPr>
          <w:p>
            <w:pPr>
              <w:spacing w:before="0" w:after="0"/>
              <w:jc w:val="right"/>
            </w:pPr>
            <w:r>
              <w:rPr>
                <w:rFonts w:ascii="Calibri" w:hAnsi="Calibri"/>
                <w:color w:val="282828"/>
                <w:sz w:val="18"/>
              </w:rPr>
              <w:t>Overall: 96.67%</w:t>
            </w:r>
          </w:p>
        </w:tc>
      </w:tr>
    </w:tbl>
    <w:p>
      <w:pPr>
        <w:spacing w:after="80"/>
      </w:pPr>
    </w:p>
    <w:p>
      <w:pPr>
        <w:spacing w:before="160" w:after="40"/>
        <w:jc w:val="center"/>
      </w:pPr>
      <w:r>
        <w:drawing>
          <wp:inline xmlns:a="http://schemas.openxmlformats.org/drawingml/2006/main" xmlns:pic="http://schemas.openxmlformats.org/drawingml/2006/picture">
            <wp:extent cx="5303520" cy="4419600"/>
            <wp:docPr id="6" name="Picture 6"/>
            <wp:cNvGraphicFramePr>
              <a:graphicFrameLocks noChangeAspect="1"/>
            </wp:cNvGraphicFramePr>
            <a:graphic>
              <a:graphicData uri="http://schemas.openxmlformats.org/drawingml/2006/picture">
                <pic:pic>
                  <pic:nvPicPr>
                    <pic:cNvPr id="0" name="02_confusion_matrix_selected_model.png"/>
                    <pic:cNvPicPr/>
                  </pic:nvPicPr>
                  <pic:blipFill>
                    <a:blip r:embed="rId14"/>
                    <a:stretch>
                      <a:fillRect/>
                    </a:stretch>
                  </pic:blipFill>
                  <pic:spPr>
                    <a:xfrm>
                      <a:off x="0" y="0"/>
                      <a:ext cx="5303520" cy="4419600"/>
                    </a:xfrm>
                    <a:prstGeom prst="rect"/>
                  </pic:spPr>
                </pic:pic>
              </a:graphicData>
            </a:graphic>
          </wp:inline>
        </w:drawing>
      </w:r>
    </w:p>
    <w:p>
      <w:pPr>
        <w:spacing w:before="40" w:after="160"/>
        <w:jc w:val="center"/>
      </w:pPr>
      <w:r>
        <w:rPr>
          <w:rFonts w:ascii="Calibri" w:hAnsi="Calibri"/>
          <w:i/>
          <w:color w:val="555555"/>
          <w:sz w:val="19"/>
        </w:rPr>
        <w:t>Figure 6: Confusion Matrix Heatmap for Selected MLP-8 Classifier on Iris Test Set (Accuracy = 96.67%)</w:t>
      </w:r>
    </w:p>
    <w:p>
      <w:pPr>
        <w:spacing w:before="160" w:after="4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03_loss_curves_mlp.png"/>
                    <pic:cNvPicPr/>
                  </pic:nvPicPr>
                  <pic:blipFill>
                    <a:blip r:embed="rId15"/>
                    <a:stretch>
                      <a:fillRect/>
                    </a:stretch>
                  </pic:blipFill>
                  <pic:spPr>
                    <a:xfrm>
                      <a:off x="0" y="0"/>
                      <a:ext cx="5303520" cy="2983230"/>
                    </a:xfrm>
                    <a:prstGeom prst="rect"/>
                  </pic:spPr>
                </pic:pic>
              </a:graphicData>
            </a:graphic>
          </wp:inline>
        </w:drawing>
      </w:r>
    </w:p>
    <w:p>
      <w:pPr>
        <w:spacing w:before="40" w:after="160"/>
        <w:jc w:val="center"/>
      </w:pPr>
      <w:r>
        <w:rPr>
          <w:rFonts w:ascii="Calibri" w:hAnsi="Calibri"/>
          <w:i/>
          <w:color w:val="555555"/>
          <w:sz w:val="19"/>
        </w:rPr>
        <w:t>Figure 7: Training Loss Trajectories Comparing MLP-8 and MLP-4 Convergence under Adam Optimization</w:t>
      </w:r>
    </w:p>
    <w:p>
      <w:pPr>
        <w:keepNext/>
        <w:spacing w:before="240" w:after="80"/>
      </w:pPr>
      <w:r>
        <w:rPr>
          <w:rFonts w:ascii="Calibri" w:hAnsi="Calibri"/>
          <w:b/>
          <w:color w:val="2E74B5"/>
          <w:sz w:val="26"/>
        </w:rPr>
        <w:t>2.8 Comparative Architectural Discussion</w:t>
      </w:r>
    </w:p>
    <w:p>
      <w:pPr>
        <w:spacing w:before="0" w:after="100" w:line="276" w:lineRule="auto"/>
      </w:pPr>
      <w:r>
        <w:rPr>
          <w:rFonts w:ascii="Calibri" w:hAnsi="Calibri"/>
          <w:color w:val="282828"/>
          <w:sz w:val="21"/>
        </w:rPr>
        <w:t>1. Representational Capacity vs. Parameter Complexity: The 8-neuron model has 67 parameters compared to 35 for the 4-neuron model. The additional capacity enables the network to project the 4-dimensional input into a richer intermediate space where the non-linearly separable Versicolor and Virginica classes can be segregated more cleanly.</w:t>
      </w:r>
    </w:p>
    <w:p>
      <w:pPr>
        <w:spacing w:before="0" w:after="100" w:line="276" w:lineRule="auto"/>
      </w:pPr>
      <w:r>
        <w:rPr>
          <w:rFonts w:ascii="Calibri" w:hAnsi="Calibri"/>
          <w:color w:val="282828"/>
          <w:sz w:val="21"/>
        </w:rPr>
        <w:t>2. Training Dynamics &amp; Convergence: As shown in Figure 7, the 8-neuron model converges to a minimum loss of 0.0429 in 291 iterations, whereas the 4-neuron model requires 485 iterations to reach a loss of 0.0609. The extra hidden nodes provide multiple alternate gradient descent trajectories, reducing the risk of plateaus during optimization.</w:t>
      </w:r>
    </w:p>
    <w:p>
      <w:pPr>
        <w:spacing w:before="0" w:after="100" w:line="276" w:lineRule="auto"/>
      </w:pPr>
      <w:r>
        <w:rPr>
          <w:rFonts w:ascii="Calibri" w:hAnsi="Calibri"/>
          <w:color w:val="282828"/>
          <w:sz w:val="21"/>
        </w:rPr>
        <w:t>3. Generalization &amp; Overfitting Check: Because the Iris dataset is relatively compact (150 samples), large neural networks risk overfitting. However, the 8-neuron model demonstrated consistent cross-validation accuracy across all 5 folds without performance degradation on the test set, confirming that 8 neurons is well within the optimal capacity threshold for this problem.</w:t>
      </w:r>
    </w:p>
    <w:p>
      <w:pPr>
        <w:keepNext/>
        <w:spacing w:before="240" w:after="80"/>
      </w:pPr>
      <w:r>
        <w:rPr>
          <w:rFonts w:ascii="Calibri" w:hAnsi="Calibri"/>
          <w:b/>
          <w:color w:val="2E74B5"/>
          <w:sz w:val="26"/>
        </w:rPr>
        <w:t>2.9 Meaningful Self-Learning &amp; Key Concepts</w:t>
      </w:r>
    </w:p>
    <w:p>
      <w:pPr>
        <w:pStyle w:val="ListBullet"/>
        <w:spacing w:before="0" w:after="60" w:line="276" w:lineRule="auto"/>
      </w:pPr>
      <w:r>
        <w:rPr>
          <w:rFonts w:ascii="Calibri" w:hAnsi="Calibri"/>
          <w:b/>
          <w:color w:val="141414"/>
          <w:sz w:val="21"/>
        </w:rPr>
        <w:t xml:space="preserve">1. Necessity of Feature Standardization in MLPs: </w:t>
      </w:r>
      <w:r>
        <w:rPr>
          <w:rFonts w:ascii="Calibri" w:hAnsi="Calibri"/>
          <w:color w:val="282828"/>
          <w:sz w:val="21"/>
        </w:rPr>
        <w:t>Backpropagation calculates gradients with respect to weights. Unscaled inputs cause irregular gradient scales across dimensions, leading to oscillating weight updates and slow convergence.</w:t>
      </w:r>
    </w:p>
    <w:p>
      <w:pPr>
        <w:pStyle w:val="ListBullet"/>
        <w:spacing w:before="0" w:after="60" w:line="276" w:lineRule="auto"/>
      </w:pPr>
      <w:r>
        <w:rPr>
          <w:rFonts w:ascii="Calibri" w:hAnsi="Calibri"/>
          <w:b/>
          <w:color w:val="141414"/>
          <w:sz w:val="21"/>
        </w:rPr>
        <w:t xml:space="preserve">2. Role of Stratified K-Fold Cross-Validation: </w:t>
      </w:r>
      <w:r>
        <w:rPr>
          <w:rFonts w:ascii="Calibri" w:hAnsi="Calibri"/>
          <w:color w:val="282828"/>
          <w:sz w:val="21"/>
        </w:rPr>
        <w:t>On small datasets, a single random split can produce misleading metrics due to sampling variance. Stratified K-Fold guarantees balanced class proportions across every fold, providing an unbiased estimate of generalization.</w:t>
      </w:r>
    </w:p>
    <w:p>
      <w:pPr>
        <w:pStyle w:val="ListBullet"/>
        <w:spacing w:before="0" w:after="60" w:line="276" w:lineRule="auto"/>
      </w:pPr>
      <w:r>
        <w:rPr>
          <w:rFonts w:ascii="Calibri" w:hAnsi="Calibri"/>
          <w:b/>
          <w:color w:val="141414"/>
          <w:sz w:val="21"/>
        </w:rPr>
        <w:t xml:space="preserve">3. Hidden Neuron Capacity &amp; Bias-Variance Trade-off: </w:t>
      </w:r>
      <w:r>
        <w:rPr>
          <w:rFonts w:ascii="Calibri" w:hAnsi="Calibri"/>
          <w:color w:val="282828"/>
          <w:sz w:val="21"/>
        </w:rPr>
        <w:t>Too few hidden neurons lead to high bias (underfitting non-linear boundaries), while excessive hidden neurons increase variance (risk of memorizing training noise).</w:t>
      </w:r>
    </w:p>
    <w:p>
      <w:pPr>
        <w:pStyle w:val="ListBullet"/>
        <w:spacing w:before="0" w:after="60" w:line="276" w:lineRule="auto"/>
      </w:pPr>
      <w:r>
        <w:rPr>
          <w:rFonts w:ascii="Calibri" w:hAnsi="Calibri"/>
          <w:b/>
          <w:color w:val="141414"/>
          <w:sz w:val="21"/>
        </w:rPr>
        <w:t xml:space="preserve">4. Adam Optimizer Dynamics: </w:t>
      </w:r>
      <w:r>
        <w:rPr>
          <w:rFonts w:ascii="Calibri" w:hAnsi="Calibri"/>
          <w:color w:val="282828"/>
          <w:sz w:val="21"/>
        </w:rPr>
        <w:t>Adam combines adaptive learning rates with momentum (first and second gradient moments), enabling rapid descent through narrow valleys in the loss surface.</w:t>
      </w:r>
    </w:p>
    <w:tbl>
      <w:tblPr>
        <w:tblW w:type="auto" w:w="0"/>
        <w:jc w:val="center"/>
        <w:tblLook w:firstColumn="1" w:firstRow="1" w:lastColumn="0" w:lastRow="0" w:noHBand="0" w:noVBand="1" w:val="04A0"/>
      </w:tblPr>
      <w:tblGrid>
        <w:gridCol w:w="9360"/>
      </w:tblGrid>
      <w:tr>
        <w:tc>
          <w:tcPr>
            <w:tcW w:type="dxa" w:w="9360"/>
            <w:shd w:fill="F7F9FB"/>
            <w:tcBorders>
              <w:top w:val="none" w:sz="4" w:space="0" w:color="2E74B5"/>
              <w:left w:val="single" w:sz="4" w:space="0" w:color="2E74B5"/>
              <w:bottom w:val="none" w:sz="4" w:space="0" w:color="2E74B5"/>
              <w:right w:val="none" w:sz="4" w:space="0" w:color="2E74B5"/>
            </w:tcBorders>
            <w:tcMar>
              <w:top w:w="100" w:type="dxa"/>
              <w:left w:w="150" w:type="dxa"/>
              <w:bottom w:w="100" w:type="dxa"/>
              <w:right w:w="150" w:type="dxa"/>
            </w:tcMar>
          </w:tcPr>
          <w:p>
            <w:pPr>
              <w:spacing w:before="0" w:after="40"/>
            </w:pPr>
            <w:r>
              <w:rPr>
                <w:rFonts w:ascii="Calibri" w:hAnsi="Calibri"/>
                <w:b/>
                <w:color w:val="1F3864"/>
                <w:sz w:val="21"/>
              </w:rPr>
              <w:t>KEY VIVA TAKEAWAY: NEURAL NETWORK ARCHITECTURE SELECTION</w:t>
              <w:br/>
            </w:r>
            <w:r>
              <w:rPr>
                <w:rFonts w:ascii="Calibri" w:hAnsi="Calibri"/>
                <w:color w:val="282828"/>
                <w:sz w:val="20"/>
              </w:rPr>
              <w:t>Selecting the optimal number of hidden neurons requires balancing representational capacity with generalization ability. Cross-validation variance and convergence speed serve as objective criteria for model selection when raw accuracy metrics are tied.</w:t>
            </w:r>
          </w:p>
        </w:tc>
      </w:tr>
    </w:tbl>
    <w:p>
      <w:pPr>
        <w:spacing w:after="80"/>
      </w:pPr>
    </w:p>
    <w:p>
      <w:pPr>
        <w:keepNext/>
        <w:spacing w:before="240" w:after="80"/>
      </w:pPr>
      <w:r>
        <w:rPr>
          <w:rFonts w:ascii="Calibri" w:hAnsi="Calibri"/>
          <w:b/>
          <w:color w:val="2E74B5"/>
          <w:sz w:val="26"/>
        </w:rPr>
        <w:t>2.10 Conclusion (Question 5)</w:t>
      </w:r>
    </w:p>
    <w:p>
      <w:pPr>
        <w:spacing w:before="0" w:after="100" w:line="276" w:lineRule="auto"/>
      </w:pPr>
      <w:r>
        <w:rPr>
          <w:rFonts w:ascii="Calibri" w:hAnsi="Calibri"/>
          <w:color w:val="282828"/>
          <w:sz w:val="21"/>
        </w:rPr>
        <w:t>The comparative evaluation demonstrated that both MLP architectures perform effectively on the Iris dataset, achieving 95.83% mean cross-validation accuracy and 96.67% test accuracy. The 8-neuron model was selected as the superior architecture due to its lower cross-validation standard deviation (±2.64% vs ±3.73%), faster convergence (291 epochs vs 485 epochs), and lower final loss (0.0429 vs 0.0609). The confusion matrix confirmed near-perfect classification, with 100% precision and recall on Setosa and Virginica, and only one misclassification between Versicolor and Virginica.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